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0659A" w14:textId="77777777" w:rsidR="00B25851" w:rsidRDefault="00000000">
      <w:pPr>
        <w:spacing w:before="200"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Module: Psychology in Health and Social Care</w:t>
      </w:r>
    </w:p>
    <w:p w14:paraId="4CEE8013" w14:textId="40A071E0" w:rsidR="00B25851" w:rsidRDefault="00000000" w:rsidP="00BA0432">
      <w:pPr>
        <w:spacing w:before="200"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Module code: LCHS4010</w:t>
      </w:r>
    </w:p>
    <w:p w14:paraId="74B440AD" w14:textId="77777777" w:rsidR="00B25851" w:rsidRDefault="00000000">
      <w:pPr>
        <w:spacing w:before="200"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Assignment Title: Assignment 2: Written Task</w:t>
      </w:r>
    </w:p>
    <w:p w14:paraId="42221CA4" w14:textId="77C3449B" w:rsidR="00B25851" w:rsidRDefault="00000000">
      <w:pPr>
        <w:spacing w:before="200"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Lecturer’s name:</w:t>
      </w:r>
      <w:r w:rsidR="00BA0432">
        <w:rPr>
          <w:rFonts w:ascii="Times New Roman" w:eastAsia="Times New Roman" w:hAnsi="Times New Roman" w:cs="Times New Roman"/>
          <w:b/>
          <w:sz w:val="26"/>
          <w:szCs w:val="26"/>
        </w:rPr>
        <w:t xml:space="preserve"> </w:t>
      </w:r>
      <w:r w:rsidR="003E5D7D">
        <w:rPr>
          <w:rFonts w:ascii="Times New Roman" w:eastAsia="Times New Roman" w:hAnsi="Times New Roman" w:cs="Times New Roman"/>
          <w:b/>
          <w:sz w:val="26"/>
          <w:szCs w:val="26"/>
        </w:rPr>
        <w:t xml:space="preserve">Helen Parsons </w:t>
      </w:r>
    </w:p>
    <w:p w14:paraId="31B199B8" w14:textId="126BAF9F" w:rsidR="00B25851" w:rsidRDefault="00000000">
      <w:pPr>
        <w:spacing w:before="200"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Student Name:</w:t>
      </w:r>
      <w:r w:rsidR="00BA0432">
        <w:rPr>
          <w:rFonts w:ascii="Times New Roman" w:eastAsia="Times New Roman" w:hAnsi="Times New Roman" w:cs="Times New Roman"/>
          <w:b/>
          <w:sz w:val="26"/>
          <w:szCs w:val="26"/>
        </w:rPr>
        <w:t xml:space="preserve"> Liliana </w:t>
      </w:r>
      <w:proofErr w:type="spellStart"/>
      <w:r w:rsidR="00BA0432">
        <w:rPr>
          <w:rFonts w:ascii="Times New Roman" w:eastAsia="Times New Roman" w:hAnsi="Times New Roman" w:cs="Times New Roman"/>
          <w:b/>
          <w:sz w:val="26"/>
          <w:szCs w:val="26"/>
        </w:rPr>
        <w:t>Tofan</w:t>
      </w:r>
      <w:proofErr w:type="spellEnd"/>
      <w:r w:rsidR="00BA0432">
        <w:rPr>
          <w:rFonts w:ascii="Times New Roman" w:eastAsia="Times New Roman" w:hAnsi="Times New Roman" w:cs="Times New Roman"/>
          <w:b/>
          <w:sz w:val="26"/>
          <w:szCs w:val="26"/>
        </w:rPr>
        <w:t xml:space="preserve"> </w:t>
      </w:r>
    </w:p>
    <w:p w14:paraId="0562EF08" w14:textId="3A6F77D7" w:rsidR="00B25851" w:rsidRDefault="00000000">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6"/>
          <w:szCs w:val="26"/>
        </w:rPr>
        <w:t xml:space="preserve">Student ID : </w:t>
      </w:r>
      <w:r w:rsidR="00BA0432">
        <w:rPr>
          <w:rFonts w:ascii="Times New Roman" w:eastAsia="Times New Roman" w:hAnsi="Times New Roman" w:cs="Times New Roman"/>
          <w:b/>
          <w:sz w:val="26"/>
          <w:szCs w:val="26"/>
        </w:rPr>
        <w:t xml:space="preserve"> 2008331</w:t>
      </w:r>
      <w:r>
        <w:br w:type="page"/>
      </w:r>
    </w:p>
    <w:p w14:paraId="3F78A873" w14:textId="77777777" w:rsidR="00B25851" w:rsidRDefault="00000000">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2053325004"/>
        <w:docPartObj>
          <w:docPartGallery w:val="Table of Contents"/>
          <w:docPartUnique/>
        </w:docPartObj>
      </w:sdtPr>
      <w:sdtContent>
        <w:p w14:paraId="12E31381" w14:textId="77777777" w:rsidR="00B25851" w:rsidRDefault="00000000">
          <w:pPr>
            <w:widowControl w:val="0"/>
            <w:tabs>
              <w:tab w:val="right" w:pos="9025"/>
            </w:tabs>
            <w:spacing w:before="60" w:after="200" w:line="360" w:lineRule="auto"/>
            <w:rPr>
              <w:color w:val="000000"/>
            </w:rPr>
          </w:pPr>
          <w:r>
            <w:fldChar w:fldCharType="begin"/>
          </w:r>
          <w:r>
            <w:instrText xml:space="preserve"> TOC \h \u \z \t "Heading 1,1,Heading 2,2,Heading 3,3,Heading 4,4,Heading 5,5,Heading 6,6,"</w:instrText>
          </w:r>
          <w:r>
            <w:fldChar w:fldCharType="separate"/>
          </w:r>
          <w:hyperlink w:anchor="_heading=h.744qvlcuctp2">
            <w:r>
              <w:rPr>
                <w:color w:val="000000"/>
              </w:rPr>
              <w:t>1. Introduction</w:t>
            </w:r>
            <w:r>
              <w:rPr>
                <w:color w:val="000000"/>
              </w:rPr>
              <w:tab/>
            </w:r>
          </w:hyperlink>
          <w:r>
            <w:fldChar w:fldCharType="begin"/>
          </w:r>
          <w:r>
            <w:instrText xml:space="preserve"> PAGEREF _heading=h.744qvlcuctp2 \h </w:instrText>
          </w:r>
          <w:r>
            <w:fldChar w:fldCharType="separate"/>
          </w:r>
          <w:r>
            <w:t>3</w:t>
          </w:r>
          <w:hyperlink w:anchor="_heading=h.744qvlcuctp2" w:history="1"/>
        </w:p>
        <w:p w14:paraId="2C6FF988" w14:textId="77777777" w:rsidR="00B25851" w:rsidRDefault="00000000">
          <w:pPr>
            <w:widowControl w:val="0"/>
            <w:tabs>
              <w:tab w:val="right" w:pos="9025"/>
            </w:tabs>
            <w:spacing w:before="60" w:after="200" w:line="360" w:lineRule="auto"/>
            <w:rPr>
              <w:color w:val="000000"/>
            </w:rPr>
          </w:pPr>
          <w:r>
            <w:fldChar w:fldCharType="end"/>
          </w:r>
          <w:hyperlink w:anchor="_heading=h.s3uwq1qfq2su">
            <w:r>
              <w:rPr>
                <w:color w:val="000000"/>
              </w:rPr>
              <w:t>2. Overview of Psychological Theories</w:t>
            </w:r>
            <w:r>
              <w:rPr>
                <w:color w:val="000000"/>
              </w:rPr>
              <w:tab/>
            </w:r>
          </w:hyperlink>
          <w:r>
            <w:fldChar w:fldCharType="begin"/>
          </w:r>
          <w:r>
            <w:instrText xml:space="preserve"> PAGEREF _heading=h.s3uwq1qfq2su \h </w:instrText>
          </w:r>
          <w:r>
            <w:fldChar w:fldCharType="separate"/>
          </w:r>
          <w:r>
            <w:t>3</w:t>
          </w:r>
          <w:hyperlink w:anchor="_heading=h.s3uwq1qfq2su" w:history="1"/>
        </w:p>
        <w:p w14:paraId="5EC49CB0" w14:textId="77777777" w:rsidR="00B25851" w:rsidRDefault="00000000">
          <w:pPr>
            <w:widowControl w:val="0"/>
            <w:tabs>
              <w:tab w:val="right" w:pos="9025"/>
            </w:tabs>
            <w:spacing w:before="60" w:after="200" w:line="360" w:lineRule="auto"/>
            <w:ind w:left="360"/>
            <w:rPr>
              <w:color w:val="000000"/>
            </w:rPr>
          </w:pPr>
          <w:r>
            <w:fldChar w:fldCharType="end"/>
          </w:r>
          <w:hyperlink w:anchor="_heading=h.5nr96cbnjygx">
            <w:r>
              <w:rPr>
                <w:color w:val="000000"/>
              </w:rPr>
              <w:t>2.1 Erikson’s Psychosocial Theory of Development</w:t>
            </w:r>
            <w:r>
              <w:rPr>
                <w:color w:val="000000"/>
              </w:rPr>
              <w:tab/>
            </w:r>
          </w:hyperlink>
          <w:r>
            <w:fldChar w:fldCharType="begin"/>
          </w:r>
          <w:r>
            <w:instrText xml:space="preserve"> PAGEREF _heading=h.5nr96cbnjygx \h </w:instrText>
          </w:r>
          <w:r>
            <w:fldChar w:fldCharType="separate"/>
          </w:r>
          <w:r>
            <w:t>3</w:t>
          </w:r>
          <w:hyperlink w:anchor="_heading=h.5nr96cbnjygx" w:history="1"/>
        </w:p>
        <w:p w14:paraId="37BBF450" w14:textId="77777777" w:rsidR="00B25851" w:rsidRDefault="00000000">
          <w:pPr>
            <w:widowControl w:val="0"/>
            <w:tabs>
              <w:tab w:val="right" w:pos="9025"/>
            </w:tabs>
            <w:spacing w:before="60" w:after="200" w:line="360" w:lineRule="auto"/>
            <w:ind w:left="360"/>
            <w:rPr>
              <w:color w:val="000000"/>
            </w:rPr>
          </w:pPr>
          <w:r>
            <w:fldChar w:fldCharType="end"/>
          </w:r>
          <w:hyperlink w:anchor="_heading=h.c3rwm1g7cf6">
            <w:r>
              <w:rPr>
                <w:color w:val="000000"/>
              </w:rPr>
              <w:t>2.2 Bandura’s Social Learning Theory</w:t>
            </w:r>
            <w:r>
              <w:rPr>
                <w:color w:val="000000"/>
              </w:rPr>
              <w:tab/>
            </w:r>
          </w:hyperlink>
          <w:r>
            <w:fldChar w:fldCharType="begin"/>
          </w:r>
          <w:r>
            <w:instrText xml:space="preserve"> PAGEREF _heading=h.c3rwm1g7cf6 \h </w:instrText>
          </w:r>
          <w:r>
            <w:fldChar w:fldCharType="separate"/>
          </w:r>
          <w:r>
            <w:t>5</w:t>
          </w:r>
          <w:hyperlink w:anchor="_heading=h.c3rwm1g7cf6" w:history="1"/>
        </w:p>
        <w:p w14:paraId="40987BE0" w14:textId="77777777" w:rsidR="00B25851" w:rsidRDefault="00000000">
          <w:pPr>
            <w:widowControl w:val="0"/>
            <w:tabs>
              <w:tab w:val="right" w:pos="9025"/>
            </w:tabs>
            <w:spacing w:before="60" w:after="200" w:line="360" w:lineRule="auto"/>
            <w:rPr>
              <w:color w:val="000000"/>
            </w:rPr>
          </w:pPr>
          <w:r>
            <w:fldChar w:fldCharType="end"/>
          </w:r>
          <w:hyperlink w:anchor="_heading=h.whh8z8b0sau">
            <w:r>
              <w:rPr>
                <w:color w:val="000000"/>
              </w:rPr>
              <w:t>3. Application in Health and Social Care Context</w:t>
            </w:r>
            <w:r>
              <w:rPr>
                <w:color w:val="000000"/>
              </w:rPr>
              <w:tab/>
            </w:r>
          </w:hyperlink>
          <w:r>
            <w:fldChar w:fldCharType="begin"/>
          </w:r>
          <w:r>
            <w:instrText xml:space="preserve"> PAGEREF _heading=h.whh8z8b0sau \h </w:instrText>
          </w:r>
          <w:r>
            <w:fldChar w:fldCharType="separate"/>
          </w:r>
          <w:r>
            <w:t>5</w:t>
          </w:r>
          <w:hyperlink w:anchor="_heading=h.whh8z8b0sau" w:history="1"/>
        </w:p>
        <w:p w14:paraId="34D51FE9" w14:textId="77777777" w:rsidR="00B25851" w:rsidRDefault="00000000">
          <w:pPr>
            <w:widowControl w:val="0"/>
            <w:tabs>
              <w:tab w:val="right" w:pos="9025"/>
            </w:tabs>
            <w:spacing w:before="60" w:after="200" w:line="360" w:lineRule="auto"/>
            <w:ind w:left="360"/>
            <w:rPr>
              <w:color w:val="000000"/>
            </w:rPr>
          </w:pPr>
          <w:r>
            <w:fldChar w:fldCharType="end"/>
          </w:r>
          <w:hyperlink w:anchor="_heading=h.yiz2gm34eddb">
            <w:r>
              <w:rPr>
                <w:color w:val="000000"/>
              </w:rPr>
              <w:t>3.1 Application of Erikson’s Theory in Dementia Care</w:t>
            </w:r>
            <w:r>
              <w:rPr>
                <w:color w:val="000000"/>
              </w:rPr>
              <w:tab/>
            </w:r>
          </w:hyperlink>
          <w:r>
            <w:fldChar w:fldCharType="begin"/>
          </w:r>
          <w:r>
            <w:instrText xml:space="preserve"> PAGEREF _heading=h.yiz2gm34eddb \h </w:instrText>
          </w:r>
          <w:r>
            <w:fldChar w:fldCharType="separate"/>
          </w:r>
          <w:r>
            <w:t>5</w:t>
          </w:r>
          <w:hyperlink w:anchor="_heading=h.yiz2gm34eddb" w:history="1"/>
        </w:p>
        <w:p w14:paraId="6F35F7D2" w14:textId="77777777" w:rsidR="00B25851" w:rsidRDefault="00000000">
          <w:pPr>
            <w:widowControl w:val="0"/>
            <w:tabs>
              <w:tab w:val="right" w:pos="9025"/>
            </w:tabs>
            <w:spacing w:before="60" w:after="200" w:line="360" w:lineRule="auto"/>
            <w:ind w:left="360"/>
            <w:rPr>
              <w:color w:val="000000"/>
            </w:rPr>
          </w:pPr>
          <w:r>
            <w:fldChar w:fldCharType="end"/>
          </w:r>
          <w:hyperlink w:anchor="_heading=h.bxz4d8atsmrz">
            <w:r>
              <w:rPr>
                <w:color w:val="000000"/>
              </w:rPr>
              <w:t>3.2 Application of Bandura’s Social Learning Theory  in Dementia Care</w:t>
            </w:r>
            <w:r>
              <w:rPr>
                <w:color w:val="000000"/>
              </w:rPr>
              <w:tab/>
            </w:r>
          </w:hyperlink>
          <w:r>
            <w:fldChar w:fldCharType="begin"/>
          </w:r>
          <w:r>
            <w:instrText xml:space="preserve"> PAGEREF _heading=h.bxz4d8atsmrz \h </w:instrText>
          </w:r>
          <w:r>
            <w:fldChar w:fldCharType="separate"/>
          </w:r>
          <w:r>
            <w:t>6</w:t>
          </w:r>
          <w:hyperlink w:anchor="_heading=h.bxz4d8atsmrz" w:history="1"/>
        </w:p>
        <w:p w14:paraId="04712CC0" w14:textId="77777777" w:rsidR="00B25851" w:rsidRDefault="00000000">
          <w:pPr>
            <w:widowControl w:val="0"/>
            <w:tabs>
              <w:tab w:val="right" w:pos="9025"/>
            </w:tabs>
            <w:spacing w:before="60" w:after="200" w:line="360" w:lineRule="auto"/>
            <w:ind w:left="360"/>
            <w:rPr>
              <w:color w:val="000000"/>
            </w:rPr>
          </w:pPr>
          <w:r>
            <w:fldChar w:fldCharType="end"/>
          </w:r>
          <w:hyperlink w:anchor="_heading=h.jkqihvhw9dsw">
            <w:r>
              <w:rPr>
                <w:color w:val="000000"/>
              </w:rPr>
              <w:t>3.3  Challenges and Solutions for Professionals in Applying Psychological Theories</w:t>
            </w:r>
            <w:r>
              <w:rPr>
                <w:color w:val="000000"/>
              </w:rPr>
              <w:tab/>
            </w:r>
          </w:hyperlink>
          <w:r>
            <w:fldChar w:fldCharType="begin"/>
          </w:r>
          <w:r>
            <w:instrText xml:space="preserve"> PAGEREF _heading=h.jkqihvhw9dsw \h </w:instrText>
          </w:r>
          <w:r>
            <w:fldChar w:fldCharType="separate"/>
          </w:r>
          <w:r>
            <w:t>7</w:t>
          </w:r>
          <w:hyperlink w:anchor="_heading=h.jkqihvhw9dsw" w:history="1"/>
        </w:p>
        <w:p w14:paraId="04CE862A" w14:textId="77777777" w:rsidR="00B25851" w:rsidRDefault="00000000">
          <w:pPr>
            <w:widowControl w:val="0"/>
            <w:tabs>
              <w:tab w:val="right" w:pos="9025"/>
            </w:tabs>
            <w:spacing w:before="60" w:after="200" w:line="360" w:lineRule="auto"/>
            <w:rPr>
              <w:color w:val="000000"/>
            </w:rPr>
          </w:pPr>
          <w:r>
            <w:fldChar w:fldCharType="end"/>
          </w:r>
          <w:hyperlink w:anchor="_heading=h.tjahljteumbn">
            <w:r>
              <w:rPr>
                <w:color w:val="000000"/>
              </w:rPr>
              <w:t>4. Conclusion</w:t>
            </w:r>
            <w:r>
              <w:rPr>
                <w:color w:val="000000"/>
              </w:rPr>
              <w:tab/>
            </w:r>
          </w:hyperlink>
          <w:r>
            <w:fldChar w:fldCharType="begin"/>
          </w:r>
          <w:r>
            <w:instrText xml:space="preserve"> PAGEREF _heading=h.tjahljteumbn \h </w:instrText>
          </w:r>
          <w:r>
            <w:fldChar w:fldCharType="separate"/>
          </w:r>
          <w:r>
            <w:t>7</w:t>
          </w:r>
          <w:hyperlink w:anchor="_heading=h.tjahljteumbn" w:history="1"/>
        </w:p>
        <w:p w14:paraId="01FDA685" w14:textId="77777777" w:rsidR="00B25851" w:rsidRDefault="00000000">
          <w:pPr>
            <w:widowControl w:val="0"/>
            <w:tabs>
              <w:tab w:val="right" w:pos="9025"/>
            </w:tabs>
            <w:spacing w:before="60" w:after="200" w:line="360" w:lineRule="auto"/>
            <w:rPr>
              <w:color w:val="000000"/>
            </w:rPr>
          </w:pPr>
          <w:r>
            <w:fldChar w:fldCharType="end"/>
          </w:r>
          <w:hyperlink w:anchor="_heading=h.88fo9m9vlgl">
            <w:r>
              <w:rPr>
                <w:color w:val="000000"/>
              </w:rPr>
              <w:t>References</w:t>
            </w:r>
            <w:r>
              <w:rPr>
                <w:color w:val="000000"/>
              </w:rPr>
              <w:tab/>
            </w:r>
          </w:hyperlink>
          <w:r>
            <w:fldChar w:fldCharType="begin"/>
          </w:r>
          <w:r>
            <w:instrText xml:space="preserve"> PAGEREF _heading=h.88fo9m9vlgl \h </w:instrText>
          </w:r>
          <w:r>
            <w:fldChar w:fldCharType="separate"/>
          </w:r>
          <w:r>
            <w:t>9</w:t>
          </w:r>
          <w:r>
            <w:fldChar w:fldCharType="end"/>
          </w:r>
          <w:r>
            <w:fldChar w:fldCharType="end"/>
          </w:r>
        </w:p>
      </w:sdtContent>
    </w:sdt>
    <w:p w14:paraId="7AE9E4B3" w14:textId="77777777" w:rsidR="00B25851" w:rsidRDefault="00000000">
      <w:pPr>
        <w:spacing w:before="200" w:line="360" w:lineRule="auto"/>
        <w:jc w:val="center"/>
        <w:rPr>
          <w:rFonts w:ascii="Times New Roman" w:eastAsia="Times New Roman" w:hAnsi="Times New Roman" w:cs="Times New Roman"/>
          <w:b/>
          <w:sz w:val="24"/>
          <w:szCs w:val="24"/>
        </w:rPr>
      </w:pPr>
      <w:r>
        <w:br w:type="page"/>
      </w:r>
    </w:p>
    <w:p w14:paraId="79F7A38F" w14:textId="77777777" w:rsidR="00B25851" w:rsidRDefault="00000000">
      <w:pPr>
        <w:pStyle w:val="Heading1"/>
        <w:keepNext w:val="0"/>
        <w:keepLines w:val="0"/>
        <w:spacing w:before="200" w:after="200" w:line="360" w:lineRule="auto"/>
        <w:jc w:val="both"/>
        <w:rPr>
          <w:b/>
          <w:color w:val="0E101A"/>
          <w:sz w:val="22"/>
          <w:szCs w:val="22"/>
        </w:rPr>
      </w:pPr>
      <w:bookmarkStart w:id="0" w:name="_heading=h.744qvlcuctp2" w:colFirst="0" w:colLast="0"/>
      <w:bookmarkEnd w:id="0"/>
      <w:r>
        <w:rPr>
          <w:b/>
          <w:color w:val="0E101A"/>
          <w:sz w:val="22"/>
          <w:szCs w:val="22"/>
        </w:rPr>
        <w:t>1. Introduction</w:t>
      </w:r>
    </w:p>
    <w:p w14:paraId="2C4A915F" w14:textId="77777777" w:rsidR="00B25851" w:rsidRDefault="00000000">
      <w:pPr>
        <w:spacing w:before="200" w:after="200" w:line="360" w:lineRule="auto"/>
        <w:jc w:val="both"/>
        <w:rPr>
          <w:color w:val="0E101A"/>
        </w:rPr>
      </w:pPr>
      <w:r>
        <w:rPr>
          <w:color w:val="0E101A"/>
        </w:rPr>
        <w:t>Dementia poses an unsustainable and enormous obstacle for the individual, society, and families. This disease disproportionately affects certain populations, especially older adults and individuals suffering from depression and stress, as well as people living in high stroke mortality states. People aged 65 or over have the highest risk of progressing dementia, specifically targeting their cognitive health, which reduces their ability to make decisions (</w:t>
      </w:r>
      <w:proofErr w:type="spellStart"/>
      <w:r>
        <w:rPr>
          <w:color w:val="0E101A"/>
        </w:rPr>
        <w:t>Aranda</w:t>
      </w:r>
      <w:proofErr w:type="spellEnd"/>
      <w:r>
        <w:rPr>
          <w:color w:val="0E101A"/>
        </w:rPr>
        <w:t xml:space="preserve"> et al., 2021). Care professionals often struggle with managing the dementia people in care settings due to the insufficient information in examining potential disparities and offering support. To manage these uncertainties, professionals are usually involved, utilising psychological frameworks. Henceforth, the report discusses two psychological theories, including Erikson's theory of human development and Bandura's social learning theory.</w:t>
      </w:r>
      <w:r>
        <w:rPr>
          <w:color w:val="0E101A"/>
          <w:highlight w:val="yellow"/>
        </w:rPr>
        <w:t xml:space="preserve"> </w:t>
      </w:r>
      <w:r>
        <w:rPr>
          <w:color w:val="0E101A"/>
        </w:rPr>
        <w:t>Further, it illustrates the implementation of theories in the health and social care domain and evaluates how it can support older patients with dementia. The report also analyses the role of theories in mitigating psychological and behavioural issues related to dementia and discusses the potential barriers faced by professionals to apply theories, and suggests strategies.</w:t>
      </w:r>
    </w:p>
    <w:p w14:paraId="43B7BD0F" w14:textId="77777777" w:rsidR="00B25851" w:rsidRDefault="00000000">
      <w:pPr>
        <w:pStyle w:val="Heading1"/>
        <w:keepNext w:val="0"/>
        <w:keepLines w:val="0"/>
        <w:spacing w:before="200" w:after="200" w:line="360" w:lineRule="auto"/>
        <w:jc w:val="both"/>
        <w:rPr>
          <w:b/>
          <w:color w:val="0E101A"/>
          <w:sz w:val="22"/>
          <w:szCs w:val="22"/>
        </w:rPr>
      </w:pPr>
      <w:bookmarkStart w:id="1" w:name="_heading=h.s3uwq1qfq2su" w:colFirst="0" w:colLast="0"/>
      <w:bookmarkEnd w:id="1"/>
      <w:r>
        <w:rPr>
          <w:b/>
          <w:color w:val="0E101A"/>
          <w:sz w:val="22"/>
          <w:szCs w:val="22"/>
        </w:rPr>
        <w:t>2. Overview of Psychological Theories</w:t>
      </w:r>
    </w:p>
    <w:p w14:paraId="7ADCB03A" w14:textId="77777777" w:rsidR="00B25851" w:rsidRDefault="00000000">
      <w:pPr>
        <w:pStyle w:val="Heading2"/>
        <w:keepNext w:val="0"/>
        <w:keepLines w:val="0"/>
        <w:spacing w:before="200" w:after="200" w:line="360" w:lineRule="auto"/>
        <w:jc w:val="both"/>
        <w:rPr>
          <w:b/>
          <w:color w:val="0E101A"/>
          <w:sz w:val="22"/>
          <w:szCs w:val="22"/>
        </w:rPr>
      </w:pPr>
      <w:bookmarkStart w:id="2" w:name="_heading=h.5nr96cbnjygx" w:colFirst="0" w:colLast="0"/>
      <w:bookmarkEnd w:id="2"/>
      <w:r>
        <w:rPr>
          <w:b/>
          <w:color w:val="0E101A"/>
          <w:sz w:val="22"/>
          <w:szCs w:val="22"/>
        </w:rPr>
        <w:t>2.1 Erikson’s Psychosocial Theory of Development</w:t>
      </w:r>
    </w:p>
    <w:p w14:paraId="7F61A1B8" w14:textId="77777777" w:rsidR="00B25851" w:rsidRDefault="00000000">
      <w:pPr>
        <w:spacing w:before="200" w:after="200" w:line="360" w:lineRule="auto"/>
        <w:jc w:val="both"/>
      </w:pPr>
      <w:r>
        <w:rPr>
          <w:color w:val="0E101A"/>
        </w:rPr>
        <w:t xml:space="preserve">The psychosocial theory of development of Erikson's states that the achievement of wisdom in life during the latter stages includes revisiting previous uncertainties and renewing psychosocial accomplishment. This theory is profound in examining the psychological and behavioural issues among older adults based on the cognitive and physiological modifications that mainly occur in their later life, especially after the age of 65.  </w:t>
      </w:r>
    </w:p>
    <w:p w14:paraId="5F860B66" w14:textId="77777777" w:rsidR="00B25851" w:rsidRDefault="00000000">
      <w:pPr>
        <w:spacing w:before="200" w:after="200" w:line="360" w:lineRule="auto"/>
        <w:jc w:val="center"/>
      </w:pPr>
      <w:r>
        <w:rPr>
          <w:noProof/>
        </w:rPr>
        <w:drawing>
          <wp:inline distT="114300" distB="114300" distL="114300" distR="114300" wp14:anchorId="61D398F6" wp14:editId="0D9FF25B">
            <wp:extent cx="3985895" cy="3979545"/>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7"/>
                    <a:srcRect/>
                    <a:stretch>
                      <a:fillRect/>
                    </a:stretch>
                  </pic:blipFill>
                  <pic:spPr>
                    <a:xfrm>
                      <a:off x="0" y="0"/>
                      <a:ext cx="3986213" cy="3979591"/>
                    </a:xfrm>
                    <a:prstGeom prst="rect">
                      <a:avLst/>
                    </a:prstGeom>
                    <a:ln w="12700">
                      <a:solidFill>
                        <a:srgbClr val="000000"/>
                      </a:solidFill>
                      <a:prstDash val="solid"/>
                    </a:ln>
                  </pic:spPr>
                </pic:pic>
              </a:graphicData>
            </a:graphic>
          </wp:inline>
        </w:drawing>
      </w:r>
    </w:p>
    <w:p w14:paraId="34703620" w14:textId="77777777" w:rsidR="00B25851" w:rsidRDefault="00000000">
      <w:pPr>
        <w:spacing w:before="200" w:after="200" w:line="360" w:lineRule="auto"/>
        <w:jc w:val="center"/>
        <w:rPr>
          <w:b/>
          <w:i/>
        </w:rPr>
      </w:pPr>
      <w:r>
        <w:rPr>
          <w:b/>
          <w:i/>
        </w:rPr>
        <w:t>Figure 1: Erikson’s Theory of Development</w:t>
      </w:r>
    </w:p>
    <w:p w14:paraId="4FD93CF2" w14:textId="77777777" w:rsidR="00B25851" w:rsidRDefault="00000000">
      <w:pPr>
        <w:spacing w:before="200" w:after="200" w:line="360" w:lineRule="auto"/>
        <w:jc w:val="center"/>
        <w:rPr>
          <w:i/>
        </w:rPr>
      </w:pPr>
      <w:r>
        <w:rPr>
          <w:i/>
        </w:rPr>
        <w:t xml:space="preserve">(Source: </w:t>
      </w:r>
      <w:proofErr w:type="spellStart"/>
      <w:r>
        <w:rPr>
          <w:i/>
        </w:rPr>
        <w:t>Mazaheri</w:t>
      </w:r>
      <w:proofErr w:type="spellEnd"/>
      <w:r>
        <w:rPr>
          <w:i/>
        </w:rPr>
        <w:t xml:space="preserve">, </w:t>
      </w:r>
      <w:proofErr w:type="spellStart"/>
      <w:r>
        <w:rPr>
          <w:i/>
        </w:rPr>
        <w:t>Kihlgren</w:t>
      </w:r>
      <w:proofErr w:type="spellEnd"/>
      <w:r>
        <w:rPr>
          <w:i/>
        </w:rPr>
        <w:t xml:space="preserve"> and </w:t>
      </w:r>
      <w:proofErr w:type="spellStart"/>
      <w:r>
        <w:rPr>
          <w:i/>
        </w:rPr>
        <w:t>Norberg</w:t>
      </w:r>
      <w:proofErr w:type="spellEnd"/>
      <w:r>
        <w:rPr>
          <w:i/>
        </w:rPr>
        <w:t>, 2021)</w:t>
      </w:r>
    </w:p>
    <w:p w14:paraId="5C03E927" w14:textId="77777777" w:rsidR="00B25851" w:rsidRDefault="00000000">
      <w:pPr>
        <w:spacing w:before="200" w:after="200" w:line="360" w:lineRule="auto"/>
        <w:jc w:val="both"/>
      </w:pPr>
      <w:r>
        <w:t xml:space="preserve">In later stages of life, older adults usually experience declined cognitive abilities, causing dementia and loss of creative problem-solving competencies and a lack of productivity. Erikson's theory can be used for understanding the interests and competences of older population so that </w:t>
      </w:r>
      <w:proofErr w:type="gramStart"/>
      <w:r>
        <w:t>there</w:t>
      </w:r>
      <w:proofErr w:type="gramEnd"/>
      <w:r>
        <w:t xml:space="preserve"> welfare can be improved (Perry et al. 2018) .Erikson's theory encountered eight different stages of psychosocial crisis involving trust/mistrust, autonomy/shame, industry/inferiority, initiative/guilt, generativity/ stagnation, identity/Identity confusion, and integrity/ despair (</w:t>
      </w:r>
      <w:proofErr w:type="spellStart"/>
      <w:r>
        <w:t>Mazaheri</w:t>
      </w:r>
      <w:proofErr w:type="spellEnd"/>
      <w:r>
        <w:t xml:space="preserve">, </w:t>
      </w:r>
      <w:proofErr w:type="spellStart"/>
      <w:r>
        <w:t>Kihlgren</w:t>
      </w:r>
      <w:proofErr w:type="spellEnd"/>
      <w:r>
        <w:t xml:space="preserve"> and </w:t>
      </w:r>
      <w:proofErr w:type="spellStart"/>
      <w:r>
        <w:t>Norberg</w:t>
      </w:r>
      <w:proofErr w:type="spellEnd"/>
      <w:r>
        <w:t>, 2021). The successful overcoming of these stages has consequences for specific psychological capabilities, including love, wisdom, purpose, will, hope, fidelity and competence. Considering the final stage of integrity vs despair, enable older adults to reflect on their individual lives to find meaning. Successful resolution of this stage enables the older to get wisdom, acceptance, and integrity; meanwhile, failure can increase despair.</w:t>
      </w:r>
    </w:p>
    <w:p w14:paraId="1D1463D2" w14:textId="77777777" w:rsidR="00B25851" w:rsidRDefault="00000000">
      <w:pPr>
        <w:pStyle w:val="Heading2"/>
        <w:spacing w:before="200" w:after="200" w:line="360" w:lineRule="auto"/>
        <w:rPr>
          <w:b/>
          <w:sz w:val="22"/>
          <w:szCs w:val="22"/>
        </w:rPr>
      </w:pPr>
      <w:bookmarkStart w:id="3" w:name="_heading=h.c3rwm1g7cf6" w:colFirst="0" w:colLast="0"/>
      <w:bookmarkEnd w:id="3"/>
      <w:r>
        <w:rPr>
          <w:b/>
          <w:sz w:val="22"/>
          <w:szCs w:val="22"/>
        </w:rPr>
        <w:t>2.2 Bandura’s Social Learning Theory</w:t>
      </w:r>
    </w:p>
    <w:p w14:paraId="32464349" w14:textId="77777777" w:rsidR="00B25851" w:rsidRDefault="00000000">
      <w:pPr>
        <w:spacing w:before="200" w:after="200" w:line="360" w:lineRule="auto"/>
        <w:jc w:val="center"/>
        <w:rPr>
          <w:b/>
        </w:rPr>
      </w:pPr>
      <w:r>
        <w:rPr>
          <w:b/>
          <w:noProof/>
        </w:rPr>
        <w:drawing>
          <wp:inline distT="114300" distB="114300" distL="114300" distR="114300" wp14:anchorId="4C21507E" wp14:editId="3519DDE5">
            <wp:extent cx="3785870" cy="2685415"/>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8"/>
                    <a:srcRect/>
                    <a:stretch>
                      <a:fillRect/>
                    </a:stretch>
                  </pic:blipFill>
                  <pic:spPr>
                    <a:xfrm>
                      <a:off x="0" y="0"/>
                      <a:ext cx="3786188" cy="2685552"/>
                    </a:xfrm>
                    <a:prstGeom prst="rect">
                      <a:avLst/>
                    </a:prstGeom>
                    <a:ln w="12700">
                      <a:solidFill>
                        <a:srgbClr val="000000"/>
                      </a:solidFill>
                      <a:prstDash val="solid"/>
                    </a:ln>
                  </pic:spPr>
                </pic:pic>
              </a:graphicData>
            </a:graphic>
          </wp:inline>
        </w:drawing>
      </w:r>
    </w:p>
    <w:p w14:paraId="4C9012BF" w14:textId="77777777" w:rsidR="00B25851" w:rsidRDefault="00000000">
      <w:pPr>
        <w:spacing w:before="200" w:after="200" w:line="360" w:lineRule="auto"/>
        <w:jc w:val="center"/>
        <w:rPr>
          <w:b/>
          <w:i/>
        </w:rPr>
      </w:pPr>
      <w:r>
        <w:rPr>
          <w:b/>
          <w:i/>
        </w:rPr>
        <w:t>Figure 2: Bandura’s Social Learning Theory</w:t>
      </w:r>
    </w:p>
    <w:p w14:paraId="4E2C1150" w14:textId="77777777" w:rsidR="00B25851" w:rsidRDefault="00000000">
      <w:pPr>
        <w:spacing w:before="200" w:after="200" w:line="360" w:lineRule="auto"/>
        <w:jc w:val="center"/>
        <w:rPr>
          <w:b/>
        </w:rPr>
      </w:pPr>
      <w:r>
        <w:rPr>
          <w:i/>
        </w:rPr>
        <w:t xml:space="preserve">(Source: </w:t>
      </w:r>
      <w:proofErr w:type="spellStart"/>
      <w:r>
        <w:rPr>
          <w:i/>
        </w:rPr>
        <w:t>Ghazali</w:t>
      </w:r>
      <w:proofErr w:type="spellEnd"/>
      <w:r>
        <w:rPr>
          <w:i/>
        </w:rPr>
        <w:t xml:space="preserve"> and Ghani, 2018) </w:t>
      </w:r>
    </w:p>
    <w:p w14:paraId="0BA1016F" w14:textId="77777777" w:rsidR="00B25851" w:rsidRDefault="00000000">
      <w:pPr>
        <w:spacing w:before="200" w:after="200" w:line="360" w:lineRule="auto"/>
        <w:jc w:val="both"/>
        <w:rPr>
          <w:color w:val="0E101A"/>
        </w:rPr>
      </w:pPr>
      <w:r>
        <w:rPr>
          <w:color w:val="0E101A"/>
        </w:rPr>
        <w:t>Social Learning Theory by Bandura suggests that individuals learned through observations of others. This learning is also supported with reinforcement, imitation, and observation, which introduces a person to individual aspects of the environment and behaviours that influence them. This theory has specifically introduced the self-efficacy concept, which defines the individual's beliefs about their capacity to execute others' behaviour through the courses of action (</w:t>
      </w:r>
      <w:proofErr w:type="spellStart"/>
      <w:r>
        <w:rPr>
          <w:color w:val="0E101A"/>
        </w:rPr>
        <w:t>Ghazali</w:t>
      </w:r>
      <w:proofErr w:type="spellEnd"/>
      <w:r>
        <w:rPr>
          <w:color w:val="0E101A"/>
        </w:rPr>
        <w:t xml:space="preserve"> and Ghani, 2018). Social learning theory has a profound application in Dementia care for older adults to help them adapt to regular schedules and participate in interventions by managing behaviour. Bandura asserted that individuals who believe in self-efficacy develop the actions and motivation that shape their lives (Khan et al., 2020). For older adults, Bandura's theory specifically influences their feelings, thinking, emotions and motivation to maintain self-efficacy and develop outcomes that directly mediate their behaviour.  In this scenario, self-efficacy acts as a mediator to decrease depression and depressive symptoms and lower the burden on the caregiver.</w:t>
      </w:r>
    </w:p>
    <w:p w14:paraId="3AC0AADC" w14:textId="77777777" w:rsidR="00B25851" w:rsidRDefault="00000000">
      <w:pPr>
        <w:pStyle w:val="Heading1"/>
        <w:keepNext w:val="0"/>
        <w:keepLines w:val="0"/>
        <w:spacing w:before="200" w:after="200" w:line="360" w:lineRule="auto"/>
        <w:jc w:val="both"/>
        <w:rPr>
          <w:b/>
          <w:color w:val="0E101A"/>
          <w:sz w:val="22"/>
          <w:szCs w:val="22"/>
        </w:rPr>
      </w:pPr>
      <w:bookmarkStart w:id="4" w:name="_heading=h.whh8z8b0sau" w:colFirst="0" w:colLast="0"/>
      <w:bookmarkEnd w:id="4"/>
      <w:r>
        <w:rPr>
          <w:b/>
          <w:color w:val="0E101A"/>
          <w:sz w:val="22"/>
          <w:szCs w:val="22"/>
        </w:rPr>
        <w:t xml:space="preserve">3. Application in Health and Social Care Context </w:t>
      </w:r>
    </w:p>
    <w:p w14:paraId="0C6781DB" w14:textId="77777777" w:rsidR="00B25851" w:rsidRDefault="00000000">
      <w:pPr>
        <w:pStyle w:val="Heading2"/>
        <w:keepNext w:val="0"/>
        <w:keepLines w:val="0"/>
        <w:spacing w:before="200" w:after="200" w:line="360" w:lineRule="auto"/>
        <w:jc w:val="both"/>
        <w:rPr>
          <w:b/>
          <w:color w:val="0E101A"/>
          <w:sz w:val="22"/>
          <w:szCs w:val="22"/>
        </w:rPr>
      </w:pPr>
      <w:bookmarkStart w:id="5" w:name="_heading=h.yiz2gm34eddb" w:colFirst="0" w:colLast="0"/>
      <w:bookmarkEnd w:id="5"/>
      <w:r>
        <w:rPr>
          <w:b/>
          <w:color w:val="0E101A"/>
          <w:sz w:val="22"/>
          <w:szCs w:val="22"/>
        </w:rPr>
        <w:t>3.1 Application of Erikson’s Theory in Dementia Care</w:t>
      </w:r>
    </w:p>
    <w:p w14:paraId="79ED706B" w14:textId="77777777" w:rsidR="00B25851" w:rsidRDefault="00000000">
      <w:pPr>
        <w:spacing w:before="200" w:after="200" w:line="360" w:lineRule="auto"/>
        <w:jc w:val="both"/>
        <w:rPr>
          <w:color w:val="0E101A"/>
        </w:rPr>
      </w:pPr>
      <w:r>
        <w:rPr>
          <w:color w:val="0E101A"/>
        </w:rPr>
        <w:t xml:space="preserve">Erickson's theory of development posits that individual development is shaped by the different interactions of psychological needs, biological maturation and societal expectations. Through this, it presents different stages symbolised by two opposing elements. The successful resolution of these stages contributes to increased strength, whereas failure results in conflict. This theory can generally be utilised as an efficient and feasible approach by healthcare professionals to support patients with dementia in their daily care and lives. </w:t>
      </w:r>
      <w:proofErr w:type="spellStart"/>
      <w:r>
        <w:rPr>
          <w:color w:val="0E101A"/>
        </w:rPr>
        <w:t>Mazaheri</w:t>
      </w:r>
      <w:proofErr w:type="spellEnd"/>
      <w:r>
        <w:rPr>
          <w:color w:val="0E101A"/>
        </w:rPr>
        <w:t xml:space="preserve">, </w:t>
      </w:r>
      <w:proofErr w:type="spellStart"/>
      <w:r>
        <w:rPr>
          <w:color w:val="0E101A"/>
        </w:rPr>
        <w:t>Kihlgren</w:t>
      </w:r>
      <w:proofErr w:type="spellEnd"/>
      <w:r>
        <w:rPr>
          <w:color w:val="0E101A"/>
        </w:rPr>
        <w:t xml:space="preserve"> and </w:t>
      </w:r>
      <w:proofErr w:type="spellStart"/>
      <w:r>
        <w:rPr>
          <w:color w:val="0E101A"/>
        </w:rPr>
        <w:t>Norberg</w:t>
      </w:r>
      <w:proofErr w:type="spellEnd"/>
      <w:r>
        <w:rPr>
          <w:color w:val="0E101A"/>
        </w:rPr>
        <w:t xml:space="preserve"> (2021) demonstrated the significance of Erikson's theory in offering a good care structure for older adults with dementia in the context of facilitating competent caregiving.</w:t>
      </w:r>
      <w:r>
        <w:rPr>
          <w:b/>
          <w:color w:val="0E101A"/>
        </w:rPr>
        <w:t xml:space="preserve"> </w:t>
      </w:r>
      <w:r>
        <w:rPr>
          <w:color w:val="0E101A"/>
        </w:rPr>
        <w:t xml:space="preserve">In healthcare settings, especially for care offered to older adults with dementia, it often affects the developmental crisis. This can be improved by implementing Erikson's theory, specifically the function and the sense of completeness, which gives meaning to people. </w:t>
      </w:r>
    </w:p>
    <w:p w14:paraId="24FEAC1D" w14:textId="77777777" w:rsidR="00B25851" w:rsidRDefault="00000000">
      <w:pPr>
        <w:spacing w:before="200" w:after="200" w:line="360" w:lineRule="auto"/>
        <w:jc w:val="both"/>
        <w:rPr>
          <w:color w:val="0E101A"/>
        </w:rPr>
      </w:pPr>
      <w:r>
        <w:rPr>
          <w:color w:val="0E101A"/>
        </w:rPr>
        <w:t>In a context with patient-focused care, professionals working in mental health provision specifically utilised Erikson's approach to help patients suffering from cognitive issues such as dementia to interpret and manage their life transitions. With this contextualising of individual transition based on their psychosocial phases, professionals help patients to gain insight and cope with challenges. For instance, one of the stages that is specifically applicable to older adults is integrity versus despair. This benefits professionals to comprehend and help patients to reflect on their life achievements to manage unresolved conflicts and manage cognitive welfare (</w:t>
      </w:r>
      <w:proofErr w:type="spellStart"/>
      <w:r>
        <w:rPr>
          <w:color w:val="0E101A"/>
        </w:rPr>
        <w:t>Karunarathna</w:t>
      </w:r>
      <w:proofErr w:type="spellEnd"/>
      <w:r>
        <w:rPr>
          <w:color w:val="0E101A"/>
        </w:rPr>
        <w:t xml:space="preserve"> et al., 2024). Additionally, professionals can offer an inclusive environment for older adults to facilitate their wisdom and their behavioural and psychological barriers by creating a sense of completeness. This prevents the failure towards resolving different stages of Erikson's theory and further encrustation with despair.</w:t>
      </w:r>
    </w:p>
    <w:p w14:paraId="591D95F2" w14:textId="77777777" w:rsidR="00B25851" w:rsidRDefault="00000000">
      <w:pPr>
        <w:pStyle w:val="Heading2"/>
        <w:keepNext w:val="0"/>
        <w:keepLines w:val="0"/>
        <w:spacing w:before="200" w:after="200" w:line="360" w:lineRule="auto"/>
        <w:jc w:val="both"/>
        <w:rPr>
          <w:b/>
          <w:color w:val="0E101A"/>
          <w:sz w:val="22"/>
          <w:szCs w:val="22"/>
        </w:rPr>
      </w:pPr>
      <w:bookmarkStart w:id="6" w:name="_heading=h.bxz4d8atsmrz" w:colFirst="0" w:colLast="0"/>
      <w:bookmarkEnd w:id="6"/>
      <w:r>
        <w:rPr>
          <w:b/>
          <w:color w:val="0E101A"/>
          <w:sz w:val="22"/>
          <w:szCs w:val="22"/>
        </w:rPr>
        <w:t>3.2 Application of Bandura’s Social Learning Theory in Dementia Care</w:t>
      </w:r>
    </w:p>
    <w:p w14:paraId="5F0E54B5" w14:textId="77777777" w:rsidR="00B25851" w:rsidRDefault="00000000">
      <w:pPr>
        <w:spacing w:before="200" w:after="200" w:line="360" w:lineRule="auto"/>
        <w:jc w:val="both"/>
        <w:rPr>
          <w:color w:val="0E101A"/>
        </w:rPr>
      </w:pPr>
      <w:r>
        <w:rPr>
          <w:color w:val="0E101A"/>
        </w:rPr>
        <w:t xml:space="preserve">Bandura's theory of social learning can be considered by health professionals who work in older care settings for learning. This theory specifically optimises the learning environment for health professionals and increases efficiency by harmonising their motivation. This not only improves the efficiency of health professionals but also helps older adults with dementia to improve their lives through learning, especially their daily activities and schedules. </w:t>
      </w:r>
      <w:proofErr w:type="spellStart"/>
      <w:r>
        <w:rPr>
          <w:color w:val="0E101A"/>
        </w:rPr>
        <w:t>Mukhalalati</w:t>
      </w:r>
      <w:proofErr w:type="spellEnd"/>
      <w:r>
        <w:rPr>
          <w:color w:val="0E101A"/>
        </w:rPr>
        <w:t xml:space="preserve"> et al. (2022) highlighted the use of the social learning theory of Bandura in developing health professional education programs. For instance, learning through Bandura's theory helps professionals to select appropriate solutions for providing care and information for patients. </w:t>
      </w:r>
      <w:proofErr w:type="spellStart"/>
      <w:r>
        <w:rPr>
          <w:color w:val="0E101A"/>
        </w:rPr>
        <w:t>Merrilees</w:t>
      </w:r>
      <w:proofErr w:type="spellEnd"/>
      <w:r>
        <w:rPr>
          <w:color w:val="0E101A"/>
        </w:rPr>
        <w:t xml:space="preserve"> et al. (2020) indicated the use of Bandura's theory in developing 80 hours of training designed for the care team to perform their role in dementia care. In support of the theory, the training involves different clinical observations, including discussions, assessments and lectures, which guide the care team to navigate and locate the Dementia data. Through this, the professional learns to appropriately communicate with dementia people with dementia and give them emotional support.</w:t>
      </w:r>
    </w:p>
    <w:p w14:paraId="43D47DE5" w14:textId="77777777" w:rsidR="00B25851" w:rsidRDefault="00000000">
      <w:pPr>
        <w:spacing w:before="200" w:after="200" w:line="360" w:lineRule="auto"/>
        <w:jc w:val="both"/>
        <w:rPr>
          <w:color w:val="0E101A"/>
        </w:rPr>
      </w:pPr>
      <w:r>
        <w:rPr>
          <w:color w:val="0E101A"/>
        </w:rPr>
        <w:t xml:space="preserve">Furthermore, healthcare professionals consider the psychological interventions for enhancing self-efficacy among individuals with dementia. This self-efficacy could be presented through the use of Bandura's theory. For instance, the self-efficacy concept emphasised by Bandura's theory could integrate the levels of motivation among older people suffering from dementia to manage their daily routines. This will help care home residents to increase confidence and improve self-efficacy to function independently. This specifically helps introduce the </w:t>
      </w:r>
      <w:proofErr w:type="spellStart"/>
      <w:r>
        <w:rPr>
          <w:color w:val="0E101A"/>
        </w:rPr>
        <w:t>overdependency</w:t>
      </w:r>
      <w:proofErr w:type="spellEnd"/>
      <w:r>
        <w:rPr>
          <w:color w:val="0E101A"/>
        </w:rPr>
        <w:t xml:space="preserve"> of patients with dementia on caregivers (</w:t>
      </w:r>
      <w:proofErr w:type="spellStart"/>
      <w:r>
        <w:rPr>
          <w:color w:val="0E101A"/>
        </w:rPr>
        <w:t>Merrilees</w:t>
      </w:r>
      <w:proofErr w:type="spellEnd"/>
      <w:r>
        <w:rPr>
          <w:color w:val="0E101A"/>
        </w:rPr>
        <w:t xml:space="preserve"> et al., 2020). Presenting the ways for developing self-efficacy among dementia family caregivers and professionals to manage their psychological and behavioural conflicts related to dementia. These behavioural and psychological supports benefit professionals to generate a positive impact on the welfare of older people through the demonstration of self-efficacy. </w:t>
      </w:r>
    </w:p>
    <w:p w14:paraId="49EE815F" w14:textId="77777777" w:rsidR="00B25851" w:rsidRDefault="00000000">
      <w:pPr>
        <w:pStyle w:val="Heading2"/>
        <w:keepNext w:val="0"/>
        <w:keepLines w:val="0"/>
        <w:spacing w:before="200" w:after="200" w:line="360" w:lineRule="auto"/>
        <w:jc w:val="both"/>
        <w:rPr>
          <w:b/>
          <w:color w:val="0E101A"/>
          <w:sz w:val="22"/>
          <w:szCs w:val="22"/>
        </w:rPr>
      </w:pPr>
      <w:bookmarkStart w:id="7" w:name="_heading=h.jkqihvhw9dsw" w:colFirst="0" w:colLast="0"/>
      <w:bookmarkEnd w:id="7"/>
      <w:r>
        <w:rPr>
          <w:b/>
          <w:color w:val="0E101A"/>
          <w:sz w:val="22"/>
          <w:szCs w:val="22"/>
        </w:rPr>
        <w:t>3.3 Challenges and Solutions</w:t>
      </w:r>
    </w:p>
    <w:p w14:paraId="5DE608C7" w14:textId="77777777" w:rsidR="00B25851" w:rsidRDefault="00000000">
      <w:pPr>
        <w:spacing w:before="200" w:after="200" w:line="360" w:lineRule="auto"/>
        <w:jc w:val="both"/>
        <w:rPr>
          <w:color w:val="0E101A"/>
        </w:rPr>
      </w:pPr>
      <w:r>
        <w:rPr>
          <w:color w:val="0E101A"/>
        </w:rPr>
        <w:t xml:space="preserve">In dementia care settings, professionals usually experience the challenges as caregivers due to the progressive memory impairment among dementia individuals with dementia. This results in extreme memory loss, lack of attention and speaking ability (Aggarwal, </w:t>
      </w:r>
      <w:proofErr w:type="spellStart"/>
      <w:r>
        <w:rPr>
          <w:color w:val="0E101A"/>
        </w:rPr>
        <w:t>Chaware</w:t>
      </w:r>
      <w:proofErr w:type="spellEnd"/>
      <w:r>
        <w:rPr>
          <w:color w:val="0E101A"/>
        </w:rPr>
        <w:t xml:space="preserve"> and Aggarwal, 2022). This mainly restricts the application of Erikson’s psychosocial theory and Bandura's social learning theory in adult care homes. Moreover, the psychological and behavioural symptoms associated with dementia are related to the increased level of aggression and resistance to involvement in specific activities (</w:t>
      </w:r>
      <w:proofErr w:type="spellStart"/>
      <w:r>
        <w:rPr>
          <w:color w:val="0E101A"/>
        </w:rPr>
        <w:t>Karlsen</w:t>
      </w:r>
      <w:proofErr w:type="spellEnd"/>
      <w:r>
        <w:rPr>
          <w:color w:val="0E101A"/>
        </w:rPr>
        <w:t xml:space="preserve"> et al., 2023). This develops another complexity for professionals to apply theoretical frameworks. This also increases the issue of time constraints and resource allocation due to limited involvement of individuals in interventions affecting a professional's ability to understand psychological and behavioural patterns of older adults.</w:t>
      </w:r>
    </w:p>
    <w:p w14:paraId="5CEBB061" w14:textId="77777777" w:rsidR="00B25851" w:rsidRDefault="00000000">
      <w:pPr>
        <w:spacing w:before="200" w:after="200" w:line="360" w:lineRule="auto"/>
        <w:jc w:val="both"/>
        <w:rPr>
          <w:color w:val="0E101A"/>
        </w:rPr>
      </w:pPr>
      <w:r>
        <w:rPr>
          <w:color w:val="0E101A"/>
        </w:rPr>
        <w:t xml:space="preserve">To navigate these challenges, care professionals should be involved in specialised training to manage these kinds of situations. A learning health system is an efficient solution for professionals to blend their knowledge to resolve conflicts (Reid et al., 2024). They can consider the manageable scenarios based on the social learning framework and engage with the experts. The collaboration with experts and embedding psychological frameworks in their routine helps in understanding the behavioural and psychological requirements of their patients with increased inclusivity in care.  </w:t>
      </w:r>
    </w:p>
    <w:p w14:paraId="58DA5D44" w14:textId="77777777" w:rsidR="00B25851" w:rsidRDefault="00000000">
      <w:pPr>
        <w:pStyle w:val="Heading1"/>
        <w:keepNext w:val="0"/>
        <w:keepLines w:val="0"/>
        <w:spacing w:before="200" w:after="200" w:line="360" w:lineRule="auto"/>
        <w:jc w:val="both"/>
        <w:rPr>
          <w:b/>
          <w:color w:val="0E101A"/>
          <w:sz w:val="22"/>
          <w:szCs w:val="22"/>
        </w:rPr>
      </w:pPr>
      <w:bookmarkStart w:id="8" w:name="_heading=h.tjahljteumbn" w:colFirst="0" w:colLast="0"/>
      <w:bookmarkEnd w:id="8"/>
      <w:r>
        <w:rPr>
          <w:b/>
          <w:color w:val="0E101A"/>
          <w:sz w:val="22"/>
          <w:szCs w:val="22"/>
        </w:rPr>
        <w:t>4. Conclusion</w:t>
      </w:r>
    </w:p>
    <w:p w14:paraId="4C38E659" w14:textId="77777777" w:rsidR="00B25851" w:rsidRDefault="00000000">
      <w:pPr>
        <w:spacing w:before="200" w:after="200" w:line="360" w:lineRule="auto"/>
        <w:jc w:val="both"/>
        <w:rPr>
          <w:color w:val="0E101A"/>
        </w:rPr>
      </w:pPr>
      <w:r>
        <w:rPr>
          <w:color w:val="0E101A"/>
        </w:rPr>
        <w:t xml:space="preserve">Erikson's human development theory and Bandura’s social learning theory offer feasible approaches for healthcare professionals to support daily living and care for adults with dementia.  This report has presented the specific evidence that supports the utility of these theories in healthcare settings to provide a good care structure for professionals in dementia care. The considerable environment in a dementia care setting usually affects the professional's ability to apply theories and assist in resolution. Through the discussion it can be stated that there is a need for specific training and learnings for professionals. </w:t>
      </w:r>
    </w:p>
    <w:p w14:paraId="3DE9CCB5" w14:textId="77777777" w:rsidR="00B25851" w:rsidRDefault="00000000">
      <w:pPr>
        <w:pStyle w:val="Heading1"/>
        <w:keepNext w:val="0"/>
        <w:keepLines w:val="0"/>
        <w:spacing w:before="200" w:after="200" w:line="360" w:lineRule="auto"/>
        <w:jc w:val="both"/>
        <w:rPr>
          <w:b/>
          <w:color w:val="0E101A"/>
          <w:sz w:val="22"/>
          <w:szCs w:val="22"/>
        </w:rPr>
      </w:pPr>
      <w:bookmarkStart w:id="9" w:name="_heading=h.onqfccswr4my" w:colFirst="0" w:colLast="0"/>
      <w:bookmarkEnd w:id="9"/>
      <w:r>
        <w:br w:type="page"/>
      </w:r>
    </w:p>
    <w:p w14:paraId="4D5F1691" w14:textId="77777777" w:rsidR="00B25851" w:rsidRDefault="00000000">
      <w:pPr>
        <w:pStyle w:val="Heading1"/>
        <w:keepNext w:val="0"/>
        <w:keepLines w:val="0"/>
        <w:spacing w:before="200" w:after="200" w:line="360" w:lineRule="auto"/>
        <w:jc w:val="both"/>
        <w:rPr>
          <w:b/>
          <w:color w:val="0E101A"/>
          <w:sz w:val="22"/>
          <w:szCs w:val="22"/>
        </w:rPr>
      </w:pPr>
      <w:bookmarkStart w:id="10" w:name="_heading=h.88fo9m9vlgl" w:colFirst="0" w:colLast="0"/>
      <w:bookmarkEnd w:id="10"/>
      <w:r>
        <w:rPr>
          <w:b/>
          <w:color w:val="0E101A"/>
          <w:sz w:val="22"/>
          <w:szCs w:val="22"/>
        </w:rPr>
        <w:t>References</w:t>
      </w:r>
    </w:p>
    <w:p w14:paraId="53F19835" w14:textId="77777777" w:rsidR="00B25851" w:rsidRDefault="00000000">
      <w:pPr>
        <w:spacing w:before="200" w:after="200" w:line="360" w:lineRule="auto"/>
        <w:jc w:val="both"/>
        <w:rPr>
          <w:color w:val="0E101A"/>
        </w:rPr>
      </w:pPr>
      <w:r>
        <w:rPr>
          <w:color w:val="0E101A"/>
        </w:rPr>
        <w:t xml:space="preserve">Aggarwal, H., </w:t>
      </w:r>
      <w:proofErr w:type="spellStart"/>
      <w:r>
        <w:rPr>
          <w:color w:val="0E101A"/>
        </w:rPr>
        <w:t>Chaware</w:t>
      </w:r>
      <w:proofErr w:type="spellEnd"/>
      <w:r>
        <w:rPr>
          <w:color w:val="0E101A"/>
        </w:rPr>
        <w:t xml:space="preserve">, S. and Aggarwal, H. (2022) ‘A critical study on the impact of dementia on older people undergoing treatment in care homes’, </w:t>
      </w:r>
      <w:proofErr w:type="spellStart"/>
      <w:r>
        <w:rPr>
          <w:i/>
          <w:color w:val="0E101A"/>
        </w:rPr>
        <w:t>Cureus</w:t>
      </w:r>
      <w:proofErr w:type="spellEnd"/>
      <w:r>
        <w:rPr>
          <w:color w:val="0E101A"/>
        </w:rPr>
        <w:t xml:space="preserve">, 14(10), p.e30056. </w:t>
      </w:r>
    </w:p>
    <w:p w14:paraId="766919CB" w14:textId="77777777" w:rsidR="00B25851" w:rsidRDefault="00000000">
      <w:pPr>
        <w:spacing w:before="200" w:after="200" w:line="360" w:lineRule="auto"/>
        <w:jc w:val="both"/>
        <w:rPr>
          <w:color w:val="0E101A"/>
        </w:rPr>
      </w:pPr>
      <w:proofErr w:type="spellStart"/>
      <w:r>
        <w:rPr>
          <w:color w:val="0E101A"/>
        </w:rPr>
        <w:t>Aranda</w:t>
      </w:r>
      <w:proofErr w:type="spellEnd"/>
      <w:r>
        <w:rPr>
          <w:color w:val="0E101A"/>
        </w:rPr>
        <w:t xml:space="preserve">, M.P., Kremer, I.N., Hinton, L., </w:t>
      </w:r>
      <w:proofErr w:type="spellStart"/>
      <w:r>
        <w:rPr>
          <w:color w:val="0E101A"/>
        </w:rPr>
        <w:t>Zissimopoulos</w:t>
      </w:r>
      <w:proofErr w:type="spellEnd"/>
      <w:r>
        <w:rPr>
          <w:color w:val="0E101A"/>
        </w:rPr>
        <w:t xml:space="preserve">, J., </w:t>
      </w:r>
      <w:proofErr w:type="spellStart"/>
      <w:r>
        <w:rPr>
          <w:color w:val="0E101A"/>
        </w:rPr>
        <w:t>Whitmer</w:t>
      </w:r>
      <w:proofErr w:type="spellEnd"/>
      <w:r>
        <w:rPr>
          <w:color w:val="0E101A"/>
        </w:rPr>
        <w:t xml:space="preserve">, R.A., Hummel, C.H., Trejo, L. and </w:t>
      </w:r>
      <w:proofErr w:type="spellStart"/>
      <w:r>
        <w:rPr>
          <w:color w:val="0E101A"/>
        </w:rPr>
        <w:t>Fabius</w:t>
      </w:r>
      <w:proofErr w:type="spellEnd"/>
      <w:r>
        <w:rPr>
          <w:color w:val="0E101A"/>
        </w:rPr>
        <w:t xml:space="preserve">, C. (2021) ‘Impact of dementia: Health disparities, Population trends, Care interventions, and Economic Costs’, </w:t>
      </w:r>
      <w:r>
        <w:rPr>
          <w:i/>
          <w:color w:val="0E101A"/>
        </w:rPr>
        <w:t>Journal of the American Geriatrics Society</w:t>
      </w:r>
      <w:r>
        <w:rPr>
          <w:color w:val="0E101A"/>
        </w:rPr>
        <w:t xml:space="preserve">, 69(7), pp.1774–1783. </w:t>
      </w:r>
    </w:p>
    <w:p w14:paraId="390F7A35" w14:textId="77777777" w:rsidR="00B25851" w:rsidRDefault="00000000">
      <w:pPr>
        <w:spacing w:before="200" w:after="200" w:line="360" w:lineRule="auto"/>
        <w:jc w:val="both"/>
        <w:rPr>
          <w:color w:val="0E101A"/>
        </w:rPr>
      </w:pPr>
      <w:proofErr w:type="spellStart"/>
      <w:r>
        <w:rPr>
          <w:color w:val="0E101A"/>
        </w:rPr>
        <w:t>Ghazali</w:t>
      </w:r>
      <w:proofErr w:type="spellEnd"/>
      <w:r>
        <w:rPr>
          <w:color w:val="0E101A"/>
        </w:rPr>
        <w:t xml:space="preserve">, S. and Ghani, N.M. (2018) ‘Perception of Female Students towards Social Media-Related Crimes. </w:t>
      </w:r>
      <w:proofErr w:type="spellStart"/>
      <w:r>
        <w:rPr>
          <w:color w:val="0E101A"/>
        </w:rPr>
        <w:t>Pertanika</w:t>
      </w:r>
      <w:proofErr w:type="spellEnd"/>
      <w:r>
        <w:rPr>
          <w:color w:val="0E101A"/>
        </w:rPr>
        <w:t xml:space="preserve"> Journal of Social Science and Humanities, 26(2), (2018), 769-786. </w:t>
      </w:r>
      <w:proofErr w:type="spellStart"/>
      <w:r>
        <w:rPr>
          <w:i/>
          <w:color w:val="0E101A"/>
        </w:rPr>
        <w:t>Pertanika</w:t>
      </w:r>
      <w:proofErr w:type="spellEnd"/>
      <w:r>
        <w:rPr>
          <w:i/>
          <w:color w:val="0E101A"/>
        </w:rPr>
        <w:t xml:space="preserve"> Journal of Social Science and Humanities</w:t>
      </w:r>
      <w:r>
        <w:rPr>
          <w:color w:val="0E101A"/>
        </w:rPr>
        <w:t xml:space="preserve">, 26(2), pp.769–786. </w:t>
      </w:r>
    </w:p>
    <w:p w14:paraId="21D007AA" w14:textId="77777777" w:rsidR="00B25851" w:rsidRDefault="00000000">
      <w:pPr>
        <w:spacing w:before="200" w:after="200" w:line="360" w:lineRule="auto"/>
        <w:jc w:val="both"/>
        <w:rPr>
          <w:color w:val="0E101A"/>
        </w:rPr>
      </w:pPr>
      <w:proofErr w:type="spellStart"/>
      <w:r>
        <w:rPr>
          <w:color w:val="0E101A"/>
        </w:rPr>
        <w:t>Karlsen</w:t>
      </w:r>
      <w:proofErr w:type="spellEnd"/>
      <w:r>
        <w:rPr>
          <w:color w:val="0E101A"/>
        </w:rPr>
        <w:t xml:space="preserve">, I.L., Kristiansen, J., Jaspers, S.Ø., Rasmussen, L., </w:t>
      </w:r>
      <w:proofErr w:type="spellStart"/>
      <w:r>
        <w:rPr>
          <w:color w:val="0E101A"/>
        </w:rPr>
        <w:t>Laursen</w:t>
      </w:r>
      <w:proofErr w:type="spellEnd"/>
      <w:r>
        <w:rPr>
          <w:color w:val="0E101A"/>
        </w:rPr>
        <w:t xml:space="preserve">, L.L., </w:t>
      </w:r>
      <w:proofErr w:type="spellStart"/>
      <w:r>
        <w:rPr>
          <w:color w:val="0E101A"/>
        </w:rPr>
        <w:t>Bengtsen</w:t>
      </w:r>
      <w:proofErr w:type="spellEnd"/>
      <w:r>
        <w:rPr>
          <w:color w:val="0E101A"/>
        </w:rPr>
        <w:t xml:space="preserve">, E. and </w:t>
      </w:r>
      <w:proofErr w:type="spellStart"/>
      <w:r>
        <w:rPr>
          <w:color w:val="0E101A"/>
        </w:rPr>
        <w:t>Aust</w:t>
      </w:r>
      <w:proofErr w:type="spellEnd"/>
      <w:r>
        <w:rPr>
          <w:color w:val="0E101A"/>
        </w:rPr>
        <w:t xml:space="preserve">, B. (2023) ‘Reduction of aggressive behaviour and effects on improved wellbeing of health care workers and people with dementia: A review of reviews’, </w:t>
      </w:r>
      <w:r>
        <w:rPr>
          <w:i/>
          <w:color w:val="0E101A"/>
        </w:rPr>
        <w:t>Aggression and Violent Behaviour</w:t>
      </w:r>
      <w:r>
        <w:rPr>
          <w:color w:val="0E101A"/>
        </w:rPr>
        <w:t>, 71(1), p.101843.</w:t>
      </w:r>
    </w:p>
    <w:p w14:paraId="44C2D861" w14:textId="77777777" w:rsidR="00B25851" w:rsidRDefault="00000000">
      <w:pPr>
        <w:spacing w:before="200" w:after="200" w:line="360" w:lineRule="auto"/>
        <w:jc w:val="both"/>
        <w:rPr>
          <w:color w:val="0E101A"/>
        </w:rPr>
      </w:pPr>
      <w:proofErr w:type="spellStart"/>
      <w:r>
        <w:rPr>
          <w:color w:val="0E101A"/>
        </w:rPr>
        <w:t>Karunarathna</w:t>
      </w:r>
      <w:proofErr w:type="spellEnd"/>
      <w:r>
        <w:rPr>
          <w:color w:val="0E101A"/>
        </w:rPr>
        <w:t xml:space="preserve">, I., </w:t>
      </w:r>
      <w:proofErr w:type="spellStart"/>
      <w:r>
        <w:rPr>
          <w:color w:val="0E101A"/>
        </w:rPr>
        <w:t>Dius</w:t>
      </w:r>
      <w:proofErr w:type="spellEnd"/>
      <w:r>
        <w:rPr>
          <w:color w:val="0E101A"/>
        </w:rPr>
        <w:t xml:space="preserve">, S., </w:t>
      </w:r>
      <w:proofErr w:type="spellStart"/>
      <w:r>
        <w:rPr>
          <w:color w:val="0E101A"/>
        </w:rPr>
        <w:t>Ranwala</w:t>
      </w:r>
      <w:proofErr w:type="spellEnd"/>
      <w:r>
        <w:rPr>
          <w:color w:val="0E101A"/>
        </w:rPr>
        <w:t xml:space="preserve">, R., </w:t>
      </w:r>
      <w:proofErr w:type="spellStart"/>
      <w:r>
        <w:rPr>
          <w:color w:val="0E101A"/>
        </w:rPr>
        <w:t>Vidanagama</w:t>
      </w:r>
      <w:proofErr w:type="spellEnd"/>
      <w:r>
        <w:rPr>
          <w:color w:val="0E101A"/>
        </w:rPr>
        <w:t xml:space="preserve">, U. and </w:t>
      </w:r>
      <w:proofErr w:type="spellStart"/>
      <w:r>
        <w:rPr>
          <w:color w:val="0E101A"/>
        </w:rPr>
        <w:t>Jayawardana</w:t>
      </w:r>
      <w:proofErr w:type="spellEnd"/>
      <w:r>
        <w:rPr>
          <w:color w:val="0E101A"/>
        </w:rPr>
        <w:t xml:space="preserve">, A. (2024) </w:t>
      </w:r>
      <w:r>
        <w:rPr>
          <w:i/>
          <w:color w:val="0E101A"/>
        </w:rPr>
        <w:t xml:space="preserve">Erikson’s Stages in Action: Bridging Theory and Practice in Healthcare. </w:t>
      </w:r>
      <w:r>
        <w:rPr>
          <w:color w:val="0E101A"/>
        </w:rPr>
        <w:t>Available at:</w:t>
      </w:r>
      <w:hyperlink r:id="rId9">
        <w:r>
          <w:rPr>
            <w:color w:val="0E101A"/>
          </w:rPr>
          <w:t xml:space="preserve"> </w:t>
        </w:r>
      </w:hyperlink>
      <w:hyperlink r:id="rId10">
        <w:r>
          <w:rPr>
            <w:color w:val="4A6EE0"/>
            <w:u w:val="single"/>
          </w:rPr>
          <w:t>https://www.researchgate.net/publication/385908164_Erikson's_Stages_in_Action_Bridging_Theory_and_Practice_in_Healthcare</w:t>
        </w:r>
      </w:hyperlink>
      <w:r>
        <w:rPr>
          <w:color w:val="0E101A"/>
        </w:rPr>
        <w:t xml:space="preserve"> (Accessed: 25 September 2025)</w:t>
      </w:r>
    </w:p>
    <w:p w14:paraId="01F3CFFE" w14:textId="77777777" w:rsidR="00B25851" w:rsidRDefault="00000000">
      <w:pPr>
        <w:spacing w:before="200" w:after="200" w:line="360" w:lineRule="auto"/>
        <w:jc w:val="both"/>
        <w:rPr>
          <w:color w:val="0E101A"/>
        </w:rPr>
      </w:pPr>
      <w:r>
        <w:rPr>
          <w:color w:val="0E101A"/>
        </w:rPr>
        <w:t xml:space="preserve">Khan, T.S., Hirschman, K.B., McHugh, M.D. and Naylor, M.D. (2020) ‘Self‐efficacy of family caregivers of older adults with cognitive impairment: A concept analysis’, </w:t>
      </w:r>
      <w:r>
        <w:rPr>
          <w:i/>
          <w:color w:val="0E101A"/>
        </w:rPr>
        <w:t>Nursing Forum</w:t>
      </w:r>
      <w:r>
        <w:rPr>
          <w:color w:val="0E101A"/>
        </w:rPr>
        <w:t xml:space="preserve">, 56(1), pp.112–126. </w:t>
      </w:r>
    </w:p>
    <w:p w14:paraId="017EF315" w14:textId="77777777" w:rsidR="00B25851" w:rsidRDefault="00000000">
      <w:pPr>
        <w:spacing w:before="200" w:after="200" w:line="360" w:lineRule="auto"/>
        <w:jc w:val="both"/>
        <w:rPr>
          <w:color w:val="0E101A"/>
        </w:rPr>
      </w:pPr>
      <w:proofErr w:type="spellStart"/>
      <w:r>
        <w:rPr>
          <w:color w:val="0E101A"/>
        </w:rPr>
        <w:t>Mazaheri</w:t>
      </w:r>
      <w:proofErr w:type="spellEnd"/>
      <w:r>
        <w:rPr>
          <w:color w:val="0E101A"/>
        </w:rPr>
        <w:t xml:space="preserve">, M., </w:t>
      </w:r>
      <w:proofErr w:type="spellStart"/>
      <w:r>
        <w:rPr>
          <w:color w:val="0E101A"/>
        </w:rPr>
        <w:t>Kihlgren</w:t>
      </w:r>
      <w:proofErr w:type="spellEnd"/>
      <w:r>
        <w:rPr>
          <w:color w:val="0E101A"/>
        </w:rPr>
        <w:t xml:space="preserve">, M. and </w:t>
      </w:r>
      <w:proofErr w:type="spellStart"/>
      <w:r>
        <w:rPr>
          <w:color w:val="0E101A"/>
        </w:rPr>
        <w:t>Norberg</w:t>
      </w:r>
      <w:proofErr w:type="spellEnd"/>
      <w:r>
        <w:rPr>
          <w:color w:val="0E101A"/>
        </w:rPr>
        <w:t xml:space="preserve">, A. (2021) ‘Applying the theory of human development by Erik and Joan Erikson when communicating with persons with advanced dementia diseases’, </w:t>
      </w:r>
      <w:r>
        <w:rPr>
          <w:i/>
          <w:color w:val="0E101A"/>
        </w:rPr>
        <w:t>Nordic Journal of Nursing Research</w:t>
      </w:r>
      <w:r>
        <w:rPr>
          <w:color w:val="0E101A"/>
        </w:rPr>
        <w:t xml:space="preserve">, 42(4), p.205715852110482. </w:t>
      </w:r>
    </w:p>
    <w:p w14:paraId="7E401BC2" w14:textId="77777777" w:rsidR="00B25851" w:rsidRDefault="00000000">
      <w:pPr>
        <w:spacing w:before="200" w:after="200" w:line="360" w:lineRule="auto"/>
        <w:jc w:val="both"/>
        <w:rPr>
          <w:color w:val="0E101A"/>
        </w:rPr>
      </w:pPr>
      <w:proofErr w:type="spellStart"/>
      <w:r>
        <w:rPr>
          <w:color w:val="0E101A"/>
        </w:rPr>
        <w:t>Merrilees</w:t>
      </w:r>
      <w:proofErr w:type="spellEnd"/>
      <w:r>
        <w:rPr>
          <w:color w:val="0E101A"/>
        </w:rPr>
        <w:t xml:space="preserve">, J.J., Bernstein, A., </w:t>
      </w:r>
      <w:proofErr w:type="spellStart"/>
      <w:r>
        <w:rPr>
          <w:color w:val="0E101A"/>
        </w:rPr>
        <w:t>Dulaney</w:t>
      </w:r>
      <w:proofErr w:type="spellEnd"/>
      <w:r>
        <w:rPr>
          <w:color w:val="0E101A"/>
        </w:rPr>
        <w:t xml:space="preserve">, S., </w:t>
      </w:r>
      <w:proofErr w:type="spellStart"/>
      <w:r>
        <w:rPr>
          <w:color w:val="0E101A"/>
        </w:rPr>
        <w:t>Heunis</w:t>
      </w:r>
      <w:proofErr w:type="spellEnd"/>
      <w:r>
        <w:rPr>
          <w:color w:val="0E101A"/>
        </w:rPr>
        <w:t xml:space="preserve">, J., Walker, R., Rah, E., Choi, J., </w:t>
      </w:r>
      <w:proofErr w:type="spellStart"/>
      <w:r>
        <w:rPr>
          <w:color w:val="0E101A"/>
        </w:rPr>
        <w:t>Gawlas</w:t>
      </w:r>
      <w:proofErr w:type="spellEnd"/>
      <w:r>
        <w:rPr>
          <w:color w:val="0E101A"/>
        </w:rPr>
        <w:t xml:space="preserve">, K., Carroll, S., Ong, P., </w:t>
      </w:r>
      <w:proofErr w:type="spellStart"/>
      <w:r>
        <w:rPr>
          <w:color w:val="0E101A"/>
        </w:rPr>
        <w:t>Feuer</w:t>
      </w:r>
      <w:proofErr w:type="spellEnd"/>
      <w:r>
        <w:rPr>
          <w:color w:val="0E101A"/>
        </w:rPr>
        <w:t xml:space="preserve">, J., </w:t>
      </w:r>
      <w:proofErr w:type="spellStart"/>
      <w:r>
        <w:rPr>
          <w:color w:val="0E101A"/>
        </w:rPr>
        <w:t>Braley</w:t>
      </w:r>
      <w:proofErr w:type="spellEnd"/>
      <w:r>
        <w:rPr>
          <w:color w:val="0E101A"/>
        </w:rPr>
        <w:t xml:space="preserve">, T., Clark, A.M., Lee, K., </w:t>
      </w:r>
      <w:proofErr w:type="spellStart"/>
      <w:r>
        <w:rPr>
          <w:color w:val="0E101A"/>
        </w:rPr>
        <w:t>Chiong</w:t>
      </w:r>
      <w:proofErr w:type="spellEnd"/>
      <w:r>
        <w:rPr>
          <w:color w:val="0E101A"/>
        </w:rPr>
        <w:t xml:space="preserve">, W., </w:t>
      </w:r>
      <w:proofErr w:type="spellStart"/>
      <w:r>
        <w:rPr>
          <w:color w:val="0E101A"/>
        </w:rPr>
        <w:t>Bonasera</w:t>
      </w:r>
      <w:proofErr w:type="spellEnd"/>
      <w:r>
        <w:rPr>
          <w:color w:val="0E101A"/>
        </w:rPr>
        <w:t xml:space="preserve">, S.J., Miller, B.L. and </w:t>
      </w:r>
      <w:proofErr w:type="spellStart"/>
      <w:r>
        <w:rPr>
          <w:color w:val="0E101A"/>
        </w:rPr>
        <w:t>Possin</w:t>
      </w:r>
      <w:proofErr w:type="spellEnd"/>
      <w:r>
        <w:rPr>
          <w:color w:val="0E101A"/>
        </w:rPr>
        <w:t xml:space="preserve">, K.L. (2020) ‘The Care Ecosystem: Promoting self-efficacy among dementia family caregivers’, </w:t>
      </w:r>
      <w:r>
        <w:rPr>
          <w:i/>
          <w:color w:val="0E101A"/>
        </w:rPr>
        <w:t>Dementia (London, England)</w:t>
      </w:r>
      <w:r>
        <w:rPr>
          <w:color w:val="0E101A"/>
        </w:rPr>
        <w:t xml:space="preserve">, 19(6), pp.1955–1973. </w:t>
      </w:r>
    </w:p>
    <w:p w14:paraId="7C75DBFA" w14:textId="77777777" w:rsidR="00B25851" w:rsidRDefault="00000000">
      <w:pPr>
        <w:spacing w:before="200" w:after="200" w:line="360" w:lineRule="auto"/>
        <w:jc w:val="both"/>
        <w:rPr>
          <w:color w:val="0E101A"/>
        </w:rPr>
      </w:pPr>
      <w:proofErr w:type="spellStart"/>
      <w:r>
        <w:rPr>
          <w:color w:val="0E101A"/>
        </w:rPr>
        <w:t>Mukhalalati</w:t>
      </w:r>
      <w:proofErr w:type="spellEnd"/>
      <w:r>
        <w:rPr>
          <w:color w:val="0E101A"/>
        </w:rPr>
        <w:t xml:space="preserve">, B., </w:t>
      </w:r>
      <w:proofErr w:type="spellStart"/>
      <w:r>
        <w:rPr>
          <w:color w:val="0E101A"/>
        </w:rPr>
        <w:t>Elshami</w:t>
      </w:r>
      <w:proofErr w:type="spellEnd"/>
      <w:r>
        <w:rPr>
          <w:color w:val="0E101A"/>
        </w:rPr>
        <w:t xml:space="preserve">, S., </w:t>
      </w:r>
      <w:proofErr w:type="spellStart"/>
      <w:r>
        <w:rPr>
          <w:color w:val="0E101A"/>
        </w:rPr>
        <w:t>Eljaam</w:t>
      </w:r>
      <w:proofErr w:type="spellEnd"/>
      <w:r>
        <w:rPr>
          <w:color w:val="0E101A"/>
        </w:rPr>
        <w:t xml:space="preserve">, M., Hussain, F.N. and </w:t>
      </w:r>
      <w:proofErr w:type="spellStart"/>
      <w:r>
        <w:rPr>
          <w:color w:val="0E101A"/>
        </w:rPr>
        <w:t>Bishawi</w:t>
      </w:r>
      <w:proofErr w:type="spellEnd"/>
      <w:r>
        <w:rPr>
          <w:color w:val="0E101A"/>
        </w:rPr>
        <w:t xml:space="preserve">, A.H. (2022) ‘Applications of Social Theories of Learning in Health Professions Education programs: a Scoping Review’, </w:t>
      </w:r>
      <w:r>
        <w:rPr>
          <w:i/>
          <w:color w:val="0E101A"/>
        </w:rPr>
        <w:t>Frontiers in Medicine</w:t>
      </w:r>
      <w:r>
        <w:rPr>
          <w:color w:val="0E101A"/>
        </w:rPr>
        <w:t xml:space="preserve">, 9(1), pp.1–15. </w:t>
      </w:r>
    </w:p>
    <w:p w14:paraId="5084F23E" w14:textId="77777777" w:rsidR="00B25851" w:rsidRDefault="00000000">
      <w:pPr>
        <w:spacing w:before="200" w:after="200" w:line="360" w:lineRule="auto"/>
        <w:jc w:val="both"/>
        <w:rPr>
          <w:color w:val="0E101A"/>
        </w:rPr>
      </w:pPr>
      <w:r>
        <w:rPr>
          <w:color w:val="0E101A"/>
        </w:rPr>
        <w:t xml:space="preserve">Perry, T.E., </w:t>
      </w:r>
      <w:proofErr w:type="spellStart"/>
      <w:r>
        <w:rPr>
          <w:color w:val="0E101A"/>
        </w:rPr>
        <w:t>Ruggiano</w:t>
      </w:r>
      <w:proofErr w:type="spellEnd"/>
      <w:r>
        <w:rPr>
          <w:color w:val="0E101A"/>
        </w:rPr>
        <w:t xml:space="preserve">, N., </w:t>
      </w:r>
      <w:proofErr w:type="spellStart"/>
      <w:r>
        <w:rPr>
          <w:color w:val="0E101A"/>
        </w:rPr>
        <w:t>Shtompel</w:t>
      </w:r>
      <w:proofErr w:type="spellEnd"/>
      <w:r>
        <w:rPr>
          <w:color w:val="0E101A"/>
        </w:rPr>
        <w:t xml:space="preserve">, N. and </w:t>
      </w:r>
      <w:proofErr w:type="spellStart"/>
      <w:r>
        <w:rPr>
          <w:color w:val="0E101A"/>
        </w:rPr>
        <w:t>Hassevoort</w:t>
      </w:r>
      <w:proofErr w:type="spellEnd"/>
      <w:r>
        <w:rPr>
          <w:color w:val="0E101A"/>
        </w:rPr>
        <w:t xml:space="preserve">, L. (2018) ‘Applying Erikson’s Wisdom to Self-Management Practices of Older Adults’, </w:t>
      </w:r>
      <w:r>
        <w:rPr>
          <w:i/>
          <w:color w:val="0E101A"/>
        </w:rPr>
        <w:t>Research on Ageing</w:t>
      </w:r>
      <w:r>
        <w:rPr>
          <w:color w:val="0E101A"/>
        </w:rPr>
        <w:t xml:space="preserve">, 37(3), pp.253–274. </w:t>
      </w:r>
    </w:p>
    <w:p w14:paraId="174E0812" w14:textId="77777777" w:rsidR="00B25851" w:rsidRDefault="00000000">
      <w:pPr>
        <w:spacing w:before="200" w:after="200" w:line="360" w:lineRule="auto"/>
        <w:jc w:val="both"/>
        <w:rPr>
          <w:color w:val="0E101A"/>
        </w:rPr>
      </w:pPr>
      <w:r>
        <w:rPr>
          <w:color w:val="0E101A"/>
        </w:rPr>
        <w:t xml:space="preserve">Reid, R.J., </w:t>
      </w:r>
      <w:proofErr w:type="spellStart"/>
      <w:r>
        <w:rPr>
          <w:color w:val="0E101A"/>
        </w:rPr>
        <w:t>Wodchis</w:t>
      </w:r>
      <w:proofErr w:type="spellEnd"/>
      <w:r>
        <w:rPr>
          <w:color w:val="0E101A"/>
        </w:rPr>
        <w:t xml:space="preserve">, W.P., </w:t>
      </w:r>
      <w:proofErr w:type="spellStart"/>
      <w:r>
        <w:rPr>
          <w:color w:val="0E101A"/>
        </w:rPr>
        <w:t>Kuluski</w:t>
      </w:r>
      <w:proofErr w:type="spellEnd"/>
      <w:r>
        <w:rPr>
          <w:color w:val="0E101A"/>
        </w:rPr>
        <w:t>, K., Lee-</w:t>
      </w:r>
      <w:proofErr w:type="spellStart"/>
      <w:r>
        <w:rPr>
          <w:color w:val="0E101A"/>
        </w:rPr>
        <w:t>Foon</w:t>
      </w:r>
      <w:proofErr w:type="spellEnd"/>
      <w:r>
        <w:rPr>
          <w:color w:val="0E101A"/>
        </w:rPr>
        <w:t xml:space="preserve">, N.K., </w:t>
      </w:r>
      <w:proofErr w:type="spellStart"/>
      <w:r>
        <w:rPr>
          <w:color w:val="0E101A"/>
        </w:rPr>
        <w:t>Lavis</w:t>
      </w:r>
      <w:proofErr w:type="spellEnd"/>
      <w:r>
        <w:rPr>
          <w:color w:val="0E101A"/>
        </w:rPr>
        <w:t xml:space="preserve">, J.N., Rosella, L.C. and </w:t>
      </w:r>
      <w:proofErr w:type="spellStart"/>
      <w:r>
        <w:rPr>
          <w:color w:val="0E101A"/>
        </w:rPr>
        <w:t>Desveaux</w:t>
      </w:r>
      <w:proofErr w:type="spellEnd"/>
      <w:r>
        <w:rPr>
          <w:color w:val="0E101A"/>
        </w:rPr>
        <w:t>, L. (2024) ‘</w:t>
      </w:r>
      <w:proofErr w:type="spellStart"/>
      <w:r>
        <w:rPr>
          <w:color w:val="0E101A"/>
        </w:rPr>
        <w:t>Actioning</w:t>
      </w:r>
      <w:proofErr w:type="spellEnd"/>
      <w:r>
        <w:rPr>
          <w:color w:val="0E101A"/>
        </w:rPr>
        <w:t xml:space="preserve"> the Learning Health System: An Applied Framework for Integrating Research into Health Systems’, </w:t>
      </w:r>
      <w:r>
        <w:rPr>
          <w:i/>
          <w:color w:val="0E101A"/>
        </w:rPr>
        <w:t>SSM. Health systems</w:t>
      </w:r>
      <w:r>
        <w:rPr>
          <w:color w:val="0E101A"/>
        </w:rPr>
        <w:t xml:space="preserve">, 2, pp.100010–100010. </w:t>
      </w:r>
    </w:p>
    <w:p w14:paraId="27986252" w14:textId="77777777" w:rsidR="00B25851" w:rsidRDefault="00B25851">
      <w:pPr>
        <w:spacing w:before="200" w:after="240" w:line="360" w:lineRule="auto"/>
        <w:jc w:val="both"/>
      </w:pPr>
    </w:p>
    <w:p w14:paraId="1C00BE15" w14:textId="77777777" w:rsidR="00B25851" w:rsidRDefault="00B25851"/>
    <w:p w14:paraId="6388DA62" w14:textId="77777777" w:rsidR="00B25851" w:rsidRDefault="00B25851">
      <w:pPr>
        <w:pStyle w:val="Heading1"/>
        <w:spacing w:before="200" w:line="360" w:lineRule="auto"/>
        <w:rPr>
          <w:b/>
          <w:sz w:val="22"/>
          <w:szCs w:val="22"/>
        </w:rPr>
      </w:pPr>
      <w:bookmarkStart w:id="11" w:name="_heading=h.jcfjcndt6mjr" w:colFirst="0" w:colLast="0"/>
      <w:bookmarkEnd w:id="11"/>
    </w:p>
    <w:p w14:paraId="142EC8A2" w14:textId="77777777" w:rsidR="00B25851" w:rsidRDefault="00B25851"/>
    <w:sectPr w:rsidR="00B25851">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3F85A" w14:textId="77777777" w:rsidR="00597F6E" w:rsidRDefault="00597F6E">
      <w:pPr>
        <w:spacing w:line="240" w:lineRule="auto"/>
      </w:pPr>
      <w:r>
        <w:separator/>
      </w:r>
    </w:p>
  </w:endnote>
  <w:endnote w:type="continuationSeparator" w:id="0">
    <w:p w14:paraId="535A72CE" w14:textId="77777777" w:rsidR="00597F6E" w:rsidRDefault="00597F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default"/>
    <w:sig w:usb0="00000203" w:usb1="288F0000" w:usb2="00000006" w:usb3="00000000" w:csb0="00040001"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09975" w14:textId="77777777" w:rsidR="00B25851" w:rsidRDefault="00000000">
    <w:pPr>
      <w:pBdr>
        <w:top w:val="single" w:sz="4" w:space="1" w:color="D9D9D9"/>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p>
  <w:p w14:paraId="323BE8F5" w14:textId="77777777" w:rsidR="00B25851" w:rsidRDefault="00B25851">
    <w:pP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960069" w14:textId="77777777" w:rsidR="00597F6E" w:rsidRDefault="00597F6E">
      <w:r>
        <w:separator/>
      </w:r>
    </w:p>
  </w:footnote>
  <w:footnote w:type="continuationSeparator" w:id="0">
    <w:p w14:paraId="7E4A0A52" w14:textId="77777777" w:rsidR="00597F6E" w:rsidRDefault="00597F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D07"/>
    <w:rsid w:val="000348A1"/>
    <w:rsid w:val="00103234"/>
    <w:rsid w:val="003E5D7D"/>
    <w:rsid w:val="005121BA"/>
    <w:rsid w:val="00597F6E"/>
    <w:rsid w:val="00606763"/>
    <w:rsid w:val="006E13F9"/>
    <w:rsid w:val="0079727D"/>
    <w:rsid w:val="00A23A27"/>
    <w:rsid w:val="00A55D07"/>
    <w:rsid w:val="00B04F69"/>
    <w:rsid w:val="00B25851"/>
    <w:rsid w:val="00BA0432"/>
    <w:rsid w:val="00CB3722"/>
    <w:rsid w:val="00CC07A1"/>
    <w:rsid w:val="4A9E19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DCD9230"/>
  <w15:docId w15:val="{EC7F680E-A880-A74F-9B48-901E96018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val="en-GB" w:eastAsia="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www.researchgate.net/publication/385908164_Erikson's_Stages_in_Action_Bridging_Theory_and_Practice_in_Healthcare" TargetMode="External" /><Relationship Id="rId4" Type="http://schemas.openxmlformats.org/officeDocument/2006/relationships/webSettings" Target="webSettings.xml" /><Relationship Id="rId9" Type="http://schemas.openxmlformats.org/officeDocument/2006/relationships/hyperlink" Target="https://www.researchgate.net/publication/385908164_Erikson's_Stages_in_Action_Bridging_Theory_and_Practice_in_Healthcar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pAWRAqXBG+nToqIFJU929HWXMA==">CgMxLjAyDmguNzQ0cXZsY3VjdHAyMg5oLnMzdXdxMXFmcTJzdTIOaC41bnI5NmNibmp5Z3gyDWguYzNyd20xZzdjZjYyDWgud2hoOHo4YjBzYXUyDmgueWl6MmdtMzRlZGRiMg5oLmJ4ejRkOGF0c21yejIOaC5qa3FpaHZodzlkc3cyDmgudGphaGxqdGV1bWJuMg5oLm9ucWZjY3N3cjRteTINaC44OGZvOW05dmxnbDIOaC5qY2ZqY25kdDZtanI4AHIhMXMtai1tTU5saTFYNVJ1My1hUTJ4a2VWVXQ3QlJ2d0w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2384</Words>
  <Characters>13593</Characters>
  <Application>Microsoft Office Word</Application>
  <DocSecurity>0</DocSecurity>
  <Lines>113</Lines>
  <Paragraphs>31</Paragraphs>
  <ScaleCrop>false</ScaleCrop>
  <Company/>
  <LinksUpToDate>false</LinksUpToDate>
  <CharactersWithSpaces>15946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Tofan (2008331)</cp:lastModifiedBy>
  <cp:revision>4</cp:revision>
  <dcterms:created xsi:type="dcterms:W3CDTF">2025-11-01T10:55:00Z</dcterms:created>
  <dcterms:modified xsi:type="dcterms:W3CDTF">2025-11-01T10:57:00Z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de7275ff-8df6-40ce-89fa-b5d47416095d</vt:lpwstr>
  </property>
  <property fmtid="{D5CDD505-2E9C-101B-9397-08002B2CF9AE}" pid="3" name="KSOProductBuildVer">
    <vt:lpwstr>2057-12.2.0.22549</vt:lpwstr>
  </property>
  <property fmtid="{D5CDD505-2E9C-101B-9397-08002B2CF9AE}" pid="4" name="ICV">
    <vt:lpwstr>05755F14B602486FAFB078B90CC6B8DD_12</vt:lpwstr>
  </property>
</Properties>
</file>