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AA2802" w14:textId="79821046" w:rsidR="000B743B" w:rsidRDefault="000B743B"/>
    <w:p w14:paraId="49896FDC" w14:textId="77777777" w:rsidR="00F77741" w:rsidRDefault="00F77741"/>
    <w:p w14:paraId="4E736A35" w14:textId="77777777" w:rsidR="00F77741" w:rsidRDefault="00F77741"/>
    <w:p w14:paraId="28B50858" w14:textId="326BE75D" w:rsidR="004E5549" w:rsidRDefault="00F77741" w:rsidP="004E5549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9F5502">
        <w:rPr>
          <w:rFonts w:ascii="Arial" w:hAnsi="Arial" w:cs="Arial"/>
          <w:b/>
          <w:bCs/>
          <w:sz w:val="32"/>
          <w:szCs w:val="32"/>
        </w:rPr>
        <w:t xml:space="preserve">Names: </w:t>
      </w:r>
      <w:r w:rsidR="004E5549">
        <w:rPr>
          <w:rFonts w:ascii="Arial" w:hAnsi="Arial" w:cs="Arial"/>
          <w:b/>
          <w:bCs/>
          <w:sz w:val="32"/>
          <w:szCs w:val="32"/>
        </w:rPr>
        <w:t>Rabina Bi</w:t>
      </w:r>
      <w:r w:rsidR="004E5549">
        <w:rPr>
          <w:rFonts w:ascii="Arial" w:hAnsi="Arial" w:cs="Arial"/>
          <w:b/>
          <w:bCs/>
          <w:sz w:val="32"/>
          <w:szCs w:val="32"/>
        </w:rPr>
        <w:br/>
        <w:t xml:space="preserve">Student Number: </w:t>
      </w:r>
      <w:r w:rsidR="004E5549" w:rsidRPr="004E5549">
        <w:rPr>
          <w:rFonts w:ascii="Arial" w:hAnsi="Arial" w:cs="Arial"/>
          <w:b/>
          <w:bCs/>
          <w:sz w:val="32"/>
          <w:szCs w:val="32"/>
        </w:rPr>
        <w:t>2235612</w:t>
      </w:r>
    </w:p>
    <w:p w14:paraId="2CAF39D8" w14:textId="440DD316" w:rsidR="00F77741" w:rsidRPr="009F5502" w:rsidRDefault="00F77741" w:rsidP="004E5549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9F5502">
        <w:rPr>
          <w:rFonts w:ascii="Arial" w:hAnsi="Arial" w:cs="Arial"/>
          <w:b/>
          <w:bCs/>
          <w:sz w:val="32"/>
          <w:szCs w:val="32"/>
        </w:rPr>
        <w:t>Module Code and Title: BMHP6027 Empowering the Older Person</w:t>
      </w:r>
    </w:p>
    <w:p w14:paraId="594AE789" w14:textId="77777777" w:rsidR="00F77741" w:rsidRPr="009F5502" w:rsidRDefault="00F77741" w:rsidP="00F7774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9F5502">
        <w:rPr>
          <w:rFonts w:ascii="Arial" w:hAnsi="Arial" w:cs="Arial"/>
          <w:b/>
          <w:bCs/>
          <w:sz w:val="32"/>
          <w:szCs w:val="32"/>
        </w:rPr>
        <w:t>Assignment Title: Component 2: Debate / Discussion</w:t>
      </w:r>
    </w:p>
    <w:p w14:paraId="6C557B3E" w14:textId="77777777" w:rsidR="00F77741" w:rsidRDefault="00F77741"/>
    <w:p w14:paraId="3A00BDEF" w14:textId="77777777" w:rsidR="00F77741" w:rsidRDefault="00F77741"/>
    <w:p w14:paraId="4CA0C447" w14:textId="77777777" w:rsidR="00F77741" w:rsidRDefault="00F77741"/>
    <w:p w14:paraId="051571F1" w14:textId="77777777" w:rsidR="00F77741" w:rsidRDefault="00F77741"/>
    <w:p w14:paraId="5DCD304C" w14:textId="77777777" w:rsidR="00F77741" w:rsidRDefault="00F77741"/>
    <w:p w14:paraId="011448F8" w14:textId="77777777" w:rsidR="00F77741" w:rsidRDefault="00F77741"/>
    <w:p w14:paraId="6A3CE513" w14:textId="77777777" w:rsidR="00F77741" w:rsidRDefault="00F77741"/>
    <w:p w14:paraId="03EDB853" w14:textId="77777777" w:rsidR="00F77741" w:rsidRDefault="00F77741"/>
    <w:p w14:paraId="0DD936F2" w14:textId="77777777" w:rsidR="00F77741" w:rsidRDefault="00F77741"/>
    <w:p w14:paraId="49DBADC3" w14:textId="77777777" w:rsidR="00F77741" w:rsidRDefault="00F77741"/>
    <w:p w14:paraId="797FCAA9" w14:textId="77777777" w:rsidR="00F77741" w:rsidRDefault="00F77741"/>
    <w:p w14:paraId="1C15DD8A" w14:textId="77777777" w:rsidR="00F77741" w:rsidRDefault="00F77741"/>
    <w:p w14:paraId="0333E3DA" w14:textId="77777777" w:rsidR="00F77741" w:rsidRDefault="00F77741"/>
    <w:p w14:paraId="6437ECAF" w14:textId="77777777" w:rsidR="00F77741" w:rsidRDefault="00F77741"/>
    <w:p w14:paraId="56EAF1A3" w14:textId="77777777" w:rsidR="00F77741" w:rsidRDefault="00F77741"/>
    <w:p w14:paraId="047ECC9F" w14:textId="06CF19CA" w:rsidR="00F77741" w:rsidRDefault="00271CD2">
      <w:r>
        <w:t>Huhhjjj</w:t>
      </w:r>
    </w:p>
    <w:p w14:paraId="396D0568" w14:textId="77777777" w:rsidR="00F77741" w:rsidRDefault="00F77741"/>
    <w:p w14:paraId="77C78D43" w14:textId="77777777" w:rsidR="00F77741" w:rsidRDefault="00F77741"/>
    <w:p w14:paraId="70303853" w14:textId="77777777" w:rsidR="00F77741" w:rsidRDefault="00F77741"/>
    <w:p w14:paraId="31AD76E9" w14:textId="77777777" w:rsidR="00F77741" w:rsidRDefault="00F77741" w:rsidP="000E3B9F">
      <w:pPr>
        <w:jc w:val="both"/>
      </w:pPr>
    </w:p>
    <w:p w14:paraId="62BC5D8E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Akhoondzadeh, G., Jalalmanesh, S. and Hojjati, H. (2014) ‘Effect of Reminiscence on Cognitive Status and Memory of the Elderly People’, </w:t>
      </w:r>
      <w:r>
        <w:rPr>
          <w:rFonts w:ascii="Arial" w:hAnsi="Arial" w:cs="Arial"/>
          <w:i/>
          <w:iCs/>
          <w:sz w:val="22"/>
          <w:szCs w:val="22"/>
        </w:rPr>
        <w:t>Iranian Journal of Psychiatry and Behavioral Sciences</w:t>
      </w:r>
      <w:r>
        <w:rPr>
          <w:rFonts w:ascii="Arial" w:hAnsi="Arial" w:cs="Arial"/>
          <w:sz w:val="22"/>
          <w:szCs w:val="22"/>
        </w:rPr>
        <w:t>, 8(3), p. 75.</w:t>
      </w:r>
    </w:p>
    <w:p w14:paraId="6F5DF643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Bates, C.R. </w:t>
      </w:r>
      <w:r>
        <w:rPr>
          <w:rFonts w:ascii="Arial" w:hAnsi="Arial" w:cs="Arial"/>
          <w:i/>
          <w:iCs/>
          <w:sz w:val="22"/>
          <w:szCs w:val="22"/>
        </w:rPr>
        <w:t>et al.</w:t>
      </w:r>
      <w:r>
        <w:rPr>
          <w:rFonts w:ascii="Arial" w:hAnsi="Arial" w:cs="Arial"/>
          <w:sz w:val="22"/>
          <w:szCs w:val="22"/>
        </w:rPr>
        <w:t xml:space="preserve"> (2021) ‘Family rules, routines, and caregiver distress during the first year of pediatric cancer treatment’, </w:t>
      </w:r>
      <w:r>
        <w:rPr>
          <w:rFonts w:ascii="Arial" w:hAnsi="Arial" w:cs="Arial"/>
          <w:i/>
          <w:iCs/>
          <w:sz w:val="22"/>
          <w:szCs w:val="22"/>
        </w:rPr>
        <w:t>Psycho-Oncology</w:t>
      </w:r>
      <w:r>
        <w:rPr>
          <w:rFonts w:ascii="Arial" w:hAnsi="Arial" w:cs="Arial"/>
          <w:sz w:val="22"/>
          <w:szCs w:val="22"/>
        </w:rPr>
        <w:t>, 30(9), pp. 1590–1599. Available at: https://doi.org/10.1002/pon.5736.</w:t>
      </w:r>
    </w:p>
    <w:p w14:paraId="02BD54D7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Coleman, M.E. </w:t>
      </w:r>
      <w:r>
        <w:rPr>
          <w:rFonts w:ascii="Arial" w:hAnsi="Arial" w:cs="Arial"/>
          <w:i/>
          <w:iCs/>
          <w:sz w:val="22"/>
          <w:szCs w:val="22"/>
        </w:rPr>
        <w:t>et al.</w:t>
      </w:r>
      <w:r>
        <w:rPr>
          <w:rFonts w:ascii="Arial" w:hAnsi="Arial" w:cs="Arial"/>
          <w:sz w:val="22"/>
          <w:szCs w:val="22"/>
        </w:rPr>
        <w:t xml:space="preserve"> (2025) ‘Improving Respite Outcomes for Caregivers: Who Benefits and Under What Conditions?’, </w:t>
      </w:r>
      <w:r>
        <w:rPr>
          <w:rFonts w:ascii="Arial" w:hAnsi="Arial" w:cs="Arial"/>
          <w:i/>
          <w:iCs/>
          <w:sz w:val="22"/>
          <w:szCs w:val="22"/>
        </w:rPr>
        <w:t>Journal of Applied Gerontology</w:t>
      </w:r>
      <w:r>
        <w:rPr>
          <w:rFonts w:ascii="Arial" w:hAnsi="Arial" w:cs="Arial"/>
          <w:sz w:val="22"/>
          <w:szCs w:val="22"/>
        </w:rPr>
        <w:t xml:space="preserve"> [Preprint]. Available at: https://doi.org/10.1177/07334648251324270.</w:t>
      </w:r>
    </w:p>
    <w:p w14:paraId="346C702F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Duffy, J., Boyle, S. and Villar, K.D. (2023) ‘What Does “Least Restrictive” or “Less Restrictive” Mean in Mental Health Law? Contradictions and Confusion in the Case of Queensland, Australia’, </w:t>
      </w:r>
      <w:r>
        <w:rPr>
          <w:rFonts w:ascii="Arial" w:hAnsi="Arial" w:cs="Arial"/>
          <w:i/>
          <w:iCs/>
          <w:sz w:val="22"/>
          <w:szCs w:val="22"/>
        </w:rPr>
        <w:t>American Journal of Law &amp; Medicine</w:t>
      </w:r>
      <w:r>
        <w:rPr>
          <w:rFonts w:ascii="Arial" w:hAnsi="Arial" w:cs="Arial"/>
          <w:sz w:val="22"/>
          <w:szCs w:val="22"/>
        </w:rPr>
        <w:t>, 49(2-3), pp. 286–300. Available at: https://doi.org/10.1017/amj.2023.32.</w:t>
      </w:r>
    </w:p>
    <w:p w14:paraId="3F1877C5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Gitlin, L.N. </w:t>
      </w:r>
      <w:r>
        <w:rPr>
          <w:rFonts w:ascii="Arial" w:hAnsi="Arial" w:cs="Arial"/>
          <w:i/>
          <w:iCs/>
          <w:sz w:val="22"/>
          <w:szCs w:val="22"/>
        </w:rPr>
        <w:t>et al.</w:t>
      </w:r>
      <w:r>
        <w:rPr>
          <w:rFonts w:ascii="Arial" w:hAnsi="Arial" w:cs="Arial"/>
          <w:sz w:val="22"/>
          <w:szCs w:val="22"/>
        </w:rPr>
        <w:t xml:space="preserve"> (2008) ‘Tailored Activities to Manage Neuropsychiatric Behaviors in Persons With Dementia and Reduce Caregiver Burden: A Randomized Pilot Study’, </w:t>
      </w:r>
      <w:r>
        <w:rPr>
          <w:rFonts w:ascii="Arial" w:hAnsi="Arial" w:cs="Arial"/>
          <w:i/>
          <w:iCs/>
          <w:sz w:val="22"/>
          <w:szCs w:val="22"/>
        </w:rPr>
        <w:t>The American Journal of Geriatric Psychiatry</w:t>
      </w:r>
      <w:r>
        <w:rPr>
          <w:rFonts w:ascii="Arial" w:hAnsi="Arial" w:cs="Arial"/>
          <w:sz w:val="22"/>
          <w:szCs w:val="22"/>
        </w:rPr>
        <w:t>, 16(3), pp. 229–239. Available at: https://doi.org/10.1097/01.jgp.0000300629.35408.94.</w:t>
      </w:r>
    </w:p>
    <w:p w14:paraId="28B78FFE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Gov UK (2014) </w:t>
      </w:r>
      <w:r>
        <w:rPr>
          <w:rFonts w:ascii="Arial" w:hAnsi="Arial" w:cs="Arial"/>
          <w:i/>
          <w:iCs/>
          <w:sz w:val="22"/>
          <w:szCs w:val="22"/>
        </w:rPr>
        <w:t>Care Act 2014</w:t>
      </w:r>
      <w:r>
        <w:rPr>
          <w:rFonts w:ascii="Arial" w:hAnsi="Arial" w:cs="Arial"/>
          <w:sz w:val="22"/>
          <w:szCs w:val="22"/>
        </w:rPr>
        <w:t xml:space="preserve">, </w:t>
      </w:r>
      <w:r>
        <w:rPr>
          <w:rFonts w:ascii="Arial" w:hAnsi="Arial" w:cs="Arial"/>
          <w:i/>
          <w:iCs/>
          <w:sz w:val="22"/>
          <w:szCs w:val="22"/>
        </w:rPr>
        <w:t>Legislation.gov.uk</w:t>
      </w:r>
      <w:r>
        <w:rPr>
          <w:rFonts w:ascii="Arial" w:hAnsi="Arial" w:cs="Arial"/>
          <w:sz w:val="22"/>
          <w:szCs w:val="22"/>
        </w:rPr>
        <w:t>. Available at: https://www.legislation.gov.uk/ukpga/2014/23/section/1 (Accessed: 21 October 2025).</w:t>
      </w:r>
    </w:p>
    <w:p w14:paraId="251BCB6E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Jung, D. </w:t>
      </w:r>
      <w:r>
        <w:rPr>
          <w:rFonts w:ascii="Arial" w:hAnsi="Arial" w:cs="Arial"/>
          <w:i/>
          <w:iCs/>
          <w:sz w:val="22"/>
          <w:szCs w:val="22"/>
        </w:rPr>
        <w:t>et al.</w:t>
      </w:r>
      <w:r>
        <w:rPr>
          <w:rFonts w:ascii="Arial" w:hAnsi="Arial" w:cs="Arial"/>
          <w:sz w:val="22"/>
          <w:szCs w:val="22"/>
        </w:rPr>
        <w:t xml:space="preserve"> (2023) ‘Factors Affecting Mealtime Difficulties in Older Adults with Dementia Living in Long-Term Care Facilities: A Multilevel Model Analysis’, </w:t>
      </w:r>
      <w:r>
        <w:rPr>
          <w:rFonts w:ascii="Arial" w:hAnsi="Arial" w:cs="Arial"/>
          <w:i/>
          <w:iCs/>
          <w:sz w:val="22"/>
          <w:szCs w:val="22"/>
        </w:rPr>
        <w:t>Journal of Nursing Management</w:t>
      </w:r>
      <w:r>
        <w:rPr>
          <w:rFonts w:ascii="Arial" w:hAnsi="Arial" w:cs="Arial"/>
          <w:sz w:val="22"/>
          <w:szCs w:val="22"/>
        </w:rPr>
        <w:t>. Edited by Y. Zhang, 2023, pp. 1–8. Available at: https://doi.org/10.1155/2023/4427390.</w:t>
      </w:r>
    </w:p>
    <w:p w14:paraId="365811BB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Keddell, E. (2023) ‘Recognising the embedded child: Children’s participation, child protection inequities and cultural capital in child protection’, </w:t>
      </w:r>
      <w:r>
        <w:rPr>
          <w:rFonts w:ascii="Arial" w:hAnsi="Arial" w:cs="Arial"/>
          <w:i/>
          <w:iCs/>
          <w:sz w:val="22"/>
          <w:szCs w:val="22"/>
        </w:rPr>
        <w:t>Children and Youth Services Review</w:t>
      </w:r>
      <w:r>
        <w:rPr>
          <w:rFonts w:ascii="Arial" w:hAnsi="Arial" w:cs="Arial"/>
          <w:sz w:val="22"/>
          <w:szCs w:val="22"/>
        </w:rPr>
        <w:t>, 147, p. 106815. Available at: https://doi.org/10.1016/j.childyouth.2023.106815.</w:t>
      </w:r>
    </w:p>
    <w:p w14:paraId="6BACF372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Liu, W. </w:t>
      </w:r>
      <w:r>
        <w:rPr>
          <w:rFonts w:ascii="Arial" w:hAnsi="Arial" w:cs="Arial"/>
          <w:i/>
          <w:iCs/>
          <w:sz w:val="22"/>
          <w:szCs w:val="22"/>
        </w:rPr>
        <w:t>et al.</w:t>
      </w:r>
      <w:r>
        <w:rPr>
          <w:rFonts w:ascii="Arial" w:hAnsi="Arial" w:cs="Arial"/>
          <w:sz w:val="22"/>
          <w:szCs w:val="22"/>
        </w:rPr>
        <w:t xml:space="preserve"> (2025) ‘Optimizing mealtime care and outcomes for people with dementia and their caregivers: A systematic review and meta</w:t>
      </w:r>
      <w:r>
        <w:rPr>
          <w:rFonts w:ascii="Cambria Math" w:hAnsi="Cambria Math" w:cs="Cambria Math"/>
          <w:sz w:val="22"/>
          <w:szCs w:val="22"/>
        </w:rPr>
        <w:t>‐</w:t>
      </w:r>
      <w:r>
        <w:rPr>
          <w:rFonts w:ascii="Arial" w:hAnsi="Arial" w:cs="Arial"/>
          <w:sz w:val="22"/>
          <w:szCs w:val="22"/>
        </w:rPr>
        <w:t xml:space="preserve">analysis of intervention studies’, </w:t>
      </w:r>
      <w:r>
        <w:rPr>
          <w:rFonts w:ascii="Arial" w:hAnsi="Arial" w:cs="Arial"/>
          <w:i/>
          <w:iCs/>
          <w:sz w:val="22"/>
          <w:szCs w:val="22"/>
        </w:rPr>
        <w:t>Alzheimer s &amp; Dementia</w:t>
      </w:r>
      <w:r>
        <w:rPr>
          <w:rFonts w:ascii="Arial" w:hAnsi="Arial" w:cs="Arial"/>
          <w:sz w:val="22"/>
          <w:szCs w:val="22"/>
        </w:rPr>
        <w:t>, 21(3). Available at: https://doi.org/10.1002/alz.14522.</w:t>
      </w:r>
    </w:p>
    <w:p w14:paraId="65044550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Margot-Cattin, I. </w:t>
      </w:r>
      <w:r>
        <w:rPr>
          <w:rFonts w:ascii="Arial" w:hAnsi="Arial" w:cs="Arial"/>
          <w:i/>
          <w:iCs/>
          <w:sz w:val="22"/>
          <w:szCs w:val="22"/>
        </w:rPr>
        <w:t>et al.</w:t>
      </w:r>
      <w:r>
        <w:rPr>
          <w:rFonts w:ascii="Arial" w:hAnsi="Arial" w:cs="Arial"/>
          <w:sz w:val="22"/>
          <w:szCs w:val="22"/>
        </w:rPr>
        <w:t xml:space="preserve"> (2021) ‘Familiarity and participation outside home for persons living with dementia’, </w:t>
      </w:r>
      <w:r>
        <w:rPr>
          <w:rFonts w:ascii="Arial" w:hAnsi="Arial" w:cs="Arial"/>
          <w:i/>
          <w:iCs/>
          <w:sz w:val="22"/>
          <w:szCs w:val="22"/>
        </w:rPr>
        <w:t>Dementia</w:t>
      </w:r>
      <w:r>
        <w:rPr>
          <w:rFonts w:ascii="Arial" w:hAnsi="Arial" w:cs="Arial"/>
          <w:sz w:val="22"/>
          <w:szCs w:val="22"/>
        </w:rPr>
        <w:t>, 20(7), pp. 2526–2541. Available at: https://doi.org/10.1177/14713012211002030.</w:t>
      </w:r>
    </w:p>
    <w:p w14:paraId="6FE3F34A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Ostlund, B.D. </w:t>
      </w:r>
      <w:r>
        <w:rPr>
          <w:rFonts w:ascii="Arial" w:hAnsi="Arial" w:cs="Arial"/>
          <w:i/>
          <w:iCs/>
          <w:sz w:val="22"/>
          <w:szCs w:val="22"/>
        </w:rPr>
        <w:t>et al.</w:t>
      </w:r>
      <w:r>
        <w:rPr>
          <w:rFonts w:ascii="Arial" w:hAnsi="Arial" w:cs="Arial"/>
          <w:sz w:val="22"/>
          <w:szCs w:val="22"/>
        </w:rPr>
        <w:t xml:space="preserve"> (2016) ‘Shaping emotion regulation: attunement, symptomatology, and stress recovery within mother-infant dyads’, </w:t>
      </w:r>
      <w:r>
        <w:rPr>
          <w:rFonts w:ascii="Arial" w:hAnsi="Arial" w:cs="Arial"/>
          <w:i/>
          <w:iCs/>
          <w:sz w:val="22"/>
          <w:szCs w:val="22"/>
        </w:rPr>
        <w:t>Developmental Psychobiology</w:t>
      </w:r>
      <w:r>
        <w:rPr>
          <w:rFonts w:ascii="Arial" w:hAnsi="Arial" w:cs="Arial"/>
          <w:sz w:val="22"/>
          <w:szCs w:val="22"/>
        </w:rPr>
        <w:t>, 59(1), pp. 15–25. Available at: https://doi.org/10.1002/dev.21448.</w:t>
      </w:r>
    </w:p>
    <w:p w14:paraId="16F946EF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Ramakrishnan, C. and Malhotra, C. (2025) ‘Challenges to accessing community dementia care services: a qualitative study’, </w:t>
      </w:r>
      <w:r>
        <w:rPr>
          <w:rFonts w:ascii="Arial" w:hAnsi="Arial" w:cs="Arial"/>
          <w:i/>
          <w:iCs/>
          <w:sz w:val="22"/>
          <w:szCs w:val="22"/>
        </w:rPr>
        <w:t>BMC Health Services Research</w:t>
      </w:r>
      <w:r>
        <w:rPr>
          <w:rFonts w:ascii="Arial" w:hAnsi="Arial" w:cs="Arial"/>
          <w:sz w:val="22"/>
          <w:szCs w:val="22"/>
        </w:rPr>
        <w:t>, 25(1). Available at: https://doi.org/10.1186/s12913-025-12895-3.</w:t>
      </w:r>
    </w:p>
    <w:p w14:paraId="74230B9F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Reader, T.W. and Gillespie, A. (2013) ‘Patient Neglect in Healthcare institutions: a Systematic Review and Conceptual Model’, </w:t>
      </w:r>
      <w:r>
        <w:rPr>
          <w:rFonts w:ascii="Arial" w:hAnsi="Arial" w:cs="Arial"/>
          <w:i/>
          <w:iCs/>
          <w:sz w:val="22"/>
          <w:szCs w:val="22"/>
        </w:rPr>
        <w:t>BMC Health Services Research</w:t>
      </w:r>
      <w:r>
        <w:rPr>
          <w:rFonts w:ascii="Arial" w:hAnsi="Arial" w:cs="Arial"/>
          <w:sz w:val="22"/>
          <w:szCs w:val="22"/>
        </w:rPr>
        <w:t>, 13(1). Available at: https://doi.org/10.1186/1472-6963-13-156.</w:t>
      </w:r>
    </w:p>
    <w:p w14:paraId="7F81D9EE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Sailian, S.D., Salifu, Y. and Preston, N. (2024) ‘Dignity enhanced through faith &amp; family support in palliative care: a qualitative study’, </w:t>
      </w:r>
      <w:r>
        <w:rPr>
          <w:rFonts w:ascii="Arial" w:hAnsi="Arial" w:cs="Arial"/>
          <w:i/>
          <w:iCs/>
          <w:sz w:val="22"/>
          <w:szCs w:val="22"/>
        </w:rPr>
        <w:t>BMC Palliative Care</w:t>
      </w:r>
      <w:r>
        <w:rPr>
          <w:rFonts w:ascii="Arial" w:hAnsi="Arial" w:cs="Arial"/>
          <w:sz w:val="22"/>
          <w:szCs w:val="22"/>
        </w:rPr>
        <w:t>, 23(1), p. 142. Available at: https://doi.org/10.1186/s12904-024-01478-4.</w:t>
      </w:r>
    </w:p>
    <w:p w14:paraId="33927360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Sailian, S.D., Salifu, Y. and Preston, N. (2025) ‘Family caregivers’ role in dignity: A qualitative study can we change the title to : Dignity in Serious Illness: A Qualitative Exploration of Family Caregivers’ Contributions in low middle-income country’, </w:t>
      </w:r>
      <w:r>
        <w:rPr>
          <w:rFonts w:ascii="Arial" w:hAnsi="Arial" w:cs="Arial"/>
          <w:i/>
          <w:iCs/>
          <w:sz w:val="22"/>
          <w:szCs w:val="22"/>
        </w:rPr>
        <w:t>Palliative &amp; supportive care</w:t>
      </w:r>
      <w:r>
        <w:rPr>
          <w:rFonts w:ascii="Arial" w:hAnsi="Arial" w:cs="Arial"/>
          <w:sz w:val="22"/>
          <w:szCs w:val="22"/>
        </w:rPr>
        <w:t>, 23, p. e61. Available at: https://doi.org/10.1017/S1478951525000100.</w:t>
      </w:r>
    </w:p>
    <w:p w14:paraId="146103B8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Smebye, K.L., Kirkevold, M. and Engedal, K. (2016) ‘Ethical dilemmas concerning autonomy when persons with dementia wish to live at home: a qualitative, hermeneutic study’, </w:t>
      </w:r>
      <w:r>
        <w:rPr>
          <w:rFonts w:ascii="Arial" w:hAnsi="Arial" w:cs="Arial"/>
          <w:i/>
          <w:iCs/>
          <w:sz w:val="22"/>
          <w:szCs w:val="22"/>
        </w:rPr>
        <w:t>BMC Health Services Research</w:t>
      </w:r>
      <w:r>
        <w:rPr>
          <w:rFonts w:ascii="Arial" w:hAnsi="Arial" w:cs="Arial"/>
          <w:sz w:val="22"/>
          <w:szCs w:val="22"/>
        </w:rPr>
        <w:t>, 16(1). Available at: https://doi.org/10.1186/s12913-015-1217-1.</w:t>
      </w:r>
    </w:p>
    <w:p w14:paraId="68D85526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Utz, R.L. (2022) ‘Caregiver Respite: an Essential Component of Home- and Community-Based Long-Term Care’, </w:t>
      </w:r>
      <w:r>
        <w:rPr>
          <w:rFonts w:ascii="Arial" w:hAnsi="Arial" w:cs="Arial"/>
          <w:i/>
          <w:iCs/>
          <w:sz w:val="22"/>
          <w:szCs w:val="22"/>
        </w:rPr>
        <w:t>Journal of the American Medical Directors Association</w:t>
      </w:r>
      <w:r>
        <w:rPr>
          <w:rFonts w:ascii="Arial" w:hAnsi="Arial" w:cs="Arial"/>
          <w:sz w:val="22"/>
          <w:szCs w:val="22"/>
        </w:rPr>
        <w:t>, 23(2), pp. 320–321. Available at: https://doi.org/10.1016/j.jamda.2021.12.020.</w:t>
      </w:r>
    </w:p>
    <w:p w14:paraId="4E47928F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Wolfe, S.E. </w:t>
      </w:r>
      <w:r>
        <w:rPr>
          <w:rFonts w:ascii="Arial" w:hAnsi="Arial" w:cs="Arial"/>
          <w:i/>
          <w:iCs/>
          <w:sz w:val="22"/>
          <w:szCs w:val="22"/>
        </w:rPr>
        <w:t>et al.</w:t>
      </w:r>
      <w:r>
        <w:rPr>
          <w:rFonts w:ascii="Arial" w:hAnsi="Arial" w:cs="Arial"/>
          <w:sz w:val="22"/>
          <w:szCs w:val="22"/>
        </w:rPr>
        <w:t xml:space="preserve"> (2020) ‘The meaning of autonomy when living with dementia: A Q-method investigation’, </w:t>
      </w:r>
      <w:r>
        <w:rPr>
          <w:rFonts w:ascii="Arial" w:hAnsi="Arial" w:cs="Arial"/>
          <w:i/>
          <w:iCs/>
          <w:sz w:val="22"/>
          <w:szCs w:val="22"/>
        </w:rPr>
        <w:t>Dementia</w:t>
      </w:r>
      <w:r>
        <w:rPr>
          <w:rFonts w:ascii="Arial" w:hAnsi="Arial" w:cs="Arial"/>
          <w:sz w:val="22"/>
          <w:szCs w:val="22"/>
        </w:rPr>
        <w:t>, 20(6), p. 147130122097306. Available at: https://doi.org/10.1177/1471301220973067.</w:t>
      </w:r>
    </w:p>
    <w:p w14:paraId="2ACE462D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Woolford, M.H. </w:t>
      </w:r>
      <w:r>
        <w:rPr>
          <w:rFonts w:ascii="Arial" w:hAnsi="Arial" w:cs="Arial"/>
          <w:i/>
          <w:iCs/>
          <w:sz w:val="22"/>
          <w:szCs w:val="22"/>
        </w:rPr>
        <w:t>et al.</w:t>
      </w:r>
      <w:r>
        <w:rPr>
          <w:rFonts w:ascii="Arial" w:hAnsi="Arial" w:cs="Arial"/>
          <w:sz w:val="22"/>
          <w:szCs w:val="22"/>
        </w:rPr>
        <w:t xml:space="preserve"> (2019) ‘Applying dignity of risk principles to improve quality of life for vulnerable persons’, </w:t>
      </w:r>
      <w:r>
        <w:rPr>
          <w:rFonts w:ascii="Arial" w:hAnsi="Arial" w:cs="Arial"/>
          <w:i/>
          <w:iCs/>
          <w:sz w:val="22"/>
          <w:szCs w:val="22"/>
        </w:rPr>
        <w:t>International Journal of Geriatric Psychiatry</w:t>
      </w:r>
      <w:r>
        <w:rPr>
          <w:rFonts w:ascii="Arial" w:hAnsi="Arial" w:cs="Arial"/>
          <w:sz w:val="22"/>
          <w:szCs w:val="22"/>
        </w:rPr>
        <w:t>, 35(1), pp. 122–130.</w:t>
      </w:r>
    </w:p>
    <w:p w14:paraId="4666F81A" w14:textId="77777777" w:rsidR="00545F90" w:rsidRDefault="00545F90" w:rsidP="000E3B9F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Zhang, H.-Q. </w:t>
      </w:r>
      <w:r>
        <w:rPr>
          <w:rFonts w:ascii="Arial" w:hAnsi="Arial" w:cs="Arial"/>
          <w:i/>
          <w:iCs/>
          <w:sz w:val="22"/>
          <w:szCs w:val="22"/>
        </w:rPr>
        <w:t>et al.</w:t>
      </w:r>
      <w:r>
        <w:rPr>
          <w:rFonts w:ascii="Arial" w:hAnsi="Arial" w:cs="Arial"/>
          <w:sz w:val="22"/>
          <w:szCs w:val="22"/>
        </w:rPr>
        <w:t xml:space="preserve"> (2024) ‘Caregiving risk perception characteristics and associated factors among informal caregivers of functionally dependent elderly individuals at home: a qualitative study’, </w:t>
      </w:r>
      <w:r>
        <w:rPr>
          <w:rFonts w:ascii="Arial" w:hAnsi="Arial" w:cs="Arial"/>
          <w:i/>
          <w:iCs/>
          <w:sz w:val="22"/>
          <w:szCs w:val="22"/>
        </w:rPr>
        <w:t>BMC Nursing</w:t>
      </w:r>
      <w:r>
        <w:rPr>
          <w:rFonts w:ascii="Arial" w:hAnsi="Arial" w:cs="Arial"/>
          <w:sz w:val="22"/>
          <w:szCs w:val="22"/>
        </w:rPr>
        <w:t>, 23(1). Available at: https://doi.org/10.1186/s12912-024-02211-5.</w:t>
      </w:r>
    </w:p>
    <w:p w14:paraId="7502346E" w14:textId="77777777" w:rsidR="00F77741" w:rsidRPr="00F77741" w:rsidRDefault="00F77741" w:rsidP="00545F90">
      <w:pPr>
        <w:pStyle w:val="NormalWeb"/>
        <w:spacing w:before="0" w:beforeAutospacing="0" w:after="240" w:afterAutospacing="0" w:line="360" w:lineRule="auto"/>
        <w:jc w:val="both"/>
      </w:pPr>
    </w:p>
    <w:sectPr w:rsidR="00F77741" w:rsidRPr="00F777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4162"/>
    <w:rsid w:val="000363C5"/>
    <w:rsid w:val="000B743B"/>
    <w:rsid w:val="000E3B9F"/>
    <w:rsid w:val="00271CD2"/>
    <w:rsid w:val="002A5235"/>
    <w:rsid w:val="00340028"/>
    <w:rsid w:val="00390729"/>
    <w:rsid w:val="00437888"/>
    <w:rsid w:val="00461624"/>
    <w:rsid w:val="004E52F7"/>
    <w:rsid w:val="004E5549"/>
    <w:rsid w:val="005378FD"/>
    <w:rsid w:val="00545F90"/>
    <w:rsid w:val="007F4162"/>
    <w:rsid w:val="00804503"/>
    <w:rsid w:val="009B14D7"/>
    <w:rsid w:val="009D06BD"/>
    <w:rsid w:val="00BC507B"/>
    <w:rsid w:val="00BE4882"/>
    <w:rsid w:val="00D95A10"/>
    <w:rsid w:val="00E947F1"/>
    <w:rsid w:val="00F77741"/>
    <w:rsid w:val="00FB6C67"/>
    <w:rsid w:val="00FD5D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CA3152"/>
  <w15:chartTrackingRefBased/>
  <w15:docId w15:val="{402561DE-B108-DD48-8740-050B05E5F2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7741"/>
    <w:rPr>
      <w:rFonts w:asciiTheme="majorBidi" w:hAnsiTheme="majorBidi"/>
    </w:rPr>
  </w:style>
  <w:style w:type="paragraph" w:styleId="Heading1">
    <w:name w:val="heading 1"/>
    <w:basedOn w:val="Normal"/>
    <w:next w:val="Normal"/>
    <w:link w:val="Heading1Char"/>
    <w:uiPriority w:val="9"/>
    <w:qFormat/>
    <w:rsid w:val="00461624"/>
    <w:pPr>
      <w:keepNext/>
      <w:keepLines/>
      <w:spacing w:before="360" w:after="80"/>
      <w:outlineLvl w:val="0"/>
    </w:pPr>
    <w:rPr>
      <w:rFonts w:eastAsiaTheme="majorEastAsia" w:cstheme="majorBidi"/>
      <w:b/>
      <w:color w:val="0F4761" w:themeColor="accent1" w:themeShade="BF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B6C67"/>
    <w:pPr>
      <w:keepNext/>
      <w:keepLines/>
      <w:spacing w:before="160" w:after="80"/>
      <w:outlineLvl w:val="1"/>
    </w:pPr>
    <w:rPr>
      <w:rFonts w:eastAsiaTheme="majorEastAsia" w:cstheme="majorBidi"/>
      <w:b/>
      <w:color w:val="0F4761" w:themeColor="accent1" w:themeShade="BF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E4882"/>
    <w:pPr>
      <w:keepNext/>
      <w:keepLines/>
      <w:spacing w:before="160" w:after="80"/>
      <w:outlineLvl w:val="2"/>
    </w:pPr>
    <w:rPr>
      <w:rFonts w:eastAsiaTheme="majorEastAsia" w:cstheme="majorBidi"/>
      <w:b/>
      <w:i/>
      <w:color w:val="0F4761" w:themeColor="accent1" w:themeShade="BF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4162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4162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4162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4162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4162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4162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1624"/>
    <w:rPr>
      <w:rFonts w:asciiTheme="majorBidi" w:eastAsiaTheme="majorEastAsia" w:hAnsiTheme="majorBidi" w:cstheme="majorBidi"/>
      <w:b/>
      <w:color w:val="0F4761" w:themeColor="accent1" w:themeShade="BF"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B6C67"/>
    <w:rPr>
      <w:rFonts w:asciiTheme="majorBidi" w:eastAsiaTheme="majorEastAsia" w:hAnsiTheme="majorBidi" w:cstheme="majorBidi"/>
      <w:b/>
      <w:color w:val="0F4761" w:themeColor="accent1" w:themeShade="BF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E4882"/>
    <w:rPr>
      <w:rFonts w:asciiTheme="majorBidi" w:eastAsiaTheme="majorEastAsia" w:hAnsiTheme="majorBidi" w:cstheme="majorBidi"/>
      <w:b/>
      <w:i/>
      <w:color w:val="0F4761" w:themeColor="accent1" w:themeShade="BF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416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416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416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416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416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416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416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416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4162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416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416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4162"/>
    <w:rPr>
      <w:rFonts w:asciiTheme="majorBidi" w:hAnsiTheme="majorBidi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416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416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416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4162"/>
    <w:rPr>
      <w:rFonts w:asciiTheme="majorBidi" w:hAnsiTheme="majorBidi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4162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F777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743</Words>
  <Characters>4236</Characters>
  <Application>Microsoft Office Word</Application>
  <DocSecurity>0</DocSecurity>
  <Lines>35</Lines>
  <Paragraphs>9</Paragraphs>
  <ScaleCrop>false</ScaleCrop>
  <Company/>
  <LinksUpToDate>false</LinksUpToDate>
  <CharactersWithSpaces>4970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WORD FILE</dc:creator>
  <cp:keywords/>
  <dc:description/>
  <cp:lastModifiedBy>Rabina Bi (2235612)</cp:lastModifiedBy>
  <cp:revision>7</cp:revision>
  <dcterms:created xsi:type="dcterms:W3CDTF">2025-10-21T08:17:00Z</dcterms:created>
  <dcterms:modified xsi:type="dcterms:W3CDTF">2025-10-30T14:21:00Z</dcterms:modified>
</cp:coreProperties>
</file>