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6B562" w14:textId="77777777" w:rsidR="000634E1" w:rsidRPr="00280031" w:rsidRDefault="000634E1" w:rsidP="000634E1">
      <w:pPr>
        <w:spacing w:before="240" w:after="240" w:line="360" w:lineRule="auto"/>
        <w:jc w:val="both"/>
        <w:rPr>
          <w:b/>
          <w:bCs/>
          <w:sz w:val="22"/>
          <w:szCs w:val="22"/>
          <w:u w:val="single"/>
          <w:lang w:val="en-US"/>
        </w:rPr>
      </w:pPr>
      <w:bookmarkStart w:id="0" w:name="OLE_LINK14"/>
      <w:bookmarkStart w:id="1" w:name="OLE_LINK15"/>
      <w:bookmarkStart w:id="2" w:name="OLE_LINK16"/>
    </w:p>
    <w:p w14:paraId="68D9632A" w14:textId="77777777" w:rsidR="000634E1" w:rsidRPr="00280031" w:rsidRDefault="000634E1" w:rsidP="000634E1">
      <w:pPr>
        <w:spacing w:before="240" w:after="240" w:line="360" w:lineRule="auto"/>
        <w:jc w:val="both"/>
        <w:rPr>
          <w:b/>
          <w:bCs/>
          <w:sz w:val="22"/>
          <w:szCs w:val="22"/>
          <w:u w:val="single"/>
        </w:rPr>
      </w:pPr>
    </w:p>
    <w:p w14:paraId="76BE380B" w14:textId="77777777" w:rsidR="000634E1" w:rsidRPr="00280031" w:rsidRDefault="000634E1" w:rsidP="000634E1">
      <w:pPr>
        <w:spacing w:before="240" w:after="240" w:line="360" w:lineRule="auto"/>
        <w:jc w:val="center"/>
        <w:rPr>
          <w:b/>
          <w:bCs/>
          <w:sz w:val="22"/>
          <w:szCs w:val="22"/>
          <w:u w:val="single"/>
          <w:lang w:val="en-US"/>
        </w:rPr>
      </w:pPr>
      <w:r w:rsidRPr="0035546A">
        <w:rPr>
          <w:rFonts w:eastAsiaTheme="minorHAnsi"/>
          <w:noProof/>
          <w:sz w:val="22"/>
          <w:szCs w:val="22"/>
          <w:u w:val="single"/>
          <w:lang w:val="en-US"/>
        </w:rPr>
        <w:drawing>
          <wp:inline distT="0" distB="0" distL="0" distR="0" wp14:anchorId="68EF1E33" wp14:editId="38666CC2">
            <wp:extent cx="3208020" cy="1432560"/>
            <wp:effectExtent l="0" t="0" r="0" b="0"/>
            <wp:docPr id="869433285" name="Picture 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7A78EC83" w14:textId="77777777" w:rsidR="000634E1" w:rsidRPr="0035546A" w:rsidRDefault="000634E1" w:rsidP="000634E1">
      <w:pPr>
        <w:spacing w:before="240" w:after="240" w:line="360" w:lineRule="auto"/>
        <w:rPr>
          <w:b/>
          <w:bCs/>
          <w:sz w:val="28"/>
          <w:szCs w:val="28"/>
          <w:u w:val="single"/>
        </w:rPr>
      </w:pPr>
    </w:p>
    <w:p w14:paraId="0C165ACC" w14:textId="77777777" w:rsidR="000634E1" w:rsidRPr="0035546A" w:rsidRDefault="000634E1" w:rsidP="000634E1">
      <w:pPr>
        <w:spacing w:before="240" w:after="240" w:line="360" w:lineRule="auto"/>
        <w:jc w:val="center"/>
        <w:rPr>
          <w:rFonts w:ascii="Arial" w:hAnsi="Arial" w:cs="Arial"/>
          <w:b/>
          <w:bCs/>
          <w:sz w:val="28"/>
          <w:szCs w:val="28"/>
        </w:rPr>
      </w:pPr>
      <w:r w:rsidRPr="00B50D51">
        <w:rPr>
          <w:rFonts w:ascii="Arial" w:hAnsi="Arial" w:cs="Arial"/>
          <w:b/>
          <w:bCs/>
          <w:sz w:val="28"/>
          <w:szCs w:val="28"/>
        </w:rPr>
        <w:t>Psychopathological Classifications and Provisions (BMHP6029_BIRM)</w:t>
      </w:r>
    </w:p>
    <w:p w14:paraId="50A60BAA" w14:textId="77777777" w:rsidR="000634E1" w:rsidRPr="0035546A" w:rsidRDefault="000634E1" w:rsidP="000634E1">
      <w:pPr>
        <w:spacing w:before="240" w:after="240" w:line="360" w:lineRule="auto"/>
        <w:jc w:val="center"/>
        <w:rPr>
          <w:b/>
          <w:bCs/>
          <w:sz w:val="28"/>
          <w:szCs w:val="28"/>
          <w:u w:val="single"/>
        </w:rPr>
      </w:pPr>
    </w:p>
    <w:p w14:paraId="0D1A6482" w14:textId="77777777" w:rsidR="000634E1" w:rsidRPr="0035546A" w:rsidRDefault="000634E1" w:rsidP="000634E1">
      <w:pPr>
        <w:spacing w:before="240" w:after="240" w:line="360" w:lineRule="auto"/>
        <w:jc w:val="center"/>
        <w:rPr>
          <w:rFonts w:ascii="Arial" w:hAnsi="Arial" w:cs="Arial"/>
          <w:b/>
          <w:bCs/>
          <w:sz w:val="28"/>
          <w:szCs w:val="28"/>
        </w:rPr>
      </w:pPr>
      <w:r w:rsidRPr="0035546A">
        <w:rPr>
          <w:rFonts w:ascii="Arial" w:hAnsi="Arial" w:cs="Arial"/>
          <w:b/>
          <w:bCs/>
          <w:sz w:val="28"/>
          <w:szCs w:val="28"/>
        </w:rPr>
        <w:t>Obsessive</w:t>
      </w:r>
      <w:r w:rsidRPr="0035546A">
        <w:rPr>
          <w:b/>
          <w:bCs/>
          <w:sz w:val="28"/>
          <w:szCs w:val="28"/>
        </w:rPr>
        <w:t xml:space="preserve"> - </w:t>
      </w:r>
      <w:r w:rsidRPr="0035546A">
        <w:rPr>
          <w:rFonts w:ascii="Arial" w:hAnsi="Arial" w:cs="Arial"/>
          <w:b/>
          <w:bCs/>
          <w:sz w:val="28"/>
          <w:szCs w:val="28"/>
        </w:rPr>
        <w:t>Compulsive Disorder: A Critical Examination of Classification, Treatment, and Policy within the UK Healthcare System</w:t>
      </w:r>
    </w:p>
    <w:p w14:paraId="488E8A58" w14:textId="77777777" w:rsidR="000634E1" w:rsidRPr="00B50D51" w:rsidRDefault="000634E1" w:rsidP="000634E1">
      <w:pPr>
        <w:spacing w:before="240" w:after="240" w:line="360" w:lineRule="auto"/>
        <w:jc w:val="center"/>
        <w:rPr>
          <w:b/>
          <w:bCs/>
          <w:sz w:val="28"/>
          <w:szCs w:val="28"/>
          <w:u w:val="single"/>
        </w:rPr>
      </w:pPr>
    </w:p>
    <w:p w14:paraId="1F5E37E0" w14:textId="77777777" w:rsidR="000634E1" w:rsidRPr="00280031" w:rsidRDefault="000634E1" w:rsidP="000634E1">
      <w:pPr>
        <w:spacing w:before="240" w:after="240" w:line="360" w:lineRule="auto"/>
        <w:jc w:val="center"/>
        <w:rPr>
          <w:b/>
          <w:bCs/>
          <w:sz w:val="28"/>
          <w:szCs w:val="28"/>
        </w:rPr>
      </w:pPr>
      <w:r w:rsidRPr="00280031">
        <w:rPr>
          <w:b/>
          <w:bCs/>
          <w:sz w:val="28"/>
          <w:szCs w:val="28"/>
        </w:rPr>
        <w:t xml:space="preserve">Component </w:t>
      </w:r>
      <w:r w:rsidRPr="0035546A">
        <w:rPr>
          <w:b/>
          <w:bCs/>
          <w:sz w:val="28"/>
          <w:szCs w:val="28"/>
        </w:rPr>
        <w:t>2</w:t>
      </w:r>
      <w:r w:rsidRPr="00280031">
        <w:rPr>
          <w:b/>
          <w:bCs/>
          <w:sz w:val="28"/>
          <w:szCs w:val="28"/>
        </w:rPr>
        <w:t>: Report</w:t>
      </w:r>
    </w:p>
    <w:p w14:paraId="7C92410C" w14:textId="77777777" w:rsidR="000634E1" w:rsidRPr="00280031" w:rsidRDefault="000634E1" w:rsidP="000634E1">
      <w:pPr>
        <w:spacing w:before="240" w:after="240" w:line="360" w:lineRule="auto"/>
        <w:jc w:val="both"/>
        <w:rPr>
          <w:b/>
          <w:bCs/>
          <w:sz w:val="28"/>
          <w:szCs w:val="28"/>
          <w:u w:val="single"/>
        </w:rPr>
      </w:pPr>
    </w:p>
    <w:p w14:paraId="11D65DCD" w14:textId="77777777" w:rsidR="000634E1" w:rsidRPr="00280031" w:rsidRDefault="000634E1" w:rsidP="000634E1">
      <w:pPr>
        <w:spacing w:before="240" w:after="240" w:line="360" w:lineRule="auto"/>
        <w:jc w:val="center"/>
        <w:rPr>
          <w:b/>
          <w:bCs/>
          <w:sz w:val="28"/>
          <w:szCs w:val="28"/>
        </w:rPr>
      </w:pPr>
      <w:r w:rsidRPr="00280031">
        <w:rPr>
          <w:b/>
          <w:bCs/>
          <w:sz w:val="28"/>
          <w:szCs w:val="28"/>
        </w:rPr>
        <w:t>Thara Bi (2243859)</w:t>
      </w:r>
    </w:p>
    <w:p w14:paraId="67D93F70" w14:textId="77777777" w:rsidR="000634E1" w:rsidRPr="00280031" w:rsidRDefault="000634E1" w:rsidP="000634E1">
      <w:pPr>
        <w:spacing w:before="240" w:after="240" w:line="360" w:lineRule="auto"/>
        <w:jc w:val="both"/>
        <w:rPr>
          <w:b/>
          <w:bCs/>
          <w:sz w:val="28"/>
          <w:szCs w:val="28"/>
          <w:u w:val="single"/>
        </w:rPr>
      </w:pPr>
    </w:p>
    <w:p w14:paraId="14638DD9" w14:textId="77777777" w:rsidR="000634E1" w:rsidRPr="00280031" w:rsidRDefault="000634E1" w:rsidP="000634E1">
      <w:pPr>
        <w:spacing w:before="240" w:after="240" w:line="360" w:lineRule="auto"/>
        <w:jc w:val="center"/>
        <w:rPr>
          <w:b/>
          <w:bCs/>
          <w:sz w:val="28"/>
          <w:szCs w:val="28"/>
        </w:rPr>
      </w:pPr>
      <w:r w:rsidRPr="0035546A">
        <w:rPr>
          <w:b/>
          <w:bCs/>
          <w:sz w:val="28"/>
          <w:szCs w:val="28"/>
        </w:rPr>
        <w:t>Neale Haddon</w:t>
      </w:r>
    </w:p>
    <w:p w14:paraId="4A456F5C" w14:textId="77777777" w:rsidR="000634E1" w:rsidRPr="0035546A" w:rsidRDefault="000634E1" w:rsidP="000634E1">
      <w:pPr>
        <w:spacing w:before="240" w:after="240" w:line="360" w:lineRule="auto"/>
        <w:rPr>
          <w:b/>
          <w:bCs/>
          <w:sz w:val="28"/>
          <w:szCs w:val="28"/>
          <w:u w:val="single"/>
        </w:rPr>
      </w:pPr>
    </w:p>
    <w:p w14:paraId="64CDF8BB" w14:textId="77777777" w:rsidR="000634E1" w:rsidRPr="004F4EDF" w:rsidRDefault="000634E1" w:rsidP="000634E1">
      <w:pPr>
        <w:spacing w:before="240" w:after="240" w:line="360" w:lineRule="auto"/>
        <w:jc w:val="center"/>
        <w:rPr>
          <w:b/>
          <w:bCs/>
          <w:sz w:val="28"/>
          <w:szCs w:val="28"/>
          <w:u w:val="single"/>
        </w:rPr>
      </w:pPr>
      <w:r w:rsidRPr="0035546A">
        <w:rPr>
          <w:b/>
          <w:bCs/>
          <w:sz w:val="28"/>
          <w:szCs w:val="28"/>
        </w:rPr>
        <w:t>29 March 2026</w:t>
      </w:r>
      <w:r>
        <w:rPr>
          <w:rFonts w:ascii="Arial" w:hAnsi="Arial" w:cs="Arial"/>
          <w:b/>
          <w:bCs/>
          <w:sz w:val="22"/>
          <w:szCs w:val="22"/>
          <w:u w:val="single"/>
        </w:rPr>
        <w:br w:type="page"/>
      </w:r>
    </w:p>
    <w:bookmarkStart w:id="3" w:name="_Toc224588475" w:displacedByCustomXml="next"/>
    <w:bookmarkStart w:id="4" w:name="_Toc224594625" w:displacedByCustomXml="next"/>
    <w:sdt>
      <w:sdtPr>
        <w:rPr>
          <w:rFonts w:ascii="Times New Roman" w:eastAsia="Times New Roman" w:hAnsi="Times New Roman" w:cs="Times New Roman"/>
          <w:color w:val="auto"/>
          <w:sz w:val="20"/>
          <w:szCs w:val="20"/>
        </w:rPr>
        <w:id w:val="-1428876199"/>
        <w:docPartObj>
          <w:docPartGallery w:val="Table of Contents"/>
          <w:docPartUnique/>
        </w:docPartObj>
      </w:sdtPr>
      <w:sdtEndPr>
        <w:rPr>
          <w:b/>
          <w:bCs/>
        </w:rPr>
      </w:sdtEndPr>
      <w:sdtContent>
        <w:p w14:paraId="4CCC15BE" w14:textId="77777777" w:rsidR="000634E1" w:rsidRPr="003877CD" w:rsidRDefault="000634E1" w:rsidP="000634E1">
          <w:pPr>
            <w:pStyle w:val="TOCHeading"/>
            <w:spacing w:line="360" w:lineRule="auto"/>
            <w:rPr>
              <w:rFonts w:ascii="Arial" w:hAnsi="Arial" w:cs="Arial"/>
              <w:b/>
              <w:bCs/>
              <w:color w:val="auto"/>
              <w:sz w:val="22"/>
              <w:szCs w:val="22"/>
            </w:rPr>
          </w:pPr>
          <w:r w:rsidRPr="003877CD">
            <w:rPr>
              <w:rFonts w:ascii="Arial" w:hAnsi="Arial" w:cs="Arial"/>
              <w:b/>
              <w:bCs/>
              <w:color w:val="auto"/>
              <w:sz w:val="22"/>
              <w:szCs w:val="22"/>
            </w:rPr>
            <w:t>Contents</w:t>
          </w:r>
        </w:p>
        <w:p w14:paraId="6799C4C3" w14:textId="2EBCB3D2" w:rsidR="008F49F5" w:rsidRDefault="000634E1">
          <w:pPr>
            <w:pStyle w:val="TOC1"/>
            <w:tabs>
              <w:tab w:val="right" w:leader="dot" w:pos="9016"/>
            </w:tabs>
            <w:rPr>
              <w:rFonts w:asciiTheme="minorHAnsi" w:eastAsiaTheme="minorEastAsia" w:hAnsiTheme="minorHAnsi" w:cstheme="minorBidi"/>
              <w:noProof/>
              <w:kern w:val="2"/>
              <w:sz w:val="24"/>
              <w:szCs w:val="24"/>
              <w14:ligatures w14:val="standardContextual"/>
            </w:rPr>
          </w:pPr>
          <w:r w:rsidRPr="00187DDF">
            <w:rPr>
              <w:rFonts w:ascii="Arial" w:hAnsi="Arial" w:cs="Arial"/>
              <w:sz w:val="22"/>
              <w:szCs w:val="22"/>
            </w:rPr>
            <w:fldChar w:fldCharType="begin"/>
          </w:r>
          <w:r w:rsidRPr="00187DDF">
            <w:rPr>
              <w:rFonts w:ascii="Arial" w:hAnsi="Arial" w:cs="Arial"/>
              <w:sz w:val="22"/>
              <w:szCs w:val="22"/>
            </w:rPr>
            <w:instrText xml:space="preserve"> TOC \o "1-3" \h \z \u </w:instrText>
          </w:r>
          <w:r w:rsidRPr="00187DDF">
            <w:rPr>
              <w:rFonts w:ascii="Arial" w:hAnsi="Arial" w:cs="Arial"/>
              <w:sz w:val="22"/>
              <w:szCs w:val="22"/>
            </w:rPr>
            <w:fldChar w:fldCharType="separate"/>
          </w:r>
          <w:hyperlink w:anchor="_Toc224684697" w:history="1">
            <w:r w:rsidR="008F49F5" w:rsidRPr="00BA00D3">
              <w:rPr>
                <w:rStyle w:val="Hyperlink"/>
                <w:rFonts w:ascii="Arial" w:hAnsi="Arial" w:cs="Arial"/>
                <w:b/>
                <w:bCs/>
                <w:noProof/>
              </w:rPr>
              <w:t>Introduction</w:t>
            </w:r>
            <w:r w:rsidR="008F49F5">
              <w:rPr>
                <w:noProof/>
                <w:webHidden/>
              </w:rPr>
              <w:tab/>
            </w:r>
            <w:r w:rsidR="008F49F5">
              <w:rPr>
                <w:noProof/>
                <w:webHidden/>
              </w:rPr>
              <w:fldChar w:fldCharType="begin"/>
            </w:r>
            <w:r w:rsidR="008F49F5">
              <w:rPr>
                <w:noProof/>
                <w:webHidden/>
              </w:rPr>
              <w:instrText xml:space="preserve"> PAGEREF _Toc224684697 \h </w:instrText>
            </w:r>
            <w:r w:rsidR="008F49F5">
              <w:rPr>
                <w:noProof/>
                <w:webHidden/>
              </w:rPr>
            </w:r>
            <w:r w:rsidR="008F49F5">
              <w:rPr>
                <w:noProof/>
                <w:webHidden/>
              </w:rPr>
              <w:fldChar w:fldCharType="separate"/>
            </w:r>
            <w:r w:rsidR="008F49F5">
              <w:rPr>
                <w:noProof/>
                <w:webHidden/>
              </w:rPr>
              <w:t>3</w:t>
            </w:r>
            <w:r w:rsidR="008F49F5">
              <w:rPr>
                <w:noProof/>
                <w:webHidden/>
              </w:rPr>
              <w:fldChar w:fldCharType="end"/>
            </w:r>
          </w:hyperlink>
        </w:p>
        <w:p w14:paraId="111E6ADF" w14:textId="1DE935B0"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698" w:history="1">
            <w:r w:rsidRPr="00BA00D3">
              <w:rPr>
                <w:rStyle w:val="Hyperlink"/>
                <w:rFonts w:ascii="Arial" w:hAnsi="Arial" w:cs="Arial"/>
                <w:b/>
                <w:bCs/>
                <w:noProof/>
              </w:rPr>
              <w:t>Case Study</w:t>
            </w:r>
            <w:r>
              <w:rPr>
                <w:noProof/>
                <w:webHidden/>
              </w:rPr>
              <w:tab/>
            </w:r>
            <w:r>
              <w:rPr>
                <w:noProof/>
                <w:webHidden/>
              </w:rPr>
              <w:fldChar w:fldCharType="begin"/>
            </w:r>
            <w:r>
              <w:rPr>
                <w:noProof/>
                <w:webHidden/>
              </w:rPr>
              <w:instrText xml:space="preserve"> PAGEREF _Toc224684698 \h </w:instrText>
            </w:r>
            <w:r>
              <w:rPr>
                <w:noProof/>
                <w:webHidden/>
              </w:rPr>
            </w:r>
            <w:r>
              <w:rPr>
                <w:noProof/>
                <w:webHidden/>
              </w:rPr>
              <w:fldChar w:fldCharType="separate"/>
            </w:r>
            <w:r>
              <w:rPr>
                <w:noProof/>
                <w:webHidden/>
              </w:rPr>
              <w:t>3</w:t>
            </w:r>
            <w:r>
              <w:rPr>
                <w:noProof/>
                <w:webHidden/>
              </w:rPr>
              <w:fldChar w:fldCharType="end"/>
            </w:r>
          </w:hyperlink>
        </w:p>
        <w:p w14:paraId="56F6B46B" w14:textId="7B55F5E8"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699" w:history="1">
            <w:r w:rsidRPr="00BA00D3">
              <w:rPr>
                <w:rStyle w:val="Hyperlink"/>
                <w:rFonts w:ascii="Arial" w:hAnsi="Arial" w:cs="Arial"/>
                <w:b/>
                <w:bCs/>
                <w:noProof/>
              </w:rPr>
              <w:t>Classification and Diagnosis</w:t>
            </w:r>
            <w:r>
              <w:rPr>
                <w:noProof/>
                <w:webHidden/>
              </w:rPr>
              <w:tab/>
            </w:r>
            <w:r>
              <w:rPr>
                <w:noProof/>
                <w:webHidden/>
              </w:rPr>
              <w:fldChar w:fldCharType="begin"/>
            </w:r>
            <w:r>
              <w:rPr>
                <w:noProof/>
                <w:webHidden/>
              </w:rPr>
              <w:instrText xml:space="preserve"> PAGEREF _Toc224684699 \h </w:instrText>
            </w:r>
            <w:r>
              <w:rPr>
                <w:noProof/>
                <w:webHidden/>
              </w:rPr>
            </w:r>
            <w:r>
              <w:rPr>
                <w:noProof/>
                <w:webHidden/>
              </w:rPr>
              <w:fldChar w:fldCharType="separate"/>
            </w:r>
            <w:r>
              <w:rPr>
                <w:noProof/>
                <w:webHidden/>
              </w:rPr>
              <w:t>3</w:t>
            </w:r>
            <w:r>
              <w:rPr>
                <w:noProof/>
                <w:webHidden/>
              </w:rPr>
              <w:fldChar w:fldCharType="end"/>
            </w:r>
          </w:hyperlink>
        </w:p>
        <w:p w14:paraId="51744AAE" w14:textId="272FB78E"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0" w:history="1">
            <w:r w:rsidRPr="00BA00D3">
              <w:rPr>
                <w:rStyle w:val="Hyperlink"/>
                <w:rFonts w:ascii="Arial" w:hAnsi="Arial" w:cs="Arial"/>
                <w:b/>
                <w:bCs/>
                <w:noProof/>
              </w:rPr>
              <w:t>UK Implementation and Legal Protections</w:t>
            </w:r>
            <w:r>
              <w:rPr>
                <w:noProof/>
                <w:webHidden/>
              </w:rPr>
              <w:tab/>
            </w:r>
            <w:r>
              <w:rPr>
                <w:noProof/>
                <w:webHidden/>
              </w:rPr>
              <w:fldChar w:fldCharType="begin"/>
            </w:r>
            <w:r>
              <w:rPr>
                <w:noProof/>
                <w:webHidden/>
              </w:rPr>
              <w:instrText xml:space="preserve"> PAGEREF _Toc224684700 \h </w:instrText>
            </w:r>
            <w:r>
              <w:rPr>
                <w:noProof/>
                <w:webHidden/>
              </w:rPr>
            </w:r>
            <w:r>
              <w:rPr>
                <w:noProof/>
                <w:webHidden/>
              </w:rPr>
              <w:fldChar w:fldCharType="separate"/>
            </w:r>
            <w:r>
              <w:rPr>
                <w:noProof/>
                <w:webHidden/>
              </w:rPr>
              <w:t>4</w:t>
            </w:r>
            <w:r>
              <w:rPr>
                <w:noProof/>
                <w:webHidden/>
              </w:rPr>
              <w:fldChar w:fldCharType="end"/>
            </w:r>
          </w:hyperlink>
        </w:p>
        <w:p w14:paraId="7561DEEF" w14:textId="0D150921"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1" w:history="1">
            <w:r w:rsidRPr="00BA00D3">
              <w:rPr>
                <w:rStyle w:val="Hyperlink"/>
                <w:rFonts w:ascii="Arial" w:hAnsi="Arial" w:cs="Arial"/>
                <w:b/>
                <w:bCs/>
                <w:noProof/>
              </w:rPr>
              <w:t>Treatment Approaches</w:t>
            </w:r>
            <w:r>
              <w:rPr>
                <w:noProof/>
                <w:webHidden/>
              </w:rPr>
              <w:tab/>
            </w:r>
            <w:r>
              <w:rPr>
                <w:noProof/>
                <w:webHidden/>
              </w:rPr>
              <w:fldChar w:fldCharType="begin"/>
            </w:r>
            <w:r>
              <w:rPr>
                <w:noProof/>
                <w:webHidden/>
              </w:rPr>
              <w:instrText xml:space="preserve"> PAGEREF _Toc224684701 \h </w:instrText>
            </w:r>
            <w:r>
              <w:rPr>
                <w:noProof/>
                <w:webHidden/>
              </w:rPr>
            </w:r>
            <w:r>
              <w:rPr>
                <w:noProof/>
                <w:webHidden/>
              </w:rPr>
              <w:fldChar w:fldCharType="separate"/>
            </w:r>
            <w:r>
              <w:rPr>
                <w:noProof/>
                <w:webHidden/>
              </w:rPr>
              <w:t>5</w:t>
            </w:r>
            <w:r>
              <w:rPr>
                <w:noProof/>
                <w:webHidden/>
              </w:rPr>
              <w:fldChar w:fldCharType="end"/>
            </w:r>
          </w:hyperlink>
        </w:p>
        <w:p w14:paraId="46B25BFA" w14:textId="14035F56"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2" w:history="1">
            <w:r w:rsidRPr="00BA00D3">
              <w:rPr>
                <w:rStyle w:val="Hyperlink"/>
                <w:rFonts w:ascii="Arial" w:hAnsi="Arial" w:cs="Arial"/>
                <w:b/>
                <w:bCs/>
                <w:noProof/>
              </w:rPr>
              <w:t>Structural Barriers and Ethical Concerns</w:t>
            </w:r>
            <w:r>
              <w:rPr>
                <w:noProof/>
                <w:webHidden/>
              </w:rPr>
              <w:tab/>
            </w:r>
            <w:r>
              <w:rPr>
                <w:noProof/>
                <w:webHidden/>
              </w:rPr>
              <w:fldChar w:fldCharType="begin"/>
            </w:r>
            <w:r>
              <w:rPr>
                <w:noProof/>
                <w:webHidden/>
              </w:rPr>
              <w:instrText xml:space="preserve"> PAGEREF _Toc224684702 \h </w:instrText>
            </w:r>
            <w:r>
              <w:rPr>
                <w:noProof/>
                <w:webHidden/>
              </w:rPr>
            </w:r>
            <w:r>
              <w:rPr>
                <w:noProof/>
                <w:webHidden/>
              </w:rPr>
              <w:fldChar w:fldCharType="separate"/>
            </w:r>
            <w:r>
              <w:rPr>
                <w:noProof/>
                <w:webHidden/>
              </w:rPr>
              <w:t>5</w:t>
            </w:r>
            <w:r>
              <w:rPr>
                <w:noProof/>
                <w:webHidden/>
              </w:rPr>
              <w:fldChar w:fldCharType="end"/>
            </w:r>
          </w:hyperlink>
        </w:p>
        <w:p w14:paraId="437F680D" w14:textId="54B9F6EE"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3" w:history="1">
            <w:r w:rsidRPr="00BA00D3">
              <w:rPr>
                <w:rStyle w:val="Hyperlink"/>
                <w:rFonts w:ascii="Arial" w:hAnsi="Arial" w:cs="Arial"/>
                <w:b/>
                <w:bCs/>
                <w:noProof/>
              </w:rPr>
              <w:t>Rehabilitation and Long-Term Management</w:t>
            </w:r>
            <w:r>
              <w:rPr>
                <w:noProof/>
                <w:webHidden/>
              </w:rPr>
              <w:tab/>
            </w:r>
            <w:r>
              <w:rPr>
                <w:noProof/>
                <w:webHidden/>
              </w:rPr>
              <w:fldChar w:fldCharType="begin"/>
            </w:r>
            <w:r>
              <w:rPr>
                <w:noProof/>
                <w:webHidden/>
              </w:rPr>
              <w:instrText xml:space="preserve"> PAGEREF _Toc224684703 \h </w:instrText>
            </w:r>
            <w:r>
              <w:rPr>
                <w:noProof/>
                <w:webHidden/>
              </w:rPr>
            </w:r>
            <w:r>
              <w:rPr>
                <w:noProof/>
                <w:webHidden/>
              </w:rPr>
              <w:fldChar w:fldCharType="separate"/>
            </w:r>
            <w:r>
              <w:rPr>
                <w:noProof/>
                <w:webHidden/>
              </w:rPr>
              <w:t>6</w:t>
            </w:r>
            <w:r>
              <w:rPr>
                <w:noProof/>
                <w:webHidden/>
              </w:rPr>
              <w:fldChar w:fldCharType="end"/>
            </w:r>
          </w:hyperlink>
        </w:p>
        <w:p w14:paraId="09C79996" w14:textId="0904C041"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4" w:history="1">
            <w:r w:rsidRPr="00BA00D3">
              <w:rPr>
                <w:rStyle w:val="Hyperlink"/>
                <w:rFonts w:ascii="Arial" w:hAnsi="Arial" w:cs="Arial"/>
                <w:b/>
                <w:bCs/>
                <w:noProof/>
              </w:rPr>
              <w:t>Legislative Frameworks and Voluntary Sector Dependence</w:t>
            </w:r>
            <w:r>
              <w:rPr>
                <w:noProof/>
                <w:webHidden/>
              </w:rPr>
              <w:tab/>
            </w:r>
            <w:r>
              <w:rPr>
                <w:noProof/>
                <w:webHidden/>
              </w:rPr>
              <w:fldChar w:fldCharType="begin"/>
            </w:r>
            <w:r>
              <w:rPr>
                <w:noProof/>
                <w:webHidden/>
              </w:rPr>
              <w:instrText xml:space="preserve"> PAGEREF _Toc224684704 \h </w:instrText>
            </w:r>
            <w:r>
              <w:rPr>
                <w:noProof/>
                <w:webHidden/>
              </w:rPr>
            </w:r>
            <w:r>
              <w:rPr>
                <w:noProof/>
                <w:webHidden/>
              </w:rPr>
              <w:fldChar w:fldCharType="separate"/>
            </w:r>
            <w:r>
              <w:rPr>
                <w:noProof/>
                <w:webHidden/>
              </w:rPr>
              <w:t>7</w:t>
            </w:r>
            <w:r>
              <w:rPr>
                <w:noProof/>
                <w:webHidden/>
              </w:rPr>
              <w:fldChar w:fldCharType="end"/>
            </w:r>
          </w:hyperlink>
        </w:p>
        <w:p w14:paraId="495BC152" w14:textId="1C4D1E7B"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5" w:history="1">
            <w:r w:rsidRPr="00BA00D3">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_Toc224684705 \h </w:instrText>
            </w:r>
            <w:r>
              <w:rPr>
                <w:noProof/>
                <w:webHidden/>
              </w:rPr>
            </w:r>
            <w:r>
              <w:rPr>
                <w:noProof/>
                <w:webHidden/>
              </w:rPr>
              <w:fldChar w:fldCharType="separate"/>
            </w:r>
            <w:r>
              <w:rPr>
                <w:noProof/>
                <w:webHidden/>
              </w:rPr>
              <w:t>7</w:t>
            </w:r>
            <w:r>
              <w:rPr>
                <w:noProof/>
                <w:webHidden/>
              </w:rPr>
              <w:fldChar w:fldCharType="end"/>
            </w:r>
          </w:hyperlink>
        </w:p>
        <w:p w14:paraId="6014389C" w14:textId="1F0C93F7"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6" w:history="1">
            <w:r w:rsidRPr="00BA00D3">
              <w:rPr>
                <w:rStyle w:val="Hyperlink"/>
                <w:rFonts w:ascii="Arial" w:hAnsi="Arial" w:cs="Arial"/>
                <w:b/>
                <w:bCs/>
                <w:noProof/>
              </w:rPr>
              <w:t>Equality Act Implementation Failures</w:t>
            </w:r>
            <w:r>
              <w:rPr>
                <w:noProof/>
                <w:webHidden/>
              </w:rPr>
              <w:tab/>
            </w:r>
            <w:r>
              <w:rPr>
                <w:noProof/>
                <w:webHidden/>
              </w:rPr>
              <w:fldChar w:fldCharType="begin"/>
            </w:r>
            <w:r>
              <w:rPr>
                <w:noProof/>
                <w:webHidden/>
              </w:rPr>
              <w:instrText xml:space="preserve"> PAGEREF _Toc224684706 \h </w:instrText>
            </w:r>
            <w:r>
              <w:rPr>
                <w:noProof/>
                <w:webHidden/>
              </w:rPr>
            </w:r>
            <w:r>
              <w:rPr>
                <w:noProof/>
                <w:webHidden/>
              </w:rPr>
              <w:fldChar w:fldCharType="separate"/>
            </w:r>
            <w:r>
              <w:rPr>
                <w:noProof/>
                <w:webHidden/>
              </w:rPr>
              <w:t>8</w:t>
            </w:r>
            <w:r>
              <w:rPr>
                <w:noProof/>
                <w:webHidden/>
              </w:rPr>
              <w:fldChar w:fldCharType="end"/>
            </w:r>
          </w:hyperlink>
        </w:p>
        <w:p w14:paraId="02CCA001" w14:textId="34BD1D07"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7" w:history="1">
            <w:r w:rsidRPr="00BA00D3">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_Toc224684707 \h </w:instrText>
            </w:r>
            <w:r>
              <w:rPr>
                <w:noProof/>
                <w:webHidden/>
              </w:rPr>
            </w:r>
            <w:r>
              <w:rPr>
                <w:noProof/>
                <w:webHidden/>
              </w:rPr>
              <w:fldChar w:fldCharType="separate"/>
            </w:r>
            <w:r>
              <w:rPr>
                <w:noProof/>
                <w:webHidden/>
              </w:rPr>
              <w:t>8</w:t>
            </w:r>
            <w:r>
              <w:rPr>
                <w:noProof/>
                <w:webHidden/>
              </w:rPr>
              <w:fldChar w:fldCharType="end"/>
            </w:r>
          </w:hyperlink>
        </w:p>
        <w:p w14:paraId="7F22E5FB" w14:textId="29CC0D4B"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8" w:history="1">
            <w:r w:rsidRPr="00BA00D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_Toc224684708 \h </w:instrText>
            </w:r>
            <w:r>
              <w:rPr>
                <w:noProof/>
                <w:webHidden/>
              </w:rPr>
            </w:r>
            <w:r>
              <w:rPr>
                <w:noProof/>
                <w:webHidden/>
              </w:rPr>
              <w:fldChar w:fldCharType="separate"/>
            </w:r>
            <w:r>
              <w:rPr>
                <w:noProof/>
                <w:webHidden/>
              </w:rPr>
              <w:t>9</w:t>
            </w:r>
            <w:r>
              <w:rPr>
                <w:noProof/>
                <w:webHidden/>
              </w:rPr>
              <w:fldChar w:fldCharType="end"/>
            </w:r>
          </w:hyperlink>
        </w:p>
        <w:p w14:paraId="78DDC10C" w14:textId="2B5DE377"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9" w:history="1">
            <w:r w:rsidRPr="00BA00D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_Toc224684709 \h </w:instrText>
            </w:r>
            <w:r>
              <w:rPr>
                <w:noProof/>
                <w:webHidden/>
              </w:rPr>
            </w:r>
            <w:r>
              <w:rPr>
                <w:noProof/>
                <w:webHidden/>
              </w:rPr>
              <w:fldChar w:fldCharType="separate"/>
            </w:r>
            <w:r>
              <w:rPr>
                <w:noProof/>
                <w:webHidden/>
              </w:rPr>
              <w:t>10</w:t>
            </w:r>
            <w:r>
              <w:rPr>
                <w:noProof/>
                <w:webHidden/>
              </w:rPr>
              <w:fldChar w:fldCharType="end"/>
            </w:r>
          </w:hyperlink>
        </w:p>
        <w:p w14:paraId="79196B26" w14:textId="6E43EBA8" w:rsidR="000634E1" w:rsidRDefault="000634E1" w:rsidP="000634E1">
          <w:pPr>
            <w:spacing w:line="360" w:lineRule="auto"/>
          </w:pPr>
          <w:r w:rsidRPr="00187DDF">
            <w:rPr>
              <w:rFonts w:ascii="Arial" w:hAnsi="Arial" w:cs="Arial"/>
              <w:b/>
              <w:bCs/>
              <w:sz w:val="22"/>
              <w:szCs w:val="22"/>
            </w:rPr>
            <w:fldChar w:fldCharType="end"/>
          </w:r>
        </w:p>
      </w:sdtContent>
    </w:sdt>
    <w:p w14:paraId="5F308AC9" w14:textId="77777777" w:rsidR="000634E1" w:rsidRDefault="000634E1" w:rsidP="000634E1">
      <w:pPr>
        <w:rPr>
          <w:rFonts w:ascii="Arial" w:hAnsi="Arial" w:cs="Arial"/>
          <w:b/>
          <w:bCs/>
          <w:sz w:val="22"/>
          <w:szCs w:val="22"/>
          <w:u w:val="single"/>
        </w:rPr>
      </w:pPr>
      <w:r>
        <w:rPr>
          <w:rFonts w:ascii="Arial" w:hAnsi="Arial" w:cs="Arial"/>
          <w:b/>
          <w:bCs/>
          <w:sz w:val="22"/>
          <w:szCs w:val="22"/>
          <w:u w:val="single"/>
        </w:rPr>
        <w:br w:type="page"/>
      </w:r>
    </w:p>
    <w:p w14:paraId="64493621" w14:textId="77777777" w:rsidR="000634E1" w:rsidRPr="006A5015" w:rsidRDefault="000634E1" w:rsidP="000634E1">
      <w:pPr>
        <w:pStyle w:val="Heading1"/>
        <w:rPr>
          <w:rFonts w:ascii="Arial" w:hAnsi="Arial" w:cs="Arial"/>
          <w:b/>
          <w:bCs/>
          <w:color w:val="auto"/>
          <w:sz w:val="22"/>
          <w:szCs w:val="22"/>
          <w:u w:val="single"/>
        </w:rPr>
      </w:pPr>
      <w:bookmarkStart w:id="5" w:name="_Toc224684697"/>
      <w:r w:rsidRPr="006A5015">
        <w:rPr>
          <w:rFonts w:ascii="Arial" w:hAnsi="Arial" w:cs="Arial"/>
          <w:b/>
          <w:bCs/>
          <w:color w:val="auto"/>
          <w:sz w:val="22"/>
          <w:szCs w:val="22"/>
          <w:u w:val="single"/>
        </w:rPr>
        <w:lastRenderedPageBreak/>
        <w:t>Introduction</w:t>
      </w:r>
      <w:bookmarkEnd w:id="4"/>
      <w:bookmarkEnd w:id="3"/>
      <w:bookmarkEnd w:id="5"/>
    </w:p>
    <w:p w14:paraId="67AE8C84" w14:textId="77777777" w:rsidR="000634E1" w:rsidRPr="00EC3FA3" w:rsidRDefault="000634E1" w:rsidP="000634E1">
      <w:pPr>
        <w:spacing w:line="360" w:lineRule="auto"/>
        <w:rPr>
          <w:rFonts w:ascii="Arial" w:hAnsi="Arial" w:cs="Arial"/>
          <w:b/>
          <w:bCs/>
          <w:sz w:val="22"/>
          <w:szCs w:val="22"/>
          <w:u w:val="single"/>
        </w:rPr>
      </w:pPr>
    </w:p>
    <w:p w14:paraId="2E519FD0"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Obsessive-Compulsive Disorder (OCD), classified under 6B20 in ICD-11, is characterised by persistent intrusive thoughts and repetitive behaviours that individuals feel compelled to perform (WHO, 2022). The NHS estimates that approximately 1.2% of the UK population (around 750,000 individuals) experiences OCD at any given time, with typical onset during adolescence or early adulthood (Priory Group, 2025; NHS England, 2019). Understanding OCD is critically important given its substantial impact on quality of life and functioning. NICE guidelines highlight the importance of early assessment and treatment due to the significant distress OCD can cause (NICE, 2024). This report critically examines the classification, diagnosis, treatment, and rehabilitation of OCD, while exploring contemporary debates and policy implications within the UK healthcare context.</w:t>
      </w:r>
    </w:p>
    <w:p w14:paraId="0C6CABB5" w14:textId="77777777" w:rsidR="000634E1" w:rsidRPr="006A5015" w:rsidRDefault="000634E1" w:rsidP="000634E1">
      <w:pPr>
        <w:pStyle w:val="Heading1"/>
        <w:rPr>
          <w:rFonts w:ascii="Arial" w:hAnsi="Arial" w:cs="Arial"/>
          <w:b/>
          <w:bCs/>
          <w:color w:val="auto"/>
          <w:sz w:val="22"/>
          <w:szCs w:val="22"/>
          <w:u w:val="single"/>
        </w:rPr>
      </w:pPr>
      <w:bookmarkStart w:id="6" w:name="_Toc224588476"/>
      <w:bookmarkStart w:id="7" w:name="_Toc224594626"/>
      <w:bookmarkStart w:id="8" w:name="_Toc224684698"/>
      <w:r w:rsidRPr="006A5015">
        <w:rPr>
          <w:rFonts w:ascii="Arial" w:hAnsi="Arial" w:cs="Arial"/>
          <w:b/>
          <w:bCs/>
          <w:color w:val="auto"/>
          <w:sz w:val="22"/>
          <w:szCs w:val="22"/>
          <w:u w:val="single"/>
        </w:rPr>
        <w:t>Case Study</w:t>
      </w:r>
      <w:bookmarkEnd w:id="6"/>
      <w:bookmarkEnd w:id="7"/>
      <w:bookmarkEnd w:id="8"/>
    </w:p>
    <w:p w14:paraId="4003FA9F" w14:textId="77777777" w:rsidR="000634E1" w:rsidRDefault="000634E1" w:rsidP="000634E1">
      <w:pPr>
        <w:spacing w:after="200" w:line="360" w:lineRule="auto"/>
        <w:jc w:val="both"/>
        <w:rPr>
          <w:rFonts w:ascii="Arial" w:hAnsi="Arial" w:cs="Arial"/>
          <w:sz w:val="22"/>
          <w:szCs w:val="22"/>
        </w:rPr>
      </w:pPr>
    </w:p>
    <w:p w14:paraId="73B2849E"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The experience of "Sophie," shared by Mental Health UK (2022), illustrates how OCD can affect individuals and how barriers to support shape their experiences. Sophie developed OCD during adolescence and experienced intrusive thoughts linked to guilt, often seeking reassurance rather than displaying obvious compulsive behaviours. ICD-11 recognises that compulsions may involve mental acts rather than observable behaviours (WHO, 2022).</w:t>
      </w:r>
    </w:p>
    <w:p w14:paraId="22969FF4"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Despite seeking help through NHS and private pathways, Sophie struggled to access timely cognitive behavioural therapy (CBT) with exposure and response prevention. This reflects wider concerns raised by the CQC (2025), which reports that many people experience long waiting times for mental health care, with delays in accessing treatment contributing to a deterioration in mental healt</w:t>
      </w:r>
      <w:bookmarkStart w:id="9" w:name="_Toc224588477"/>
      <w:bookmarkStart w:id="10" w:name="_Toc224594627"/>
      <w:r w:rsidRPr="00EC3FA3">
        <w:rPr>
          <w:rFonts w:ascii="Arial" w:hAnsi="Arial" w:cs="Arial"/>
          <w:sz w:val="22"/>
          <w:szCs w:val="22"/>
        </w:rPr>
        <w:t>h</w:t>
      </w:r>
      <w:r>
        <w:rPr>
          <w:rFonts w:ascii="Arial" w:hAnsi="Arial" w:cs="Arial"/>
          <w:sz w:val="22"/>
          <w:szCs w:val="22"/>
        </w:rPr>
        <w:t>.</w:t>
      </w:r>
    </w:p>
    <w:p w14:paraId="0783258B" w14:textId="77777777" w:rsidR="000634E1" w:rsidRPr="00362C75" w:rsidRDefault="000634E1" w:rsidP="000634E1">
      <w:pPr>
        <w:pStyle w:val="Heading1"/>
        <w:rPr>
          <w:rFonts w:ascii="Arial" w:hAnsi="Arial" w:cs="Arial"/>
          <w:b/>
          <w:bCs/>
          <w:color w:val="auto"/>
          <w:sz w:val="22"/>
          <w:szCs w:val="22"/>
          <w:u w:val="single"/>
        </w:rPr>
      </w:pPr>
      <w:bookmarkStart w:id="11" w:name="_Toc224684699"/>
      <w:r w:rsidRPr="00362C75">
        <w:rPr>
          <w:rFonts w:ascii="Arial" w:hAnsi="Arial" w:cs="Arial"/>
          <w:b/>
          <w:bCs/>
          <w:color w:val="auto"/>
          <w:sz w:val="22"/>
          <w:szCs w:val="22"/>
          <w:u w:val="single"/>
        </w:rPr>
        <w:t>Classification and Diagnosis</w:t>
      </w:r>
      <w:bookmarkEnd w:id="9"/>
      <w:bookmarkEnd w:id="10"/>
      <w:bookmarkEnd w:id="11"/>
    </w:p>
    <w:p w14:paraId="4D43E710" w14:textId="77777777" w:rsidR="000634E1" w:rsidRDefault="000634E1" w:rsidP="000634E1">
      <w:pPr>
        <w:spacing w:after="200" w:line="360" w:lineRule="auto"/>
        <w:jc w:val="both"/>
        <w:rPr>
          <w:rFonts w:ascii="Arial" w:hAnsi="Arial" w:cs="Arial"/>
          <w:sz w:val="22"/>
          <w:szCs w:val="22"/>
        </w:rPr>
      </w:pPr>
    </w:p>
    <w:p w14:paraId="4104390A"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In ICD-10, OCD was classified under code F42 within the broader category of anxiety disorders. ICD-11 reclassifies it under code 6B20 within a separate grouping titled Obsessive-Compulsive and Related Disorders (WHO, 2022).</w:t>
      </w:r>
    </w:p>
    <w:p w14:paraId="5A0D0182"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The reclassification represents a significant conceptual shift. Although supporters argue this reflects genuine neurobiological differences (Stein et al., 2019), critics argue that it overlooks the high levels of comorbidity associated with OCD, with around 69% of individuals experiencing at least one additional psychiatric disorder (Sharma et al., 2021). The ICD-11's </w:t>
      </w:r>
      <w:r w:rsidRPr="00EC3FA3">
        <w:rPr>
          <w:rFonts w:ascii="Arial" w:hAnsi="Arial" w:cs="Arial"/>
          <w:sz w:val="22"/>
          <w:szCs w:val="22"/>
        </w:rPr>
        <w:lastRenderedPageBreak/>
        <w:t>categorical model assumes clear boundaries between normal and pathological behaviour, yet growing evidence supports dimensional models in which obsessive-compulsive symptoms lie on a spectrum (Gillan and Fineberg, 2017).</w:t>
      </w:r>
      <w:bookmarkStart w:id="12" w:name="_Toc224588312"/>
      <w:bookmarkStart w:id="13" w:name="_Toc224588478"/>
      <w:bookmarkStart w:id="14" w:name="_Toc224588812"/>
      <w:bookmarkStart w:id="15" w:name="_Toc224590895"/>
      <w:bookmarkStart w:id="16" w:name="_Toc224594628"/>
    </w:p>
    <w:p w14:paraId="3FFFC001"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The language used within psychiatric classification systems is also debated. ICD-11 describes OCD as a "disorder", emphasising pathology. Some scholars argue that alternative terminology, such as "condition", may reduce stigma and align with neurodivergence perspectives. However, many clinicians maintain that the term disorder remains appropriate as it recognises the significant distress and impairment experienced by individuals with OCD.</w:t>
      </w:r>
      <w:bookmarkEnd w:id="12"/>
      <w:bookmarkEnd w:id="13"/>
      <w:bookmarkEnd w:id="14"/>
      <w:bookmarkEnd w:id="15"/>
      <w:bookmarkEnd w:id="16"/>
    </w:p>
    <w:p w14:paraId="5175AFCB"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Internationally, diagnostic approaches vary considerably. The DSM-5 specifies that obsessions or compulsions must typically occupy more than one hour per day, whereas earlier ICD frameworks required symptoms on most days for at least two successive weeks (Simpson et al., 2014). As Fineberg et al. (2020) highlight, key aspects of OCD classification still rely on expert opinion where research evidence remains limited.</w:t>
      </w:r>
    </w:p>
    <w:p w14:paraId="2AE5D8E3"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Cross-national epidemiological studies demonstrate substantial variation in OCD prevalence, with global estimates typically around 1-2%. These variations reflect cultural and diagnostic differences rather than true epidemiological distinctions (Stein et al., 2019).</w:t>
      </w:r>
    </w:p>
    <w:p w14:paraId="4EBE43A5"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The reclassification also raises questions regarding service organisation within the NHS, where individuals with OCD commonly access treatment through GP referral or NHS Talking Therapies services (OCD-UK, 202</w:t>
      </w:r>
      <w:r>
        <w:rPr>
          <w:rFonts w:ascii="Arial" w:hAnsi="Arial" w:cs="Arial"/>
          <w:sz w:val="22"/>
          <w:szCs w:val="22"/>
        </w:rPr>
        <w:t>3</w:t>
      </w:r>
      <w:r w:rsidRPr="00EC3FA3">
        <w:rPr>
          <w:rFonts w:ascii="Arial" w:hAnsi="Arial" w:cs="Arial"/>
          <w:sz w:val="22"/>
          <w:szCs w:val="22"/>
        </w:rPr>
        <w:t xml:space="preserve">). In the United Kingdom, ICD-10 remains the mandated coding system while preparations for ICD-11 adoption continue, meaning many clinical coding teams still rely on the older framework (NHS </w:t>
      </w:r>
      <w:r>
        <w:rPr>
          <w:rFonts w:ascii="Arial" w:hAnsi="Arial" w:cs="Arial"/>
          <w:sz w:val="22"/>
          <w:szCs w:val="22"/>
        </w:rPr>
        <w:t>Digital</w:t>
      </w:r>
      <w:r w:rsidRPr="00EC3FA3">
        <w:rPr>
          <w:rFonts w:ascii="Arial" w:hAnsi="Arial" w:cs="Arial"/>
          <w:sz w:val="22"/>
          <w:szCs w:val="22"/>
        </w:rPr>
        <w:t>, 2024; Cooper, 2024). Consequently, service users may face increasingly complex diagnostic pathways.</w:t>
      </w:r>
      <w:bookmarkStart w:id="17" w:name="_Toc224588479"/>
      <w:bookmarkStart w:id="18" w:name="_Toc224594629"/>
    </w:p>
    <w:p w14:paraId="74360035" w14:textId="77777777" w:rsidR="000634E1" w:rsidRPr="00362C75" w:rsidRDefault="000634E1" w:rsidP="000634E1">
      <w:pPr>
        <w:pStyle w:val="Heading1"/>
        <w:rPr>
          <w:rFonts w:ascii="Arial" w:hAnsi="Arial" w:cs="Arial"/>
          <w:b/>
          <w:bCs/>
          <w:color w:val="auto"/>
          <w:sz w:val="22"/>
          <w:szCs w:val="22"/>
          <w:u w:val="single"/>
        </w:rPr>
      </w:pPr>
      <w:bookmarkStart w:id="19" w:name="_Toc224684700"/>
      <w:r w:rsidRPr="00362C75">
        <w:rPr>
          <w:rFonts w:ascii="Arial" w:hAnsi="Arial" w:cs="Arial"/>
          <w:b/>
          <w:bCs/>
          <w:color w:val="auto"/>
          <w:sz w:val="22"/>
          <w:szCs w:val="22"/>
          <w:u w:val="single"/>
        </w:rPr>
        <w:t>UK Implementation and Legal Protections</w:t>
      </w:r>
      <w:bookmarkEnd w:id="17"/>
      <w:bookmarkEnd w:id="18"/>
      <w:bookmarkEnd w:id="19"/>
    </w:p>
    <w:p w14:paraId="56B2E757" w14:textId="77777777" w:rsidR="000634E1" w:rsidRDefault="000634E1" w:rsidP="000634E1">
      <w:pPr>
        <w:spacing w:after="200" w:line="360" w:lineRule="auto"/>
        <w:jc w:val="both"/>
        <w:rPr>
          <w:rFonts w:ascii="Arial" w:hAnsi="Arial" w:cs="Arial"/>
          <w:sz w:val="22"/>
          <w:szCs w:val="22"/>
        </w:rPr>
      </w:pPr>
    </w:p>
    <w:p w14:paraId="2861D8A3"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Although ICD-11 reclassified OCD within a distinct group of "Obsessive-Compulsive and Related Disorders", clinical coding within the NHS continues to rely primarily on ICD-10 while preparations for ICD-11 adoption are ongoing (NHS Digital, 2024). This transitional period highlights the gap between evolving international diagnostic frameworks and their practical implementation within healthcare systems.</w:t>
      </w:r>
    </w:p>
    <w:p w14:paraId="4CC0AB7F"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Structured assessment tools such as the Yale-Brown Obsessive Compulsive Scale (Y-BOCS) are commonly used to measure symptom severity in clinical practice; however, research suggests that such tools may function differently across cultural or religious groups, raising questions about their universal applicability (Garnaat and Norton, 2010).</w:t>
      </w:r>
    </w:p>
    <w:p w14:paraId="16800F84"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lastRenderedPageBreak/>
        <w:t xml:space="preserve">The Equality Act </w:t>
      </w:r>
      <w:r>
        <w:rPr>
          <w:rFonts w:ascii="Arial" w:hAnsi="Arial" w:cs="Arial"/>
          <w:sz w:val="22"/>
          <w:szCs w:val="22"/>
        </w:rPr>
        <w:t>(</w:t>
      </w:r>
      <w:r w:rsidRPr="00EC3FA3">
        <w:rPr>
          <w:rFonts w:ascii="Arial" w:hAnsi="Arial" w:cs="Arial"/>
          <w:sz w:val="22"/>
          <w:szCs w:val="22"/>
        </w:rPr>
        <w:t>2010</w:t>
      </w:r>
      <w:r>
        <w:rPr>
          <w:rFonts w:ascii="Arial" w:hAnsi="Arial" w:cs="Arial"/>
          <w:sz w:val="22"/>
          <w:szCs w:val="22"/>
        </w:rPr>
        <w:t>)</w:t>
      </w:r>
      <w:r w:rsidRPr="00EC3FA3">
        <w:rPr>
          <w:rFonts w:ascii="Arial" w:hAnsi="Arial" w:cs="Arial"/>
          <w:sz w:val="22"/>
          <w:szCs w:val="22"/>
        </w:rPr>
        <w:t xml:space="preserve"> theoretically protects individuals with OCD from discrimination when the condition has a substantial and long-term adverse effect on their ability to carry out normal day-to-day activities (GOV.UK, 2024; Mind, 2024). However, research shows that many employees hesitate to disclose mental health problems at work because of stigma or fear of negative consequences (MHFA England, 2024).</w:t>
      </w:r>
    </w:p>
    <w:p w14:paraId="49DFEF67"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Additionally, the Care Quality Commission (2025) reports that many people wait too long for mental-health care, with 40% of respondents stating they waited too long for treatment and 33% waiting three months or more, highlighting ongoing pressures within NHS mental-health services</w:t>
      </w:r>
      <w:bookmarkStart w:id="20" w:name="_Toc224588480"/>
      <w:bookmarkStart w:id="21" w:name="_Toc224594630"/>
      <w:r w:rsidRPr="00EC3FA3">
        <w:rPr>
          <w:rFonts w:ascii="Arial" w:hAnsi="Arial" w:cs="Arial"/>
          <w:sz w:val="22"/>
          <w:szCs w:val="22"/>
        </w:rPr>
        <w:t>.</w:t>
      </w:r>
    </w:p>
    <w:p w14:paraId="2EF021F4" w14:textId="77777777" w:rsidR="000634E1" w:rsidRPr="00362C75" w:rsidRDefault="000634E1" w:rsidP="000634E1">
      <w:pPr>
        <w:pStyle w:val="Heading1"/>
        <w:rPr>
          <w:rFonts w:ascii="Arial" w:hAnsi="Arial" w:cs="Arial"/>
          <w:b/>
          <w:bCs/>
          <w:color w:val="auto"/>
          <w:sz w:val="22"/>
          <w:szCs w:val="22"/>
          <w:u w:val="single"/>
        </w:rPr>
      </w:pPr>
      <w:bookmarkStart w:id="22" w:name="_Toc224684701"/>
      <w:r w:rsidRPr="00362C75">
        <w:rPr>
          <w:rFonts w:ascii="Arial" w:hAnsi="Arial" w:cs="Arial"/>
          <w:b/>
          <w:bCs/>
          <w:color w:val="auto"/>
          <w:sz w:val="22"/>
          <w:szCs w:val="22"/>
          <w:u w:val="single"/>
        </w:rPr>
        <w:t>Treatment Approaches</w:t>
      </w:r>
      <w:bookmarkEnd w:id="20"/>
      <w:bookmarkEnd w:id="21"/>
      <w:bookmarkEnd w:id="22"/>
    </w:p>
    <w:p w14:paraId="4D5357D2" w14:textId="77777777" w:rsidR="000634E1" w:rsidRDefault="000634E1" w:rsidP="000634E1">
      <w:pPr>
        <w:spacing w:after="200" w:line="360" w:lineRule="auto"/>
        <w:jc w:val="both"/>
        <w:rPr>
          <w:rFonts w:ascii="Arial" w:hAnsi="Arial" w:cs="Arial"/>
          <w:sz w:val="22"/>
          <w:szCs w:val="22"/>
        </w:rPr>
      </w:pPr>
    </w:p>
    <w:p w14:paraId="115CE663"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NICE (2024) recommends cognitive behavioural therapy incorporating exposure and response prevention (ERP) as the first-line treatment for OCD, with selective serotonin reuptake inhibitors (SSRIs) recommended for more severe cases. However, the evidence base warrants scrutiny. Meta-analysis reports large treatment effects for CBT (d = 1.31), although many patients continue to experience persistent symptoms following treatment (Öst et al., 2015; NHS Digital, 2025), reflecting an efficacy-effectiveness gap partly attributable to publication bias in antidepressant trials, which may inflate perceived medication effectiveness (Turner et al., 2008).    </w:t>
      </w:r>
    </w:p>
    <w:p w14:paraId="33FF284D"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Concerns also arise regarding long-term pharmacological treatment. SSRI use is associated with withdrawal symptoms affecting approximately 56% of individuals upon discontinuation, with half of the cases reported as severe (Davies and Read, 2019). Guidance on managing withdrawal remains limited despite evidence of adverse effects, including sexual dysfunction (62% of users), weight gain, and emotional blunting (Read et al., 2014).</w:t>
      </w:r>
    </w:p>
    <w:p w14:paraId="5EB9DE9F"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Furthermore, evidence also indicates that a substantial proportion of patients fail to respond adequately to first-line treatments, with studies suggesting that only around 40-60% of individuals respond to SSRIs, highlighting the ongoing challenge of treatment resistance in OCD (Pittenger and Bloch, 2014).</w:t>
      </w:r>
      <w:bookmarkStart w:id="23" w:name="_Toc224588481"/>
      <w:bookmarkStart w:id="24" w:name="_Toc224594631"/>
    </w:p>
    <w:p w14:paraId="1B9E7300" w14:textId="77777777" w:rsidR="000634E1" w:rsidRPr="00362C75" w:rsidRDefault="000634E1" w:rsidP="000634E1">
      <w:pPr>
        <w:pStyle w:val="Heading1"/>
        <w:rPr>
          <w:rFonts w:ascii="Arial" w:hAnsi="Arial" w:cs="Arial"/>
          <w:b/>
          <w:bCs/>
          <w:color w:val="auto"/>
          <w:sz w:val="22"/>
          <w:szCs w:val="22"/>
          <w:u w:val="single"/>
        </w:rPr>
      </w:pPr>
      <w:bookmarkStart w:id="25" w:name="_Toc224684702"/>
      <w:r w:rsidRPr="00362C75">
        <w:rPr>
          <w:rFonts w:ascii="Arial" w:hAnsi="Arial" w:cs="Arial"/>
          <w:b/>
          <w:bCs/>
          <w:color w:val="auto"/>
          <w:sz w:val="22"/>
          <w:szCs w:val="22"/>
          <w:u w:val="single"/>
        </w:rPr>
        <w:t>Structural Barriers and Ethical Concerns</w:t>
      </w:r>
      <w:bookmarkEnd w:id="23"/>
      <w:bookmarkEnd w:id="24"/>
      <w:bookmarkEnd w:id="25"/>
    </w:p>
    <w:p w14:paraId="28AE766E" w14:textId="77777777" w:rsidR="000634E1" w:rsidRDefault="000634E1" w:rsidP="000634E1">
      <w:pPr>
        <w:spacing w:after="200" w:line="360" w:lineRule="auto"/>
        <w:jc w:val="both"/>
        <w:rPr>
          <w:rFonts w:ascii="Arial" w:hAnsi="Arial" w:cs="Arial"/>
          <w:sz w:val="22"/>
          <w:szCs w:val="22"/>
        </w:rPr>
      </w:pPr>
    </w:p>
    <w:p w14:paraId="480232FA" w14:textId="77777777" w:rsidR="000634E1" w:rsidRDefault="000634E1" w:rsidP="000634E1">
      <w:pPr>
        <w:spacing w:after="200" w:line="360" w:lineRule="auto"/>
        <w:jc w:val="both"/>
        <w:rPr>
          <w:rFonts w:ascii="Arial" w:hAnsi="Arial" w:cs="Arial"/>
          <w:sz w:val="22"/>
          <w:szCs w:val="22"/>
        </w:rPr>
      </w:pPr>
      <w:r w:rsidRPr="00EC3FA3">
        <w:rPr>
          <w:rFonts w:ascii="Arial" w:hAnsi="Arial" w:cs="Arial"/>
          <w:sz w:val="22"/>
          <w:szCs w:val="22"/>
        </w:rPr>
        <w:t>Structural barriers within NHS mental-health services may limit access to effective OCD treatment.</w:t>
      </w:r>
      <w:r w:rsidRPr="00EC3FA3">
        <w:rPr>
          <w:rFonts w:ascii="Arial" w:hAnsi="Arial" w:cs="Arial"/>
          <w:b/>
          <w:bCs/>
          <w:sz w:val="22"/>
          <w:szCs w:val="22"/>
        </w:rPr>
        <w:t xml:space="preserve"> </w:t>
      </w:r>
      <w:r w:rsidRPr="00EC3FA3">
        <w:rPr>
          <w:rFonts w:ascii="Arial" w:hAnsi="Arial" w:cs="Arial"/>
          <w:sz w:val="22"/>
          <w:szCs w:val="22"/>
        </w:rPr>
        <w:t>NHS Talking Therapies (formerly Improving Access to Psychological Therapies</w:t>
      </w:r>
      <w:r>
        <w:rPr>
          <w:rFonts w:ascii="Arial" w:hAnsi="Arial" w:cs="Arial"/>
          <w:sz w:val="22"/>
          <w:szCs w:val="22"/>
        </w:rPr>
        <w:t xml:space="preserve"> - </w:t>
      </w:r>
      <w:r>
        <w:rPr>
          <w:rFonts w:ascii="Arial" w:hAnsi="Arial" w:cs="Arial"/>
          <w:sz w:val="22"/>
          <w:szCs w:val="22"/>
        </w:rPr>
        <w:lastRenderedPageBreak/>
        <w:t>IAPT</w:t>
      </w:r>
      <w:r w:rsidRPr="00EC3FA3">
        <w:rPr>
          <w:rFonts w:ascii="Arial" w:hAnsi="Arial" w:cs="Arial"/>
          <w:sz w:val="22"/>
          <w:szCs w:val="22"/>
        </w:rPr>
        <w:t>) services often provide short-term interventions of around 6-8 sessions, whereas NICE guidelines recommend more intensive CBT with exposure and response prevention involving at least 10 hours of therapist contact for moderate to severe OCD</w:t>
      </w:r>
      <w:r w:rsidRPr="00EC3FA3">
        <w:rPr>
          <w:rFonts w:ascii="Arial" w:hAnsi="Arial" w:cs="Arial"/>
          <w:b/>
          <w:bCs/>
          <w:sz w:val="22"/>
          <w:szCs w:val="22"/>
        </w:rPr>
        <w:t xml:space="preserve"> </w:t>
      </w:r>
      <w:r w:rsidRPr="00EC3FA3">
        <w:rPr>
          <w:rFonts w:ascii="Arial" w:hAnsi="Arial" w:cs="Arial"/>
          <w:sz w:val="22"/>
          <w:szCs w:val="22"/>
        </w:rPr>
        <w:t>(NICE, 2024; OCD-UK, 202</w:t>
      </w:r>
      <w:r>
        <w:rPr>
          <w:rFonts w:ascii="Arial" w:hAnsi="Arial" w:cs="Arial"/>
          <w:sz w:val="22"/>
          <w:szCs w:val="22"/>
        </w:rPr>
        <w:t>3</w:t>
      </w:r>
      <w:r w:rsidRPr="00EC3FA3">
        <w:rPr>
          <w:rFonts w:ascii="Arial" w:hAnsi="Arial" w:cs="Arial"/>
          <w:sz w:val="22"/>
          <w:szCs w:val="22"/>
        </w:rPr>
        <w:t xml:space="preserve">). </w:t>
      </w:r>
    </w:p>
    <w:p w14:paraId="176A7292" w14:textId="77777777" w:rsidR="000634E1" w:rsidRPr="00EC3FA3" w:rsidRDefault="000634E1" w:rsidP="000634E1">
      <w:pPr>
        <w:spacing w:after="200" w:line="360" w:lineRule="auto"/>
        <w:jc w:val="both"/>
        <w:rPr>
          <w:rFonts w:ascii="Arial" w:hAnsi="Arial" w:cs="Arial"/>
          <w:sz w:val="22"/>
          <w:szCs w:val="22"/>
        </w:rPr>
      </w:pPr>
      <w:r>
        <w:rPr>
          <w:rFonts w:ascii="Arial" w:hAnsi="Arial" w:cs="Arial"/>
          <w:sz w:val="22"/>
          <w:szCs w:val="22"/>
        </w:rPr>
        <w:t>Consequently, t</w:t>
      </w:r>
      <w:r w:rsidRPr="00EC3FA3">
        <w:rPr>
          <w:rFonts w:ascii="Arial" w:hAnsi="Arial" w:cs="Arial"/>
          <w:sz w:val="22"/>
          <w:szCs w:val="22"/>
        </w:rPr>
        <w:t>he emphasis on recovery targets within NHS Talking Therapies services, where national policy aims for around 50% of patients to complete treatment to achieve recovery, may encourage prioritising cases more likely to improve within limited-session frameworks, raising ethical concerns regarding justice and equitable access to care (Clark et al., 2014). Socioeconomic inequalities further compound these barriers, with disadvantaged groups experiencing greater difficulty accessing mental-health services (CQC, 2024).</w:t>
      </w:r>
    </w:p>
    <w:p w14:paraId="69BA0508" w14:textId="77777777" w:rsidR="000634E1" w:rsidRPr="00362C75" w:rsidRDefault="000634E1" w:rsidP="000634E1">
      <w:pPr>
        <w:pStyle w:val="Heading1"/>
        <w:rPr>
          <w:rFonts w:ascii="Arial" w:hAnsi="Arial" w:cs="Arial"/>
          <w:b/>
          <w:bCs/>
          <w:color w:val="auto"/>
          <w:sz w:val="22"/>
          <w:szCs w:val="22"/>
          <w:u w:val="single"/>
        </w:rPr>
      </w:pPr>
      <w:bookmarkStart w:id="26" w:name="_Toc224588482"/>
      <w:bookmarkStart w:id="27" w:name="_Toc224594632"/>
      <w:bookmarkStart w:id="28" w:name="_Toc224684703"/>
      <w:r w:rsidRPr="00362C75">
        <w:rPr>
          <w:rFonts w:ascii="Arial" w:hAnsi="Arial" w:cs="Arial"/>
          <w:b/>
          <w:bCs/>
          <w:color w:val="auto"/>
          <w:sz w:val="22"/>
          <w:szCs w:val="22"/>
          <w:u w:val="single"/>
        </w:rPr>
        <w:t>Rehabilitation and Long-Term Management</w:t>
      </w:r>
      <w:bookmarkEnd w:id="26"/>
      <w:bookmarkEnd w:id="27"/>
      <w:bookmarkEnd w:id="28"/>
    </w:p>
    <w:p w14:paraId="205FF460" w14:textId="77777777" w:rsidR="000634E1" w:rsidRDefault="000634E1" w:rsidP="000634E1">
      <w:pPr>
        <w:spacing w:after="200" w:line="360" w:lineRule="auto"/>
        <w:jc w:val="both"/>
        <w:rPr>
          <w:rFonts w:ascii="Arial" w:hAnsi="Arial" w:cs="Arial"/>
          <w:sz w:val="22"/>
          <w:szCs w:val="22"/>
        </w:rPr>
      </w:pPr>
    </w:p>
    <w:p w14:paraId="1C2ED301"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ICD-11 explicitly states that mental-health diagnoses should consider functional impairment and recovery, not just symptoms (WHO, 2022). Moreover, rehabilitation in OCD is contested due to the disorder's chronic and relapsing course. Longitudinal research indicates that many individuals experience symptom recurrence following treatment, highlighting the need for ongoing management rather than short-term intervention (Fineberg et al., 2020).</w:t>
      </w:r>
    </w:p>
    <w:p w14:paraId="4B6195D2"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Furthermore, the NHS Long Term Plan (2019) promised expanded community mental-health services, yet the National Audit Office (2023) analysis indicates that rising demand and workforce shortages continue to constrain service capacity, limiting progress towards these commitments.</w:t>
      </w:r>
    </w:p>
    <w:p w14:paraId="79BD6590"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Additionally, the Care Act (2014) requires local authorities to assess the care and support needs of adults whose health conditions affect daily functioning. The legislation theoretically provides access to social care support, including assistance with daily activities impaired by OCD. However, support is only provided where needs meet national eligibility thresholds, meaning many individuals do not qualify for services despite experiencing significant impairment (DHSC, 2023).</w:t>
      </w:r>
    </w:p>
    <w:p w14:paraId="71EE4211"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Critically, OCD's occupational impact receives inadequate attention within rehabilitation frameworks. Research indicates that</w:t>
      </w:r>
      <w:r>
        <w:rPr>
          <w:rFonts w:ascii="Arial" w:hAnsi="Arial" w:cs="Arial"/>
          <w:sz w:val="22"/>
          <w:szCs w:val="22"/>
        </w:rPr>
        <w:t xml:space="preserve"> OCD</w:t>
      </w:r>
      <w:r w:rsidRPr="00EC3FA3">
        <w:rPr>
          <w:rFonts w:ascii="Arial" w:hAnsi="Arial" w:cs="Arial"/>
          <w:sz w:val="22"/>
          <w:szCs w:val="22"/>
        </w:rPr>
        <w:t xml:space="preserve"> can significantly impair occupational functioning. Moreover, clinical studies have reported that around 38% of individuals with OCD are unable to work due to their symptoms, highlighting the substantial employment impact of the disorder (Mancebo et al., 2007).</w:t>
      </w:r>
    </w:p>
    <w:p w14:paraId="5C6970A6" w14:textId="77777777" w:rsidR="000634E1" w:rsidRPr="00EC3FA3" w:rsidRDefault="000634E1" w:rsidP="000634E1">
      <w:pPr>
        <w:spacing w:after="200" w:line="360" w:lineRule="auto"/>
        <w:jc w:val="both"/>
        <w:rPr>
          <w:rFonts w:ascii="Arial" w:hAnsi="Arial" w:cs="Arial"/>
          <w:sz w:val="22"/>
          <w:szCs w:val="22"/>
        </w:rPr>
      </w:pPr>
      <w:r>
        <w:rPr>
          <w:rFonts w:ascii="Arial" w:hAnsi="Arial" w:cs="Arial"/>
          <w:sz w:val="22"/>
          <w:szCs w:val="22"/>
        </w:rPr>
        <w:lastRenderedPageBreak/>
        <w:t>Furthermore, s</w:t>
      </w:r>
      <w:r w:rsidRPr="00EC3FA3">
        <w:rPr>
          <w:rFonts w:ascii="Arial" w:hAnsi="Arial" w:cs="Arial"/>
          <w:sz w:val="22"/>
          <w:szCs w:val="22"/>
        </w:rPr>
        <w:t>ocial isolation and relationship strain are common consequences of severe OCD. Research shows that family members frequently engage in "family accommodation", such as participating in rituals or modifying routines, which can reinforce symptoms and increase family burden. However, despite this evidence, structured family-based interventions remain underdeveloped within many treatment pathways (Lebowitz et al., 2012).</w:t>
      </w:r>
      <w:bookmarkStart w:id="29" w:name="_Toc224588483"/>
      <w:bookmarkStart w:id="30" w:name="_Toc224594633"/>
    </w:p>
    <w:p w14:paraId="54136E7D" w14:textId="77777777" w:rsidR="000634E1" w:rsidRPr="00362C75" w:rsidRDefault="000634E1" w:rsidP="000634E1">
      <w:pPr>
        <w:pStyle w:val="Heading1"/>
        <w:rPr>
          <w:rFonts w:ascii="Arial" w:hAnsi="Arial" w:cs="Arial"/>
          <w:b/>
          <w:bCs/>
          <w:sz w:val="22"/>
          <w:szCs w:val="22"/>
          <w:u w:val="single"/>
        </w:rPr>
      </w:pPr>
      <w:bookmarkStart w:id="31" w:name="_Toc224684704"/>
      <w:r w:rsidRPr="00362C75">
        <w:rPr>
          <w:rFonts w:ascii="Arial" w:hAnsi="Arial" w:cs="Arial"/>
          <w:b/>
          <w:bCs/>
          <w:color w:val="auto"/>
          <w:sz w:val="22"/>
          <w:szCs w:val="22"/>
          <w:u w:val="single"/>
        </w:rPr>
        <w:t>Legislative Frameworks and Voluntary Sector Dependence</w:t>
      </w:r>
      <w:bookmarkEnd w:id="29"/>
      <w:bookmarkEnd w:id="30"/>
      <w:bookmarkEnd w:id="31"/>
    </w:p>
    <w:p w14:paraId="0882979E" w14:textId="77777777" w:rsidR="000634E1" w:rsidRPr="00EC3FA3" w:rsidRDefault="000634E1" w:rsidP="000634E1">
      <w:pPr>
        <w:spacing w:line="360" w:lineRule="auto"/>
        <w:rPr>
          <w:rFonts w:ascii="Arial" w:hAnsi="Arial" w:cs="Arial"/>
          <w:sz w:val="22"/>
          <w:szCs w:val="22"/>
        </w:rPr>
      </w:pPr>
    </w:p>
    <w:p w14:paraId="14FF3296"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The Mental Health Act (1983, amended 2007) permits compulsory detention only where a mental disorder poses </w:t>
      </w:r>
      <w:r>
        <w:rPr>
          <w:rFonts w:ascii="Arial" w:hAnsi="Arial" w:cs="Arial"/>
          <w:sz w:val="22"/>
          <w:szCs w:val="22"/>
        </w:rPr>
        <w:t xml:space="preserve">a </w:t>
      </w:r>
      <w:r w:rsidRPr="00EC3FA3">
        <w:rPr>
          <w:rFonts w:ascii="Arial" w:hAnsi="Arial" w:cs="Arial"/>
          <w:sz w:val="22"/>
          <w:szCs w:val="22"/>
        </w:rPr>
        <w:t>significant risk to the individual or others. Therefore, as OCD typically involves distress and functional impairment rather than acute risk, detention under the Act is less commonly associated with this condition, raising questions about how individuals with severe but non-dangerous mental illness access intensive support (UK Government, 2007).</w:t>
      </w:r>
    </w:p>
    <w:p w14:paraId="1D446216"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However, this exclusion may disadvantage individuals in crisis who cannot access intensive treatment voluntarily due to shortages of specialist beds and service capacity. Reports from the CQC (2022) highlight significant pressures on mental-health services and patient pathways, demonstrating how limited resources can delay access to appropriate care.</w:t>
      </w:r>
    </w:p>
    <w:p w14:paraId="6373A54E"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Organisations such as Mind, Rethink Mental Illness and OCD Action provide peer support, advocacy, and information resources. However, their effectiveness is constrained by funding limitations and reliance on volunteers, raising concerns about consistency and long-term sustainability of provision (</w:t>
      </w:r>
      <w:proofErr w:type="spellStart"/>
      <w:r w:rsidRPr="00EC3FA3">
        <w:rPr>
          <w:rFonts w:ascii="Arial" w:hAnsi="Arial" w:cs="Arial"/>
          <w:sz w:val="22"/>
          <w:szCs w:val="22"/>
        </w:rPr>
        <w:t>Newbigging</w:t>
      </w:r>
      <w:proofErr w:type="spellEnd"/>
      <w:r w:rsidRPr="00EC3FA3">
        <w:rPr>
          <w:rFonts w:ascii="Arial" w:hAnsi="Arial" w:cs="Arial"/>
          <w:sz w:val="22"/>
          <w:szCs w:val="22"/>
        </w:rPr>
        <w:t xml:space="preserve"> et al., 2020). Peer support initiatives are most effective when they complement rather than replace formal services (Repper and Carter, 2011), yet many individuals continue to rely heavily on charity-funded support for needs that could be considered core healthcare provision.</w:t>
      </w:r>
    </w:p>
    <w:p w14:paraId="66998DD4" w14:textId="77777777" w:rsidR="000634E1" w:rsidRPr="00362C75" w:rsidRDefault="000634E1" w:rsidP="000634E1">
      <w:pPr>
        <w:pStyle w:val="Heading1"/>
        <w:rPr>
          <w:rFonts w:ascii="Arial" w:hAnsi="Arial" w:cs="Arial"/>
          <w:b/>
          <w:bCs/>
          <w:color w:val="auto"/>
          <w:sz w:val="22"/>
          <w:szCs w:val="22"/>
          <w:u w:val="single"/>
        </w:rPr>
      </w:pPr>
      <w:bookmarkStart w:id="32" w:name="_Toc224594634"/>
      <w:bookmarkStart w:id="33" w:name="_Toc224588484"/>
      <w:bookmarkStart w:id="34" w:name="_Toc224684705"/>
      <w:r w:rsidRPr="00362C75">
        <w:rPr>
          <w:rFonts w:ascii="Arial" w:hAnsi="Arial" w:cs="Arial"/>
          <w:b/>
          <w:bCs/>
          <w:color w:val="auto"/>
          <w:sz w:val="22"/>
          <w:szCs w:val="22"/>
          <w:u w:val="single"/>
        </w:rPr>
        <w:t>Current Debates and Emerging Issues</w:t>
      </w:r>
      <w:bookmarkEnd w:id="32"/>
      <w:bookmarkEnd w:id="34"/>
      <w:r w:rsidRPr="00362C75">
        <w:rPr>
          <w:rFonts w:ascii="Arial" w:hAnsi="Arial" w:cs="Arial"/>
          <w:b/>
          <w:bCs/>
          <w:color w:val="auto"/>
          <w:sz w:val="22"/>
          <w:szCs w:val="22"/>
          <w:u w:val="single"/>
        </w:rPr>
        <w:t xml:space="preserve"> </w:t>
      </w:r>
      <w:bookmarkEnd w:id="33"/>
    </w:p>
    <w:p w14:paraId="2BE2FED2" w14:textId="77777777" w:rsidR="000634E1" w:rsidRDefault="000634E1" w:rsidP="000634E1">
      <w:pPr>
        <w:spacing w:after="200" w:line="360" w:lineRule="auto"/>
        <w:jc w:val="both"/>
        <w:rPr>
          <w:rFonts w:ascii="Arial" w:hAnsi="Arial" w:cs="Arial"/>
          <w:sz w:val="22"/>
          <w:szCs w:val="22"/>
        </w:rPr>
      </w:pPr>
    </w:p>
    <w:p w14:paraId="3E567AFB"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The expansion of the neurodivergence framework to include obsessive-compulsive disorder creates conceptual tensions. While some advocates argue that reframing psychiatric conditions as neurological variation may reduce stigma (Chapman, 2020), critics warn that </w:t>
      </w:r>
      <w:proofErr w:type="gramStart"/>
      <w:r>
        <w:rPr>
          <w:rFonts w:ascii="Arial" w:hAnsi="Arial" w:cs="Arial"/>
          <w:sz w:val="22"/>
          <w:szCs w:val="22"/>
        </w:rPr>
        <w:t>this</w:t>
      </w:r>
      <w:r w:rsidRPr="00EC3FA3">
        <w:rPr>
          <w:rFonts w:ascii="Arial" w:hAnsi="Arial" w:cs="Arial"/>
          <w:sz w:val="22"/>
          <w:szCs w:val="22"/>
        </w:rPr>
        <w:t xml:space="preserve"> risks</w:t>
      </w:r>
      <w:proofErr w:type="gramEnd"/>
      <w:r w:rsidRPr="00EC3FA3">
        <w:rPr>
          <w:rFonts w:ascii="Arial" w:hAnsi="Arial" w:cs="Arial"/>
          <w:sz w:val="22"/>
          <w:szCs w:val="22"/>
        </w:rPr>
        <w:t xml:space="preserve"> downplaying the severe distress associated with OCD. Unlike autism, OCD is </w:t>
      </w:r>
      <w:r w:rsidRPr="00E20BD6">
        <w:rPr>
          <w:rFonts w:ascii="Arial" w:hAnsi="Arial" w:cs="Arial"/>
          <w:sz w:val="22"/>
          <w:szCs w:val="22"/>
        </w:rPr>
        <w:t>typically ego-dystonic,</w:t>
      </w:r>
      <w:r w:rsidRPr="00EC3FA3">
        <w:rPr>
          <w:rFonts w:ascii="Arial" w:hAnsi="Arial" w:cs="Arial"/>
          <w:sz w:val="22"/>
          <w:szCs w:val="22"/>
        </w:rPr>
        <w:t xml:space="preserve"> meaning individuals seek relief rather than acceptance (Reddy et al., 2017; Pellicano and den Houting, 2022). These debates reflect tensions between categorical and dimensional models of psychiatric classification (Haslam et al., 2020).</w:t>
      </w:r>
    </w:p>
    <w:p w14:paraId="16B8CDF9"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lastRenderedPageBreak/>
        <w:t>Moreover, the COVID-19 pandemic significantly altered OCD presentation and service delivery. Studies reported worsening OCD symptoms during lockdowns, particularly contamination obsessions, with deterioration reported in 20-65% of patients (Grant et al., 2022). Digital interventions expanded rapidly during the pandemic; however, evidence suggests that internet-delivered cognitive behavioural therapy (CBT) for OCD can produce variable outcomes and may be less effective for some patients than traditional face-to-face therapy (Flygare et al., 2022).</w:t>
      </w:r>
    </w:p>
    <w:p w14:paraId="4AC27451"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Furthermore, private sector involvement in mental-health care has increased, raising concerns about </w:t>
      </w:r>
      <w:r>
        <w:rPr>
          <w:rFonts w:ascii="Arial" w:hAnsi="Arial" w:cs="Arial"/>
          <w:sz w:val="22"/>
          <w:szCs w:val="22"/>
        </w:rPr>
        <w:t xml:space="preserve">the </w:t>
      </w:r>
      <w:r w:rsidRPr="00EC3FA3">
        <w:rPr>
          <w:rFonts w:ascii="Arial" w:hAnsi="Arial" w:cs="Arial"/>
          <w:sz w:val="22"/>
          <w:szCs w:val="22"/>
        </w:rPr>
        <w:t>emerging two-tier provision. The NHS now spends more than £2 billion annually sending patients to private psychiatric hospitals, due to shortages in NHS bed capacity (Thomas, 2024). However, private therapy sessions typically cost £40-£150 per session, potentially excluding those unable to afford treatment (Therapy Central, 2025).</w:t>
      </w:r>
      <w:bookmarkStart w:id="35" w:name="_Toc224588485"/>
      <w:bookmarkStart w:id="36" w:name="_Toc224594635"/>
    </w:p>
    <w:p w14:paraId="20F51D5F" w14:textId="77777777" w:rsidR="000634E1" w:rsidRPr="00362C75" w:rsidRDefault="000634E1" w:rsidP="000634E1">
      <w:pPr>
        <w:pStyle w:val="Heading1"/>
        <w:rPr>
          <w:rFonts w:ascii="Arial" w:hAnsi="Arial" w:cs="Arial"/>
          <w:b/>
          <w:bCs/>
          <w:color w:val="auto"/>
          <w:sz w:val="22"/>
          <w:szCs w:val="22"/>
          <w:u w:val="single"/>
        </w:rPr>
      </w:pPr>
      <w:bookmarkStart w:id="37" w:name="_Toc224684706"/>
      <w:r w:rsidRPr="00362C75">
        <w:rPr>
          <w:rFonts w:ascii="Arial" w:hAnsi="Arial" w:cs="Arial"/>
          <w:b/>
          <w:bCs/>
          <w:color w:val="auto"/>
          <w:sz w:val="22"/>
          <w:szCs w:val="22"/>
          <w:u w:val="single"/>
        </w:rPr>
        <w:t>Equality Act Implementation Failures</w:t>
      </w:r>
      <w:bookmarkEnd w:id="35"/>
      <w:bookmarkEnd w:id="36"/>
      <w:bookmarkEnd w:id="37"/>
    </w:p>
    <w:p w14:paraId="76748619" w14:textId="77777777" w:rsidR="000634E1" w:rsidRDefault="000634E1" w:rsidP="000634E1">
      <w:pPr>
        <w:spacing w:after="200" w:line="360" w:lineRule="auto"/>
        <w:jc w:val="both"/>
        <w:rPr>
          <w:rFonts w:ascii="Arial" w:hAnsi="Arial" w:cs="Arial"/>
          <w:sz w:val="22"/>
          <w:szCs w:val="22"/>
        </w:rPr>
      </w:pPr>
    </w:p>
    <w:p w14:paraId="6F495CF3"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The Equality Act (2010) provides legal protection against workplace discrimination for individuals whose mental-health conditions meet the statutory definition of disability. However, the effectiveness of this protection in practice remains debated. Disclosure of mental-health conditions is often limited due to stigma and fear of discrimination (Mind, 2023). Furthermore, the requirement for employers to provide "reasonable adjustments" can be inconsistently applied, as the Act provides limited guidance on what constitutes adequate accommodation for fluctuating mental-health conditions (ACAS, 2022). Parliamentary scrutiny has highlighted weak enforcement of the Equality Act (2010), noting that the current system relies heavily on individuals bringing discrimination claims and has been criticised as not fit for purpose (House of Commons Library, 2025). Consequently, barriers to equitable workplace participation for individuals with mental-health conditions may persist.</w:t>
      </w:r>
    </w:p>
    <w:p w14:paraId="6C7FB775" w14:textId="77777777" w:rsidR="000634E1" w:rsidRDefault="000634E1" w:rsidP="000634E1">
      <w:pPr>
        <w:pStyle w:val="Heading1"/>
        <w:rPr>
          <w:rFonts w:ascii="Arial" w:hAnsi="Arial" w:cs="Arial"/>
          <w:b/>
          <w:bCs/>
          <w:color w:val="auto"/>
          <w:sz w:val="22"/>
          <w:szCs w:val="22"/>
          <w:u w:val="single"/>
        </w:rPr>
      </w:pPr>
      <w:bookmarkStart w:id="38" w:name="_Toc224588486"/>
      <w:bookmarkStart w:id="39" w:name="_Toc224594636"/>
      <w:bookmarkStart w:id="40" w:name="_Toc224684707"/>
      <w:r w:rsidRPr="004F4EDF">
        <w:rPr>
          <w:rFonts w:ascii="Arial" w:hAnsi="Arial" w:cs="Arial"/>
          <w:b/>
          <w:bCs/>
          <w:color w:val="auto"/>
          <w:sz w:val="22"/>
          <w:szCs w:val="22"/>
          <w:u w:val="single"/>
        </w:rPr>
        <w:t>Recommendations</w:t>
      </w:r>
      <w:bookmarkStart w:id="41" w:name="_Toc224588487"/>
      <w:bookmarkStart w:id="42" w:name="_Toc224594637"/>
      <w:bookmarkEnd w:id="38"/>
      <w:bookmarkEnd w:id="39"/>
      <w:bookmarkEnd w:id="40"/>
    </w:p>
    <w:p w14:paraId="10F23471" w14:textId="77777777" w:rsidR="00683345" w:rsidRPr="00683345" w:rsidRDefault="00683345" w:rsidP="00683345">
      <w:pPr>
        <w:rPr>
          <w:lang w:eastAsia="en-US"/>
        </w:rPr>
      </w:pPr>
    </w:p>
    <w:p w14:paraId="294495ED" w14:textId="77777777" w:rsidR="00683345" w:rsidRPr="00F44475" w:rsidRDefault="00683345" w:rsidP="00683345">
      <w:pPr>
        <w:spacing w:after="160" w:line="360" w:lineRule="auto"/>
        <w:rPr>
          <w:rFonts w:ascii="Arial" w:hAnsi="Arial" w:cs="Arial"/>
          <w:sz w:val="22"/>
          <w:szCs w:val="22"/>
        </w:rPr>
      </w:pPr>
      <w:r w:rsidRPr="00F44475">
        <w:rPr>
          <w:rFonts w:ascii="Arial" w:hAnsi="Arial" w:cs="Arial"/>
          <w:sz w:val="22"/>
          <w:szCs w:val="22"/>
        </w:rPr>
        <w:t xml:space="preserve">Improving OCD care within the UK requires reforms that address structural failures rather than simply expanding existing inadequate provision. Establishing specialist OCD care pathways, separate from NHS Talking Therapies, is essential given the persistent mismatch between standard short-term intervention models and NICE's (2024) own guidance recommending intensive ERP. However, previous NHS Long Term Plan (2019) commitments to expand community mental health services have not been fully realised, </w:t>
      </w:r>
      <w:r w:rsidRPr="00F44475">
        <w:rPr>
          <w:rFonts w:ascii="Arial" w:hAnsi="Arial" w:cs="Arial"/>
          <w:sz w:val="22"/>
          <w:szCs w:val="22"/>
        </w:rPr>
        <w:lastRenderedPageBreak/>
        <w:t>suggesting that new pathways require ring-fenced funding and independent accountability mechanisms rather than aspirational targets alone (National Audit Office, 2023).</w:t>
      </w:r>
    </w:p>
    <w:p w14:paraId="47387412" w14:textId="77777777" w:rsidR="00683345" w:rsidRPr="00F44475" w:rsidRDefault="00683345" w:rsidP="00683345">
      <w:pPr>
        <w:spacing w:after="160" w:line="360" w:lineRule="auto"/>
        <w:rPr>
          <w:rFonts w:ascii="Arial" w:hAnsi="Arial" w:cs="Arial"/>
          <w:sz w:val="22"/>
          <w:szCs w:val="22"/>
        </w:rPr>
      </w:pPr>
      <w:r w:rsidRPr="00F44475">
        <w:rPr>
          <w:rFonts w:ascii="Arial" w:hAnsi="Arial" w:cs="Arial"/>
          <w:sz w:val="22"/>
          <w:szCs w:val="22"/>
        </w:rPr>
        <w:t>NICE (2024) guidelines should more transparently acknowledge treatment limitations, including non-response rates and SSRI withdrawal risks, to enable genuinely informed clinical decision-making. Currently, guidance presents pharmacological and psychological treatments with greater confidence than the evidence base fully supports (Turner et al., 2008; Davies and Read, 2019), which risks perpetuating inadequate care for treatment-resistant individuals.</w:t>
      </w:r>
    </w:p>
    <w:p w14:paraId="5BC9C19C" w14:textId="77777777" w:rsidR="00683345" w:rsidRPr="00F44475" w:rsidRDefault="00683345" w:rsidP="00683345">
      <w:pPr>
        <w:spacing w:after="160" w:line="360" w:lineRule="auto"/>
        <w:rPr>
          <w:rFonts w:ascii="Arial" w:hAnsi="Arial" w:cs="Arial"/>
          <w:sz w:val="22"/>
          <w:szCs w:val="22"/>
        </w:rPr>
      </w:pPr>
      <w:r w:rsidRPr="00F44475">
        <w:rPr>
          <w:rFonts w:ascii="Arial" w:hAnsi="Arial" w:cs="Arial"/>
          <w:sz w:val="22"/>
          <w:szCs w:val="22"/>
        </w:rPr>
        <w:t>Strengthening workplace protections under the Equality Act (2010) requires moving beyond the current complaint-led enforcement model, which places an unreasonable burden on individuals already experiencing significant impairment. Proactive employer monitoring and statutory guidance on reasonable adjustments for fluctuating mental health conditions would represent meaningful reform (Equality and Human Rights Commission, 2023).</w:t>
      </w:r>
    </w:p>
    <w:p w14:paraId="42C0FF54" w14:textId="5F3880DE" w:rsidR="000D2AD7" w:rsidRPr="00683345" w:rsidRDefault="00683345" w:rsidP="00683345">
      <w:pPr>
        <w:spacing w:after="160" w:line="360" w:lineRule="auto"/>
        <w:rPr>
          <w:rFonts w:ascii="Arial" w:hAnsi="Arial" w:cs="Arial"/>
          <w:sz w:val="22"/>
          <w:szCs w:val="22"/>
        </w:rPr>
      </w:pPr>
      <w:r w:rsidRPr="00F44475">
        <w:rPr>
          <w:rFonts w:ascii="Arial" w:hAnsi="Arial" w:cs="Arial"/>
          <w:sz w:val="22"/>
          <w:szCs w:val="22"/>
        </w:rPr>
        <w:t>Finally, improved OCD-specific training in primary care is critical, as early identification remains poor and delays in diagnosis compound long-term impairment (NICE, 2024). Without addressing workforce knowledge gaps at the point of first contact, systemic reforms further along the care pathway will have limited impact.</w:t>
      </w:r>
    </w:p>
    <w:p w14:paraId="4987DEA0" w14:textId="77777777" w:rsidR="000634E1" w:rsidRPr="004F4EDF" w:rsidRDefault="000634E1" w:rsidP="000634E1">
      <w:pPr>
        <w:pStyle w:val="Heading1"/>
        <w:rPr>
          <w:rFonts w:ascii="Arial" w:hAnsi="Arial" w:cs="Arial"/>
          <w:b/>
          <w:bCs/>
          <w:color w:val="auto"/>
          <w:sz w:val="22"/>
          <w:szCs w:val="22"/>
          <w:u w:val="single"/>
        </w:rPr>
      </w:pPr>
      <w:bookmarkStart w:id="43" w:name="_Toc224684708"/>
      <w:r w:rsidRPr="004F4EDF">
        <w:rPr>
          <w:rFonts w:ascii="Arial" w:hAnsi="Arial" w:cs="Arial"/>
          <w:b/>
          <w:bCs/>
          <w:color w:val="auto"/>
          <w:sz w:val="22"/>
          <w:szCs w:val="22"/>
          <w:u w:val="single"/>
        </w:rPr>
        <w:t>Conclusion</w:t>
      </w:r>
      <w:bookmarkEnd w:id="41"/>
      <w:bookmarkEnd w:id="42"/>
      <w:bookmarkEnd w:id="43"/>
    </w:p>
    <w:p w14:paraId="7C7488B9" w14:textId="77777777" w:rsidR="000634E1" w:rsidRDefault="000634E1" w:rsidP="000634E1">
      <w:pPr>
        <w:spacing w:after="200" w:line="360" w:lineRule="auto"/>
        <w:jc w:val="both"/>
        <w:rPr>
          <w:rFonts w:ascii="Arial" w:hAnsi="Arial" w:cs="Arial"/>
          <w:sz w:val="22"/>
          <w:szCs w:val="22"/>
        </w:rPr>
      </w:pPr>
    </w:p>
    <w:p w14:paraId="1DAE10ED"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This report has demonstrated that OCD management within UK healthcare reflects significant diagnostic, therapeutic and systemic challenges. ICD-11 reclassification may create administrative uncertainty, while NICE guidance can present treatments with greater confidence than the evidence base fully supports. NHS service structures often prioritise short-term intervention over long-term support, leaving individuals without sustained care. Although legal protections and proposed legislative reforms exist, implementation remains constrained by limited resources. Future research should prioritise longitudinal studies examining long-term treatment outcomes and the effectiveness of specialist OCD pathways within NHS settings. Until investment matches policy ambition, access to effective OCD treatment will continue to vary by geography and socioeconomic status. Ultimately, improving OCD care requires aligning diagnostic frameworks, service provision, and funding with the complex realities of long-term mental-health conditions.</w:t>
      </w:r>
      <w:bookmarkEnd w:id="0"/>
    </w:p>
    <w:p w14:paraId="39CC2758" w14:textId="77777777" w:rsidR="000634E1" w:rsidRPr="004F4EDF" w:rsidRDefault="000634E1" w:rsidP="000634E1">
      <w:pPr>
        <w:pStyle w:val="Heading1"/>
        <w:rPr>
          <w:rFonts w:ascii="Arial" w:hAnsi="Arial" w:cs="Arial"/>
          <w:b/>
          <w:bCs/>
          <w:sz w:val="22"/>
          <w:szCs w:val="22"/>
          <w:u w:val="single"/>
        </w:rPr>
      </w:pPr>
      <w:r w:rsidRPr="00EC3FA3">
        <w:br w:type="page"/>
      </w:r>
      <w:bookmarkStart w:id="44" w:name="_Toc224588488"/>
      <w:bookmarkStart w:id="45" w:name="_Toc224594638"/>
      <w:bookmarkStart w:id="46" w:name="_Toc224684709"/>
      <w:r w:rsidRPr="004F4EDF">
        <w:rPr>
          <w:rFonts w:ascii="Arial" w:hAnsi="Arial" w:cs="Arial"/>
          <w:b/>
          <w:bCs/>
          <w:color w:val="auto"/>
          <w:sz w:val="22"/>
          <w:szCs w:val="22"/>
          <w:u w:val="single"/>
        </w:rPr>
        <w:lastRenderedPageBreak/>
        <w:t>References:</w:t>
      </w:r>
      <w:bookmarkEnd w:id="44"/>
      <w:bookmarkEnd w:id="45"/>
      <w:bookmarkEnd w:id="46"/>
    </w:p>
    <w:p w14:paraId="680E2D3D" w14:textId="77777777" w:rsidR="000634E1" w:rsidRPr="00EC3FA3" w:rsidRDefault="000634E1" w:rsidP="000634E1">
      <w:pPr>
        <w:spacing w:line="360" w:lineRule="auto"/>
        <w:rPr>
          <w:rFonts w:ascii="Arial" w:hAnsi="Arial" w:cs="Arial"/>
          <w:sz w:val="22"/>
          <w:szCs w:val="22"/>
        </w:rPr>
      </w:pPr>
    </w:p>
    <w:bookmarkEnd w:id="1"/>
    <w:p w14:paraId="02EA67F0"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ACAS (2022) </w:t>
      </w:r>
      <w:r w:rsidRPr="00EC3FA3">
        <w:rPr>
          <w:rFonts w:ascii="Arial" w:hAnsi="Arial" w:cs="Arial"/>
          <w:i/>
          <w:iCs/>
          <w:sz w:val="22"/>
          <w:szCs w:val="22"/>
        </w:rPr>
        <w:t>Reasonable adjustments for mental health</w:t>
      </w:r>
      <w:r w:rsidRPr="00EC3FA3">
        <w:rPr>
          <w:rFonts w:ascii="Arial" w:hAnsi="Arial" w:cs="Arial"/>
          <w:sz w:val="22"/>
          <w:szCs w:val="22"/>
        </w:rPr>
        <w:t xml:space="preserve">. Available at: </w:t>
      </w:r>
      <w:hyperlink r:id="rId7" w:tgtFrame="_new" w:history="1">
        <w:r w:rsidRPr="00EC3FA3">
          <w:rPr>
            <w:rStyle w:val="Hyperlink"/>
            <w:rFonts w:ascii="Arial" w:eastAsiaTheme="majorEastAsia" w:hAnsi="Arial" w:cs="Arial"/>
            <w:sz w:val="22"/>
            <w:szCs w:val="22"/>
          </w:rPr>
          <w:t>https://www.acas.org.uk/reasonable-adjustments</w:t>
        </w:r>
      </w:hyperlink>
      <w:r w:rsidRPr="00EC3FA3">
        <w:rPr>
          <w:rFonts w:ascii="Arial" w:hAnsi="Arial" w:cs="Arial"/>
          <w:sz w:val="22"/>
          <w:szCs w:val="22"/>
        </w:rPr>
        <w:t xml:space="preserve"> (Accessed: 16 March 2026).</w:t>
      </w:r>
    </w:p>
    <w:p w14:paraId="75A20F71"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Care Quality Commission (2022) </w:t>
      </w:r>
      <w:r w:rsidRPr="00EC3FA3">
        <w:rPr>
          <w:rFonts w:ascii="Arial" w:hAnsi="Arial" w:cs="Arial"/>
          <w:i/>
          <w:iCs/>
          <w:sz w:val="22"/>
          <w:szCs w:val="22"/>
        </w:rPr>
        <w:t>Monitoring the Mental Health Act 2021/22: Pressures on services and patient pathways</w:t>
      </w:r>
      <w:r w:rsidRPr="00EC3FA3">
        <w:rPr>
          <w:rFonts w:ascii="Arial" w:hAnsi="Arial" w:cs="Arial"/>
          <w:sz w:val="22"/>
          <w:szCs w:val="22"/>
        </w:rPr>
        <w:t xml:space="preserve">. Available at: </w:t>
      </w:r>
      <w:hyperlink r:id="rId8" w:tgtFrame="_new" w:history="1">
        <w:r w:rsidRPr="00EC3FA3">
          <w:rPr>
            <w:rStyle w:val="Hyperlink"/>
            <w:rFonts w:ascii="Arial" w:eastAsiaTheme="majorEastAsia" w:hAnsi="Arial" w:cs="Arial"/>
            <w:sz w:val="22"/>
            <w:szCs w:val="22"/>
          </w:rPr>
          <w:t>https://www.cqc.org.uk/publications/monitoring-mental-health-act/2021-2022/pressures-services-patient-pathways</w:t>
        </w:r>
      </w:hyperlink>
      <w:r w:rsidRPr="00EC3FA3">
        <w:rPr>
          <w:rFonts w:ascii="Arial" w:hAnsi="Arial" w:cs="Arial"/>
          <w:sz w:val="22"/>
          <w:szCs w:val="22"/>
        </w:rPr>
        <w:t xml:space="preserve"> (Accessed: 16 March 2026).</w:t>
      </w:r>
    </w:p>
    <w:p w14:paraId="6537572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Care Quality Commission (2024) </w:t>
      </w:r>
      <w:r w:rsidRPr="00EC3FA3">
        <w:rPr>
          <w:rFonts w:ascii="Arial" w:hAnsi="Arial" w:cs="Arial"/>
          <w:i/>
          <w:iCs/>
          <w:sz w:val="22"/>
          <w:szCs w:val="22"/>
        </w:rPr>
        <w:t>Monitoring the Mental Health Act 2023/24: Inequalities</w:t>
      </w:r>
      <w:r w:rsidRPr="00EC3FA3">
        <w:rPr>
          <w:rFonts w:ascii="Arial" w:hAnsi="Arial" w:cs="Arial"/>
          <w:sz w:val="22"/>
          <w:szCs w:val="22"/>
        </w:rPr>
        <w:t xml:space="preserve">. Available at: </w:t>
      </w:r>
      <w:hyperlink r:id="rId9" w:tgtFrame="_new" w:history="1">
        <w:r w:rsidRPr="00EC3FA3">
          <w:rPr>
            <w:rStyle w:val="Hyperlink"/>
            <w:rFonts w:ascii="Arial" w:eastAsiaTheme="majorEastAsia" w:hAnsi="Arial" w:cs="Arial"/>
            <w:sz w:val="22"/>
            <w:szCs w:val="22"/>
          </w:rPr>
          <w:t>https://www.cqc.org.uk/publications/monitoring-mental-health-act/2023-2024/inequalities</w:t>
        </w:r>
      </w:hyperlink>
      <w:r w:rsidRPr="00EC3FA3">
        <w:rPr>
          <w:rFonts w:ascii="Arial" w:hAnsi="Arial" w:cs="Arial"/>
          <w:sz w:val="22"/>
          <w:szCs w:val="22"/>
        </w:rPr>
        <w:t xml:space="preserve"> (Accessed: 16 March 2026).</w:t>
      </w:r>
    </w:p>
    <w:p w14:paraId="1717D36E"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Care Quality Commission (2025) </w:t>
      </w:r>
      <w:r w:rsidRPr="00EC3FA3">
        <w:rPr>
          <w:rFonts w:ascii="Arial" w:hAnsi="Arial" w:cs="Arial"/>
          <w:i/>
          <w:iCs/>
          <w:sz w:val="22"/>
          <w:szCs w:val="22"/>
        </w:rPr>
        <w:t>High demand, long waits, and insufficient support mean people with mental health issues still not getting the support they need</w:t>
      </w:r>
      <w:r w:rsidRPr="00EC3FA3">
        <w:rPr>
          <w:rFonts w:ascii="Arial" w:hAnsi="Arial" w:cs="Arial"/>
          <w:sz w:val="22"/>
          <w:szCs w:val="22"/>
        </w:rPr>
        <w:t xml:space="preserve">. Available at: </w:t>
      </w:r>
      <w:hyperlink r:id="rId10" w:tgtFrame="_new" w:history="1">
        <w:r w:rsidRPr="00EC3FA3">
          <w:rPr>
            <w:rStyle w:val="Hyperlink"/>
            <w:rFonts w:ascii="Arial" w:eastAsiaTheme="majorEastAsia" w:hAnsi="Arial" w:cs="Arial"/>
            <w:sz w:val="22"/>
            <w:szCs w:val="22"/>
          </w:rPr>
          <w:t>https://www.cqc.org.uk/press-release/high-demand-long-waits-and-insufficient-support-mean-people-mental-health-issues</w:t>
        </w:r>
      </w:hyperlink>
      <w:r w:rsidRPr="00EC3FA3">
        <w:rPr>
          <w:rFonts w:ascii="Arial" w:hAnsi="Arial" w:cs="Arial"/>
          <w:sz w:val="22"/>
          <w:szCs w:val="22"/>
        </w:rPr>
        <w:t xml:space="preserve"> (Accessed: 16 March 2026).</w:t>
      </w:r>
    </w:p>
    <w:p w14:paraId="0816EF64"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Chapman, R. (2020) ‘Defining neurodiversity for research and practice’, in Rosqvist, H.B., Chown, N. and Stenning, A. (eds.) </w:t>
      </w:r>
      <w:r w:rsidRPr="00EC3FA3">
        <w:rPr>
          <w:rFonts w:ascii="Arial" w:hAnsi="Arial" w:cs="Arial"/>
          <w:i/>
          <w:iCs/>
          <w:sz w:val="22"/>
          <w:szCs w:val="22"/>
        </w:rPr>
        <w:t>Neurodiversity studies: A new critical paradigm</w:t>
      </w:r>
      <w:r w:rsidRPr="00EC3FA3">
        <w:rPr>
          <w:rFonts w:ascii="Arial" w:hAnsi="Arial" w:cs="Arial"/>
          <w:sz w:val="22"/>
          <w:szCs w:val="22"/>
        </w:rPr>
        <w:t>. London: Routledge, pp. 218–220.</w:t>
      </w:r>
    </w:p>
    <w:p w14:paraId="72EA8D4B"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Clark, D.M., Layard, R., Smithies, R., Richards, D., Suckling, R. and Wright, B. (2014) </w:t>
      </w:r>
      <w:r w:rsidRPr="00EC3FA3">
        <w:rPr>
          <w:rFonts w:ascii="Arial" w:hAnsi="Arial" w:cs="Arial"/>
          <w:i/>
          <w:iCs/>
          <w:sz w:val="22"/>
          <w:szCs w:val="22"/>
        </w:rPr>
        <w:t>Measuring recovery in IAPT services</w:t>
      </w:r>
      <w:r w:rsidRPr="00EC3FA3">
        <w:rPr>
          <w:rFonts w:ascii="Arial" w:hAnsi="Arial" w:cs="Arial"/>
          <w:sz w:val="22"/>
          <w:szCs w:val="22"/>
        </w:rPr>
        <w:t xml:space="preserve">. Oxford: Oxford Academic Health Science Network. Available at: </w:t>
      </w:r>
      <w:hyperlink r:id="rId11" w:tgtFrame="_new" w:history="1">
        <w:r w:rsidRPr="00EC3FA3">
          <w:rPr>
            <w:rStyle w:val="Hyperlink"/>
            <w:rFonts w:ascii="Arial" w:eastAsiaTheme="majorEastAsia" w:hAnsi="Arial" w:cs="Arial"/>
            <w:sz w:val="22"/>
            <w:szCs w:val="22"/>
          </w:rPr>
          <w:t>https://www.healthinnovationoxford.org/wp-content/uploads/2015/11/measuring-recovery-2014.pdf</w:t>
        </w:r>
      </w:hyperlink>
      <w:r w:rsidRPr="00EC3FA3">
        <w:rPr>
          <w:rFonts w:ascii="Arial" w:hAnsi="Arial" w:cs="Arial"/>
          <w:sz w:val="22"/>
          <w:szCs w:val="22"/>
        </w:rPr>
        <w:t xml:space="preserve"> (Accessed: 16 March 2026).</w:t>
      </w:r>
    </w:p>
    <w:p w14:paraId="2B3B5867"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Cooper, R., Bunn, J.G., Richardson, S.J., Hillman, S.J., Sayer, A.A. and Witham, M.D. (2024) ‘Rising to the challenge of defining and operationalising multimorbidity in a UK hospital setting: the ADMISSION research collaborative’, </w:t>
      </w:r>
      <w:r w:rsidRPr="00EC3FA3">
        <w:rPr>
          <w:rFonts w:ascii="Arial" w:hAnsi="Arial" w:cs="Arial"/>
          <w:i/>
          <w:iCs/>
          <w:sz w:val="22"/>
          <w:szCs w:val="22"/>
        </w:rPr>
        <w:t>European Geriatric Medicine</w:t>
      </w:r>
      <w:r w:rsidRPr="00EC3FA3">
        <w:rPr>
          <w:rFonts w:ascii="Arial" w:hAnsi="Arial" w:cs="Arial"/>
          <w:sz w:val="22"/>
          <w:szCs w:val="22"/>
        </w:rPr>
        <w:t xml:space="preserve">, 15(3), pp. 853–860. Available at: </w:t>
      </w:r>
      <w:hyperlink r:id="rId12" w:tgtFrame="_new" w:history="1">
        <w:r w:rsidRPr="00EC3FA3">
          <w:rPr>
            <w:rStyle w:val="Hyperlink"/>
            <w:rFonts w:ascii="Arial" w:eastAsiaTheme="majorEastAsia" w:hAnsi="Arial" w:cs="Arial"/>
            <w:sz w:val="22"/>
            <w:szCs w:val="22"/>
          </w:rPr>
          <w:t>https://pmc.ncbi.nlm.nih.gov/articles/PMC11329381/</w:t>
        </w:r>
      </w:hyperlink>
      <w:r w:rsidRPr="00EC3FA3">
        <w:rPr>
          <w:rFonts w:ascii="Arial" w:hAnsi="Arial" w:cs="Arial"/>
          <w:sz w:val="22"/>
          <w:szCs w:val="22"/>
        </w:rPr>
        <w:t xml:space="preserve"> (Accessed: 16 March 2026).</w:t>
      </w:r>
    </w:p>
    <w:p w14:paraId="1EBB3F76"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Davies, J. and Read, J. (2019) ‘A systematic review into the incidence, severity and duration of antidepressant withdrawal effects: Are guidelines evidence-based?’, </w:t>
      </w:r>
      <w:r w:rsidRPr="00EC3FA3">
        <w:rPr>
          <w:rFonts w:ascii="Arial" w:hAnsi="Arial" w:cs="Arial"/>
          <w:i/>
          <w:iCs/>
          <w:sz w:val="22"/>
          <w:szCs w:val="22"/>
        </w:rPr>
        <w:t xml:space="preserve">Addictive </w:t>
      </w:r>
      <w:proofErr w:type="spellStart"/>
      <w:r w:rsidRPr="00EC3FA3">
        <w:rPr>
          <w:rFonts w:ascii="Arial" w:hAnsi="Arial" w:cs="Arial"/>
          <w:i/>
          <w:iCs/>
          <w:sz w:val="22"/>
          <w:szCs w:val="22"/>
        </w:rPr>
        <w:t>Behaviors</w:t>
      </w:r>
      <w:proofErr w:type="spellEnd"/>
      <w:r w:rsidRPr="00EC3FA3">
        <w:rPr>
          <w:rFonts w:ascii="Arial" w:hAnsi="Arial" w:cs="Arial"/>
          <w:sz w:val="22"/>
          <w:szCs w:val="22"/>
        </w:rPr>
        <w:t xml:space="preserve">, 97, pp. 111–121. Available at: </w:t>
      </w:r>
      <w:hyperlink r:id="rId13" w:tgtFrame="_new" w:history="1">
        <w:r w:rsidRPr="00EC3FA3">
          <w:rPr>
            <w:rStyle w:val="Hyperlink"/>
            <w:rFonts w:ascii="Arial" w:eastAsiaTheme="majorEastAsia" w:hAnsi="Arial" w:cs="Arial"/>
            <w:sz w:val="22"/>
            <w:szCs w:val="22"/>
          </w:rPr>
          <w:t>https://pubmed.ncbi.nlm.nih.gov/30292574/</w:t>
        </w:r>
      </w:hyperlink>
      <w:r w:rsidRPr="00EC3FA3">
        <w:rPr>
          <w:rFonts w:ascii="Arial" w:hAnsi="Arial" w:cs="Arial"/>
          <w:sz w:val="22"/>
          <w:szCs w:val="22"/>
        </w:rPr>
        <w:t xml:space="preserve"> (Accessed: 16 March 2026).</w:t>
      </w:r>
    </w:p>
    <w:p w14:paraId="107E55C1"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lastRenderedPageBreak/>
        <w:t xml:space="preserve">Department of Health and Social Care (2023) </w:t>
      </w:r>
      <w:r w:rsidRPr="00EC3FA3">
        <w:rPr>
          <w:rFonts w:ascii="Arial" w:hAnsi="Arial" w:cs="Arial"/>
          <w:i/>
          <w:iCs/>
          <w:sz w:val="22"/>
          <w:szCs w:val="22"/>
        </w:rPr>
        <w:t>Care and support statutory guidance</w:t>
      </w:r>
      <w:r w:rsidRPr="00EC3FA3">
        <w:rPr>
          <w:rFonts w:ascii="Arial" w:hAnsi="Arial" w:cs="Arial"/>
          <w:sz w:val="22"/>
          <w:szCs w:val="22"/>
        </w:rPr>
        <w:t xml:space="preserve">. Available at: </w:t>
      </w:r>
      <w:hyperlink r:id="rId14" w:tgtFrame="_new" w:history="1">
        <w:r w:rsidRPr="00EC3FA3">
          <w:rPr>
            <w:rStyle w:val="Hyperlink"/>
            <w:rFonts w:ascii="Arial" w:eastAsiaTheme="majorEastAsia" w:hAnsi="Arial" w:cs="Arial"/>
            <w:sz w:val="22"/>
            <w:szCs w:val="22"/>
          </w:rPr>
          <w:t>https://www.gov.uk/government/publications/care-act-statutory-guidance</w:t>
        </w:r>
      </w:hyperlink>
      <w:r w:rsidRPr="00EC3FA3">
        <w:rPr>
          <w:rFonts w:ascii="Arial" w:hAnsi="Arial" w:cs="Arial"/>
          <w:sz w:val="22"/>
          <w:szCs w:val="22"/>
        </w:rPr>
        <w:t xml:space="preserve"> (Accessed: 16 March 2026).</w:t>
      </w:r>
    </w:p>
    <w:p w14:paraId="59AC9651"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Equality and Human Rights Commission (2023) </w:t>
      </w:r>
      <w:r w:rsidRPr="00EC3FA3">
        <w:rPr>
          <w:rFonts w:ascii="Arial" w:hAnsi="Arial" w:cs="Arial"/>
          <w:i/>
          <w:iCs/>
          <w:sz w:val="22"/>
          <w:szCs w:val="22"/>
        </w:rPr>
        <w:t>Workplace adjustments and disability discrimination</w:t>
      </w:r>
      <w:r w:rsidRPr="00EC3FA3">
        <w:rPr>
          <w:rFonts w:ascii="Arial" w:hAnsi="Arial" w:cs="Arial"/>
          <w:sz w:val="22"/>
          <w:szCs w:val="22"/>
        </w:rPr>
        <w:t xml:space="preserve">. Available at: </w:t>
      </w:r>
      <w:hyperlink r:id="rId15" w:tgtFrame="_new" w:history="1">
        <w:r w:rsidRPr="00EC3FA3">
          <w:rPr>
            <w:rStyle w:val="Hyperlink"/>
            <w:rFonts w:ascii="Arial" w:eastAsiaTheme="majorEastAsia" w:hAnsi="Arial" w:cs="Arial"/>
            <w:sz w:val="22"/>
            <w:szCs w:val="22"/>
          </w:rPr>
          <w:t>https://www.equalityhumanrights.com</w:t>
        </w:r>
      </w:hyperlink>
      <w:r w:rsidRPr="00EC3FA3">
        <w:rPr>
          <w:rFonts w:ascii="Arial" w:hAnsi="Arial" w:cs="Arial"/>
          <w:sz w:val="22"/>
          <w:szCs w:val="22"/>
        </w:rPr>
        <w:t xml:space="preserve"> (Accessed: 16 March 2026).</w:t>
      </w:r>
    </w:p>
    <w:p w14:paraId="4D0F8D06"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Fineberg, N.A., Hollander, E., </w:t>
      </w:r>
      <w:proofErr w:type="spellStart"/>
      <w:r w:rsidRPr="00EC3FA3">
        <w:rPr>
          <w:rFonts w:ascii="Arial" w:hAnsi="Arial" w:cs="Arial"/>
          <w:sz w:val="22"/>
          <w:szCs w:val="22"/>
        </w:rPr>
        <w:t>Pallanti</w:t>
      </w:r>
      <w:proofErr w:type="spellEnd"/>
      <w:r w:rsidRPr="00EC3FA3">
        <w:rPr>
          <w:rFonts w:ascii="Arial" w:hAnsi="Arial" w:cs="Arial"/>
          <w:sz w:val="22"/>
          <w:szCs w:val="22"/>
        </w:rPr>
        <w:t xml:space="preserve">, S., </w:t>
      </w:r>
      <w:proofErr w:type="spellStart"/>
      <w:r w:rsidRPr="00EC3FA3">
        <w:rPr>
          <w:rFonts w:ascii="Arial" w:hAnsi="Arial" w:cs="Arial"/>
          <w:sz w:val="22"/>
          <w:szCs w:val="22"/>
        </w:rPr>
        <w:t>Walitza</w:t>
      </w:r>
      <w:proofErr w:type="spellEnd"/>
      <w:r w:rsidRPr="00EC3FA3">
        <w:rPr>
          <w:rFonts w:ascii="Arial" w:hAnsi="Arial" w:cs="Arial"/>
          <w:sz w:val="22"/>
          <w:szCs w:val="22"/>
        </w:rPr>
        <w:t xml:space="preserve">, S., Grünblatt, E., </w:t>
      </w:r>
      <w:proofErr w:type="spellStart"/>
      <w:r w:rsidRPr="00EC3FA3">
        <w:rPr>
          <w:rFonts w:ascii="Arial" w:hAnsi="Arial" w:cs="Arial"/>
          <w:sz w:val="22"/>
          <w:szCs w:val="22"/>
        </w:rPr>
        <w:t>Dell’Osso</w:t>
      </w:r>
      <w:proofErr w:type="spellEnd"/>
      <w:r w:rsidRPr="00EC3FA3">
        <w:rPr>
          <w:rFonts w:ascii="Arial" w:hAnsi="Arial" w:cs="Arial"/>
          <w:sz w:val="22"/>
          <w:szCs w:val="22"/>
        </w:rPr>
        <w:t xml:space="preserve">, B., Albert, U., </w:t>
      </w:r>
      <w:proofErr w:type="spellStart"/>
      <w:r w:rsidRPr="00EC3FA3">
        <w:rPr>
          <w:rFonts w:ascii="Arial" w:hAnsi="Arial" w:cs="Arial"/>
          <w:sz w:val="22"/>
          <w:szCs w:val="22"/>
        </w:rPr>
        <w:t>Brakoulias</w:t>
      </w:r>
      <w:proofErr w:type="spellEnd"/>
      <w:r w:rsidRPr="00EC3FA3">
        <w:rPr>
          <w:rFonts w:ascii="Arial" w:hAnsi="Arial" w:cs="Arial"/>
          <w:sz w:val="22"/>
          <w:szCs w:val="22"/>
        </w:rPr>
        <w:t xml:space="preserve">, V., Janardhan Reddy, Y.C., Simpson, H.B., Stein, D.J. and Lochner, C. (2020) ‘Clinical advances in obsessive-compulsive disorder: A position statement by the International College of Obsessive-Compulsive Spectrum Disorders’, </w:t>
      </w:r>
      <w:r w:rsidRPr="00EC3FA3">
        <w:rPr>
          <w:rFonts w:ascii="Arial" w:hAnsi="Arial" w:cs="Arial"/>
          <w:i/>
          <w:iCs/>
          <w:sz w:val="22"/>
          <w:szCs w:val="22"/>
        </w:rPr>
        <w:t>International Clinical Psychopharmacology</w:t>
      </w:r>
      <w:r w:rsidRPr="00EC3FA3">
        <w:rPr>
          <w:rFonts w:ascii="Arial" w:hAnsi="Arial" w:cs="Arial"/>
          <w:sz w:val="22"/>
          <w:szCs w:val="22"/>
        </w:rPr>
        <w:t>, 35(4), pp. 173–193.</w:t>
      </w:r>
    </w:p>
    <w:p w14:paraId="68A1F2B9" w14:textId="77777777" w:rsidR="000634E1" w:rsidRPr="00DF5807" w:rsidRDefault="000634E1" w:rsidP="000634E1">
      <w:pPr>
        <w:spacing w:after="200" w:line="360" w:lineRule="auto"/>
        <w:rPr>
          <w:rFonts w:ascii="Arial" w:hAnsi="Arial" w:cs="Arial"/>
          <w:sz w:val="22"/>
          <w:szCs w:val="22"/>
        </w:rPr>
      </w:pPr>
      <w:r w:rsidRPr="00DF5807">
        <w:rPr>
          <w:rFonts w:ascii="Arial" w:hAnsi="Arial" w:cs="Arial"/>
          <w:sz w:val="22"/>
          <w:szCs w:val="22"/>
        </w:rPr>
        <w:t xml:space="preserve">Flygare, O., Lundström, L., Andersson, E., </w:t>
      </w:r>
      <w:proofErr w:type="spellStart"/>
      <w:r w:rsidRPr="00DF5807">
        <w:rPr>
          <w:rFonts w:ascii="Arial" w:hAnsi="Arial" w:cs="Arial"/>
          <w:sz w:val="22"/>
          <w:szCs w:val="22"/>
        </w:rPr>
        <w:t>Mataix</w:t>
      </w:r>
      <w:proofErr w:type="spellEnd"/>
      <w:r w:rsidRPr="00DF5807">
        <w:rPr>
          <w:rFonts w:ascii="Arial" w:hAnsi="Arial" w:cs="Arial"/>
          <w:sz w:val="22"/>
          <w:szCs w:val="22"/>
        </w:rPr>
        <w:t xml:space="preserve">-Cols, D. and </w:t>
      </w:r>
      <w:proofErr w:type="spellStart"/>
      <w:r w:rsidRPr="00DF5807">
        <w:rPr>
          <w:rFonts w:ascii="Arial" w:hAnsi="Arial" w:cs="Arial"/>
          <w:sz w:val="22"/>
          <w:szCs w:val="22"/>
        </w:rPr>
        <w:t>Rück</w:t>
      </w:r>
      <w:proofErr w:type="spellEnd"/>
      <w:r w:rsidRPr="00DF5807">
        <w:rPr>
          <w:rFonts w:ascii="Arial" w:hAnsi="Arial" w:cs="Arial"/>
          <w:sz w:val="22"/>
          <w:szCs w:val="22"/>
        </w:rPr>
        <w:t>, C. (2022)</w:t>
      </w:r>
      <w:r w:rsidRPr="00DF5807">
        <w:rPr>
          <w:rFonts w:ascii="Arial" w:hAnsi="Arial" w:cs="Arial"/>
          <w:sz w:val="22"/>
          <w:szCs w:val="22"/>
        </w:rPr>
        <w:br/>
        <w:t xml:space="preserve">‘Implementing therapist-guided internet-delivered cognitive behaviour therapy for obsessive-compulsive disorder in the UK’s IAPT programme’, </w:t>
      </w:r>
      <w:r w:rsidRPr="00DF5807">
        <w:rPr>
          <w:rFonts w:ascii="Arial" w:hAnsi="Arial" w:cs="Arial"/>
          <w:i/>
          <w:iCs/>
          <w:sz w:val="22"/>
          <w:szCs w:val="22"/>
        </w:rPr>
        <w:t>British Journal of Clinical Psychology</w:t>
      </w:r>
      <w:r w:rsidRPr="00DF5807">
        <w:rPr>
          <w:rFonts w:ascii="Arial" w:hAnsi="Arial" w:cs="Arial"/>
          <w:sz w:val="22"/>
          <w:szCs w:val="22"/>
        </w:rPr>
        <w:t>, 61(4), pp. 895–910.</w:t>
      </w:r>
    </w:p>
    <w:p w14:paraId="27E9915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Garnaat, S.L. and Norton, P.J. (2010) ‘Factor structure of the Yale-Brown Obsessive Compulsive Scale’, </w:t>
      </w:r>
      <w:r w:rsidRPr="00EC3FA3">
        <w:rPr>
          <w:rFonts w:ascii="Arial" w:hAnsi="Arial" w:cs="Arial"/>
          <w:i/>
          <w:iCs/>
          <w:sz w:val="22"/>
          <w:szCs w:val="22"/>
        </w:rPr>
        <w:t>Journal of Anxiety Disorders</w:t>
      </w:r>
      <w:r w:rsidRPr="00EC3FA3">
        <w:rPr>
          <w:rFonts w:ascii="Arial" w:hAnsi="Arial" w:cs="Arial"/>
          <w:sz w:val="22"/>
          <w:szCs w:val="22"/>
        </w:rPr>
        <w:t>, 24(7), pp. 796–801.</w:t>
      </w:r>
    </w:p>
    <w:p w14:paraId="467A03FC" w14:textId="77777777" w:rsidR="000634E1" w:rsidRDefault="000634E1" w:rsidP="000634E1">
      <w:pPr>
        <w:spacing w:after="200" w:line="360" w:lineRule="auto"/>
        <w:rPr>
          <w:rFonts w:ascii="Arial" w:hAnsi="Arial" w:cs="Arial"/>
          <w:sz w:val="22"/>
          <w:szCs w:val="22"/>
        </w:rPr>
      </w:pPr>
      <w:r w:rsidRPr="004356D7">
        <w:rPr>
          <w:rFonts w:ascii="Arial" w:hAnsi="Arial" w:cs="Arial"/>
          <w:sz w:val="22"/>
          <w:szCs w:val="22"/>
        </w:rPr>
        <w:t>Gillan, C.M., Fineberg, N.A. and Robbins, T.W. (2017)</w:t>
      </w:r>
      <w:r w:rsidRPr="004356D7">
        <w:rPr>
          <w:rFonts w:ascii="Arial" w:hAnsi="Arial" w:cs="Arial"/>
          <w:sz w:val="22"/>
          <w:szCs w:val="22"/>
        </w:rPr>
        <w:br/>
        <w:t xml:space="preserve">‘A trans-diagnostic perspective on obsessive-compulsive disorder’, </w:t>
      </w:r>
      <w:r w:rsidRPr="004356D7">
        <w:rPr>
          <w:rFonts w:ascii="Arial" w:hAnsi="Arial" w:cs="Arial"/>
          <w:i/>
          <w:iCs/>
          <w:sz w:val="22"/>
          <w:szCs w:val="22"/>
        </w:rPr>
        <w:t>Psychological Medicine</w:t>
      </w:r>
      <w:r w:rsidRPr="004356D7">
        <w:rPr>
          <w:rFonts w:ascii="Arial" w:hAnsi="Arial" w:cs="Arial"/>
          <w:sz w:val="22"/>
          <w:szCs w:val="22"/>
        </w:rPr>
        <w:t xml:space="preserve">, 47(9), pp. 1528–1548. </w:t>
      </w:r>
      <w:hyperlink r:id="rId16" w:tgtFrame="_new" w:history="1">
        <w:r w:rsidRPr="004356D7">
          <w:rPr>
            <w:rStyle w:val="Hyperlink"/>
            <w:rFonts w:ascii="Arial" w:eastAsiaTheme="majorEastAsia" w:hAnsi="Arial" w:cs="Arial"/>
            <w:sz w:val="22"/>
            <w:szCs w:val="22"/>
          </w:rPr>
          <w:t>https://doi.org/10.1017/S0033291716002786</w:t>
        </w:r>
      </w:hyperlink>
      <w:r w:rsidRPr="004356D7">
        <w:rPr>
          <w:rFonts w:ascii="Arial" w:hAnsi="Arial" w:cs="Arial"/>
          <w:sz w:val="22"/>
          <w:szCs w:val="22"/>
        </w:rPr>
        <w:t>.</w:t>
      </w:r>
    </w:p>
    <w:p w14:paraId="51F7AFA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Grant, J.E., Drummond, L., Nicholson, T.R., Fiske, A. and Chamberlain, S.R. (2022) ‘Obsessive-compulsive symptoms and the COVID-19 pandemic’, </w:t>
      </w:r>
      <w:r w:rsidRPr="00EC3FA3">
        <w:rPr>
          <w:rFonts w:ascii="Arial" w:hAnsi="Arial" w:cs="Arial"/>
          <w:i/>
          <w:iCs/>
          <w:sz w:val="22"/>
          <w:szCs w:val="22"/>
        </w:rPr>
        <w:t>Journal of Psychiatric Research</w:t>
      </w:r>
      <w:r w:rsidRPr="00EC3FA3">
        <w:rPr>
          <w:rFonts w:ascii="Arial" w:hAnsi="Arial" w:cs="Arial"/>
          <w:sz w:val="22"/>
          <w:szCs w:val="22"/>
        </w:rPr>
        <w:t xml:space="preserve">, 146, pp. 190–197. Available at: </w:t>
      </w:r>
      <w:hyperlink r:id="rId17" w:tgtFrame="_new" w:history="1">
        <w:r w:rsidRPr="00EC3FA3">
          <w:rPr>
            <w:rStyle w:val="Hyperlink"/>
            <w:rFonts w:ascii="Arial" w:eastAsiaTheme="majorEastAsia" w:hAnsi="Arial" w:cs="Arial"/>
            <w:sz w:val="22"/>
            <w:szCs w:val="22"/>
          </w:rPr>
          <w:t>https://pubmed.ncbi.nlm.nih.gov/34740755/</w:t>
        </w:r>
      </w:hyperlink>
      <w:r w:rsidRPr="00EC3FA3">
        <w:rPr>
          <w:rFonts w:ascii="Arial" w:hAnsi="Arial" w:cs="Arial"/>
          <w:sz w:val="22"/>
          <w:szCs w:val="22"/>
        </w:rPr>
        <w:t xml:space="preserve"> (Accessed: 16 March 2026).</w:t>
      </w:r>
    </w:p>
    <w:p w14:paraId="261AF3C9"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GOV.UK (2024) </w:t>
      </w:r>
      <w:r w:rsidRPr="00EC3FA3">
        <w:rPr>
          <w:rFonts w:ascii="Arial" w:hAnsi="Arial" w:cs="Arial"/>
          <w:i/>
          <w:iCs/>
          <w:sz w:val="22"/>
          <w:szCs w:val="22"/>
        </w:rPr>
        <w:t>When a mental health condition becomes a disability</w:t>
      </w:r>
      <w:r w:rsidRPr="00EC3FA3">
        <w:rPr>
          <w:rFonts w:ascii="Arial" w:hAnsi="Arial" w:cs="Arial"/>
          <w:sz w:val="22"/>
          <w:szCs w:val="22"/>
        </w:rPr>
        <w:t xml:space="preserve">. Available at: </w:t>
      </w:r>
      <w:hyperlink r:id="rId18" w:tgtFrame="_new" w:history="1">
        <w:r w:rsidRPr="00EC3FA3">
          <w:rPr>
            <w:rStyle w:val="Hyperlink"/>
            <w:rFonts w:ascii="Arial" w:eastAsiaTheme="majorEastAsia" w:hAnsi="Arial" w:cs="Arial"/>
            <w:sz w:val="22"/>
            <w:szCs w:val="22"/>
          </w:rPr>
          <w:t>https://www.gov.uk/when-mental-health-condition-becomes-disability</w:t>
        </w:r>
      </w:hyperlink>
      <w:r w:rsidRPr="00EC3FA3">
        <w:rPr>
          <w:rFonts w:ascii="Arial" w:hAnsi="Arial" w:cs="Arial"/>
          <w:sz w:val="22"/>
          <w:szCs w:val="22"/>
        </w:rPr>
        <w:t xml:space="preserve"> (Accessed: 16 March 2026).</w:t>
      </w:r>
    </w:p>
    <w:p w14:paraId="7307367D" w14:textId="77777777" w:rsidR="000634E1" w:rsidRPr="00ED0A7B" w:rsidRDefault="000634E1" w:rsidP="000634E1">
      <w:pPr>
        <w:spacing w:after="200" w:line="360" w:lineRule="auto"/>
        <w:rPr>
          <w:rFonts w:ascii="Arial" w:hAnsi="Arial" w:cs="Arial"/>
          <w:sz w:val="22"/>
          <w:szCs w:val="22"/>
        </w:rPr>
      </w:pPr>
    </w:p>
    <w:p w14:paraId="76C25CC2" w14:textId="77777777" w:rsidR="000634E1" w:rsidRPr="00EC3FA3" w:rsidRDefault="000634E1" w:rsidP="000634E1">
      <w:pPr>
        <w:spacing w:after="200" w:line="360" w:lineRule="auto"/>
        <w:rPr>
          <w:rFonts w:ascii="Arial" w:hAnsi="Arial" w:cs="Arial"/>
          <w:sz w:val="22"/>
          <w:szCs w:val="22"/>
        </w:rPr>
      </w:pPr>
      <w:r w:rsidRPr="00ED0A7B">
        <w:rPr>
          <w:rFonts w:ascii="Arial" w:hAnsi="Arial" w:cs="Arial"/>
          <w:sz w:val="22"/>
          <w:szCs w:val="22"/>
        </w:rPr>
        <w:t xml:space="preserve">Haslam, N., McGrath, M.J., </w:t>
      </w:r>
      <w:proofErr w:type="spellStart"/>
      <w:r w:rsidRPr="00ED0A7B">
        <w:rPr>
          <w:rFonts w:ascii="Arial" w:hAnsi="Arial" w:cs="Arial"/>
          <w:sz w:val="22"/>
          <w:szCs w:val="22"/>
        </w:rPr>
        <w:t>Viechtbauer</w:t>
      </w:r>
      <w:proofErr w:type="spellEnd"/>
      <w:r w:rsidRPr="00ED0A7B">
        <w:rPr>
          <w:rFonts w:ascii="Arial" w:hAnsi="Arial" w:cs="Arial"/>
          <w:sz w:val="22"/>
          <w:szCs w:val="22"/>
        </w:rPr>
        <w:t xml:space="preserve">, W. and </w:t>
      </w:r>
      <w:proofErr w:type="spellStart"/>
      <w:r w:rsidRPr="00ED0A7B">
        <w:rPr>
          <w:rFonts w:ascii="Arial" w:hAnsi="Arial" w:cs="Arial"/>
          <w:sz w:val="22"/>
          <w:szCs w:val="22"/>
        </w:rPr>
        <w:t>Kuppens</w:t>
      </w:r>
      <w:proofErr w:type="spellEnd"/>
      <w:r w:rsidRPr="00ED0A7B">
        <w:rPr>
          <w:rFonts w:ascii="Arial" w:hAnsi="Arial" w:cs="Arial"/>
          <w:sz w:val="22"/>
          <w:szCs w:val="22"/>
        </w:rPr>
        <w:t>, P. (2020)</w:t>
      </w:r>
      <w:r w:rsidRPr="00ED0A7B">
        <w:rPr>
          <w:rFonts w:ascii="Arial" w:hAnsi="Arial" w:cs="Arial"/>
          <w:sz w:val="22"/>
          <w:szCs w:val="22"/>
        </w:rPr>
        <w:br/>
        <w:t xml:space="preserve">‘Dimensions over categories: A meta-analysis of </w:t>
      </w:r>
      <w:proofErr w:type="spellStart"/>
      <w:r w:rsidRPr="00ED0A7B">
        <w:rPr>
          <w:rFonts w:ascii="Arial" w:hAnsi="Arial" w:cs="Arial"/>
          <w:sz w:val="22"/>
          <w:szCs w:val="22"/>
        </w:rPr>
        <w:t>taxometric</w:t>
      </w:r>
      <w:proofErr w:type="spellEnd"/>
      <w:r w:rsidRPr="00ED0A7B">
        <w:rPr>
          <w:rFonts w:ascii="Arial" w:hAnsi="Arial" w:cs="Arial"/>
          <w:sz w:val="22"/>
          <w:szCs w:val="22"/>
        </w:rPr>
        <w:t xml:space="preserve"> research’, </w:t>
      </w:r>
      <w:r w:rsidRPr="00ED0A7B">
        <w:rPr>
          <w:rFonts w:ascii="Arial" w:hAnsi="Arial" w:cs="Arial"/>
          <w:i/>
          <w:iCs/>
          <w:sz w:val="22"/>
          <w:szCs w:val="22"/>
        </w:rPr>
        <w:t>Psychological Medicine</w:t>
      </w:r>
      <w:r w:rsidRPr="00ED0A7B">
        <w:rPr>
          <w:rFonts w:ascii="Arial" w:hAnsi="Arial" w:cs="Arial"/>
          <w:sz w:val="22"/>
          <w:szCs w:val="22"/>
        </w:rPr>
        <w:t>, 50(9), pp. 1418–1432. https://doi.org/10.1017/S003329172000183X.</w:t>
      </w:r>
    </w:p>
    <w:p w14:paraId="196D685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lastRenderedPageBreak/>
        <w:t xml:space="preserve">House of Commons Library (2025) </w:t>
      </w:r>
      <w:r w:rsidRPr="00EC3FA3">
        <w:rPr>
          <w:rFonts w:ascii="Arial" w:hAnsi="Arial" w:cs="Arial"/>
          <w:i/>
          <w:iCs/>
          <w:sz w:val="22"/>
          <w:szCs w:val="22"/>
        </w:rPr>
        <w:t>Impact of the Equality Act 2010 on British society</w:t>
      </w:r>
      <w:r w:rsidRPr="00EC3FA3">
        <w:rPr>
          <w:rFonts w:ascii="Arial" w:hAnsi="Arial" w:cs="Arial"/>
          <w:sz w:val="22"/>
          <w:szCs w:val="22"/>
        </w:rPr>
        <w:t xml:space="preserve">. Available at: </w:t>
      </w:r>
      <w:hyperlink r:id="rId19" w:tgtFrame="_new" w:history="1">
        <w:r w:rsidRPr="00EC3FA3">
          <w:rPr>
            <w:rStyle w:val="Hyperlink"/>
            <w:rFonts w:ascii="Arial" w:eastAsiaTheme="majorEastAsia" w:hAnsi="Arial" w:cs="Arial"/>
            <w:sz w:val="22"/>
            <w:szCs w:val="22"/>
          </w:rPr>
          <w:t>https://commonslibrary.parliament.uk/research-briefings/cdp-2025-0178/</w:t>
        </w:r>
      </w:hyperlink>
      <w:r w:rsidRPr="00EC3FA3">
        <w:rPr>
          <w:rFonts w:ascii="Arial" w:hAnsi="Arial" w:cs="Arial"/>
          <w:sz w:val="22"/>
          <w:szCs w:val="22"/>
        </w:rPr>
        <w:t xml:space="preserve"> (Accessed: 16 March 2026).</w:t>
      </w:r>
    </w:p>
    <w:p w14:paraId="15491180"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Lebowitz, E.R. (2012) ‘Family accommodation in obsessive-compulsive disorder’, </w:t>
      </w:r>
      <w:r w:rsidRPr="00EC3FA3">
        <w:rPr>
          <w:rFonts w:ascii="Arial" w:hAnsi="Arial" w:cs="Arial"/>
          <w:i/>
          <w:iCs/>
          <w:sz w:val="22"/>
          <w:szCs w:val="22"/>
        </w:rPr>
        <w:t>Dialogues in Clinical Neuroscience</w:t>
      </w:r>
      <w:r w:rsidRPr="00EC3FA3">
        <w:rPr>
          <w:rFonts w:ascii="Arial" w:hAnsi="Arial" w:cs="Arial"/>
          <w:sz w:val="22"/>
          <w:szCs w:val="22"/>
        </w:rPr>
        <w:t xml:space="preserve">, 14(4), pp. 447–452. Available at: </w:t>
      </w:r>
      <w:hyperlink r:id="rId20" w:tgtFrame="_new" w:history="1">
        <w:r w:rsidRPr="00EC3FA3">
          <w:rPr>
            <w:rStyle w:val="Hyperlink"/>
            <w:rFonts w:ascii="Arial" w:eastAsiaTheme="majorEastAsia" w:hAnsi="Arial" w:cs="Arial"/>
            <w:sz w:val="22"/>
            <w:szCs w:val="22"/>
          </w:rPr>
          <w:t>https://pmc.ncbi.nlm.nih.gov/articles/PMC4011018/</w:t>
        </w:r>
      </w:hyperlink>
      <w:r w:rsidRPr="00EC3FA3">
        <w:rPr>
          <w:rFonts w:ascii="Arial" w:hAnsi="Arial" w:cs="Arial"/>
          <w:sz w:val="22"/>
          <w:szCs w:val="22"/>
        </w:rPr>
        <w:t xml:space="preserve"> (Accessed: 16 March 2026).</w:t>
      </w:r>
    </w:p>
    <w:p w14:paraId="2F3115F2"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Mancebo, M.C., Eisen, J.L., </w:t>
      </w:r>
      <w:proofErr w:type="spellStart"/>
      <w:r w:rsidRPr="00EC3FA3">
        <w:rPr>
          <w:rFonts w:ascii="Arial" w:hAnsi="Arial" w:cs="Arial"/>
          <w:sz w:val="22"/>
          <w:szCs w:val="22"/>
        </w:rPr>
        <w:t>Sibrava</w:t>
      </w:r>
      <w:proofErr w:type="spellEnd"/>
      <w:r w:rsidRPr="00EC3FA3">
        <w:rPr>
          <w:rFonts w:ascii="Arial" w:hAnsi="Arial" w:cs="Arial"/>
          <w:sz w:val="22"/>
          <w:szCs w:val="22"/>
        </w:rPr>
        <w:t xml:space="preserve">, N.J., Dyck, I.R. and Rasmussen, S.A. (2007) ‘Correlates of occupational disability in a clinical sample of obsessive-compulsive disorder’, </w:t>
      </w:r>
      <w:r w:rsidRPr="00EC3FA3">
        <w:rPr>
          <w:rFonts w:ascii="Arial" w:hAnsi="Arial" w:cs="Arial"/>
          <w:i/>
          <w:iCs/>
          <w:sz w:val="22"/>
          <w:szCs w:val="22"/>
        </w:rPr>
        <w:t>Comprehensive Psychiatry</w:t>
      </w:r>
      <w:r w:rsidRPr="00EC3FA3">
        <w:rPr>
          <w:rFonts w:ascii="Arial" w:hAnsi="Arial" w:cs="Arial"/>
          <w:sz w:val="22"/>
          <w:szCs w:val="22"/>
        </w:rPr>
        <w:t xml:space="preserve">, 48(5), pp. 416–421. Available at: </w:t>
      </w:r>
      <w:hyperlink r:id="rId21" w:tgtFrame="_new" w:history="1">
        <w:r w:rsidRPr="00EC3FA3">
          <w:rPr>
            <w:rStyle w:val="Hyperlink"/>
            <w:rFonts w:ascii="Arial" w:eastAsiaTheme="majorEastAsia" w:hAnsi="Arial" w:cs="Arial"/>
            <w:sz w:val="22"/>
            <w:szCs w:val="22"/>
          </w:rPr>
          <w:t>https://pmc.ncbi.nlm.nih.gov/articles/PMC2211449/</w:t>
        </w:r>
      </w:hyperlink>
      <w:r w:rsidRPr="00EC3FA3">
        <w:rPr>
          <w:rFonts w:ascii="Arial" w:hAnsi="Arial" w:cs="Arial"/>
          <w:sz w:val="22"/>
          <w:szCs w:val="22"/>
        </w:rPr>
        <w:t xml:space="preserve"> (Accessed: 16 March 2026).</w:t>
      </w:r>
    </w:p>
    <w:p w14:paraId="0923B278"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Mental Health First Aid England (2024) </w:t>
      </w:r>
      <w:r w:rsidRPr="00EC3FA3">
        <w:rPr>
          <w:rFonts w:ascii="Arial" w:hAnsi="Arial" w:cs="Arial"/>
          <w:i/>
          <w:iCs/>
          <w:sz w:val="22"/>
          <w:szCs w:val="22"/>
        </w:rPr>
        <w:t>Key workplace mental health statistics for 2024</w:t>
      </w:r>
      <w:r w:rsidRPr="00EC3FA3">
        <w:rPr>
          <w:rFonts w:ascii="Arial" w:hAnsi="Arial" w:cs="Arial"/>
          <w:sz w:val="22"/>
          <w:szCs w:val="22"/>
        </w:rPr>
        <w:t xml:space="preserve">. Available at: </w:t>
      </w:r>
      <w:hyperlink r:id="rId22" w:tgtFrame="_new" w:history="1">
        <w:r w:rsidRPr="00EC3FA3">
          <w:rPr>
            <w:rStyle w:val="Hyperlink"/>
            <w:rFonts w:ascii="Arial" w:eastAsiaTheme="majorEastAsia" w:hAnsi="Arial" w:cs="Arial"/>
            <w:sz w:val="22"/>
            <w:szCs w:val="22"/>
          </w:rPr>
          <w:t>https://mhfaengland.org</w:t>
        </w:r>
      </w:hyperlink>
      <w:r w:rsidRPr="00EC3FA3">
        <w:rPr>
          <w:rFonts w:ascii="Arial" w:hAnsi="Arial" w:cs="Arial"/>
          <w:sz w:val="22"/>
          <w:szCs w:val="22"/>
        </w:rPr>
        <w:t xml:space="preserve"> (Accessed: 16 March 2026).</w:t>
      </w:r>
    </w:p>
    <w:p w14:paraId="398258FF"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Mental Health UK (2022) </w:t>
      </w:r>
      <w:proofErr w:type="gramStart"/>
      <w:r w:rsidRPr="00EC3FA3">
        <w:rPr>
          <w:rFonts w:ascii="Arial" w:hAnsi="Arial" w:cs="Arial"/>
          <w:i/>
          <w:iCs/>
          <w:sz w:val="22"/>
          <w:szCs w:val="22"/>
        </w:rPr>
        <w:t>Obsessive compulsive disorder</w:t>
      </w:r>
      <w:proofErr w:type="gramEnd"/>
      <w:r w:rsidRPr="00EC3FA3">
        <w:rPr>
          <w:rFonts w:ascii="Arial" w:hAnsi="Arial" w:cs="Arial"/>
          <w:i/>
          <w:iCs/>
          <w:sz w:val="22"/>
          <w:szCs w:val="22"/>
        </w:rPr>
        <w:t xml:space="preserve"> – Sophie’s story</w:t>
      </w:r>
      <w:r w:rsidRPr="00EC3FA3">
        <w:rPr>
          <w:rFonts w:ascii="Arial" w:hAnsi="Arial" w:cs="Arial"/>
          <w:sz w:val="22"/>
          <w:szCs w:val="22"/>
        </w:rPr>
        <w:t xml:space="preserve">. Available at: </w:t>
      </w:r>
      <w:hyperlink r:id="rId23" w:tgtFrame="_new" w:history="1">
        <w:r w:rsidRPr="00EC3FA3">
          <w:rPr>
            <w:rStyle w:val="Hyperlink"/>
            <w:rFonts w:ascii="Arial" w:eastAsiaTheme="majorEastAsia" w:hAnsi="Arial" w:cs="Arial"/>
            <w:sz w:val="22"/>
            <w:szCs w:val="22"/>
          </w:rPr>
          <w:t>https://mentalhealth-uk.org/blog/ocd-sophies-story/</w:t>
        </w:r>
      </w:hyperlink>
      <w:r w:rsidRPr="00EC3FA3">
        <w:rPr>
          <w:rFonts w:ascii="Arial" w:hAnsi="Arial" w:cs="Arial"/>
          <w:sz w:val="22"/>
          <w:szCs w:val="22"/>
        </w:rPr>
        <w:t xml:space="preserve"> (Accessed: 16 March 2026).</w:t>
      </w:r>
    </w:p>
    <w:p w14:paraId="589CF957"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Mind (2023) </w:t>
      </w:r>
      <w:r w:rsidRPr="00EC3FA3">
        <w:rPr>
          <w:rFonts w:ascii="Arial" w:hAnsi="Arial" w:cs="Arial"/>
          <w:i/>
          <w:iCs/>
          <w:sz w:val="22"/>
          <w:szCs w:val="22"/>
        </w:rPr>
        <w:t>Mental health at work</w:t>
      </w:r>
      <w:r w:rsidRPr="00EC3FA3">
        <w:rPr>
          <w:rFonts w:ascii="Arial" w:hAnsi="Arial" w:cs="Arial"/>
          <w:sz w:val="22"/>
          <w:szCs w:val="22"/>
        </w:rPr>
        <w:t xml:space="preserve">. Available at: </w:t>
      </w:r>
      <w:hyperlink r:id="rId24" w:tgtFrame="_new" w:history="1">
        <w:r w:rsidRPr="00EC3FA3">
          <w:rPr>
            <w:rStyle w:val="Hyperlink"/>
            <w:rFonts w:ascii="Arial" w:eastAsiaTheme="majorEastAsia" w:hAnsi="Arial" w:cs="Arial"/>
            <w:sz w:val="22"/>
            <w:szCs w:val="22"/>
          </w:rPr>
          <w:t>https://www.mind.org.uk</w:t>
        </w:r>
      </w:hyperlink>
      <w:r w:rsidRPr="00EC3FA3">
        <w:rPr>
          <w:rFonts w:ascii="Arial" w:hAnsi="Arial" w:cs="Arial"/>
          <w:sz w:val="22"/>
          <w:szCs w:val="22"/>
        </w:rPr>
        <w:t xml:space="preserve"> (Accessed: 16 March 2026).</w:t>
      </w:r>
    </w:p>
    <w:p w14:paraId="19165C1E"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Mind (2024) </w:t>
      </w:r>
      <w:r w:rsidRPr="00EC3FA3">
        <w:rPr>
          <w:rFonts w:ascii="Arial" w:hAnsi="Arial" w:cs="Arial"/>
          <w:i/>
          <w:iCs/>
          <w:sz w:val="22"/>
          <w:szCs w:val="22"/>
        </w:rPr>
        <w:t>Disability discrimination and the Equality Act 2010</w:t>
      </w:r>
      <w:r w:rsidRPr="00EC3FA3">
        <w:rPr>
          <w:rFonts w:ascii="Arial" w:hAnsi="Arial" w:cs="Arial"/>
          <w:sz w:val="22"/>
          <w:szCs w:val="22"/>
        </w:rPr>
        <w:t xml:space="preserve">. Available at: </w:t>
      </w:r>
      <w:hyperlink r:id="rId25" w:tgtFrame="_new" w:history="1">
        <w:r w:rsidRPr="00EC3FA3">
          <w:rPr>
            <w:rStyle w:val="Hyperlink"/>
            <w:rFonts w:ascii="Arial" w:eastAsiaTheme="majorEastAsia" w:hAnsi="Arial" w:cs="Arial"/>
            <w:sz w:val="22"/>
            <w:szCs w:val="22"/>
          </w:rPr>
          <w:t>https://www.mind.org.uk</w:t>
        </w:r>
      </w:hyperlink>
      <w:r w:rsidRPr="00EC3FA3">
        <w:rPr>
          <w:rFonts w:ascii="Arial" w:hAnsi="Arial" w:cs="Arial"/>
          <w:sz w:val="22"/>
          <w:szCs w:val="22"/>
        </w:rPr>
        <w:t xml:space="preserve"> (Accessed: 16 March 2026).</w:t>
      </w:r>
    </w:p>
    <w:p w14:paraId="09D8B8C1"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National Audit Office (2023) </w:t>
      </w:r>
      <w:r w:rsidRPr="00EC3FA3">
        <w:rPr>
          <w:rFonts w:ascii="Arial" w:hAnsi="Arial" w:cs="Arial"/>
          <w:i/>
          <w:iCs/>
          <w:sz w:val="22"/>
          <w:szCs w:val="22"/>
        </w:rPr>
        <w:t>Progress in improving mental health services in England</w:t>
      </w:r>
      <w:r w:rsidRPr="00EC3FA3">
        <w:rPr>
          <w:rFonts w:ascii="Arial" w:hAnsi="Arial" w:cs="Arial"/>
          <w:sz w:val="22"/>
          <w:szCs w:val="22"/>
        </w:rPr>
        <w:t xml:space="preserve">. Available at: </w:t>
      </w:r>
      <w:hyperlink r:id="rId26" w:tgtFrame="_new" w:history="1">
        <w:r w:rsidRPr="00EC3FA3">
          <w:rPr>
            <w:rStyle w:val="Hyperlink"/>
            <w:rFonts w:ascii="Arial" w:eastAsiaTheme="majorEastAsia" w:hAnsi="Arial" w:cs="Arial"/>
            <w:sz w:val="22"/>
            <w:szCs w:val="22"/>
          </w:rPr>
          <w:t>https://www.nao.org.uk/reports/progress-in-improving-mental-health-services-in-england/</w:t>
        </w:r>
      </w:hyperlink>
      <w:r w:rsidRPr="00EC3FA3">
        <w:rPr>
          <w:rFonts w:ascii="Arial" w:hAnsi="Arial" w:cs="Arial"/>
          <w:sz w:val="22"/>
          <w:szCs w:val="22"/>
        </w:rPr>
        <w:t xml:space="preserve"> (Accessed: 16 March 2026).</w:t>
      </w:r>
    </w:p>
    <w:p w14:paraId="5A346D06"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National Institute for Health and Care Excellence (NICE) (2024) </w:t>
      </w:r>
      <w:proofErr w:type="gramStart"/>
      <w:r w:rsidRPr="00EC3FA3">
        <w:rPr>
          <w:rFonts w:ascii="Arial" w:hAnsi="Arial" w:cs="Arial"/>
          <w:i/>
          <w:iCs/>
          <w:sz w:val="22"/>
          <w:szCs w:val="22"/>
        </w:rPr>
        <w:t>Obsessive-compulsive disorder</w:t>
      </w:r>
      <w:proofErr w:type="gramEnd"/>
      <w:r w:rsidRPr="00EC3FA3">
        <w:rPr>
          <w:rFonts w:ascii="Arial" w:hAnsi="Arial" w:cs="Arial"/>
          <w:i/>
          <w:iCs/>
          <w:sz w:val="22"/>
          <w:szCs w:val="22"/>
        </w:rPr>
        <w:t xml:space="preserve"> and body dysmorphic disorder: treatment (CG31)</w:t>
      </w:r>
      <w:r w:rsidRPr="00EC3FA3">
        <w:rPr>
          <w:rFonts w:ascii="Arial" w:hAnsi="Arial" w:cs="Arial"/>
          <w:sz w:val="22"/>
          <w:szCs w:val="22"/>
        </w:rPr>
        <w:t xml:space="preserve">. Available at: </w:t>
      </w:r>
      <w:bookmarkStart w:id="47" w:name="OLE_LINK17"/>
      <w:r w:rsidRPr="00EC3FA3">
        <w:rPr>
          <w:rFonts w:ascii="Arial" w:hAnsi="Arial" w:cs="Arial"/>
          <w:sz w:val="22"/>
          <w:szCs w:val="22"/>
        </w:rPr>
        <w:fldChar w:fldCharType="begin"/>
      </w:r>
      <w:r w:rsidRPr="00EC3FA3">
        <w:rPr>
          <w:rFonts w:ascii="Arial" w:hAnsi="Arial" w:cs="Arial"/>
          <w:sz w:val="22"/>
          <w:szCs w:val="22"/>
        </w:rPr>
        <w:instrText>HYPERLINK "https://www.nice.org.uk/guidance/cg31" \t "_new"</w:instrText>
      </w:r>
      <w:r w:rsidRPr="00EC3FA3">
        <w:rPr>
          <w:rFonts w:ascii="Arial" w:hAnsi="Arial" w:cs="Arial"/>
          <w:sz w:val="22"/>
          <w:szCs w:val="22"/>
        </w:rPr>
      </w:r>
      <w:r w:rsidRPr="00EC3FA3">
        <w:rPr>
          <w:rFonts w:ascii="Arial" w:hAnsi="Arial" w:cs="Arial"/>
          <w:sz w:val="22"/>
          <w:szCs w:val="22"/>
        </w:rPr>
        <w:fldChar w:fldCharType="separate"/>
      </w:r>
      <w:r w:rsidRPr="00EC3FA3">
        <w:rPr>
          <w:rStyle w:val="Hyperlink"/>
          <w:rFonts w:ascii="Arial" w:eastAsiaTheme="majorEastAsia" w:hAnsi="Arial" w:cs="Arial"/>
          <w:sz w:val="22"/>
          <w:szCs w:val="22"/>
        </w:rPr>
        <w:t>https://www.nice.org.uk/guidance/cg31</w:t>
      </w:r>
      <w:r w:rsidRPr="00EC3FA3">
        <w:rPr>
          <w:rFonts w:ascii="Arial" w:hAnsi="Arial" w:cs="Arial"/>
          <w:sz w:val="22"/>
          <w:szCs w:val="22"/>
        </w:rPr>
        <w:fldChar w:fldCharType="end"/>
      </w:r>
      <w:bookmarkEnd w:id="47"/>
      <w:r w:rsidRPr="00EC3FA3">
        <w:rPr>
          <w:rFonts w:ascii="Arial" w:hAnsi="Arial" w:cs="Arial"/>
          <w:sz w:val="22"/>
          <w:szCs w:val="22"/>
        </w:rPr>
        <w:t xml:space="preserve"> (Accessed: 16 March 2026).</w:t>
      </w:r>
    </w:p>
    <w:p w14:paraId="28475FC4" w14:textId="77777777" w:rsidR="000634E1" w:rsidRPr="00EC3FA3" w:rsidRDefault="000634E1" w:rsidP="000634E1">
      <w:pPr>
        <w:spacing w:after="200" w:line="360" w:lineRule="auto"/>
        <w:rPr>
          <w:rFonts w:ascii="Arial" w:hAnsi="Arial" w:cs="Arial"/>
          <w:sz w:val="22"/>
          <w:szCs w:val="22"/>
        </w:rPr>
      </w:pPr>
      <w:proofErr w:type="spellStart"/>
      <w:r w:rsidRPr="00EC3FA3">
        <w:rPr>
          <w:rFonts w:ascii="Arial" w:hAnsi="Arial" w:cs="Arial"/>
          <w:sz w:val="22"/>
          <w:szCs w:val="22"/>
        </w:rPr>
        <w:t>Newbigging</w:t>
      </w:r>
      <w:proofErr w:type="spellEnd"/>
      <w:r w:rsidRPr="00EC3FA3">
        <w:rPr>
          <w:rFonts w:ascii="Arial" w:hAnsi="Arial" w:cs="Arial"/>
          <w:sz w:val="22"/>
          <w:szCs w:val="22"/>
        </w:rPr>
        <w:t xml:space="preserve">, K., Rees, J., Ince, R., Mohan, J., Joseph, D., Taylor, R., Shanmugam, M. and Young, R. (2020) </w:t>
      </w:r>
      <w:r w:rsidRPr="00EC3FA3">
        <w:rPr>
          <w:rFonts w:ascii="Arial" w:hAnsi="Arial" w:cs="Arial"/>
          <w:i/>
          <w:iCs/>
          <w:sz w:val="22"/>
          <w:szCs w:val="22"/>
        </w:rPr>
        <w:t>The contribution of the voluntary sector to mental health crisis care: A mixed-methods study</w:t>
      </w:r>
      <w:r w:rsidRPr="00EC3FA3">
        <w:rPr>
          <w:rFonts w:ascii="Arial" w:hAnsi="Arial" w:cs="Arial"/>
          <w:sz w:val="22"/>
          <w:szCs w:val="22"/>
        </w:rPr>
        <w:t xml:space="preserve">. NIHR Health Services and Delivery Research, 8(29). Available at: </w:t>
      </w:r>
      <w:hyperlink r:id="rId27" w:tgtFrame="_new" w:history="1">
        <w:r w:rsidRPr="00EC3FA3">
          <w:rPr>
            <w:rStyle w:val="Hyperlink"/>
            <w:rFonts w:ascii="Arial" w:eastAsiaTheme="majorEastAsia" w:hAnsi="Arial" w:cs="Arial"/>
            <w:sz w:val="22"/>
            <w:szCs w:val="22"/>
          </w:rPr>
          <w:t>https://www.journalslibrary.nihr.ac.uk/hsdr/HSDR08290</w:t>
        </w:r>
      </w:hyperlink>
      <w:r w:rsidRPr="00EC3FA3">
        <w:rPr>
          <w:rFonts w:ascii="Arial" w:hAnsi="Arial" w:cs="Arial"/>
          <w:sz w:val="22"/>
          <w:szCs w:val="22"/>
        </w:rPr>
        <w:t xml:space="preserve"> (Accessed: 16 March 2026).</w:t>
      </w:r>
    </w:p>
    <w:p w14:paraId="55319AD9"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NHS Digital (2024) </w:t>
      </w:r>
      <w:r w:rsidRPr="00EC3FA3">
        <w:rPr>
          <w:rFonts w:ascii="Arial" w:hAnsi="Arial" w:cs="Arial"/>
          <w:i/>
          <w:iCs/>
          <w:sz w:val="22"/>
          <w:szCs w:val="22"/>
        </w:rPr>
        <w:t>Terminology and classifications</w:t>
      </w:r>
      <w:r w:rsidRPr="00EC3FA3">
        <w:rPr>
          <w:rFonts w:ascii="Arial" w:hAnsi="Arial" w:cs="Arial"/>
          <w:sz w:val="22"/>
          <w:szCs w:val="22"/>
        </w:rPr>
        <w:t xml:space="preserve">. Available at: </w:t>
      </w:r>
      <w:hyperlink r:id="rId28" w:tgtFrame="_new" w:history="1">
        <w:r w:rsidRPr="00EC3FA3">
          <w:rPr>
            <w:rStyle w:val="Hyperlink"/>
            <w:rFonts w:ascii="Arial" w:eastAsiaTheme="majorEastAsia" w:hAnsi="Arial" w:cs="Arial"/>
            <w:sz w:val="22"/>
            <w:szCs w:val="22"/>
          </w:rPr>
          <w:t>https://digital.nhs.uk/services/terminology-and-classifications</w:t>
        </w:r>
      </w:hyperlink>
      <w:r w:rsidRPr="00EC3FA3">
        <w:rPr>
          <w:rFonts w:ascii="Arial" w:hAnsi="Arial" w:cs="Arial"/>
          <w:sz w:val="22"/>
          <w:szCs w:val="22"/>
        </w:rPr>
        <w:t xml:space="preserve"> (Accessed: 16 March 2026).</w:t>
      </w:r>
    </w:p>
    <w:p w14:paraId="6B0E5CF5"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lastRenderedPageBreak/>
        <w:t xml:space="preserve">NHS Digital (2025) </w:t>
      </w:r>
      <w:r w:rsidRPr="00EC3FA3">
        <w:rPr>
          <w:rFonts w:ascii="Arial" w:hAnsi="Arial" w:cs="Arial"/>
          <w:i/>
          <w:iCs/>
          <w:sz w:val="22"/>
          <w:szCs w:val="22"/>
        </w:rPr>
        <w:t>NHS Talking Therapies monthly statistics: outcomes</w:t>
      </w:r>
      <w:r w:rsidRPr="00EC3FA3">
        <w:rPr>
          <w:rFonts w:ascii="Arial" w:hAnsi="Arial" w:cs="Arial"/>
          <w:sz w:val="22"/>
          <w:szCs w:val="22"/>
        </w:rPr>
        <w:t xml:space="preserve">. Available at: </w:t>
      </w:r>
      <w:hyperlink r:id="rId29" w:tgtFrame="_new" w:history="1">
        <w:r w:rsidRPr="00EC3FA3">
          <w:rPr>
            <w:rStyle w:val="Hyperlink"/>
            <w:rFonts w:ascii="Arial" w:eastAsiaTheme="majorEastAsia" w:hAnsi="Arial" w:cs="Arial"/>
            <w:sz w:val="22"/>
            <w:szCs w:val="22"/>
          </w:rPr>
          <w:t>https://digital.nhs.uk/data-and-information/publications/statistical/nhs-talking-therapies-monthly-statistics</w:t>
        </w:r>
      </w:hyperlink>
      <w:r w:rsidRPr="00EC3FA3">
        <w:rPr>
          <w:rFonts w:ascii="Arial" w:hAnsi="Arial" w:cs="Arial"/>
          <w:sz w:val="22"/>
          <w:szCs w:val="22"/>
        </w:rPr>
        <w:t xml:space="preserve"> (Accessed: 16 March 2026).</w:t>
      </w:r>
    </w:p>
    <w:p w14:paraId="211112F3" w14:textId="77777777" w:rsidR="000634E1" w:rsidRPr="00EC3FA3" w:rsidRDefault="000634E1" w:rsidP="000634E1">
      <w:pPr>
        <w:spacing w:after="200" w:line="360" w:lineRule="auto"/>
        <w:rPr>
          <w:rFonts w:ascii="Arial" w:hAnsi="Arial" w:cs="Arial"/>
          <w:sz w:val="22"/>
          <w:szCs w:val="22"/>
        </w:rPr>
      </w:pPr>
      <w:r w:rsidRPr="00394A22">
        <w:rPr>
          <w:rFonts w:ascii="Arial" w:hAnsi="Arial" w:cs="Arial"/>
          <w:sz w:val="22"/>
          <w:szCs w:val="22"/>
        </w:rPr>
        <w:t xml:space="preserve">NHS Confederation (2026) </w:t>
      </w:r>
      <w:r w:rsidRPr="00394A22">
        <w:rPr>
          <w:rFonts w:ascii="Arial" w:hAnsi="Arial" w:cs="Arial"/>
          <w:i/>
          <w:iCs/>
          <w:sz w:val="22"/>
          <w:szCs w:val="22"/>
        </w:rPr>
        <w:t>The Mental Health Act 2025: what you need to know</w:t>
      </w:r>
      <w:r w:rsidRPr="00394A22">
        <w:rPr>
          <w:rFonts w:ascii="Arial" w:hAnsi="Arial" w:cs="Arial"/>
          <w:sz w:val="22"/>
          <w:szCs w:val="22"/>
        </w:rPr>
        <w:t xml:space="preserve">. Available at: </w:t>
      </w:r>
      <w:hyperlink r:id="rId30" w:history="1">
        <w:r w:rsidRPr="00394A22">
          <w:rPr>
            <w:rStyle w:val="Hyperlink"/>
            <w:rFonts w:ascii="Arial" w:eastAsiaTheme="majorEastAsia" w:hAnsi="Arial" w:cs="Arial"/>
            <w:sz w:val="22"/>
            <w:szCs w:val="22"/>
          </w:rPr>
          <w:t>https://www.nhsconfed.org/publications/mental-health-act-2025-what-you-need-know</w:t>
        </w:r>
      </w:hyperlink>
      <w:r w:rsidRPr="00394A22">
        <w:rPr>
          <w:rFonts w:ascii="Arial" w:hAnsi="Arial" w:cs="Arial"/>
          <w:sz w:val="22"/>
          <w:szCs w:val="22"/>
        </w:rPr>
        <w:t xml:space="preserve"> (Accessed: 16 March 2026).</w:t>
      </w:r>
    </w:p>
    <w:p w14:paraId="2710B624"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NHS England (2019) </w:t>
      </w:r>
      <w:r w:rsidRPr="00EC3FA3">
        <w:rPr>
          <w:rFonts w:ascii="Arial" w:hAnsi="Arial" w:cs="Arial"/>
          <w:i/>
          <w:iCs/>
          <w:sz w:val="22"/>
          <w:szCs w:val="22"/>
        </w:rPr>
        <w:t>NHS mental health implementation plan 2019/20–2023/24</w:t>
      </w:r>
      <w:r w:rsidRPr="00EC3FA3">
        <w:rPr>
          <w:rFonts w:ascii="Arial" w:hAnsi="Arial" w:cs="Arial"/>
          <w:sz w:val="22"/>
          <w:szCs w:val="22"/>
        </w:rPr>
        <w:t xml:space="preserve">. Available at: </w:t>
      </w:r>
      <w:hyperlink r:id="rId31" w:tgtFrame="_new" w:history="1">
        <w:r w:rsidRPr="00EC3FA3">
          <w:rPr>
            <w:rStyle w:val="Hyperlink"/>
            <w:rFonts w:ascii="Arial" w:eastAsiaTheme="majorEastAsia" w:hAnsi="Arial" w:cs="Arial"/>
            <w:sz w:val="22"/>
            <w:szCs w:val="22"/>
          </w:rPr>
          <w:t>https://www.england.nhs.uk</w:t>
        </w:r>
      </w:hyperlink>
      <w:r w:rsidRPr="00EC3FA3">
        <w:rPr>
          <w:rFonts w:ascii="Arial" w:hAnsi="Arial" w:cs="Arial"/>
          <w:sz w:val="22"/>
          <w:szCs w:val="22"/>
        </w:rPr>
        <w:t xml:space="preserve"> (Accessed: 16 March 2026).</w:t>
      </w:r>
    </w:p>
    <w:p w14:paraId="47284FF4"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OCD-UK (2023) </w:t>
      </w:r>
      <w:r w:rsidRPr="00EC3FA3">
        <w:rPr>
          <w:rFonts w:ascii="Arial" w:hAnsi="Arial" w:cs="Arial"/>
          <w:i/>
          <w:iCs/>
          <w:sz w:val="22"/>
          <w:szCs w:val="22"/>
        </w:rPr>
        <w:t>Accessing OCD treatment through the NHS</w:t>
      </w:r>
      <w:r w:rsidRPr="00EC3FA3">
        <w:rPr>
          <w:rFonts w:ascii="Arial" w:hAnsi="Arial" w:cs="Arial"/>
          <w:sz w:val="22"/>
          <w:szCs w:val="22"/>
        </w:rPr>
        <w:t xml:space="preserve">. Available at: </w:t>
      </w:r>
      <w:hyperlink r:id="rId32" w:tgtFrame="_new" w:history="1">
        <w:r w:rsidRPr="00EC3FA3">
          <w:rPr>
            <w:rStyle w:val="Hyperlink"/>
            <w:rFonts w:ascii="Arial" w:eastAsiaTheme="majorEastAsia" w:hAnsi="Arial" w:cs="Arial"/>
            <w:sz w:val="22"/>
            <w:szCs w:val="22"/>
          </w:rPr>
          <w:t>https://www.ocduk.org</w:t>
        </w:r>
      </w:hyperlink>
      <w:r w:rsidRPr="00EC3FA3">
        <w:rPr>
          <w:rFonts w:ascii="Arial" w:hAnsi="Arial" w:cs="Arial"/>
          <w:sz w:val="22"/>
          <w:szCs w:val="22"/>
        </w:rPr>
        <w:t xml:space="preserve"> (Accessed: 16 March 2026).</w:t>
      </w:r>
    </w:p>
    <w:p w14:paraId="70902B6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Öst, L.G., Havnen, A., Hansen, B. and Kvale, G. (2015) ‘Cognitive </w:t>
      </w:r>
      <w:proofErr w:type="spellStart"/>
      <w:r w:rsidRPr="00EC3FA3">
        <w:rPr>
          <w:rFonts w:ascii="Arial" w:hAnsi="Arial" w:cs="Arial"/>
          <w:sz w:val="22"/>
          <w:szCs w:val="22"/>
        </w:rPr>
        <w:t>behavioral</w:t>
      </w:r>
      <w:proofErr w:type="spellEnd"/>
      <w:r w:rsidRPr="00EC3FA3">
        <w:rPr>
          <w:rFonts w:ascii="Arial" w:hAnsi="Arial" w:cs="Arial"/>
          <w:sz w:val="22"/>
          <w:szCs w:val="22"/>
        </w:rPr>
        <w:t xml:space="preserve"> treatments of obsessive-compulsive disorder: A systematic review and meta-analysis’, </w:t>
      </w:r>
      <w:r w:rsidRPr="00EC3FA3">
        <w:rPr>
          <w:rFonts w:ascii="Arial" w:hAnsi="Arial" w:cs="Arial"/>
          <w:i/>
          <w:iCs/>
          <w:sz w:val="22"/>
          <w:szCs w:val="22"/>
        </w:rPr>
        <w:t>Clinical Psychology Review</w:t>
      </w:r>
      <w:r w:rsidRPr="00EC3FA3">
        <w:rPr>
          <w:rFonts w:ascii="Arial" w:hAnsi="Arial" w:cs="Arial"/>
          <w:sz w:val="22"/>
          <w:szCs w:val="22"/>
        </w:rPr>
        <w:t>, 40, pp. 156–169.</w:t>
      </w:r>
    </w:p>
    <w:p w14:paraId="65DE714D"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Pellicano, E. and den Houting, J. (2022) ‘Annual Research Review: Shifting from “normal science” to neurodiversity in autism science’, </w:t>
      </w:r>
      <w:r w:rsidRPr="00EC3FA3">
        <w:rPr>
          <w:rFonts w:ascii="Arial" w:hAnsi="Arial" w:cs="Arial"/>
          <w:i/>
          <w:iCs/>
          <w:sz w:val="22"/>
          <w:szCs w:val="22"/>
        </w:rPr>
        <w:t>Journal of Child Psychology and Psychiatry</w:t>
      </w:r>
      <w:r w:rsidRPr="00EC3FA3">
        <w:rPr>
          <w:rFonts w:ascii="Arial" w:hAnsi="Arial" w:cs="Arial"/>
          <w:sz w:val="22"/>
          <w:szCs w:val="22"/>
        </w:rPr>
        <w:t>, 63(4), pp. 381–396.</w:t>
      </w:r>
    </w:p>
    <w:p w14:paraId="21AD711D"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Pittenger, C. and Bloch, M.H. (2014) ‘Pharmacological treatment of obsessive-compulsive disorder’, </w:t>
      </w:r>
      <w:r w:rsidRPr="00EC3FA3">
        <w:rPr>
          <w:rFonts w:ascii="Arial" w:hAnsi="Arial" w:cs="Arial"/>
          <w:i/>
          <w:iCs/>
          <w:sz w:val="22"/>
          <w:szCs w:val="22"/>
        </w:rPr>
        <w:t>Psychiatric Clinics of North America</w:t>
      </w:r>
      <w:r w:rsidRPr="00EC3FA3">
        <w:rPr>
          <w:rFonts w:ascii="Arial" w:hAnsi="Arial" w:cs="Arial"/>
          <w:sz w:val="22"/>
          <w:szCs w:val="22"/>
        </w:rPr>
        <w:t>, 37(3), pp. 375–391.</w:t>
      </w:r>
    </w:p>
    <w:p w14:paraId="15D92CB8"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Priory Group (2025) </w:t>
      </w:r>
      <w:r w:rsidRPr="00EC3FA3">
        <w:rPr>
          <w:rFonts w:ascii="Arial" w:hAnsi="Arial" w:cs="Arial"/>
          <w:i/>
          <w:iCs/>
          <w:sz w:val="22"/>
          <w:szCs w:val="22"/>
        </w:rPr>
        <w:t>OCD statistics</w:t>
      </w:r>
      <w:r w:rsidRPr="00EC3FA3">
        <w:rPr>
          <w:rFonts w:ascii="Arial" w:hAnsi="Arial" w:cs="Arial"/>
          <w:sz w:val="22"/>
          <w:szCs w:val="22"/>
        </w:rPr>
        <w:t xml:space="preserve">. Available at: </w:t>
      </w:r>
      <w:hyperlink r:id="rId33" w:tgtFrame="_new" w:history="1">
        <w:r w:rsidRPr="00EC3FA3">
          <w:rPr>
            <w:rStyle w:val="Hyperlink"/>
            <w:rFonts w:ascii="Arial" w:eastAsiaTheme="majorEastAsia" w:hAnsi="Arial" w:cs="Arial"/>
            <w:sz w:val="22"/>
            <w:szCs w:val="22"/>
          </w:rPr>
          <w:t>https://www.priorygroup.com</w:t>
        </w:r>
      </w:hyperlink>
      <w:r w:rsidRPr="00EC3FA3">
        <w:rPr>
          <w:rFonts w:ascii="Arial" w:hAnsi="Arial" w:cs="Arial"/>
          <w:sz w:val="22"/>
          <w:szCs w:val="22"/>
        </w:rPr>
        <w:t xml:space="preserve"> (Accessed: 16 March 2026).</w:t>
      </w:r>
    </w:p>
    <w:p w14:paraId="479557C0"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Read, J., Cartwright, C. and Gibson, K. (2014) ‘Adverse emotional and interpersonal effects reported by 1829 New Zealanders while taking antidepressants’, </w:t>
      </w:r>
      <w:r w:rsidRPr="00EC3FA3">
        <w:rPr>
          <w:rFonts w:ascii="Arial" w:hAnsi="Arial" w:cs="Arial"/>
          <w:i/>
          <w:iCs/>
          <w:sz w:val="22"/>
          <w:szCs w:val="22"/>
        </w:rPr>
        <w:t>Psychiatry Research</w:t>
      </w:r>
      <w:r w:rsidRPr="00EC3FA3">
        <w:rPr>
          <w:rFonts w:ascii="Arial" w:hAnsi="Arial" w:cs="Arial"/>
          <w:sz w:val="22"/>
          <w:szCs w:val="22"/>
        </w:rPr>
        <w:t>, 216(1), pp. 67–73.</w:t>
      </w:r>
    </w:p>
    <w:p w14:paraId="47543079" w14:textId="77777777" w:rsidR="000634E1" w:rsidRPr="0048687B" w:rsidRDefault="000634E1" w:rsidP="000634E1">
      <w:pPr>
        <w:spacing w:after="200" w:line="360" w:lineRule="auto"/>
        <w:rPr>
          <w:rFonts w:ascii="Arial" w:hAnsi="Arial" w:cs="Arial"/>
          <w:sz w:val="22"/>
          <w:szCs w:val="22"/>
        </w:rPr>
      </w:pPr>
      <w:r w:rsidRPr="0048687B">
        <w:rPr>
          <w:rFonts w:ascii="Arial" w:hAnsi="Arial" w:cs="Arial"/>
          <w:sz w:val="22"/>
          <w:szCs w:val="22"/>
        </w:rPr>
        <w:t>Reddy, Y.C.J., Sundar, A.S., Narayanaswamy, J.C. and Math, S.B. (2017)</w:t>
      </w:r>
      <w:r w:rsidRPr="0048687B">
        <w:rPr>
          <w:rFonts w:ascii="Arial" w:hAnsi="Arial" w:cs="Arial"/>
          <w:sz w:val="22"/>
          <w:szCs w:val="22"/>
        </w:rPr>
        <w:br/>
        <w:t xml:space="preserve">‘Clinical practice guidelines for obsessive-compulsive disorder’, </w:t>
      </w:r>
      <w:r w:rsidRPr="0048687B">
        <w:rPr>
          <w:rFonts w:ascii="Arial" w:hAnsi="Arial" w:cs="Arial"/>
          <w:i/>
          <w:iCs/>
          <w:sz w:val="22"/>
          <w:szCs w:val="22"/>
        </w:rPr>
        <w:t>Indian Journal of Psychiatry</w:t>
      </w:r>
      <w:r w:rsidRPr="0048687B">
        <w:rPr>
          <w:rFonts w:ascii="Arial" w:hAnsi="Arial" w:cs="Arial"/>
          <w:sz w:val="22"/>
          <w:szCs w:val="22"/>
        </w:rPr>
        <w:t>, 59(</w:t>
      </w:r>
      <w:proofErr w:type="spellStart"/>
      <w:r w:rsidRPr="0048687B">
        <w:rPr>
          <w:rFonts w:ascii="Arial" w:hAnsi="Arial" w:cs="Arial"/>
          <w:sz w:val="22"/>
          <w:szCs w:val="22"/>
        </w:rPr>
        <w:t>Suppl</w:t>
      </w:r>
      <w:proofErr w:type="spellEnd"/>
      <w:r w:rsidRPr="0048687B">
        <w:rPr>
          <w:rFonts w:ascii="Arial" w:hAnsi="Arial" w:cs="Arial"/>
          <w:sz w:val="22"/>
          <w:szCs w:val="22"/>
        </w:rPr>
        <w:t xml:space="preserve"> 1), pp. S74–S90.</w:t>
      </w:r>
    </w:p>
    <w:p w14:paraId="03D475FE"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Repper, J. and Carter, T. (2011) ‘A review of the literature on peer support in mental health services’, </w:t>
      </w:r>
      <w:r w:rsidRPr="00EC3FA3">
        <w:rPr>
          <w:rFonts w:ascii="Arial" w:hAnsi="Arial" w:cs="Arial"/>
          <w:i/>
          <w:iCs/>
          <w:sz w:val="22"/>
          <w:szCs w:val="22"/>
        </w:rPr>
        <w:t>Journal of Mental Health</w:t>
      </w:r>
      <w:r w:rsidRPr="00EC3FA3">
        <w:rPr>
          <w:rFonts w:ascii="Arial" w:hAnsi="Arial" w:cs="Arial"/>
          <w:sz w:val="22"/>
          <w:szCs w:val="22"/>
        </w:rPr>
        <w:t>, 20(4), pp. 392–411.</w:t>
      </w:r>
    </w:p>
    <w:p w14:paraId="08BF3132"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Sharma, E., Sharma, L.P., Balachander, S., Reddy, Y.C.J., Thennarasu, K. and Narayanaswamy, J.C. (2021) ‘Comorbidities in obsessive-compulsive disorder across the lifespan: A systematic review and meta-analysis’, </w:t>
      </w:r>
      <w:r w:rsidRPr="00EC3FA3">
        <w:rPr>
          <w:rFonts w:ascii="Arial" w:hAnsi="Arial" w:cs="Arial"/>
          <w:i/>
          <w:iCs/>
          <w:sz w:val="22"/>
          <w:szCs w:val="22"/>
        </w:rPr>
        <w:t>Frontiers in Psychiatry</w:t>
      </w:r>
      <w:r w:rsidRPr="00EC3FA3">
        <w:rPr>
          <w:rFonts w:ascii="Arial" w:hAnsi="Arial" w:cs="Arial"/>
          <w:sz w:val="22"/>
          <w:szCs w:val="22"/>
        </w:rPr>
        <w:t>, 12, Article 703701.</w:t>
      </w:r>
    </w:p>
    <w:p w14:paraId="29CF0D2D"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lastRenderedPageBreak/>
        <w:t>Simpson, H.B. et al. (2014) ‘</w:t>
      </w:r>
      <w:proofErr w:type="gramStart"/>
      <w:r w:rsidRPr="00EC3FA3">
        <w:rPr>
          <w:rFonts w:ascii="Arial" w:hAnsi="Arial" w:cs="Arial"/>
          <w:sz w:val="22"/>
          <w:szCs w:val="22"/>
        </w:rPr>
        <w:t>Obsessive-compulsive disorder</w:t>
      </w:r>
      <w:proofErr w:type="gramEnd"/>
      <w:r w:rsidRPr="00EC3FA3">
        <w:rPr>
          <w:rFonts w:ascii="Arial" w:hAnsi="Arial" w:cs="Arial"/>
          <w:sz w:val="22"/>
          <w:szCs w:val="22"/>
        </w:rPr>
        <w:t xml:space="preserve"> for ICD-11: Proposed changes to the diagnostic guidelines and </w:t>
      </w:r>
      <w:proofErr w:type="gramStart"/>
      <w:r w:rsidRPr="00EC3FA3">
        <w:rPr>
          <w:rFonts w:ascii="Arial" w:hAnsi="Arial" w:cs="Arial"/>
          <w:sz w:val="22"/>
          <w:szCs w:val="22"/>
        </w:rPr>
        <w:t>specifiers’</w:t>
      </w:r>
      <w:proofErr w:type="gramEnd"/>
      <w:r w:rsidRPr="00EC3FA3">
        <w:rPr>
          <w:rFonts w:ascii="Arial" w:hAnsi="Arial" w:cs="Arial"/>
          <w:sz w:val="22"/>
          <w:szCs w:val="22"/>
        </w:rPr>
        <w:t xml:space="preserve">. Available at: </w:t>
      </w:r>
      <w:hyperlink r:id="rId34" w:tgtFrame="_new" w:history="1">
        <w:r w:rsidRPr="00EC3FA3">
          <w:rPr>
            <w:rStyle w:val="Hyperlink"/>
            <w:rFonts w:ascii="Arial" w:eastAsiaTheme="majorEastAsia" w:hAnsi="Arial" w:cs="Arial"/>
            <w:sz w:val="22"/>
            <w:szCs w:val="22"/>
          </w:rPr>
          <w:t>https://pmc.ncbi.nlm.nih.gov/articles/PMC5125074/</w:t>
        </w:r>
      </w:hyperlink>
      <w:r w:rsidRPr="00EC3FA3">
        <w:rPr>
          <w:rFonts w:ascii="Arial" w:hAnsi="Arial" w:cs="Arial"/>
          <w:sz w:val="22"/>
          <w:szCs w:val="22"/>
        </w:rPr>
        <w:t xml:space="preserve"> (Accessed: 16 March 2026).</w:t>
      </w:r>
    </w:p>
    <w:p w14:paraId="0739522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Stein, D.J., Costa, D.L.C., Lochner, C., Miguel, E.C., Reddy, Y.C.J., </w:t>
      </w:r>
      <w:proofErr w:type="spellStart"/>
      <w:r w:rsidRPr="00EC3FA3">
        <w:rPr>
          <w:rFonts w:ascii="Arial" w:hAnsi="Arial" w:cs="Arial"/>
          <w:sz w:val="22"/>
          <w:szCs w:val="22"/>
        </w:rPr>
        <w:t>Shavitt</w:t>
      </w:r>
      <w:proofErr w:type="spellEnd"/>
      <w:r w:rsidRPr="00EC3FA3">
        <w:rPr>
          <w:rFonts w:ascii="Arial" w:hAnsi="Arial" w:cs="Arial"/>
          <w:sz w:val="22"/>
          <w:szCs w:val="22"/>
        </w:rPr>
        <w:t xml:space="preserve">, R.G., van den Heuvel, O.A. and Simpson, H.B. (2019) ‘Obsessive-compulsive disorder’, </w:t>
      </w:r>
      <w:r w:rsidRPr="00EC3FA3">
        <w:rPr>
          <w:rFonts w:ascii="Arial" w:hAnsi="Arial" w:cs="Arial"/>
          <w:i/>
          <w:iCs/>
          <w:sz w:val="22"/>
          <w:szCs w:val="22"/>
        </w:rPr>
        <w:t>Nature Reviews Disease Primers</w:t>
      </w:r>
      <w:r w:rsidRPr="00EC3FA3">
        <w:rPr>
          <w:rFonts w:ascii="Arial" w:hAnsi="Arial" w:cs="Arial"/>
          <w:sz w:val="22"/>
          <w:szCs w:val="22"/>
        </w:rPr>
        <w:t>, 5, Article 52.</w:t>
      </w:r>
    </w:p>
    <w:p w14:paraId="3D11CE6E"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Thomas, R. (2024) ‘Revealed: NHS spent more than £2bn on private mental health hospitals last year’, </w:t>
      </w:r>
      <w:r w:rsidRPr="00EC3FA3">
        <w:rPr>
          <w:rFonts w:ascii="Arial" w:hAnsi="Arial" w:cs="Arial"/>
          <w:i/>
          <w:iCs/>
          <w:sz w:val="22"/>
          <w:szCs w:val="22"/>
        </w:rPr>
        <w:t>The Independent</w:t>
      </w:r>
      <w:r w:rsidRPr="00EC3FA3">
        <w:rPr>
          <w:rFonts w:ascii="Arial" w:hAnsi="Arial" w:cs="Arial"/>
          <w:sz w:val="22"/>
          <w:szCs w:val="22"/>
        </w:rPr>
        <w:t xml:space="preserve">, 20 December. Available at: </w:t>
      </w:r>
      <w:hyperlink r:id="rId35" w:tgtFrame="_new" w:history="1">
        <w:r w:rsidRPr="00EC3FA3">
          <w:rPr>
            <w:rStyle w:val="Hyperlink"/>
            <w:rFonts w:ascii="Arial" w:eastAsiaTheme="majorEastAsia" w:hAnsi="Arial" w:cs="Arial"/>
            <w:sz w:val="22"/>
            <w:szCs w:val="22"/>
          </w:rPr>
          <w:t>https://www.independent.co.uk/news/health/nhs-private-mental-health-uk-b2667431.html</w:t>
        </w:r>
      </w:hyperlink>
      <w:r w:rsidRPr="00EC3FA3">
        <w:rPr>
          <w:rFonts w:ascii="Arial" w:hAnsi="Arial" w:cs="Arial"/>
          <w:sz w:val="22"/>
          <w:szCs w:val="22"/>
        </w:rPr>
        <w:t xml:space="preserve"> (Accessed: 16 March 2026).</w:t>
      </w:r>
    </w:p>
    <w:p w14:paraId="6F291C23" w14:textId="77777777" w:rsidR="000634E1" w:rsidRPr="00EC3FA3" w:rsidRDefault="000634E1" w:rsidP="000634E1">
      <w:pPr>
        <w:spacing w:after="200" w:line="360" w:lineRule="auto"/>
        <w:rPr>
          <w:rFonts w:ascii="Arial" w:hAnsi="Arial" w:cs="Arial"/>
          <w:sz w:val="22"/>
          <w:szCs w:val="22"/>
        </w:rPr>
      </w:pPr>
      <w:r w:rsidRPr="009856DC">
        <w:rPr>
          <w:rFonts w:ascii="Arial" w:hAnsi="Arial" w:cs="Arial"/>
          <w:sz w:val="22"/>
          <w:szCs w:val="22"/>
        </w:rPr>
        <w:t xml:space="preserve">Therapy Central (2025) </w:t>
      </w:r>
      <w:r w:rsidRPr="009856DC">
        <w:rPr>
          <w:rFonts w:ascii="Arial" w:hAnsi="Arial" w:cs="Arial"/>
          <w:i/>
          <w:iCs/>
          <w:sz w:val="22"/>
          <w:szCs w:val="22"/>
        </w:rPr>
        <w:t>Therapy cost UK: Complete 2025 guide</w:t>
      </w:r>
      <w:r w:rsidRPr="009856DC">
        <w:rPr>
          <w:rFonts w:ascii="Arial" w:hAnsi="Arial" w:cs="Arial"/>
          <w:sz w:val="22"/>
          <w:szCs w:val="22"/>
        </w:rPr>
        <w:t xml:space="preserve">. Available at: </w:t>
      </w:r>
      <w:hyperlink r:id="rId36" w:history="1">
        <w:r w:rsidRPr="009856DC">
          <w:rPr>
            <w:rStyle w:val="Hyperlink"/>
            <w:rFonts w:ascii="Arial" w:eastAsiaTheme="majorEastAsia" w:hAnsi="Arial" w:cs="Arial"/>
            <w:sz w:val="22"/>
            <w:szCs w:val="22"/>
          </w:rPr>
          <w:t>https://therapy-central.com/2025/08/22/therapy-cost-uk-guide-2025/</w:t>
        </w:r>
      </w:hyperlink>
      <w:r w:rsidRPr="009856DC">
        <w:rPr>
          <w:rFonts w:ascii="Arial" w:hAnsi="Arial" w:cs="Arial"/>
          <w:sz w:val="22"/>
          <w:szCs w:val="22"/>
        </w:rPr>
        <w:t xml:space="preserve"> (Accessed: 16 March 2026).</w:t>
      </w:r>
    </w:p>
    <w:p w14:paraId="1729642D"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Turner, E.H., Matthews, A.M., </w:t>
      </w:r>
      <w:proofErr w:type="spellStart"/>
      <w:r w:rsidRPr="00EC3FA3">
        <w:rPr>
          <w:rFonts w:ascii="Arial" w:hAnsi="Arial" w:cs="Arial"/>
          <w:sz w:val="22"/>
          <w:szCs w:val="22"/>
        </w:rPr>
        <w:t>Linardatos</w:t>
      </w:r>
      <w:proofErr w:type="spellEnd"/>
      <w:r w:rsidRPr="00EC3FA3">
        <w:rPr>
          <w:rFonts w:ascii="Arial" w:hAnsi="Arial" w:cs="Arial"/>
          <w:sz w:val="22"/>
          <w:szCs w:val="22"/>
        </w:rPr>
        <w:t xml:space="preserve">, E., Tell, R.A. and Rosenthal, R. (2008) ‘Selective publication of antidepressant trials and its influence on apparent efficacy’, </w:t>
      </w:r>
      <w:r w:rsidRPr="00EC3FA3">
        <w:rPr>
          <w:rFonts w:ascii="Arial" w:hAnsi="Arial" w:cs="Arial"/>
          <w:i/>
          <w:iCs/>
          <w:sz w:val="22"/>
          <w:szCs w:val="22"/>
        </w:rPr>
        <w:t>New England Journal of Medicine</w:t>
      </w:r>
      <w:r w:rsidRPr="00EC3FA3">
        <w:rPr>
          <w:rFonts w:ascii="Arial" w:hAnsi="Arial" w:cs="Arial"/>
          <w:sz w:val="22"/>
          <w:szCs w:val="22"/>
        </w:rPr>
        <w:t>, 358(3), pp. 252–260.</w:t>
      </w:r>
    </w:p>
    <w:p w14:paraId="29F4D6C2" w14:textId="77777777" w:rsidR="000634E1" w:rsidRPr="00EC3FA3" w:rsidRDefault="000634E1" w:rsidP="000634E1">
      <w:pPr>
        <w:spacing w:after="200" w:line="360" w:lineRule="auto"/>
        <w:rPr>
          <w:rFonts w:ascii="Arial" w:hAnsi="Arial" w:cs="Arial"/>
          <w:sz w:val="22"/>
          <w:szCs w:val="22"/>
        </w:rPr>
      </w:pPr>
      <w:r w:rsidRPr="00B73BBC">
        <w:rPr>
          <w:rFonts w:ascii="Arial" w:hAnsi="Arial" w:cs="Arial"/>
          <w:sz w:val="22"/>
          <w:szCs w:val="22"/>
        </w:rPr>
        <w:t xml:space="preserve">UK Government (2007) </w:t>
      </w:r>
      <w:r w:rsidRPr="00B73BBC">
        <w:rPr>
          <w:rFonts w:ascii="Arial" w:hAnsi="Arial" w:cs="Arial"/>
          <w:i/>
          <w:iCs/>
          <w:sz w:val="22"/>
          <w:szCs w:val="22"/>
        </w:rPr>
        <w:t>Mental Health Act 2007</w:t>
      </w:r>
      <w:r w:rsidRPr="00B73BBC">
        <w:rPr>
          <w:rFonts w:ascii="Arial" w:hAnsi="Arial" w:cs="Arial"/>
          <w:sz w:val="22"/>
          <w:szCs w:val="22"/>
        </w:rPr>
        <w:t xml:space="preserve">. Available at: </w:t>
      </w:r>
      <w:hyperlink r:id="rId37" w:history="1">
        <w:r w:rsidRPr="00B73BBC">
          <w:rPr>
            <w:rStyle w:val="Hyperlink"/>
            <w:rFonts w:ascii="Arial" w:eastAsiaTheme="majorEastAsia" w:hAnsi="Arial" w:cs="Arial"/>
            <w:sz w:val="22"/>
            <w:szCs w:val="22"/>
          </w:rPr>
          <w:t>https://www.legislation.gov.uk/ukpga/2007/12/contents</w:t>
        </w:r>
      </w:hyperlink>
      <w:r w:rsidRPr="00B73BBC">
        <w:rPr>
          <w:rFonts w:ascii="Arial" w:hAnsi="Arial" w:cs="Arial"/>
          <w:sz w:val="22"/>
          <w:szCs w:val="22"/>
        </w:rPr>
        <w:t xml:space="preserve"> (Accessed: 16 March 2026).</w:t>
      </w:r>
    </w:p>
    <w:p w14:paraId="30DFA419"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UK Government (2010) </w:t>
      </w:r>
      <w:r w:rsidRPr="00EC3FA3">
        <w:rPr>
          <w:rFonts w:ascii="Arial" w:hAnsi="Arial" w:cs="Arial"/>
          <w:i/>
          <w:iCs/>
          <w:sz w:val="22"/>
          <w:szCs w:val="22"/>
        </w:rPr>
        <w:t>Equality Act 2010</w:t>
      </w:r>
      <w:r w:rsidRPr="00EC3FA3">
        <w:rPr>
          <w:rFonts w:ascii="Arial" w:hAnsi="Arial" w:cs="Arial"/>
          <w:sz w:val="22"/>
          <w:szCs w:val="22"/>
        </w:rPr>
        <w:t xml:space="preserve">. Available at: </w:t>
      </w:r>
      <w:hyperlink r:id="rId38" w:tgtFrame="_new" w:history="1">
        <w:r w:rsidRPr="00EC3FA3">
          <w:rPr>
            <w:rStyle w:val="Hyperlink"/>
            <w:rFonts w:ascii="Arial" w:eastAsiaTheme="majorEastAsia" w:hAnsi="Arial" w:cs="Arial"/>
            <w:sz w:val="22"/>
            <w:szCs w:val="22"/>
          </w:rPr>
          <w:t>https://www.legislation.gov.uk/ukpga/2010/15/contents</w:t>
        </w:r>
      </w:hyperlink>
      <w:r w:rsidRPr="00EC3FA3">
        <w:rPr>
          <w:rFonts w:ascii="Arial" w:hAnsi="Arial" w:cs="Arial"/>
          <w:sz w:val="22"/>
          <w:szCs w:val="22"/>
        </w:rPr>
        <w:t xml:space="preserve"> (Accessed: 16 March 2026).</w:t>
      </w:r>
    </w:p>
    <w:p w14:paraId="0EA721D6"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UK Government (2014) </w:t>
      </w:r>
      <w:r w:rsidRPr="00EC3FA3">
        <w:rPr>
          <w:rFonts w:ascii="Arial" w:hAnsi="Arial" w:cs="Arial"/>
          <w:i/>
          <w:iCs/>
          <w:sz w:val="22"/>
          <w:szCs w:val="22"/>
        </w:rPr>
        <w:t>Care Act 2014</w:t>
      </w:r>
      <w:r w:rsidRPr="00EC3FA3">
        <w:rPr>
          <w:rFonts w:ascii="Arial" w:hAnsi="Arial" w:cs="Arial"/>
          <w:sz w:val="22"/>
          <w:szCs w:val="22"/>
        </w:rPr>
        <w:t xml:space="preserve">. Available at: </w:t>
      </w:r>
      <w:hyperlink r:id="rId39" w:tgtFrame="_new" w:history="1">
        <w:r w:rsidRPr="00EC3FA3">
          <w:rPr>
            <w:rStyle w:val="Hyperlink"/>
            <w:rFonts w:ascii="Arial" w:eastAsiaTheme="majorEastAsia" w:hAnsi="Arial" w:cs="Arial"/>
            <w:sz w:val="22"/>
            <w:szCs w:val="22"/>
          </w:rPr>
          <w:t>https://www.legislation.gov.uk/ukpga/2014/23/section/9</w:t>
        </w:r>
      </w:hyperlink>
      <w:r w:rsidRPr="00EC3FA3">
        <w:rPr>
          <w:rFonts w:ascii="Arial" w:hAnsi="Arial" w:cs="Arial"/>
          <w:sz w:val="22"/>
          <w:szCs w:val="22"/>
        </w:rPr>
        <w:t xml:space="preserve"> (Accessed: 16 March 2026).</w:t>
      </w:r>
    </w:p>
    <w:p w14:paraId="3CC9BE8C"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World Health Organization (2022) </w:t>
      </w:r>
      <w:r w:rsidRPr="00EC3FA3">
        <w:rPr>
          <w:rFonts w:ascii="Arial" w:hAnsi="Arial" w:cs="Arial"/>
          <w:i/>
          <w:iCs/>
          <w:sz w:val="22"/>
          <w:szCs w:val="22"/>
        </w:rPr>
        <w:t>International classification of diseases for mortality and morbidity statistics (11th revision).</w:t>
      </w:r>
      <w:r w:rsidRPr="00EC3FA3">
        <w:rPr>
          <w:rFonts w:ascii="Arial" w:hAnsi="Arial" w:cs="Arial"/>
          <w:sz w:val="22"/>
          <w:szCs w:val="22"/>
        </w:rPr>
        <w:t xml:space="preserve"> Available at: </w:t>
      </w:r>
      <w:hyperlink r:id="rId40" w:tgtFrame="_new" w:history="1">
        <w:r w:rsidRPr="00EC3FA3">
          <w:rPr>
            <w:rStyle w:val="Hyperlink"/>
            <w:rFonts w:ascii="Arial" w:eastAsiaTheme="majorEastAsia" w:hAnsi="Arial" w:cs="Arial"/>
            <w:sz w:val="22"/>
            <w:szCs w:val="22"/>
          </w:rPr>
          <w:t>https://icd.who.int</w:t>
        </w:r>
      </w:hyperlink>
      <w:r w:rsidRPr="00EC3FA3">
        <w:rPr>
          <w:rFonts w:ascii="Arial" w:hAnsi="Arial" w:cs="Arial"/>
          <w:sz w:val="22"/>
          <w:szCs w:val="22"/>
        </w:rPr>
        <w:t xml:space="preserve"> (Accessed: 16 March 2026).</w:t>
      </w:r>
    </w:p>
    <w:bookmarkEnd w:id="2"/>
    <w:p w14:paraId="229FD65B" w14:textId="77777777" w:rsidR="000634E1" w:rsidRPr="00C54F52" w:rsidRDefault="000634E1" w:rsidP="000634E1">
      <w:pPr>
        <w:spacing w:after="200" w:line="360" w:lineRule="auto"/>
        <w:rPr>
          <w:rFonts w:ascii="Arial" w:hAnsi="Arial" w:cs="Arial"/>
          <w:sz w:val="22"/>
          <w:szCs w:val="22"/>
        </w:rPr>
      </w:pPr>
    </w:p>
    <w:p w14:paraId="5D474738" w14:textId="77777777" w:rsidR="00EA2580" w:rsidRDefault="00EA2580"/>
    <w:sectPr w:rsidR="00EA2580" w:rsidSect="000634E1">
      <w:footerReference w:type="default" r:id="rId4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18EC9" w14:textId="77777777" w:rsidR="000529E5" w:rsidRDefault="000529E5">
      <w:r>
        <w:separator/>
      </w:r>
    </w:p>
  </w:endnote>
  <w:endnote w:type="continuationSeparator" w:id="0">
    <w:p w14:paraId="1DDB64D3" w14:textId="77777777" w:rsidR="000529E5" w:rsidRDefault="000529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626809"/>
      <w:docPartObj>
        <w:docPartGallery w:val="Page Numbers (Bottom of Page)"/>
        <w:docPartUnique/>
      </w:docPartObj>
    </w:sdtPr>
    <w:sdtEndPr/>
    <w:sdtContent>
      <w:p w14:paraId="4C672D56" w14:textId="77777777" w:rsidR="000634E1" w:rsidRDefault="000634E1">
        <w:pPr>
          <w:pStyle w:val="Footer"/>
          <w:jc w:val="right"/>
        </w:pPr>
        <w:r>
          <w:fldChar w:fldCharType="begin"/>
        </w:r>
        <w:r>
          <w:instrText>PAGE   \* MERGEFORMAT</w:instrText>
        </w:r>
        <w:r>
          <w:fldChar w:fldCharType="separate"/>
        </w:r>
        <w:r>
          <w:t>2</w:t>
        </w:r>
        <w:r>
          <w:fldChar w:fldCharType="end"/>
        </w:r>
      </w:p>
    </w:sdtContent>
  </w:sdt>
  <w:p w14:paraId="2D43146F" w14:textId="77777777" w:rsidR="000634E1" w:rsidRDefault="00063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C829C" w14:textId="77777777" w:rsidR="000529E5" w:rsidRDefault="000529E5">
      <w:r>
        <w:separator/>
      </w:r>
    </w:p>
  </w:footnote>
  <w:footnote w:type="continuationSeparator" w:id="0">
    <w:p w14:paraId="7604DA74" w14:textId="77777777" w:rsidR="000529E5" w:rsidRDefault="000529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4E1"/>
    <w:rsid w:val="000529E5"/>
    <w:rsid w:val="000634E1"/>
    <w:rsid w:val="000D2AD7"/>
    <w:rsid w:val="00652228"/>
    <w:rsid w:val="00683345"/>
    <w:rsid w:val="006C6B29"/>
    <w:rsid w:val="008F49F5"/>
    <w:rsid w:val="00DE4960"/>
    <w:rsid w:val="00EA2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00A47"/>
  <w15:chartTrackingRefBased/>
  <w15:docId w15:val="{582038DD-44B5-4529-8687-6E9BFE2F3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4E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634E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634E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634E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634E1"/>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0634E1"/>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0634E1"/>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0634E1"/>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0634E1"/>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0634E1"/>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4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4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4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4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4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4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4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4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4E1"/>
    <w:rPr>
      <w:rFonts w:eastAsiaTheme="majorEastAsia" w:cstheme="majorBidi"/>
      <w:color w:val="272727" w:themeColor="text1" w:themeTint="D8"/>
    </w:rPr>
  </w:style>
  <w:style w:type="paragraph" w:styleId="Title">
    <w:name w:val="Title"/>
    <w:basedOn w:val="Normal"/>
    <w:next w:val="Normal"/>
    <w:link w:val="TitleChar"/>
    <w:uiPriority w:val="10"/>
    <w:qFormat/>
    <w:rsid w:val="000634E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634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4E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634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4E1"/>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0634E1"/>
    <w:rPr>
      <w:i/>
      <w:iCs/>
      <w:color w:val="404040" w:themeColor="text1" w:themeTint="BF"/>
    </w:rPr>
  </w:style>
  <w:style w:type="paragraph" w:styleId="ListParagraph">
    <w:name w:val="List Paragraph"/>
    <w:basedOn w:val="Normal"/>
    <w:uiPriority w:val="34"/>
    <w:qFormat/>
    <w:rsid w:val="000634E1"/>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0634E1"/>
    <w:rPr>
      <w:i/>
      <w:iCs/>
      <w:color w:val="0F4761" w:themeColor="accent1" w:themeShade="BF"/>
    </w:rPr>
  </w:style>
  <w:style w:type="paragraph" w:styleId="IntenseQuote">
    <w:name w:val="Intense Quote"/>
    <w:basedOn w:val="Normal"/>
    <w:next w:val="Normal"/>
    <w:link w:val="IntenseQuoteChar"/>
    <w:uiPriority w:val="30"/>
    <w:qFormat/>
    <w:rsid w:val="000634E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0634E1"/>
    <w:rPr>
      <w:i/>
      <w:iCs/>
      <w:color w:val="0F4761" w:themeColor="accent1" w:themeShade="BF"/>
    </w:rPr>
  </w:style>
  <w:style w:type="character" w:styleId="IntenseReference">
    <w:name w:val="Intense Reference"/>
    <w:basedOn w:val="DefaultParagraphFont"/>
    <w:uiPriority w:val="32"/>
    <w:qFormat/>
    <w:rsid w:val="000634E1"/>
    <w:rPr>
      <w:b/>
      <w:bCs/>
      <w:smallCaps/>
      <w:color w:val="0F4761" w:themeColor="accent1" w:themeShade="BF"/>
      <w:spacing w:val="5"/>
    </w:rPr>
  </w:style>
  <w:style w:type="character" w:styleId="Hyperlink">
    <w:name w:val="Hyperlink"/>
    <w:uiPriority w:val="99"/>
    <w:unhideWhenUsed/>
    <w:rsid w:val="000634E1"/>
    <w:rPr>
      <w:color w:val="0563C1"/>
      <w:u w:val="single"/>
    </w:rPr>
  </w:style>
  <w:style w:type="paragraph" w:styleId="TOCHeading">
    <w:name w:val="TOC Heading"/>
    <w:basedOn w:val="Heading1"/>
    <w:next w:val="Normal"/>
    <w:uiPriority w:val="39"/>
    <w:unhideWhenUsed/>
    <w:qFormat/>
    <w:rsid w:val="000634E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634E1"/>
    <w:pPr>
      <w:spacing w:after="100"/>
    </w:pPr>
  </w:style>
  <w:style w:type="paragraph" w:styleId="Footer">
    <w:name w:val="footer"/>
    <w:basedOn w:val="Normal"/>
    <w:link w:val="FooterChar"/>
    <w:uiPriority w:val="99"/>
    <w:unhideWhenUsed/>
    <w:rsid w:val="000634E1"/>
    <w:pPr>
      <w:tabs>
        <w:tab w:val="center" w:pos="4513"/>
        <w:tab w:val="right" w:pos="9026"/>
      </w:tabs>
    </w:pPr>
  </w:style>
  <w:style w:type="character" w:customStyle="1" w:styleId="FooterChar">
    <w:name w:val="Footer Char"/>
    <w:basedOn w:val="DefaultParagraphFont"/>
    <w:link w:val="Footer"/>
    <w:uiPriority w:val="99"/>
    <w:rsid w:val="000634E1"/>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30292574/" TargetMode="External"/><Relationship Id="rId18" Type="http://schemas.openxmlformats.org/officeDocument/2006/relationships/hyperlink" Target="https://www.gov.uk/when-mental-health-condition-becomes-disability" TargetMode="External"/><Relationship Id="rId26" Type="http://schemas.openxmlformats.org/officeDocument/2006/relationships/hyperlink" Target="https://www.nao.org.uk/reports/progress-in-improving-mental-health-services-in-england/" TargetMode="External"/><Relationship Id="rId39" Type="http://schemas.openxmlformats.org/officeDocument/2006/relationships/hyperlink" Target="https://www.legislation.gov.uk/ukpga/2014/23/section/9" TargetMode="External"/><Relationship Id="rId21" Type="http://schemas.openxmlformats.org/officeDocument/2006/relationships/hyperlink" Target="https://pmc.ncbi.nlm.nih.gov/articles/PMC2211449/" TargetMode="External"/><Relationship Id="rId34" Type="http://schemas.openxmlformats.org/officeDocument/2006/relationships/hyperlink" Target="https://pmc.ncbi.nlm.nih.gov/articles/PMC5125074/" TargetMode="External"/><Relationship Id="rId42" Type="http://schemas.openxmlformats.org/officeDocument/2006/relationships/fontTable" Target="fontTable.xml"/><Relationship Id="rId7" Type="http://schemas.openxmlformats.org/officeDocument/2006/relationships/hyperlink" Target="https://www.acas.org.uk/reasonable-adjustments" TargetMode="External"/><Relationship Id="rId2" Type="http://schemas.openxmlformats.org/officeDocument/2006/relationships/settings" Target="settings.xml"/><Relationship Id="rId16" Type="http://schemas.openxmlformats.org/officeDocument/2006/relationships/hyperlink" Target="https://doi.org/10.1017/S0033291716002786" TargetMode="External"/><Relationship Id="rId20" Type="http://schemas.openxmlformats.org/officeDocument/2006/relationships/hyperlink" Target="https://pmc.ncbi.nlm.nih.gov/articles/PMC4011018/" TargetMode="External"/><Relationship Id="rId29" Type="http://schemas.openxmlformats.org/officeDocument/2006/relationships/hyperlink" Target="https://digital.nhs.uk/data-and-information/publications/statistical/nhs-talking-therapies-monthly-statistics"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healthinnovationoxford.org/wp-content/uploads/2015/11/measuring-recovery-2014.pdf" TargetMode="External"/><Relationship Id="rId24" Type="http://schemas.openxmlformats.org/officeDocument/2006/relationships/hyperlink" Target="https://www.mind.org.uk" TargetMode="External"/><Relationship Id="rId32" Type="http://schemas.openxmlformats.org/officeDocument/2006/relationships/hyperlink" Target="https://www.ocduk.org" TargetMode="External"/><Relationship Id="rId37" Type="http://schemas.openxmlformats.org/officeDocument/2006/relationships/hyperlink" Target="https://www.legislation.gov.uk/ukpga/2007/12/contents" TargetMode="External"/><Relationship Id="rId40" Type="http://schemas.openxmlformats.org/officeDocument/2006/relationships/hyperlink" Target="https://icd.who.int" TargetMode="External"/><Relationship Id="rId5" Type="http://schemas.openxmlformats.org/officeDocument/2006/relationships/endnotes" Target="endnotes.xml"/><Relationship Id="rId15" Type="http://schemas.openxmlformats.org/officeDocument/2006/relationships/hyperlink" Target="https://www.equalityhumanrights.com" TargetMode="External"/><Relationship Id="rId23" Type="http://schemas.openxmlformats.org/officeDocument/2006/relationships/hyperlink" Target="https://mentalhealth-uk.org/blog/ocd-sophies-story/" TargetMode="External"/><Relationship Id="rId28" Type="http://schemas.openxmlformats.org/officeDocument/2006/relationships/hyperlink" Target="https://digital.nhs.uk/services/terminology-and-classifications" TargetMode="External"/><Relationship Id="rId36" Type="http://schemas.openxmlformats.org/officeDocument/2006/relationships/hyperlink" Target="https://therapy-central.com/2025/08/22/therapy-cost-uk-guide-2025/" TargetMode="External"/><Relationship Id="rId10" Type="http://schemas.openxmlformats.org/officeDocument/2006/relationships/hyperlink" Target="https://www.cqc.org.uk/press-release/high-demand-long-waits-and-insufficient-support-mean-people-mental-health-issues" TargetMode="External"/><Relationship Id="rId19" Type="http://schemas.openxmlformats.org/officeDocument/2006/relationships/hyperlink" Target="https://commonslibrary.parliament.uk/research-briefings/cdp-2025-0178/" TargetMode="External"/><Relationship Id="rId31" Type="http://schemas.openxmlformats.org/officeDocument/2006/relationships/hyperlink" Target="https://www.england.nhs.uk" TargetMode="External"/><Relationship Id="rId4" Type="http://schemas.openxmlformats.org/officeDocument/2006/relationships/footnotes" Target="footnotes.xml"/><Relationship Id="rId9" Type="http://schemas.openxmlformats.org/officeDocument/2006/relationships/hyperlink" Target="https://www.cqc.org.uk/publications/monitoring-mental-health-act/2023-2024/inequalities" TargetMode="External"/><Relationship Id="rId14" Type="http://schemas.openxmlformats.org/officeDocument/2006/relationships/hyperlink" Target="https://www.gov.uk/government/publications/care-act-statutory-guidance" TargetMode="External"/><Relationship Id="rId22" Type="http://schemas.openxmlformats.org/officeDocument/2006/relationships/hyperlink" Target="https://mhfaengland.org" TargetMode="External"/><Relationship Id="rId27" Type="http://schemas.openxmlformats.org/officeDocument/2006/relationships/hyperlink" Target="https://www.journalslibrary.nihr.ac.uk/hsdr/HSDR08290" TargetMode="External"/><Relationship Id="rId30" Type="http://schemas.openxmlformats.org/officeDocument/2006/relationships/hyperlink" Target="https://www.nhsconfed.org/publications/mental-health-act-2025-what-you-need-know" TargetMode="External"/><Relationship Id="rId35" Type="http://schemas.openxmlformats.org/officeDocument/2006/relationships/hyperlink" Target="https://www.independent.co.uk/news/health/nhs-private-mental-health-uk-b2667431.html" TargetMode="External"/><Relationship Id="rId43" Type="http://schemas.openxmlformats.org/officeDocument/2006/relationships/theme" Target="theme/theme1.xml"/><Relationship Id="rId8" Type="http://schemas.openxmlformats.org/officeDocument/2006/relationships/hyperlink" Target="https://www.cqc.org.uk/publications/monitoring-mental-health-act/2021-2022/pressures-services-patient-pathways" TargetMode="External"/><Relationship Id="rId3" Type="http://schemas.openxmlformats.org/officeDocument/2006/relationships/webSettings" Target="webSettings.xml"/><Relationship Id="rId12" Type="http://schemas.openxmlformats.org/officeDocument/2006/relationships/hyperlink" Target="https://pmc.ncbi.nlm.nih.gov/articles/PMC11329381/" TargetMode="External"/><Relationship Id="rId17" Type="http://schemas.openxmlformats.org/officeDocument/2006/relationships/hyperlink" Target="https://pubmed.ncbi.nlm.nih.gov/34740755/" TargetMode="External"/><Relationship Id="rId25" Type="http://schemas.openxmlformats.org/officeDocument/2006/relationships/hyperlink" Target="https://www.mind.org.uk" TargetMode="External"/><Relationship Id="rId33" Type="http://schemas.openxmlformats.org/officeDocument/2006/relationships/hyperlink" Target="https://www.priorygroup.com" TargetMode="External"/><Relationship Id="rId38"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4761</Words>
  <Characters>27143</Characters>
  <Application>Microsoft Office Word</Application>
  <DocSecurity>0</DocSecurity>
  <Lines>226</Lines>
  <Paragraphs>63</Paragraphs>
  <ScaleCrop>false</ScaleCrop>
  <Company/>
  <LinksUpToDate>false</LinksUpToDate>
  <CharactersWithSpaces>31841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3</cp:revision>
  <dcterms:created xsi:type="dcterms:W3CDTF">2026-03-18T00:04:00Z</dcterms:created>
  <dcterms:modified xsi:type="dcterms:W3CDTF">2026-03-18T00:04:00Z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82aa4cb4-2978-4c09-b322-b153dac8e7de</vt:lpwstr>
  </property>
</Properties>
</file>