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5"/>
        <w:rPr>
          <w:rFonts w:hint="default" w:ascii="Arial" w:hAnsi="Arial" w:eastAsiaTheme="minorEastAsia" w:cstheme="minorBidi"/>
          <w:b/>
          <w:color w:val="000000" w:themeColor="text1"/>
          <w:sz w:val="44"/>
          <w:szCs w:val="22"/>
          <w:lang w:val="en-US" w:eastAsia="zh-CN"/>
          <w14:textFill>
            <w14:solidFill>
              <w14:schemeClr w14:val="tx1"/>
            </w14:solidFill>
          </w14:textFill>
        </w:rPr>
      </w:pPr>
      <w:r>
        <w:rPr>
          <w:rFonts w:hint="eastAsia" w:ascii="Arial" w:hAnsi="Arial" w:eastAsiaTheme="minorEastAsia" w:cstheme="minorBidi"/>
          <w:b/>
          <w:color w:val="000000" w:themeColor="text1"/>
          <w:sz w:val="44"/>
          <w:szCs w:val="22"/>
          <w:lang w:val="en-US" w:eastAsia="zh-CN"/>
          <w14:textFill>
            <w14:solidFill>
              <w14:schemeClr w14:val="tx1"/>
            </w14:solidFill>
          </w14:textFill>
        </w:rPr>
        <w:t>MODULES:Global Marketing Strategy</w:t>
      </w:r>
    </w:p>
    <w:p>
      <w:pPr>
        <w:pStyle w:val="15"/>
        <w:rPr>
          <w:rFonts w:hint="default" w:ascii="Arial" w:hAnsi="Arial" w:eastAsiaTheme="minorEastAsia" w:cstheme="minorBidi"/>
          <w:b/>
          <w:color w:val="000000" w:themeColor="text1"/>
          <w:sz w:val="44"/>
          <w:szCs w:val="22"/>
          <w:lang w:val="en-US" w:eastAsia="zh-CN"/>
          <w14:textFill>
            <w14:solidFill>
              <w14:schemeClr w14:val="tx1"/>
            </w14:solidFill>
          </w14:textFill>
        </w:rPr>
      </w:pPr>
      <w:r>
        <w:rPr>
          <w:rFonts w:hint="eastAsia" w:ascii="Arial" w:hAnsi="Arial" w:eastAsiaTheme="minorEastAsia" w:cstheme="minorBidi"/>
          <w:b/>
          <w:color w:val="000000" w:themeColor="text1"/>
          <w:sz w:val="44"/>
          <w:szCs w:val="22"/>
          <w:lang w:val="en-US" w:eastAsia="zh-CN"/>
          <w14:textFill>
            <w14:solidFill>
              <w14:schemeClr w14:val="tx1"/>
            </w14:solidFill>
          </w14:textFill>
        </w:rPr>
        <w:t>M3X9086</w:t>
      </w:r>
    </w:p>
    <w:p>
      <w:pPr>
        <w:pStyle w:val="15"/>
        <w:rPr>
          <w:rFonts w:hint="default" w:ascii="Arial" w:hAnsi="Arial" w:eastAsiaTheme="minorEastAsia" w:cstheme="minorBidi"/>
          <w:b/>
          <w:color w:val="000000" w:themeColor="text1"/>
          <w:sz w:val="44"/>
          <w:szCs w:val="22"/>
          <w:lang w:val="en-US" w:eastAsia="zh-CN"/>
          <w14:textFill>
            <w14:solidFill>
              <w14:schemeClr w14:val="tx1"/>
            </w14:solidFill>
          </w14:textFill>
        </w:rPr>
      </w:pPr>
      <w:r>
        <w:rPr>
          <w:rFonts w:hint="eastAsia" w:ascii="Arial" w:hAnsi="Arial" w:eastAsiaTheme="minorEastAsia" w:cstheme="minorBidi"/>
          <w:b/>
          <w:color w:val="000000" w:themeColor="text1"/>
          <w:sz w:val="44"/>
          <w:szCs w:val="22"/>
          <w:lang w:val="en-US" w:eastAsia="zh-CN"/>
          <w14:textFill>
            <w14:solidFill>
              <w14:schemeClr w14:val="tx1"/>
            </w14:solidFill>
          </w14:textFill>
        </w:rPr>
        <w:t>STUDENT NAME:Wang Zihan</w:t>
      </w:r>
    </w:p>
    <w:p>
      <w:pPr>
        <w:pStyle w:val="15"/>
        <w:rPr>
          <w:rFonts w:hint="default" w:ascii="Arial" w:hAnsi="Arial" w:eastAsiaTheme="minorEastAsia" w:cstheme="minorBidi"/>
          <w:b/>
          <w:color w:val="000000" w:themeColor="text1"/>
          <w:sz w:val="44"/>
          <w:szCs w:val="22"/>
          <w:lang w:val="en-US" w:eastAsia="zh-CN"/>
          <w14:textFill>
            <w14:solidFill>
              <w14:schemeClr w14:val="tx1"/>
            </w14:solidFill>
          </w14:textFill>
        </w:rPr>
      </w:pPr>
      <w:r>
        <w:rPr>
          <w:rFonts w:hint="eastAsia" w:ascii="Arial" w:hAnsi="Arial" w:eastAsiaTheme="minorEastAsia" w:cstheme="minorBidi"/>
          <w:b/>
          <w:color w:val="000000" w:themeColor="text1"/>
          <w:sz w:val="44"/>
          <w:szCs w:val="22"/>
          <w:lang w:val="en-US" w:eastAsia="zh-CN"/>
          <w14:textFill>
            <w14:solidFill>
              <w14:schemeClr w14:val="tx1"/>
            </w14:solidFill>
          </w14:textFill>
        </w:rPr>
        <w:t>STUDENT ID:1804506</w:t>
      </w: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p>
      <w:pPr>
        <w:pStyle w:val="15"/>
        <w:rPr>
          <w:rFonts w:ascii="Arial" w:hAnsi="Arial" w:eastAsiaTheme="minorEastAsia" w:cstheme="minorBidi"/>
          <w:b/>
          <w:color w:val="000000" w:themeColor="text1"/>
          <w:sz w:val="44"/>
          <w:szCs w:val="22"/>
          <w:lang w:val="zh-CN"/>
          <w14:textFill>
            <w14:solidFill>
              <w14:schemeClr w14:val="tx1"/>
            </w14:solidFill>
          </w14:textFill>
        </w:rPr>
      </w:pPr>
    </w:p>
    <w:sdt>
      <w:sdtPr>
        <w:rPr>
          <w:rFonts w:ascii="Arial" w:hAnsi="Arial" w:eastAsiaTheme="minorEastAsia" w:cstheme="minorBidi"/>
          <w:b/>
          <w:color w:val="000000" w:themeColor="text1"/>
          <w:sz w:val="44"/>
          <w:szCs w:val="22"/>
          <w:lang w:val="zh-CN"/>
          <w14:textFill>
            <w14:solidFill>
              <w14:schemeClr w14:val="tx1"/>
            </w14:solidFill>
          </w14:textFill>
        </w:rPr>
        <w:id w:val="-1243025019"/>
        <w:docPartObj>
          <w:docPartGallery w:val="Table of Contents"/>
          <w:docPartUnique/>
        </w:docPartObj>
      </w:sdtPr>
      <w:sdtEndPr>
        <w:rPr>
          <w:rFonts w:ascii="Arial" w:hAnsi="Arial" w:eastAsiaTheme="minorEastAsia" w:cstheme="minorBidi"/>
          <w:b/>
          <w:bCs/>
          <w:color w:val="000000" w:themeColor="text1"/>
          <w:sz w:val="24"/>
          <w:szCs w:val="22"/>
          <w:lang w:val="zh-CN"/>
          <w14:textFill>
            <w14:solidFill>
              <w14:schemeClr w14:val="tx1"/>
            </w14:solidFill>
          </w14:textFill>
        </w:rPr>
      </w:sdtEndPr>
      <w:sdtContent>
        <w:p>
          <w:pPr>
            <w:pStyle w:val="15"/>
            <w:rPr>
              <w:rFonts w:ascii="Arial" w:hAnsi="Arial" w:cs="Arial"/>
              <w:b/>
              <w:color w:val="auto"/>
              <w:sz w:val="44"/>
            </w:rPr>
          </w:pPr>
          <w:r>
            <w:rPr>
              <w:rFonts w:ascii="Arial" w:hAnsi="Arial" w:cs="Arial"/>
              <w:b/>
              <w:color w:val="auto"/>
              <w:sz w:val="44"/>
              <w:lang w:val="zh-CN"/>
            </w:rPr>
            <w:t>Content page</w:t>
          </w:r>
        </w:p>
        <w:p>
          <w:pPr>
            <w:pStyle w:val="6"/>
            <w:tabs>
              <w:tab w:val="right" w:leader="dot" w:pos="8630"/>
            </w:tabs>
            <w:rPr>
              <w:rFonts w:asciiTheme="minorHAnsi" w:hAnsiTheme="minorHAnsi"/>
              <w:color w:val="auto"/>
              <w:sz w:val="22"/>
              <w:lang w:val="en-US"/>
            </w:rPr>
          </w:pPr>
          <w:r>
            <w:rPr>
              <w:b/>
              <w:bCs/>
              <w:lang w:val="zh-CN"/>
            </w:rPr>
            <w:fldChar w:fldCharType="begin"/>
          </w:r>
          <w:r>
            <w:rPr>
              <w:b/>
              <w:bCs/>
              <w:lang w:val="zh-CN"/>
            </w:rPr>
            <w:instrText xml:space="preserve"> TOC \o "1-3" \h \z \u </w:instrText>
          </w:r>
          <w:r>
            <w:rPr>
              <w:b/>
              <w:bCs/>
              <w:lang w:val="zh-CN"/>
            </w:rPr>
            <w:fldChar w:fldCharType="separate"/>
          </w:r>
          <w:r>
            <w:fldChar w:fldCharType="begin"/>
          </w:r>
          <w:r>
            <w:instrText xml:space="preserve"> HYPERLINK \l "_Toc7951028" </w:instrText>
          </w:r>
          <w:r>
            <w:fldChar w:fldCharType="separate"/>
          </w:r>
          <w:r>
            <w:rPr>
              <w:rStyle w:val="10"/>
            </w:rPr>
            <w:t>Introduction</w:t>
          </w:r>
          <w:r>
            <w:tab/>
          </w:r>
          <w:r>
            <w:fldChar w:fldCharType="begin"/>
          </w:r>
          <w:r>
            <w:instrText xml:space="preserve"> PAGEREF _Toc7951028 \h </w:instrText>
          </w:r>
          <w:r>
            <w:fldChar w:fldCharType="separate"/>
          </w:r>
          <w:r>
            <w:t>2</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"_Toc7951029" </w:instrText>
          </w:r>
          <w:r>
            <w:fldChar w:fldCharType="separate"/>
          </w:r>
          <w:r>
            <w:rPr>
              <w:rStyle w:val="10"/>
            </w:rPr>
            <w:t>1.0 Product and people</w:t>
          </w:r>
          <w:r>
            <w:tab/>
          </w:r>
          <w:r>
            <w:fldChar w:fldCharType="begin"/>
          </w:r>
          <w:r>
            <w:instrText xml:space="preserve"> PAGEREF _Toc7951029 \h </w:instrText>
          </w:r>
          <w:r>
            <w:fldChar w:fldCharType="separate"/>
          </w:r>
          <w:r>
            <w:t>3</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"_Toc7951030" </w:instrText>
          </w:r>
          <w:r>
            <w:fldChar w:fldCharType="separate"/>
          </w:r>
          <w:r>
            <w:rPr>
              <w:rStyle w:val="10"/>
            </w:rPr>
            <w:t>2.0 Joint Venture with Sagres</w:t>
          </w:r>
          <w:r>
            <w:tab/>
          </w:r>
          <w:r>
            <w:fldChar w:fldCharType="begin"/>
          </w:r>
          <w:r>
            <w:instrText xml:space="preserve"> PAGEREF _Toc7951030 \h </w:instrText>
          </w:r>
          <w:r>
            <w:fldChar w:fldCharType="separate"/>
          </w:r>
          <w:r>
            <w:t>3</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"_Toc7951031" </w:instrText>
          </w:r>
          <w:r>
            <w:fldChar w:fldCharType="separate"/>
          </w:r>
          <w:r>
            <w:rPr>
              <w:rStyle w:val="10"/>
            </w:rPr>
            <w:t>2.1 Why Sagres corporates with Tomos Watkin</w:t>
          </w:r>
          <w:r>
            <w:tab/>
          </w:r>
          <w:r>
            <w:fldChar w:fldCharType="begin"/>
          </w:r>
          <w:r>
            <w:instrText xml:space="preserve"> PAGEREF _Toc7951031 \h </w:instrText>
          </w:r>
          <w:r>
            <w:fldChar w:fldCharType="separate"/>
          </w:r>
          <w:r>
            <w:t>3</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"_Toc7951032" </w:instrText>
          </w:r>
          <w:r>
            <w:fldChar w:fldCharType="separate"/>
          </w:r>
          <w:r>
            <w:rPr>
              <w:rStyle w:val="10"/>
            </w:rPr>
            <w:t>3.0 Product</w:t>
          </w:r>
          <w:r>
            <w:tab/>
          </w:r>
          <w:r>
            <w:fldChar w:fldCharType="begin"/>
          </w:r>
          <w:r>
            <w:instrText xml:space="preserve"> PAGEREF _Toc7951032 \h </w:instrText>
          </w:r>
          <w:r>
            <w:fldChar w:fldCharType="separate"/>
          </w:r>
          <w:r>
            <w:t>3</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"_Toc7951033" </w:instrText>
          </w:r>
          <w:r>
            <w:fldChar w:fldCharType="separate"/>
          </w:r>
          <w:r>
            <w:rPr>
              <w:rStyle w:val="10"/>
            </w:rPr>
            <w:t>4.0 People</w:t>
          </w:r>
          <w:r>
            <w:tab/>
          </w:r>
          <w:r>
            <w:fldChar w:fldCharType="begin"/>
          </w:r>
          <w:r>
            <w:instrText xml:space="preserve"> PAGEREF _Toc7951033 \h </w:instrText>
          </w:r>
          <w:r>
            <w:fldChar w:fldCharType="separate"/>
          </w:r>
          <w:r>
            <w:t>4</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"_Toc7951034" </w:instrText>
          </w:r>
          <w:r>
            <w:fldChar w:fldCharType="separate"/>
          </w:r>
          <w:r>
            <w:rPr>
              <w:rStyle w:val="10"/>
            </w:rPr>
            <w:t>5.0 Place and process management</w:t>
          </w:r>
          <w:r>
            <w:tab/>
          </w:r>
          <w:r>
            <w:fldChar w:fldCharType="begin"/>
          </w:r>
          <w:r>
            <w:instrText xml:space="preserve"> PAGEREF _Toc7951034 \h </w:instrText>
          </w:r>
          <w:r>
            <w:fldChar w:fldCharType="separate"/>
          </w:r>
          <w:r>
            <w:t>5</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"_Toc7951035" </w:instrText>
          </w:r>
          <w:r>
            <w:fldChar w:fldCharType="separate"/>
          </w:r>
          <w:r>
            <w:rPr>
              <w:rStyle w:val="10"/>
            </w:rPr>
            <w:t>6.0 Promotion and physical evidence</w:t>
          </w:r>
          <w:r>
            <w:tab/>
          </w:r>
          <w:r>
            <w:fldChar w:fldCharType="begin"/>
          </w:r>
          <w:r>
            <w:instrText xml:space="preserve"> PAGEREF _Toc7951035 \h </w:instrText>
          </w:r>
          <w:r>
            <w:fldChar w:fldCharType="separate"/>
          </w:r>
          <w:r>
            <w:t>6</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"_Toc7951036" </w:instrText>
          </w:r>
          <w:r>
            <w:fldChar w:fldCharType="separate"/>
          </w:r>
          <w:r>
            <w:rPr>
              <w:rStyle w:val="10"/>
            </w:rPr>
            <w:t>7.0 Price</w:t>
          </w:r>
          <w:r>
            <w:tab/>
          </w:r>
          <w:r>
            <w:fldChar w:fldCharType="begin"/>
          </w:r>
          <w:r>
            <w:instrText xml:space="preserve"> PAGEREF _Toc7951036 \h </w:instrText>
          </w:r>
          <w:r>
            <w:fldChar w:fldCharType="separate"/>
          </w:r>
          <w:r>
            <w:t>7</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"_Toc7951037" </w:instrText>
          </w:r>
          <w:r>
            <w:fldChar w:fldCharType="separate"/>
          </w:r>
          <w:r>
            <w:rPr>
              <w:rStyle w:val="10"/>
            </w:rPr>
            <w:t>Conclusion</w:t>
          </w:r>
          <w:r>
            <w:tab/>
          </w:r>
          <w:r>
            <w:fldChar w:fldCharType="begin"/>
          </w:r>
          <w:r>
            <w:instrText xml:space="preserve"> PAGEREF _Toc7951037 \h </w:instrText>
          </w:r>
          <w:r>
            <w:fldChar w:fldCharType="separate"/>
          </w:r>
          <w:r>
            <w:t>9</w:t>
          </w:r>
          <w:r>
            <w:fldChar w:fldCharType="end"/>
          </w:r>
          <w:r>
            <w:fldChar w:fldCharType="end"/>
          </w:r>
        </w:p>
        <w:p>
          <w:pPr>
            <w:pStyle w:val="6"/>
            <w:tabs>
              <w:tab w:val="right" w:leader="dot" w:pos="8630"/>
            </w:tabs>
            <w:rPr>
              <w:rFonts w:asciiTheme="minorHAnsi" w:hAnsiTheme="minorHAnsi"/>
              <w:color w:val="auto"/>
              <w:sz w:val="22"/>
              <w:lang w:val="en-US"/>
            </w:rPr>
          </w:pPr>
          <w:r>
            <w:fldChar w:fldCharType="begin"/>
          </w:r>
          <w:r>
            <w:instrText xml:space="preserve"> HYPERLINK \l "_Toc7951038" </w:instrText>
          </w:r>
          <w:r>
            <w:fldChar w:fldCharType="separate"/>
          </w:r>
          <w:r>
            <w:rPr>
              <w:rStyle w:val="10"/>
            </w:rPr>
            <w:t>Bibliography</w:t>
          </w:r>
          <w:r>
            <w:tab/>
          </w:r>
          <w:r>
            <w:fldChar w:fldCharType="begin"/>
          </w:r>
          <w:r>
            <w:instrText xml:space="preserve"> PAGEREF _Toc7951038 \h </w:instrText>
          </w:r>
          <w:r>
            <w:fldChar w:fldCharType="separate"/>
          </w:r>
          <w:r>
            <w:t>10</w:t>
          </w:r>
          <w:r>
            <w:fldChar w:fldCharType="end"/>
          </w:r>
          <w:r>
            <w:fldChar w:fldCharType="end"/>
          </w:r>
        </w:p>
        <w:p>
          <w:r>
            <w:rPr>
              <w:b/>
              <w:bCs/>
              <w:lang w:val="zh-CN"/>
            </w:rPr>
            <w:fldChar w:fldCharType="end"/>
          </w:r>
        </w:p>
      </w:sdtContent>
    </w:sdt>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pStyle w:val="2"/>
      </w:pPr>
      <w:bookmarkStart w:id="0" w:name="_Toc7951028"/>
      <w:bookmarkStart w:id="11" w:name="_GoBack"/>
      <w:bookmarkEnd w:id="11"/>
      <w:r>
        <w:t>Introduction</w:t>
      </w:r>
      <w:bookmarkEnd w:id="0"/>
      <w:r>
        <w:t xml:space="preserve"> </w:t>
      </w:r>
    </w:p>
    <w:p>
      <w:r>
        <w:t xml:space="preserve">In the last business report, I have conducted a comprehensive marketing research in market screening and market entry methods for Tomos Watkins, a Walsh beer producer who attempts to expand its market to an international market. </w:t>
      </w:r>
    </w:p>
    <w:p/>
    <w:p>
      <w:r>
        <w:t>This report will offer a set of actions and tactics for Tomos Watkins to enter into Portugal market. The latest version of marketing-mix (7Ps) is designed for service industry: hotel, hospitality, restaurant, and other sub-industries in service sectors</w:t>
      </w:r>
      <w:r>
        <w:rPr>
          <w:rFonts w:cs="Arial"/>
          <w:color w:val="000000"/>
          <w:sz w:val="20"/>
          <w:szCs w:val="20"/>
          <w:shd w:val="clear" w:color="auto" w:fill="FFFFFF"/>
        </w:rPr>
        <w:t xml:space="preserve"> </w:t>
      </w:r>
      <w:r>
        <w:t xml:space="preserve">(Article Library, 2019). Because the extra 3Ps are mainly focusing on service quality by assuring the service people, service process management and tangible or physical evidence. However, Tomos Watkins is not a company providing service. Therefore, the three extra factors will be embedded in the original 4Ps (Product, Price, Place and Promotion). Specifically, product strategy will be combined with people. The placing strategy will be combined with process management. Promotion will be with physical evidence. </w:t>
      </w:r>
    </w:p>
    <w:p/>
    <w:p/>
    <w:p/>
    <w:p/>
    <w:p/>
    <w:p/>
    <w:p/>
    <w:p/>
    <w:p/>
    <w:p/>
    <w:p/>
    <w:p/>
    <w:p>
      <w:pPr>
        <w:pStyle w:val="2"/>
      </w:pPr>
      <w:bookmarkStart w:id="1" w:name="_Toc7951029"/>
      <w:r>
        <w:t>1.0 Product and people</w:t>
      </w:r>
      <w:bookmarkEnd w:id="1"/>
      <w:r>
        <w:t xml:space="preserve"> </w:t>
      </w:r>
    </w:p>
    <w:p>
      <w:r>
        <w:t xml:space="preserve">In the last report, a joint venture has been decided as a market entry method for   Tomos Watkin. Therefore, to design a suitable product and people strategy, the market entry method has to be engaged at first. </w:t>
      </w:r>
    </w:p>
    <w:p/>
    <w:p>
      <w:pPr>
        <w:pStyle w:val="2"/>
        <w:rPr>
          <w:rFonts w:ascii="Helvetica" w:hAnsi="Helvetica"/>
          <w:color w:val="121416"/>
          <w:sz w:val="39"/>
          <w:szCs w:val="39"/>
          <w:lang w:val="en-US"/>
        </w:rPr>
      </w:pPr>
      <w:bookmarkStart w:id="2" w:name="_Toc7951030"/>
      <w:r>
        <w:t>2.0 Joint Venture with Sagres</w:t>
      </w:r>
      <w:bookmarkEnd w:id="2"/>
    </w:p>
    <w:p>
      <w:r>
        <w:t xml:space="preserve">A joint venture (JV) strategy is a business agreement between two or more parties to gather their resources to achieve a common goal (Mar Benavides-Espinosa, 2012). It is a distinctive feature between JV and strategic alliance or partnership since JV is only designed for achieving a single result or project (ChoiChangBeom, 2011).  The most important treaties within the JV contract are relating to the resource exchange.  </w:t>
      </w:r>
    </w:p>
    <w:p/>
    <w:p>
      <w:pPr>
        <w:pStyle w:val="2"/>
      </w:pPr>
      <w:bookmarkStart w:id="3" w:name="_Toc7951031"/>
      <w:r>
        <w:t>2.1 Why Sagres corporates with Tomos Watkin</w:t>
      </w:r>
      <w:bookmarkEnd w:id="3"/>
    </w:p>
    <w:p>
      <w:r>
        <w:t xml:space="preserve">Hence, in my last report, Tomos Watkin has decided to sign an agreement with Sagres which is one of the most famous beer manufacturer in Portugal. Sagres’s product line covers dark ale and pale ale mainly (Santos, 2019). Therefore, Cwrw Braf (an amber-coloured ale) provided by Tomos Watkin can extend Sagres’s product line as a resource exchange (Tomos Watkin, 2019). However, there are some problems existing in JV. The vague objectives and the great imbalance would be found as two major disadvantages between Tomos Watkin and Sagres, as a small-medium sized company with a large company. Hence, the product strategy and people strategy will provide solutions of them.  </w:t>
      </w:r>
    </w:p>
    <w:p/>
    <w:p>
      <w:pPr>
        <w:pStyle w:val="2"/>
      </w:pPr>
      <w:bookmarkStart w:id="4" w:name="_Toc7951032"/>
      <w:r>
        <w:t>3.0 Product</w:t>
      </w:r>
      <w:bookmarkEnd w:id="4"/>
      <w:r>
        <w:t xml:space="preserve"> </w:t>
      </w:r>
    </w:p>
    <w:p>
      <w:r>
        <w:t xml:space="preserve">The product strategy is the most important factor to minimise the negative effects from the JV agreements. There are three product strategies: “differentiation strategy, business goals strategy and a strategy based on market and needs” (Pichler, 2019). </w:t>
      </w:r>
    </w:p>
    <w:p/>
    <w:p>
      <w:r>
        <w:rPr>
          <w:lang w:val="en-US"/>
        </w:rPr>
        <w:drawing>
          <wp:inline distT="0" distB="0" distL="0" distR="0">
            <wp:extent cx="1675765" cy="894715"/>
            <wp:effectExtent l="0" t="0" r="635"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rcRect l="11414" t="10433" r="9790" b="4302"/>
                    <a:stretch>
                      <a:fillRect/>
                    </a:stretch>
                  </pic:blipFill>
                  <pic:spPr>
                    <a:xfrm>
                      <a:off x="0" y="0"/>
                      <a:ext cx="1686232" cy="900575"/>
                    </a:xfrm>
                    <a:prstGeom prst="rect">
                      <a:avLst/>
                    </a:prstGeom>
                    <a:ln>
                      <a:noFill/>
                    </a:ln>
                  </pic:spPr>
                </pic:pic>
              </a:graphicData>
            </a:graphic>
          </wp:inline>
        </w:drawing>
      </w:r>
    </w:p>
    <w:p>
      <w:r>
        <w:t>Graph: different product strategy (Pichler, 2019)</w:t>
      </w:r>
    </w:p>
    <w:p/>
    <w:p>
      <w:r>
        <w:t xml:space="preserve">The interest point on Sagres’s side is to compensate its product line by adding Cwrw Braf to compete market share. By taking the disadvantages from JV into account, the business goals strategy would be suitable by indicating that a clear business goal will be settled and the power imbalance will be rebalanced. The business goals strategy can be specifically expressed in the contract between Tomos Watkin and Sagres: the common goal is to complete market share by adding an extra product line provided by Tomos Watkin (the expected market share should be provided in the contract). In addition, Tomos Watkin has to control its product fully during the contractual period. </w:t>
      </w:r>
    </w:p>
    <w:p>
      <w:pPr>
        <w:pStyle w:val="2"/>
      </w:pPr>
      <w:bookmarkStart w:id="5" w:name="_Toc7951033"/>
      <w:r>
        <w:t>4.0 People</w:t>
      </w:r>
      <w:bookmarkEnd w:id="5"/>
      <w:r>
        <w:t xml:space="preserve"> </w:t>
      </w:r>
    </w:p>
    <w:p>
      <w:r>
        <w:t xml:space="preserve">The people strategy is a team-forming strategy which should focus on the business context in an international market (Sage, 2019). Within a joint venture period, there are two principal difficulties for all the parties involving in the JV agreement: the negotiation stage and supervision stage (ChoiChangBeom, 2011). To explain this, the people strategy has to maximise Tomos Watkin’s profit during the negotiation stage. Moreover, during the formal JV contract period, people strategy has to protect Tomos Watkin’s rights. Therefore, the people strategy has to meet those two goals. I would recommend that Tomos Watkin can hire a qualified business negotiator and a professional supervisor to form a project team as its people strategy. </w:t>
      </w:r>
    </w:p>
    <w:p/>
    <w:p/>
    <w:p/>
    <w:p/>
    <w:p/>
    <w:p>
      <w:pPr>
        <w:pStyle w:val="2"/>
      </w:pPr>
      <w:bookmarkStart w:id="6" w:name="_Toc7951034"/>
      <w:r>
        <w:t>5.0 Place and process management</w:t>
      </w:r>
      <w:bookmarkEnd w:id="6"/>
      <w:r>
        <w:t xml:space="preserve"> </w:t>
      </w:r>
    </w:p>
    <w:p>
      <w:r>
        <w:t xml:space="preserve">Place strategy is also known as a location strategy which is to select a physical address for a company to enter an international market (Singh, 2019). This strategy has to follow the rule that the physical address has to be approach to customers (Hansen and Smith, 2003). This rule strong relates to the geographical landscape in Portugal. Due to the JV market entry method, the distribution channel will use Sagres’s channel which is in a mature stage. It seems that Tomos Watkin does not need to have a physical office in Portugal.  But, regarding to the difficulties within the supervision and negotiation process, a project department has to be established. By using the distribution channel provided by Sagres, Tomos Watkin does not need to directly contact with customers. However, the location strategy should be based on the physical address of Sagres. Because, it is easier to supervise Sagres’s action and to conduct business negotiation. The full name of Sagres is Sociedade Central de Cervejas (SCC) (full name: SCC Sociedade Central de Cervejas e Bebidas, S.A.) (SCC, 2019). Headquarter of SCC is located in Vialonga, Portugal (SCC, 2019). I would suggest that Tomos Watkin has to consider establishing an office near the location of SCC’s headquarter in Vialonga. </w:t>
      </w:r>
    </w:p>
    <w:p/>
    <w:p>
      <w:r>
        <w:t xml:space="preserve">On the other hand, the process management is to ensure the same quality of product or service will be provided in an international market (FreshThinking, 2019). The exported product for Tomos Watkin would be Cwrw Braf. Therefore, the process management strategy has to protect their product during the distribution in Portugal.  To have a very specific process management, the outlined steps have to be followed: function, activities, process and tasks. Firstly, Tomos Watkin has to choose the function of process management. We have already mentioned this (process management is intended to protect Cwrw Braf during the distribution in Portugal). Because the distribution and transportation may cause the product damages and changed quality. The activities conducted by the process management should be a random sampling mechanism to randomly sample those Cwrw Braf on supermarket’s shelf or in bar’s shelf or some other retailing channels. On the other hand, at the process stage, the random sampling mechanism requires supervision team to the random supermarket or beer bar to taste Cwrw Braf and record the status of those bottles of Cwrw Braf on shelf by using roughly two factors: colour and package : does colour change? And what situations are packages in?  Finally, the supervision team will draft the sampling report as their task. The sampling reports have to contain the factors mentioned from above. </w:t>
      </w:r>
    </w:p>
    <w:p>
      <w:pPr>
        <w:pStyle w:val="2"/>
      </w:pPr>
      <w:bookmarkStart w:id="7" w:name="_Toc7951035"/>
      <w:r>
        <w:t>6.0 Promotion and physical evidence</w:t>
      </w:r>
      <w:bookmarkEnd w:id="7"/>
      <w:r>
        <w:t xml:space="preserve"> </w:t>
      </w:r>
    </w:p>
    <w:p>
      <w:r>
        <w:t xml:space="preserve">The promotion strategy in marketing mix is one of the most important tactics since it stresses on the promotion of sales (Embitel, 2019). In the years of information technologies and e-marketing, the promotion strategy will be based on the context of internet and search engine. Within the context of digital marketing, search engine optimisation, social media marketing and steam advertisements are presenting a very good chance for SMEs to increase their brand awareness (Meadows-Klue, 2003).  Therefore, on the other hand, Tomos Watkin may enjoy the brand awareness from Sagres.  On the other hand, Tomos Watkin can find other channel to generate more brand awareness through the promotion strategy. Considering the quantity of users, Google and YouTube are gathering 1.9 billion monthly users in 2018 (Swan, 2019). Therefore, YouTube and Google are two platforms for a company who wants to increase its market (Swan, 2019). It is a good chance for Tomos Watkin to present its products in front of viewers. There are several methods: standard display ads, overlay ads, bumper ads. </w:t>
      </w:r>
    </w:p>
    <w:p>
      <w:r>
        <w:rPr>
          <w:lang w:val="en-US"/>
        </w:rPr>
        <w:drawing>
          <wp:inline distT="0" distB="0" distL="0" distR="0">
            <wp:extent cx="1475740" cy="82867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1484083" cy="833047"/>
                    </a:xfrm>
                    <a:prstGeom prst="rect">
                      <a:avLst/>
                    </a:prstGeom>
                  </pic:spPr>
                </pic:pic>
              </a:graphicData>
            </a:graphic>
          </wp:inline>
        </w:drawing>
      </w:r>
      <w:r>
        <w:rPr>
          <w:lang w:val="en-US"/>
        </w:rPr>
        <w:t xml:space="preserve"> </w:t>
      </w:r>
      <w:r>
        <w:rPr>
          <w:lang w:val="en-US"/>
        </w:rPr>
        <w:drawing>
          <wp:inline distT="0" distB="0" distL="0" distR="0">
            <wp:extent cx="1966595" cy="509270"/>
            <wp:effectExtent l="0" t="0" r="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6"/>
                    <a:stretch>
                      <a:fillRect/>
                    </a:stretch>
                  </pic:blipFill>
                  <pic:spPr>
                    <a:xfrm>
                      <a:off x="0" y="0"/>
                      <a:ext cx="1988876" cy="515214"/>
                    </a:xfrm>
                    <a:prstGeom prst="rect">
                      <a:avLst/>
                    </a:prstGeom>
                  </pic:spPr>
                </pic:pic>
              </a:graphicData>
            </a:graphic>
          </wp:inline>
        </w:drawing>
      </w:r>
      <w:r>
        <w:rPr>
          <w:lang w:val="en-US"/>
        </w:rPr>
        <w:t xml:space="preserve"> </w:t>
      </w:r>
      <w:r>
        <w:rPr>
          <w:lang w:val="en-US"/>
        </w:rPr>
        <w:drawing>
          <wp:inline distT="0" distB="0" distL="0" distR="0">
            <wp:extent cx="1047750" cy="100965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7"/>
                    <a:stretch>
                      <a:fillRect/>
                    </a:stretch>
                  </pic:blipFill>
                  <pic:spPr>
                    <a:xfrm>
                      <a:off x="0" y="0"/>
                      <a:ext cx="1063095" cy="1024229"/>
                    </a:xfrm>
                    <a:prstGeom prst="rect">
                      <a:avLst/>
                    </a:prstGeom>
                  </pic:spPr>
                </pic:pic>
              </a:graphicData>
            </a:graphic>
          </wp:inline>
        </w:drawing>
      </w:r>
    </w:p>
    <w:p>
      <w:r>
        <w:t xml:space="preserve">Graph: some samples of standard display ads, overlay ads and bumper ads (Swan, 2019) </w:t>
      </w:r>
    </w:p>
    <w:p/>
    <w:p>
      <w:r>
        <w:t xml:space="preserve">Therefore, Tomos Watkin has to focus on the demographic of viewers. Tomos Watkin can screen the viewers who are viewing the Portugal related videos (including tourism, business travel and tourist attractions) and viewers are using Portuguese as the first language in YouTube settings. </w:t>
      </w:r>
    </w:p>
    <w:p/>
    <w:p>
      <w:r>
        <w:t>The physical evidence strategy is to provide some physical evidence to the potential customers who are likely to choose a specific intangible product or services (MarketingWit, 2019).  We can assume that before the potential customers truly taste a bottle of Cwrw Braf, all potential customers will not know the taste of Cwrw Braf. Therefore, combined with promotion strategy collaborating with the concept of digital marketing, physical evidence strategy can be considered as a part of promotion strategy. The Key Opinion Leaders (KOLs</w:t>
      </w:r>
      <w:r>
        <w:rPr>
          <w:rFonts w:hint="eastAsia"/>
        </w:rPr>
        <w:t>),</w:t>
      </w:r>
      <w:r>
        <w:t xml:space="preserve"> as a newly coined term in e-marketing, shows that some bloggers with millions of followers will have sort of power in marketing aspect (Donahue et al., 2004). The other concept in e-marketing is the “post and lottery”: every social media user has a chance to win the prize through posting a specific content (advertisement) (Zhang and Dong, 2009). Therefore, Tomos Watkin can post its advertisements on the main Social Medias including Twitter, Facebook and Instagram at first.  By signing the contract with KOLs and preparing the prizes for the winners of (post and lottery), Tomos Watkin will offer some samples of Cwrw Braf to the winners. </w:t>
      </w:r>
    </w:p>
    <w:p/>
    <w:p>
      <w:pPr>
        <w:pStyle w:val="2"/>
      </w:pPr>
      <w:bookmarkStart w:id="8" w:name="_Toc7951036"/>
      <w:r>
        <w:t>7.0 Price</w:t>
      </w:r>
      <w:bookmarkEnd w:id="8"/>
      <w:r>
        <w:t xml:space="preserve"> </w:t>
      </w:r>
    </w:p>
    <w:p>
      <w:r>
        <w:t xml:space="preserve">In an economic perspective, the demands will determine the size of market. Therefore, the price strategy has to follow the rule of market. There are two necessary stages for Tomos Watkin to coin a suitable price strategy in Portugal market. The first stage is to analyse the market size while the second stage is to compare the alterative (or competitive) products with their prices.  </w:t>
      </w:r>
    </w:p>
    <w:p/>
    <w:p>
      <w:r>
        <w:t xml:space="preserve">By having a review of some economic data of the Portugal beer market, the overall consumption, revenue per year and the overall demands. </w:t>
      </w:r>
    </w:p>
    <w:p>
      <w:r>
        <w:rPr>
          <w:lang w:val="en-US"/>
        </w:rPr>
        <w:drawing>
          <wp:inline distT="0" distB="0" distL="0" distR="0">
            <wp:extent cx="2404745" cy="154305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rcRect t="5136"/>
                    <a:stretch>
                      <a:fillRect/>
                    </a:stretch>
                  </pic:blipFill>
                  <pic:spPr>
                    <a:xfrm>
                      <a:off x="0" y="0"/>
                      <a:ext cx="2423174" cy="1554828"/>
                    </a:xfrm>
                    <a:prstGeom prst="rect">
                      <a:avLst/>
                    </a:prstGeom>
                    <a:ln>
                      <a:noFill/>
                    </a:ln>
                  </pic:spPr>
                </pic:pic>
              </a:graphicData>
            </a:graphic>
          </wp:inline>
        </w:drawing>
      </w:r>
    </w:p>
    <w:p>
      <w:r>
        <w:t>Line chart: annual volume of beer consumed per capita in Portugal from 2008 to 2017 (in litres) (Statista, 2019)</w:t>
      </w:r>
    </w:p>
    <w:p>
      <w:pPr>
        <w:rPr>
          <w:lang w:val="en-US"/>
        </w:rPr>
      </w:pPr>
    </w:p>
    <w:p>
      <w:pPr>
        <w:rPr>
          <w:lang w:val="en-US"/>
        </w:rPr>
      </w:pPr>
      <w:r>
        <w:rPr>
          <w:lang w:val="en-US"/>
        </w:rPr>
        <w:t xml:space="preserve">From 2008 to 2015, the demands of beer were decrease substantially. In addition, from 2015 to 2017, the consumption of beer was increase </w:t>
      </w:r>
      <w:r>
        <w:t>almost 10% (ESM, 2019).</w:t>
      </w:r>
    </w:p>
    <w:p>
      <w:pPr>
        <w:rPr>
          <w:lang w:val="en-US"/>
        </w:rPr>
      </w:pPr>
    </w:p>
    <w:p>
      <w:pPr>
        <w:rPr>
          <w:lang w:val="en-US"/>
        </w:rPr>
      </w:pPr>
      <w:r>
        <w:rPr>
          <w:lang w:val="en-US"/>
        </w:rPr>
        <w:drawing>
          <wp:inline distT="0" distB="0" distL="0" distR="0">
            <wp:extent cx="5338445" cy="151257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9"/>
                    <a:srcRect l="868" r="1817"/>
                    <a:stretch>
                      <a:fillRect/>
                    </a:stretch>
                  </pic:blipFill>
                  <pic:spPr>
                    <a:xfrm>
                      <a:off x="0" y="0"/>
                      <a:ext cx="5339073" cy="1513205"/>
                    </a:xfrm>
                    <a:prstGeom prst="rect">
                      <a:avLst/>
                    </a:prstGeom>
                    <a:ln>
                      <a:noFill/>
                    </a:ln>
                  </pic:spPr>
                </pic:pic>
              </a:graphicData>
            </a:graphic>
          </wp:inline>
        </w:drawing>
      </w:r>
    </w:p>
    <w:p>
      <w:r>
        <w:t>Basic characteristics beer market (2013-2014)</w:t>
      </w:r>
      <w:r>
        <w:rPr>
          <w:rFonts w:cs="Arial"/>
          <w:color w:val="000000"/>
          <w:sz w:val="20"/>
          <w:szCs w:val="20"/>
          <w:shd w:val="clear" w:color="auto" w:fill="FFFFFF"/>
        </w:rPr>
        <w:t xml:space="preserve"> </w:t>
      </w:r>
      <w:r>
        <w:t>(Europe Economics, 2016)</w:t>
      </w:r>
    </w:p>
    <w:p/>
    <w:p>
      <w:r>
        <w:t>Hence, according to those economic data, from 2017 to the future, the beer industry is expectedly in a recovery situation (Europe Economics, 2016). Therefore, the general idea of the pricing strategy is given that the price per unit does not need to provide low price to consumers in Portugal.</w:t>
      </w:r>
    </w:p>
    <w:p/>
    <w:p>
      <w:r>
        <w:t xml:space="preserve">The second stage of price strategy is to regard the average mark price in Portugal and to find the position for Tomos Watkin. The average Pint Price in the UK is £3.2 while the average Pint Price in Portugal is £ 1.63. The selling price of Cwrw Braf is £1.75 per bottle in the UK. Therefore, it is obviously that the price strategy carried out by Tomos Watkin in the UK is different from the possible price strategy in Portugal. Considering the price strategy adapted by other alterative product (amber-coloured ale), Cerveja Super Bock (from SBG Super Bock Group Carlsberg) and Ochakovo Originalnoe (Original) (Ochakovo), those two competitors are priced approximately £ 1.58 and £1.23 in Portugal (Santos, 2019). Therefore, as a foreign competitor, Tomos Watkin can adapt customer psychological price strategy by adding an extra-margin on products. I would suggest that Tomos Watkin can price its Cwrw Braf £2.00 per bottle in Portugal. The customer psychological price shows that the high prices can reflect the high quality to the potential customers (QIU, ZHENG and YAO, 2015). </w:t>
      </w:r>
    </w:p>
    <w:p/>
    <w:p/>
    <w:p>
      <w:pPr>
        <w:pStyle w:val="2"/>
      </w:pPr>
      <w:bookmarkStart w:id="9" w:name="_Toc7951037"/>
      <w:r>
        <w:t>Conclusion</w:t>
      </w:r>
      <w:bookmarkEnd w:id="9"/>
    </w:p>
    <w:p>
      <w:r>
        <w:t>This report provides a marketing mix for Tomos Watkin in Portugal market. The overall market entry mode is a direct entry mode. By signing a joint-venture agreement with Sagres, Tomos Watkin will directly enter into Portugal market. Having a quick review, the results from the last report are showing that the best choice of market for Tomos Watkins to be entered is Portugal while the best market entry strategy is joint-venture. To provide a more detailed market expansion scheme, I will demonstrate some specific strategies for Tomos Watkins.</w:t>
      </w:r>
    </w:p>
    <w:p/>
    <w:p/>
    <w:p/>
    <w:p/>
    <w:p/>
    <w:p/>
    <w:p/>
    <w:p/>
    <w:p/>
    <w:p/>
    <w:p/>
    <w:p/>
    <w:p>
      <w:pPr>
        <w:pStyle w:val="2"/>
      </w:pPr>
      <w:bookmarkStart w:id="10" w:name="_Toc7951038"/>
      <w:r>
        <w:t>Bibliography</w:t>
      </w:r>
      <w:bookmarkEnd w:id="10"/>
      <w:r>
        <w:t xml:space="preserve"> </w:t>
      </w:r>
    </w:p>
    <w:p>
      <w:pPr>
        <w:rPr>
          <w:rFonts w:cs="Arial"/>
          <w:color w:val="000000"/>
          <w:szCs w:val="20"/>
          <w:shd w:val="clear" w:color="auto" w:fill="FFFFFF"/>
        </w:rPr>
      </w:pPr>
      <w:r>
        <w:rPr>
          <w:rFonts w:cs="Arial"/>
          <w:color w:val="000000"/>
          <w:szCs w:val="20"/>
          <w:shd w:val="clear" w:color="auto" w:fill="FFFFFF"/>
        </w:rPr>
        <w:t>Article Library (2019). </w:t>
      </w:r>
      <w:r>
        <w:rPr>
          <w:rFonts w:cs="Arial"/>
          <w:i/>
          <w:iCs/>
          <w:color w:val="000000"/>
          <w:szCs w:val="20"/>
          <w:shd w:val="clear" w:color="auto" w:fill="FFFFFF"/>
        </w:rPr>
        <w:t>7 Elements used in Marketing Mix for Services</w:t>
      </w:r>
      <w:r>
        <w:rPr>
          <w:rFonts w:cs="Arial"/>
          <w:color w:val="000000"/>
          <w:szCs w:val="20"/>
          <w:shd w:val="clear" w:color="auto" w:fill="FFFFFF"/>
        </w:rPr>
        <w:t>. [online] Your Article Library. Available at: http://www.yourarticlelibrary.com/services/7-elements-used-in-marketing-mix-for-services/34003 [Accessed 11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Budgettraveller (2019). </w:t>
      </w:r>
      <w:r>
        <w:rPr>
          <w:rFonts w:cs="Arial"/>
          <w:i/>
          <w:iCs/>
          <w:color w:val="000000"/>
          <w:szCs w:val="20"/>
          <w:shd w:val="clear" w:color="auto" w:fill="FFFFFF"/>
        </w:rPr>
        <w:t>Cheapest beer in Europe ? Check my Europe Cheap Beer Index -</w:t>
      </w:r>
      <w:r>
        <w:rPr>
          <w:rFonts w:cs="Arial"/>
          <w:color w:val="000000"/>
          <w:szCs w:val="20"/>
          <w:shd w:val="clear" w:color="auto" w:fill="FFFFFF"/>
        </w:rPr>
        <w:t>. [online] Budgettraveller.org. Available at: https://budgettraveller.org/cheapest-beer-in-europe-check-my-europe-cheap-beer-index/ [Accessed 14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ChoiChangBeom (2011). The Effect of Joint Venture Partners' Management Control on International Joint Venture Performance. </w:t>
      </w:r>
      <w:r>
        <w:rPr>
          <w:rFonts w:cs="Arial"/>
          <w:i/>
          <w:iCs/>
          <w:color w:val="000000"/>
          <w:szCs w:val="20"/>
          <w:shd w:val="clear" w:color="auto" w:fill="FFFFFF"/>
        </w:rPr>
        <w:t>The e-Business Studies</w:t>
      </w:r>
      <w:r>
        <w:rPr>
          <w:rFonts w:cs="Arial"/>
          <w:color w:val="000000"/>
          <w:szCs w:val="20"/>
          <w:shd w:val="clear" w:color="auto" w:fill="FFFFFF"/>
        </w:rPr>
        <w:t>, 12(4), pp.159-174.</w:t>
      </w:r>
    </w:p>
    <w:p>
      <w:pPr>
        <w:rPr>
          <w:rFonts w:cs="Arial"/>
          <w:color w:val="000000"/>
          <w:szCs w:val="20"/>
          <w:shd w:val="clear" w:color="auto" w:fill="FFFFFF"/>
        </w:rPr>
      </w:pPr>
    </w:p>
    <w:p>
      <w:pPr>
        <w:rPr>
          <w:rFonts w:cs="Arial"/>
          <w:color w:val="222222"/>
          <w:szCs w:val="20"/>
          <w:shd w:val="clear" w:color="auto" w:fill="FFFFFF"/>
        </w:rPr>
      </w:pPr>
      <w:r>
        <w:rPr>
          <w:rFonts w:cs="Arial"/>
          <w:color w:val="222222"/>
          <w:szCs w:val="20"/>
          <w:shd w:val="clear" w:color="auto" w:fill="FFFFFF"/>
        </w:rPr>
        <w:t>Donahue, D., Kotz, B., Curran, R.M., Anderson, A. and Kotz, H., Prolink Services LLC, 2004. </w:t>
      </w:r>
      <w:r>
        <w:rPr>
          <w:rFonts w:cs="Arial"/>
          <w:i/>
          <w:iCs/>
          <w:color w:val="222222"/>
          <w:szCs w:val="20"/>
          <w:shd w:val="clear" w:color="auto" w:fill="FFFFFF"/>
        </w:rPr>
        <w:t>Method and system for identifying key opinion leaders</w:t>
      </w:r>
      <w:r>
        <w:rPr>
          <w:rFonts w:cs="Arial"/>
          <w:color w:val="222222"/>
          <w:szCs w:val="20"/>
          <w:shd w:val="clear" w:color="auto" w:fill="FFFFFF"/>
        </w:rPr>
        <w:t>. U.S. Patent Application 10/394,165.</w:t>
      </w:r>
    </w:p>
    <w:p>
      <w:pPr>
        <w:rPr>
          <w:rFonts w:cs="Arial"/>
          <w:color w:val="222222"/>
          <w:szCs w:val="20"/>
          <w:shd w:val="clear" w:color="auto" w:fill="FFFFFF"/>
        </w:rPr>
      </w:pPr>
    </w:p>
    <w:p>
      <w:pPr>
        <w:rPr>
          <w:rFonts w:cs="Arial"/>
          <w:color w:val="000000"/>
          <w:szCs w:val="20"/>
          <w:shd w:val="clear" w:color="auto" w:fill="FFFFFF"/>
        </w:rPr>
      </w:pPr>
      <w:r>
        <w:rPr>
          <w:rFonts w:cs="Arial"/>
          <w:color w:val="000000"/>
          <w:szCs w:val="20"/>
          <w:shd w:val="clear" w:color="auto" w:fill="FFFFFF"/>
        </w:rPr>
        <w:t>Embitel (2019). </w:t>
      </w:r>
      <w:r>
        <w:rPr>
          <w:rFonts w:cs="Arial"/>
          <w:i/>
          <w:iCs/>
          <w:color w:val="000000"/>
          <w:szCs w:val="20"/>
          <w:shd w:val="clear" w:color="auto" w:fill="FFFFFF"/>
        </w:rPr>
        <w:t>What is emarketing, Why internet marketing is better? - Embitel</w:t>
      </w:r>
      <w:r>
        <w:rPr>
          <w:rFonts w:cs="Arial"/>
          <w:color w:val="000000"/>
          <w:szCs w:val="20"/>
          <w:shd w:val="clear" w:color="auto" w:fill="FFFFFF"/>
        </w:rPr>
        <w:t>. [online] Embitel. Available at: https://www.embitel.com/blog/ecommerce-blog/what-is-emarketing-why-internet-marketing-is-better [Accessed 14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ESM (2019). </w:t>
      </w:r>
      <w:r>
        <w:rPr>
          <w:rFonts w:cs="Arial"/>
          <w:i/>
          <w:iCs/>
          <w:color w:val="000000"/>
          <w:szCs w:val="20"/>
          <w:shd w:val="clear" w:color="auto" w:fill="FFFFFF"/>
        </w:rPr>
        <w:t>Beer Consumption In Portugal Grows By 10% | ESM Magazine</w:t>
      </w:r>
      <w:r>
        <w:rPr>
          <w:rFonts w:cs="Arial"/>
          <w:color w:val="000000"/>
          <w:szCs w:val="20"/>
          <w:shd w:val="clear" w:color="auto" w:fill="FFFFFF"/>
        </w:rPr>
        <w:t>. [online] ESM Magazine. Available at: https://www.esmmagazine.com/beer-portugal-consumption-grows-2017/47135 [Accessed 11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Europe Economics (2016). </w:t>
      </w:r>
      <w:r>
        <w:rPr>
          <w:rFonts w:cs="Arial"/>
          <w:i/>
          <w:iCs/>
          <w:color w:val="000000"/>
          <w:szCs w:val="20"/>
          <w:shd w:val="clear" w:color="auto" w:fill="FFFFFF"/>
        </w:rPr>
        <w:t>The Contribution made by Beer to the European Economy</w:t>
      </w:r>
      <w:r>
        <w:rPr>
          <w:rFonts w:cs="Arial"/>
          <w:color w:val="000000"/>
          <w:szCs w:val="20"/>
          <w:shd w:val="clear" w:color="auto" w:fill="FFFFFF"/>
        </w:rPr>
        <w:t>. 1st ed. [ebook] London: Europe Economics. Available at: https://brewersofeurope.org/uploads/mycms-files/images/2016/publications/economic-report-countries/portugal.pdf [Accessed 18 April 2019].</w:t>
      </w:r>
    </w:p>
    <w:p>
      <w:pPr>
        <w:rPr>
          <w:rFonts w:cs="Arial"/>
          <w:color w:val="000000"/>
          <w:szCs w:val="20"/>
          <w:shd w:val="clear" w:color="auto" w:fill="FFFFFF"/>
        </w:rPr>
      </w:pPr>
      <w:r>
        <w:rPr>
          <w:rFonts w:cs="Arial"/>
          <w:color w:val="000000"/>
          <w:szCs w:val="20"/>
          <w:shd w:val="clear" w:color="auto" w:fill="FFFFFF"/>
        </w:rPr>
        <w:t>Hansen, F. and Smith, M. (2003). How to Place Your Strategic Bet. </w:t>
      </w:r>
      <w:r>
        <w:rPr>
          <w:rFonts w:cs="Arial"/>
          <w:i/>
          <w:iCs/>
          <w:color w:val="000000"/>
          <w:szCs w:val="20"/>
          <w:shd w:val="clear" w:color="auto" w:fill="FFFFFF"/>
        </w:rPr>
        <w:t>Handbook of Business Strategy</w:t>
      </w:r>
      <w:r>
        <w:rPr>
          <w:rFonts w:cs="Arial"/>
          <w:color w:val="000000"/>
          <w:szCs w:val="20"/>
          <w:shd w:val="clear" w:color="auto" w:fill="FFFFFF"/>
        </w:rPr>
        <w:t>, 4(1), pp.54-64.</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Mar Benavides-Espinosa, M. (2012). Joint Venture, an Alternative for Knowledge Learning. </w:t>
      </w:r>
      <w:r>
        <w:rPr>
          <w:rFonts w:cs="Arial"/>
          <w:i/>
          <w:iCs/>
          <w:color w:val="000000"/>
          <w:szCs w:val="20"/>
          <w:shd w:val="clear" w:color="auto" w:fill="FFFFFF"/>
        </w:rPr>
        <w:t>Knowledge and Process Management</w:t>
      </w:r>
      <w:r>
        <w:rPr>
          <w:rFonts w:cs="Arial"/>
          <w:color w:val="000000"/>
          <w:szCs w:val="20"/>
          <w:shd w:val="clear" w:color="auto" w:fill="FFFFFF"/>
        </w:rPr>
        <w:t>, 19(1), pp.1-16.</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MarketingWit (2019). </w:t>
      </w:r>
      <w:r>
        <w:rPr>
          <w:rFonts w:cs="Arial"/>
          <w:i/>
          <w:iCs/>
          <w:color w:val="000000"/>
          <w:szCs w:val="20"/>
          <w:shd w:val="clear" w:color="auto" w:fill="FFFFFF"/>
        </w:rPr>
        <w:t>Paramount Examples of Physical Evidence in Marketing</w:t>
      </w:r>
      <w:r>
        <w:rPr>
          <w:rFonts w:cs="Arial"/>
          <w:color w:val="000000"/>
          <w:szCs w:val="20"/>
          <w:shd w:val="clear" w:color="auto" w:fill="FFFFFF"/>
        </w:rPr>
        <w:t>. [online] MarketingWit. Available at: https://marketingwit.com/examples-of-physical-evidence-in-marketing [Accessed 18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Meadows-Klue, D. (2003). eMarketing eXcellence: The Heart of eBusiness. </w:t>
      </w:r>
      <w:r>
        <w:rPr>
          <w:rFonts w:cs="Arial"/>
          <w:i/>
          <w:iCs/>
          <w:color w:val="000000"/>
          <w:szCs w:val="20"/>
          <w:shd w:val="clear" w:color="auto" w:fill="FFFFFF"/>
        </w:rPr>
        <w:t>Interactive Marketing</w:t>
      </w:r>
      <w:r>
        <w:rPr>
          <w:rFonts w:cs="Arial"/>
          <w:color w:val="000000"/>
          <w:szCs w:val="20"/>
          <w:shd w:val="clear" w:color="auto" w:fill="FFFFFF"/>
        </w:rPr>
        <w:t>, 4(3), pp.308-310.</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Pichler, R. (2019). </w:t>
      </w:r>
      <w:r>
        <w:rPr>
          <w:rFonts w:cs="Arial"/>
          <w:i/>
          <w:iCs/>
          <w:color w:val="000000"/>
          <w:szCs w:val="20"/>
          <w:shd w:val="clear" w:color="auto" w:fill="FFFFFF"/>
        </w:rPr>
        <w:t>Elements of an Effective Product Strategy | Roman Pichler</w:t>
      </w:r>
      <w:r>
        <w:rPr>
          <w:rFonts w:cs="Arial"/>
          <w:color w:val="000000"/>
          <w:szCs w:val="20"/>
          <w:shd w:val="clear" w:color="auto" w:fill="FFFFFF"/>
        </w:rPr>
        <w:t>. [online] Roman Pichler. Available at: https://www.romanpichler.com/blog/elements-definition-product-strategy/ [Accessed 28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QIU, Q., ZHENG, Q. and YAO, T. (2015). The Effect Mechanism of Customer-to-Customer Interaction on Psychological Symbolic Value of Service Brands. </w:t>
      </w:r>
      <w:r>
        <w:rPr>
          <w:rFonts w:cs="Arial"/>
          <w:i/>
          <w:iCs/>
          <w:color w:val="000000"/>
          <w:szCs w:val="20"/>
          <w:shd w:val="clear" w:color="auto" w:fill="FFFFFF"/>
        </w:rPr>
        <w:t>Advances in Psychological Science</w:t>
      </w:r>
      <w:r>
        <w:rPr>
          <w:rFonts w:cs="Arial"/>
          <w:color w:val="000000"/>
          <w:szCs w:val="20"/>
          <w:shd w:val="clear" w:color="auto" w:fill="FFFFFF"/>
        </w:rPr>
        <w:t>, 23(6), p.937.</w:t>
      </w:r>
    </w:p>
    <w:p>
      <w:pPr>
        <w:rPr>
          <w:sz w:val="32"/>
        </w:rPr>
      </w:pPr>
    </w:p>
    <w:p>
      <w:pPr>
        <w:rPr>
          <w:rFonts w:cs="Arial"/>
          <w:color w:val="000000"/>
          <w:szCs w:val="20"/>
          <w:shd w:val="clear" w:color="auto" w:fill="FFFFFF"/>
        </w:rPr>
      </w:pPr>
      <w:r>
        <w:rPr>
          <w:rFonts w:cs="Arial"/>
          <w:color w:val="000000"/>
          <w:szCs w:val="20"/>
          <w:shd w:val="clear" w:color="auto" w:fill="FFFFFF"/>
        </w:rPr>
        <w:t>Sage (2019). </w:t>
      </w:r>
      <w:r>
        <w:rPr>
          <w:rFonts w:cs="Arial"/>
          <w:i/>
          <w:iCs/>
          <w:color w:val="000000"/>
          <w:szCs w:val="20"/>
          <w:shd w:val="clear" w:color="auto" w:fill="FFFFFF"/>
        </w:rPr>
        <w:t>The 7 Ps of People Marketing | Sage People</w:t>
      </w:r>
      <w:r>
        <w:rPr>
          <w:rFonts w:cs="Arial"/>
          <w:color w:val="000000"/>
          <w:szCs w:val="20"/>
          <w:shd w:val="clear" w:color="auto" w:fill="FFFFFF"/>
        </w:rPr>
        <w:t>. [online] Sage Business Cloud People. Available at: https://www.sagepeople.com/about-us/news-hub/7-ps-hr-marketing-employer-branding-people/ [Accessed 28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Santos, N. (2019). </w:t>
      </w:r>
      <w:r>
        <w:rPr>
          <w:rFonts w:cs="Arial"/>
          <w:i/>
          <w:iCs/>
          <w:color w:val="000000"/>
          <w:szCs w:val="20"/>
          <w:shd w:val="clear" w:color="auto" w:fill="FFFFFF"/>
        </w:rPr>
        <w:t>The Best Portuguese Beers to Try on Your Trip</w:t>
      </w:r>
      <w:r>
        <w:rPr>
          <w:rFonts w:cs="Arial"/>
          <w:color w:val="000000"/>
          <w:szCs w:val="20"/>
          <w:shd w:val="clear" w:color="auto" w:fill="FFFFFF"/>
        </w:rPr>
        <w:t xml:space="preserve">. [online] Culture Trip. Available at: </w:t>
      </w:r>
      <w:r>
        <w:fldChar w:fldCharType="begin"/>
      </w:r>
      <w:r>
        <w:instrText xml:space="preserve"> HYPERLINK "https://theculturetrip.com/europe/portugal/articles/the-best-portuguese-beers-to-try-on-your-trip/" </w:instrText>
      </w:r>
      <w:r>
        <w:fldChar w:fldCharType="separate"/>
      </w:r>
      <w:r>
        <w:rPr>
          <w:rStyle w:val="10"/>
          <w:rFonts w:cs="Arial"/>
          <w:szCs w:val="20"/>
          <w:shd w:val="clear" w:color="auto" w:fill="FFFFFF"/>
        </w:rPr>
        <w:t>https://theculturetrip.com/europe/portugal/articles/the-best-portuguese-beers-to-try-on-your-trip/</w:t>
      </w:r>
      <w:r>
        <w:rPr>
          <w:rStyle w:val="10"/>
          <w:rFonts w:cs="Arial"/>
          <w:szCs w:val="20"/>
          <w:shd w:val="clear" w:color="auto" w:fill="FFFFFF"/>
        </w:rPr>
        <w:fldChar w:fldCharType="end"/>
      </w:r>
      <w:r>
        <w:rPr>
          <w:rFonts w:cs="Arial"/>
          <w:color w:val="000000"/>
          <w:szCs w:val="20"/>
          <w:shd w:val="clear" w:color="auto" w:fill="FFFFFF"/>
        </w:rPr>
        <w:t xml:space="preserve"> [Accessed 18 April 2019].</w:t>
      </w:r>
    </w:p>
    <w:p>
      <w:pPr>
        <w:rPr>
          <w:rFonts w:cs="Arial"/>
          <w:color w:val="000000"/>
          <w:szCs w:val="20"/>
          <w:shd w:val="clear" w:color="auto" w:fill="FFFFFF"/>
        </w:rPr>
      </w:pPr>
      <w:r>
        <w:rPr>
          <w:rFonts w:cs="Arial"/>
          <w:color w:val="000000"/>
          <w:szCs w:val="20"/>
          <w:shd w:val="clear" w:color="auto" w:fill="FFFFFF"/>
        </w:rPr>
        <w:t>SCC (2019). </w:t>
      </w:r>
      <w:r>
        <w:rPr>
          <w:rFonts w:cs="Arial"/>
          <w:i/>
          <w:iCs/>
          <w:color w:val="000000"/>
          <w:szCs w:val="20"/>
          <w:shd w:val="clear" w:color="auto" w:fill="FFFFFF"/>
        </w:rPr>
        <w:t>Central de Cervejas</w:t>
      </w:r>
      <w:r>
        <w:rPr>
          <w:rFonts w:cs="Arial"/>
          <w:color w:val="000000"/>
          <w:szCs w:val="20"/>
          <w:shd w:val="clear" w:color="auto" w:fill="FFFFFF"/>
        </w:rPr>
        <w:t>. [online] Central de Cervejas. Available at: https://www.centralcervejas.pt/ [Accessed 28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Singh, R. (2019). </w:t>
      </w:r>
      <w:r>
        <w:rPr>
          <w:rFonts w:cs="Arial"/>
          <w:i/>
          <w:iCs/>
          <w:color w:val="000000"/>
          <w:szCs w:val="20"/>
          <w:shd w:val="clear" w:color="auto" w:fill="FFFFFF"/>
        </w:rPr>
        <w:t>What are the 7Ps of Marketing</w:t>
      </w:r>
      <w:r>
        <w:rPr>
          <w:rFonts w:cs="Arial"/>
          <w:color w:val="000000"/>
          <w:szCs w:val="20"/>
          <w:shd w:val="clear" w:color="auto" w:fill="FFFFFF"/>
        </w:rPr>
        <w:t>. [online] Medium. Available at: https://medium.com/the-startup-growth/what-are-the-7ps-of-marketing-ad2572f7eb16 [Accessed 18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Statista (2019). </w:t>
      </w:r>
      <w:r>
        <w:rPr>
          <w:rFonts w:cs="Arial"/>
          <w:i/>
          <w:iCs/>
          <w:color w:val="000000"/>
          <w:szCs w:val="20"/>
          <w:shd w:val="clear" w:color="auto" w:fill="FFFFFF"/>
        </w:rPr>
        <w:t>Beer consumption per capita in Portugal 2008-2017 | Statistic</w:t>
      </w:r>
      <w:r>
        <w:rPr>
          <w:rFonts w:cs="Arial"/>
          <w:color w:val="000000"/>
          <w:szCs w:val="20"/>
          <w:shd w:val="clear" w:color="auto" w:fill="FFFFFF"/>
        </w:rPr>
        <w:t>. [online] Statista. Available at: https://www.statista.com/statistics/447124/portugal-volume-beer-consumption-per-capita/ [Accessed 18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Swan, G. (2019). </w:t>
      </w:r>
      <w:r>
        <w:rPr>
          <w:rFonts w:cs="Arial"/>
          <w:i/>
          <w:iCs/>
          <w:color w:val="000000"/>
          <w:szCs w:val="20"/>
          <w:shd w:val="clear" w:color="auto" w:fill="FFFFFF"/>
        </w:rPr>
        <w:t>YouTube Ad Specs for 2019</w:t>
      </w:r>
      <w:r>
        <w:rPr>
          <w:rFonts w:cs="Arial"/>
          <w:color w:val="000000"/>
          <w:szCs w:val="20"/>
          <w:shd w:val="clear" w:color="auto" w:fill="FFFFFF"/>
        </w:rPr>
        <w:t>. [online] Retail Performance Marketing Blog - CPC Strategy. Available at: https://www.cpcstrategy.com/blog/2019/02/youtube-ad-specs/ [Accessed 14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Tomos Watkin (2019). </w:t>
      </w:r>
      <w:r>
        <w:rPr>
          <w:rFonts w:cs="Arial"/>
          <w:i/>
          <w:iCs/>
          <w:color w:val="000000"/>
          <w:szCs w:val="20"/>
          <w:shd w:val="clear" w:color="auto" w:fill="FFFFFF"/>
        </w:rPr>
        <w:t>Cwrw Braf</w:t>
      </w:r>
      <w:r>
        <w:rPr>
          <w:rFonts w:cs="Arial"/>
          <w:color w:val="000000"/>
          <w:szCs w:val="20"/>
          <w:shd w:val="clear" w:color="auto" w:fill="FFFFFF"/>
        </w:rPr>
        <w:t>. [online] Tomos Watkin. Available at: https://tomoswatkin.com/collections/tomos-watkin-beers/products/cwrw-braf [Accessed 14 April 2019].</w:t>
      </w:r>
    </w:p>
    <w:p>
      <w:pPr>
        <w:rPr>
          <w:rFonts w:cs="Arial"/>
          <w:color w:val="000000"/>
          <w:szCs w:val="20"/>
          <w:shd w:val="clear" w:color="auto" w:fill="FFFFFF"/>
        </w:rPr>
      </w:pPr>
    </w:p>
    <w:p>
      <w:pPr>
        <w:rPr>
          <w:rFonts w:cs="Arial"/>
          <w:color w:val="000000"/>
          <w:szCs w:val="20"/>
          <w:shd w:val="clear" w:color="auto" w:fill="FFFFFF"/>
        </w:rPr>
      </w:pPr>
      <w:r>
        <w:rPr>
          <w:rFonts w:cs="Arial"/>
          <w:color w:val="000000"/>
          <w:szCs w:val="20"/>
          <w:shd w:val="clear" w:color="auto" w:fill="FFFFFF"/>
        </w:rPr>
        <w:t>Zhang, X. and Dong, D. (2009). Ways of Identifying the Opinion Leaders in Virtual Communities. </w:t>
      </w:r>
      <w:r>
        <w:rPr>
          <w:rFonts w:cs="Arial"/>
          <w:i/>
          <w:iCs/>
          <w:color w:val="000000"/>
          <w:szCs w:val="20"/>
          <w:shd w:val="clear" w:color="auto" w:fill="FFFFFF"/>
        </w:rPr>
        <w:t>International Journal of Business and Management</w:t>
      </w:r>
      <w:r>
        <w:rPr>
          <w:rFonts w:cs="Arial"/>
          <w:color w:val="000000"/>
          <w:szCs w:val="20"/>
          <w:shd w:val="clear" w:color="auto" w:fill="FFFFFF"/>
        </w:rPr>
        <w:t>, 3(7).</w:t>
      </w:r>
    </w:p>
    <w:p/>
    <w:sectPr>
      <w:pgSz w:w="12240" w:h="15840"/>
      <w:pgMar w:top="1440" w:right="1800" w:bottom="1440" w:left="180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Helvetica">
    <w:altName w:val="Arial"/>
    <w:panose1 w:val="020B0604020202020204"/>
    <w:charset w:val="00"/>
    <w:family w:val="swiss"/>
    <w:pitch w:val="default"/>
    <w:sig w:usb0="00000000" w:usb1="00000000"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BC5"/>
    <w:rsid w:val="00097EFB"/>
    <w:rsid w:val="000B5370"/>
    <w:rsid w:val="00107956"/>
    <w:rsid w:val="00124ECF"/>
    <w:rsid w:val="001A6C02"/>
    <w:rsid w:val="001D1F4C"/>
    <w:rsid w:val="00215D7F"/>
    <w:rsid w:val="002B221D"/>
    <w:rsid w:val="002E3B0A"/>
    <w:rsid w:val="003203D9"/>
    <w:rsid w:val="00324935"/>
    <w:rsid w:val="003256C4"/>
    <w:rsid w:val="00346A0E"/>
    <w:rsid w:val="00386987"/>
    <w:rsid w:val="003E2773"/>
    <w:rsid w:val="00467BB7"/>
    <w:rsid w:val="004B15CA"/>
    <w:rsid w:val="004B3571"/>
    <w:rsid w:val="005073B3"/>
    <w:rsid w:val="005139C7"/>
    <w:rsid w:val="005820FA"/>
    <w:rsid w:val="0059601B"/>
    <w:rsid w:val="005B2322"/>
    <w:rsid w:val="00620855"/>
    <w:rsid w:val="00634F36"/>
    <w:rsid w:val="00635D56"/>
    <w:rsid w:val="00657896"/>
    <w:rsid w:val="006924C0"/>
    <w:rsid w:val="006D6523"/>
    <w:rsid w:val="006D7E05"/>
    <w:rsid w:val="00740932"/>
    <w:rsid w:val="00792F83"/>
    <w:rsid w:val="007C777C"/>
    <w:rsid w:val="007E0B61"/>
    <w:rsid w:val="00807F38"/>
    <w:rsid w:val="00845728"/>
    <w:rsid w:val="00850556"/>
    <w:rsid w:val="00874F6B"/>
    <w:rsid w:val="008A4A68"/>
    <w:rsid w:val="008B6411"/>
    <w:rsid w:val="008E7495"/>
    <w:rsid w:val="008F6145"/>
    <w:rsid w:val="00905BC5"/>
    <w:rsid w:val="00932328"/>
    <w:rsid w:val="00987041"/>
    <w:rsid w:val="009B5FBA"/>
    <w:rsid w:val="009D0335"/>
    <w:rsid w:val="00A021F4"/>
    <w:rsid w:val="00A4015F"/>
    <w:rsid w:val="00A424B2"/>
    <w:rsid w:val="00A874AF"/>
    <w:rsid w:val="00A916EB"/>
    <w:rsid w:val="00AA1840"/>
    <w:rsid w:val="00AD33BF"/>
    <w:rsid w:val="00AF0646"/>
    <w:rsid w:val="00B13E7A"/>
    <w:rsid w:val="00B26314"/>
    <w:rsid w:val="00B752CC"/>
    <w:rsid w:val="00BD042E"/>
    <w:rsid w:val="00C11179"/>
    <w:rsid w:val="00C33EA2"/>
    <w:rsid w:val="00C66F00"/>
    <w:rsid w:val="00C84204"/>
    <w:rsid w:val="00C92CAD"/>
    <w:rsid w:val="00C9402E"/>
    <w:rsid w:val="00D05AD1"/>
    <w:rsid w:val="00D778FD"/>
    <w:rsid w:val="00D77F48"/>
    <w:rsid w:val="00DA6E48"/>
    <w:rsid w:val="00DD207C"/>
    <w:rsid w:val="00DE58B8"/>
    <w:rsid w:val="00E13715"/>
    <w:rsid w:val="00E162AC"/>
    <w:rsid w:val="00E559C1"/>
    <w:rsid w:val="00F0206B"/>
    <w:rsid w:val="00F068F9"/>
    <w:rsid w:val="00F06979"/>
    <w:rsid w:val="00F32557"/>
    <w:rsid w:val="00F550CC"/>
    <w:rsid w:val="00FD217E"/>
    <w:rsid w:val="00FF27A9"/>
    <w:rsid w:val="29EF36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Arial" w:hAnsi="Arial" w:eastAsiaTheme="minorEastAsia" w:cstheme="minorBidi"/>
      <w:color w:val="000000" w:themeColor="text1"/>
      <w:sz w:val="24"/>
      <w:szCs w:val="22"/>
      <w:lang w:val="en-GB" w:eastAsia="zh-CN" w:bidi="ar-SA"/>
      <w14:textFill>
        <w14:solidFill>
          <w14:schemeClr w14:val="tx1"/>
        </w14:solidFill>
      </w14:textFill>
    </w:rPr>
  </w:style>
  <w:style w:type="paragraph" w:styleId="2">
    <w:name w:val="heading 1"/>
    <w:basedOn w:val="1"/>
    <w:next w:val="1"/>
    <w:link w:val="13"/>
    <w:qFormat/>
    <w:uiPriority w:val="9"/>
    <w:pPr>
      <w:keepNext/>
      <w:keepLines/>
      <w:spacing w:before="240"/>
      <w:outlineLvl w:val="0"/>
    </w:pPr>
    <w:rPr>
      <w:rFonts w:eastAsiaTheme="majorEastAsia" w:cstheme="majorBidi"/>
      <w:b/>
      <w:szCs w:val="32"/>
    </w:rPr>
  </w:style>
  <w:style w:type="paragraph" w:styleId="3">
    <w:name w:val="heading 2"/>
    <w:basedOn w:val="1"/>
    <w:next w:val="1"/>
    <w:link w:val="14"/>
    <w:semiHidden/>
    <w:unhideWhenUsed/>
    <w:qFormat/>
    <w:uiPriority w:val="9"/>
    <w:pPr>
      <w:keepNext/>
      <w:keepLines/>
      <w:spacing w:before="4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semiHidden/>
    <w:unhideWhenUsed/>
    <w:uiPriority w:val="1"/>
  </w:style>
  <w:style w:type="table" w:default="1" w:styleId="7">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12"/>
    <w:unhideWhenUsed/>
    <w:qFormat/>
    <w:uiPriority w:val="99"/>
    <w:pPr>
      <w:tabs>
        <w:tab w:val="center" w:pos="4320"/>
        <w:tab w:val="right" w:pos="8640"/>
      </w:tabs>
      <w:spacing w:line="240" w:lineRule="auto"/>
    </w:pPr>
  </w:style>
  <w:style w:type="paragraph" w:styleId="5">
    <w:name w:val="header"/>
    <w:basedOn w:val="1"/>
    <w:link w:val="11"/>
    <w:unhideWhenUsed/>
    <w:qFormat/>
    <w:uiPriority w:val="99"/>
    <w:pPr>
      <w:tabs>
        <w:tab w:val="center" w:pos="4320"/>
        <w:tab w:val="right" w:pos="8640"/>
      </w:tabs>
      <w:spacing w:line="240" w:lineRule="auto"/>
    </w:pPr>
  </w:style>
  <w:style w:type="paragraph" w:styleId="6">
    <w:name w:val="toc 1"/>
    <w:basedOn w:val="1"/>
    <w:next w:val="1"/>
    <w:unhideWhenUsed/>
    <w:uiPriority w:val="39"/>
    <w:pPr>
      <w:spacing w:after="100"/>
    </w:pPr>
  </w:style>
  <w:style w:type="character" w:styleId="9">
    <w:name w:val="Strong"/>
    <w:basedOn w:val="8"/>
    <w:qFormat/>
    <w:uiPriority w:val="22"/>
    <w:rPr>
      <w:b/>
      <w:bCs/>
    </w:rPr>
  </w:style>
  <w:style w:type="character" w:styleId="10">
    <w:name w:val="Hyperlink"/>
    <w:basedOn w:val="8"/>
    <w:unhideWhenUsed/>
    <w:uiPriority w:val="99"/>
    <w:rPr>
      <w:color w:val="0563C1" w:themeColor="hyperlink"/>
      <w:u w:val="single"/>
      <w14:textFill>
        <w14:solidFill>
          <w14:schemeClr w14:val="hlink"/>
        </w14:solidFill>
      </w14:textFill>
    </w:rPr>
  </w:style>
  <w:style w:type="character" w:customStyle="1" w:styleId="11">
    <w:name w:val="页眉 Char"/>
    <w:basedOn w:val="8"/>
    <w:link w:val="5"/>
    <w:qFormat/>
    <w:uiPriority w:val="99"/>
    <w:rPr>
      <w:rFonts w:ascii="Arial" w:hAnsi="Arial"/>
      <w:color w:val="000000" w:themeColor="text1"/>
      <w:sz w:val="24"/>
      <w:lang w:val="en-GB"/>
      <w14:textFill>
        <w14:solidFill>
          <w14:schemeClr w14:val="tx1"/>
        </w14:solidFill>
      </w14:textFill>
    </w:rPr>
  </w:style>
  <w:style w:type="character" w:customStyle="1" w:styleId="12">
    <w:name w:val="页脚 Char"/>
    <w:basedOn w:val="8"/>
    <w:link w:val="4"/>
    <w:uiPriority w:val="99"/>
    <w:rPr>
      <w:rFonts w:ascii="Arial" w:hAnsi="Arial"/>
      <w:color w:val="000000" w:themeColor="text1"/>
      <w:sz w:val="24"/>
      <w:lang w:val="en-GB"/>
      <w14:textFill>
        <w14:solidFill>
          <w14:schemeClr w14:val="tx1"/>
        </w14:solidFill>
      </w14:textFill>
    </w:rPr>
  </w:style>
  <w:style w:type="character" w:customStyle="1" w:styleId="13">
    <w:name w:val="标题 1 Char"/>
    <w:basedOn w:val="8"/>
    <w:link w:val="2"/>
    <w:uiPriority w:val="9"/>
    <w:rPr>
      <w:rFonts w:ascii="Arial" w:hAnsi="Arial" w:eastAsiaTheme="majorEastAsia" w:cstheme="majorBidi"/>
      <w:b/>
      <w:color w:val="000000" w:themeColor="text1"/>
      <w:sz w:val="24"/>
      <w:szCs w:val="32"/>
      <w:lang w:val="en-GB"/>
      <w14:textFill>
        <w14:solidFill>
          <w14:schemeClr w14:val="tx1"/>
        </w14:solidFill>
      </w14:textFill>
    </w:rPr>
  </w:style>
  <w:style w:type="character" w:customStyle="1" w:styleId="14">
    <w:name w:val="标题 2 Char"/>
    <w:basedOn w:val="8"/>
    <w:link w:val="3"/>
    <w:semiHidden/>
    <w:uiPriority w:val="9"/>
    <w:rPr>
      <w:rFonts w:asciiTheme="majorHAnsi" w:hAnsiTheme="majorHAnsi" w:eastAsiaTheme="majorEastAsia" w:cstheme="majorBidi"/>
      <w:color w:val="2E75B6" w:themeColor="accent1" w:themeShade="BF"/>
      <w:sz w:val="26"/>
      <w:szCs w:val="26"/>
      <w:lang w:val="en-GB"/>
    </w:rPr>
  </w:style>
  <w:style w:type="paragraph" w:customStyle="1" w:styleId="15">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29405E5-60E1-4E4F-BA9B-B4B09EACBE3E}">
  <ds:schemaRefs/>
</ds:datastoreItem>
</file>

<file path=docProps/app.xml><?xml version="1.0" encoding="utf-8"?>
<Properties xmlns="http://schemas.openxmlformats.org/officeDocument/2006/extended-properties" xmlns:vt="http://schemas.openxmlformats.org/officeDocument/2006/docPropsVTypes">
  <Template>Normal</Template>
  <Pages>12</Pages>
  <Words>2629</Words>
  <Characters>14986</Characters>
  <Lines>124</Lines>
  <Paragraphs>35</Paragraphs>
  <TotalTime>417</TotalTime>
  <ScaleCrop>false</ScaleCrop>
  <LinksUpToDate>false</LinksUpToDate>
  <CharactersWithSpaces>17580</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2019-05-01T02:07:00Z</dcterms:created>
  <dc:creator>matt</dc:creator>
  <cp:lastModifiedBy>aw</cp:lastModifiedBy>
  <dcterms:modified xsi:type="dcterms:W3CDTF">2019-05-05T18:46:12Z</dcterms:modified>
  <cp:revision>51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