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4DB" w:rsidRPr="002A1341" w:rsidRDefault="009464DB" w:rsidP="009464DB">
      <w:pPr>
        <w:spacing w:after="165" w:line="360" w:lineRule="auto"/>
        <w:rPr>
          <w:rFonts w:eastAsia="Tahoma" w:cstheme="minorHAnsi"/>
          <w:color w:val="000000"/>
          <w:sz w:val="24"/>
          <w:szCs w:val="24"/>
        </w:rPr>
      </w:pPr>
      <w:r w:rsidRPr="002A1341">
        <w:rPr>
          <w:rFonts w:cstheme="minorHAnsi"/>
          <w:b/>
          <w:noProof/>
          <w:sz w:val="24"/>
          <w:szCs w:val="24"/>
          <w:lang w:eastAsia="en-GB"/>
        </w:rPr>
        <w:drawing>
          <wp:inline distT="0" distB="0" distL="0" distR="0" wp14:anchorId="331BDA43" wp14:editId="4E911B20">
            <wp:extent cx="2209800" cy="742950"/>
            <wp:effectExtent l="0" t="0" r="0" b="0"/>
            <wp:docPr id="2"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rsidR="009464DB" w:rsidRPr="002A1341" w:rsidRDefault="009464DB" w:rsidP="009464DB">
      <w:pPr>
        <w:spacing w:after="165" w:line="360" w:lineRule="auto"/>
        <w:jc w:val="center"/>
        <w:rPr>
          <w:rFonts w:eastAsia="Tahoma" w:cstheme="minorHAnsi"/>
          <w:color w:val="000000"/>
          <w:sz w:val="24"/>
          <w:szCs w:val="24"/>
        </w:rPr>
      </w:pPr>
      <w:r w:rsidRPr="002A1341">
        <w:rPr>
          <w:rFonts w:eastAsia="Tahoma" w:cstheme="minorHAnsi"/>
          <w:color w:val="000000"/>
          <w:sz w:val="24"/>
          <w:szCs w:val="24"/>
        </w:rPr>
        <w:t xml:space="preserve">Applied Leadership Level 5 Module Assignment Submission </w:t>
      </w:r>
      <w:r w:rsidRPr="002A1341">
        <w:rPr>
          <w:rFonts w:eastAsia="Tahoma" w:cstheme="minorHAnsi"/>
          <w:color w:val="000000"/>
          <w:sz w:val="24"/>
          <w:szCs w:val="24"/>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9464DB" w:rsidRPr="002A1341" w:rsidTr="00FE3B09">
        <w:tc>
          <w:tcPr>
            <w:tcW w:w="3438" w:type="dxa"/>
            <w:shd w:val="clear" w:color="auto" w:fill="D9D9D9"/>
          </w:tcPr>
          <w:p w:rsidR="009464DB" w:rsidRPr="002A1341" w:rsidRDefault="009464DB" w:rsidP="00FE3B09">
            <w:pPr>
              <w:spacing w:before="120" w:after="120" w:line="360" w:lineRule="auto"/>
              <w:rPr>
                <w:rFonts w:eastAsia="Tahoma" w:cstheme="minorHAnsi"/>
                <w:sz w:val="24"/>
                <w:szCs w:val="24"/>
              </w:rPr>
            </w:pPr>
            <w:r w:rsidRPr="002A1341">
              <w:rPr>
                <w:rFonts w:eastAsia="Tahoma" w:cstheme="minorHAnsi"/>
                <w:sz w:val="24"/>
                <w:szCs w:val="24"/>
              </w:rPr>
              <w:t>Student Name:</w:t>
            </w:r>
          </w:p>
        </w:tc>
        <w:tc>
          <w:tcPr>
            <w:tcW w:w="6055" w:type="dxa"/>
          </w:tcPr>
          <w:p w:rsidR="009464DB" w:rsidRPr="002A1341" w:rsidRDefault="009464DB" w:rsidP="00FE3B09">
            <w:pPr>
              <w:spacing w:before="120" w:after="120" w:line="360" w:lineRule="auto"/>
              <w:rPr>
                <w:rFonts w:eastAsia="Tahoma" w:cstheme="minorHAnsi"/>
                <w:b/>
                <w:sz w:val="24"/>
                <w:szCs w:val="24"/>
              </w:rPr>
            </w:pPr>
            <w:r w:rsidRPr="002A1341">
              <w:rPr>
                <w:rFonts w:eastAsia="Tahoma" w:cstheme="minorHAnsi"/>
                <w:b/>
                <w:sz w:val="24"/>
                <w:szCs w:val="24"/>
              </w:rPr>
              <w:t>Lisa Bowen</w:t>
            </w:r>
          </w:p>
        </w:tc>
      </w:tr>
      <w:tr w:rsidR="009464DB" w:rsidRPr="002A1341" w:rsidTr="00FE3B09">
        <w:tc>
          <w:tcPr>
            <w:tcW w:w="3438" w:type="dxa"/>
            <w:shd w:val="clear" w:color="auto" w:fill="D9D9D9"/>
          </w:tcPr>
          <w:p w:rsidR="009464DB" w:rsidRPr="002A1341" w:rsidRDefault="009464DB" w:rsidP="00FE3B09">
            <w:pPr>
              <w:spacing w:before="120" w:after="120" w:line="360" w:lineRule="auto"/>
              <w:rPr>
                <w:rFonts w:eastAsia="Tahoma" w:cstheme="minorHAnsi"/>
                <w:sz w:val="24"/>
                <w:szCs w:val="24"/>
              </w:rPr>
            </w:pPr>
            <w:r w:rsidRPr="002A1341">
              <w:rPr>
                <w:rFonts w:eastAsia="Tahoma" w:cstheme="minorHAnsi"/>
                <w:sz w:val="24"/>
                <w:szCs w:val="24"/>
              </w:rPr>
              <w:t>Student Number:</w:t>
            </w:r>
          </w:p>
        </w:tc>
        <w:tc>
          <w:tcPr>
            <w:tcW w:w="6055" w:type="dxa"/>
          </w:tcPr>
          <w:p w:rsidR="009464DB" w:rsidRPr="002A1341" w:rsidRDefault="009464DB" w:rsidP="00FE3B09">
            <w:pPr>
              <w:spacing w:before="120" w:after="120" w:line="360" w:lineRule="auto"/>
              <w:rPr>
                <w:rFonts w:eastAsia="Tahoma" w:cstheme="minorHAnsi"/>
                <w:b/>
                <w:sz w:val="24"/>
                <w:szCs w:val="24"/>
              </w:rPr>
            </w:pPr>
            <w:r w:rsidRPr="002A1341">
              <w:rPr>
                <w:rFonts w:eastAsia="Tahoma" w:cstheme="minorHAnsi"/>
                <w:b/>
                <w:sz w:val="24"/>
                <w:szCs w:val="24"/>
              </w:rPr>
              <w:t>2328788</w:t>
            </w:r>
          </w:p>
        </w:tc>
      </w:tr>
      <w:tr w:rsidR="009464DB" w:rsidRPr="002A1341" w:rsidTr="00FE3B09">
        <w:tc>
          <w:tcPr>
            <w:tcW w:w="3438" w:type="dxa"/>
            <w:shd w:val="clear" w:color="auto" w:fill="D9D9D9"/>
          </w:tcPr>
          <w:p w:rsidR="009464DB" w:rsidRPr="002A1341" w:rsidRDefault="009464DB" w:rsidP="00FE3B09">
            <w:pPr>
              <w:spacing w:before="120" w:after="120" w:line="360" w:lineRule="auto"/>
              <w:rPr>
                <w:rFonts w:eastAsia="Tahoma" w:cstheme="minorHAnsi"/>
                <w:sz w:val="24"/>
                <w:szCs w:val="24"/>
              </w:rPr>
            </w:pPr>
            <w:r w:rsidRPr="002A1341">
              <w:rPr>
                <w:rFonts w:eastAsia="Tahoma" w:cstheme="minorHAnsi"/>
                <w:sz w:val="24"/>
                <w:szCs w:val="24"/>
              </w:rPr>
              <w:t>Module No:</w:t>
            </w:r>
          </w:p>
        </w:tc>
        <w:tc>
          <w:tcPr>
            <w:tcW w:w="6055" w:type="dxa"/>
          </w:tcPr>
          <w:p w:rsidR="009464DB" w:rsidRPr="002A1341" w:rsidRDefault="00CC2324" w:rsidP="00FE3B09">
            <w:pPr>
              <w:spacing w:before="120" w:after="120" w:line="360" w:lineRule="auto"/>
              <w:rPr>
                <w:rFonts w:eastAsia="Tahoma" w:cstheme="minorHAnsi"/>
                <w:b/>
                <w:bCs/>
                <w:color w:val="0D0D0D" w:themeColor="text1" w:themeTint="F2"/>
                <w:sz w:val="24"/>
                <w:szCs w:val="24"/>
              </w:rPr>
            </w:pPr>
            <w:r w:rsidRPr="002A1341">
              <w:rPr>
                <w:rFonts w:eastAsia="Tahoma" w:cstheme="minorHAnsi"/>
                <w:b/>
                <w:bCs/>
                <w:color w:val="0D0D0D" w:themeColor="text1" w:themeTint="F2"/>
                <w:sz w:val="24"/>
                <w:szCs w:val="24"/>
              </w:rPr>
              <w:t>BMSK5010</w:t>
            </w:r>
          </w:p>
        </w:tc>
      </w:tr>
      <w:tr w:rsidR="009464DB" w:rsidRPr="002A1341" w:rsidTr="00FE3B09">
        <w:trPr>
          <w:trHeight w:val="614"/>
        </w:trPr>
        <w:tc>
          <w:tcPr>
            <w:tcW w:w="3438" w:type="dxa"/>
            <w:shd w:val="clear" w:color="auto" w:fill="D9D9D9"/>
          </w:tcPr>
          <w:p w:rsidR="009464DB" w:rsidRPr="002A1341" w:rsidRDefault="009464DB" w:rsidP="00FE3B09">
            <w:pPr>
              <w:spacing w:before="120" w:after="120" w:line="360" w:lineRule="auto"/>
              <w:rPr>
                <w:rFonts w:eastAsia="Tahoma" w:cstheme="minorHAnsi"/>
                <w:sz w:val="24"/>
                <w:szCs w:val="24"/>
              </w:rPr>
            </w:pPr>
            <w:r w:rsidRPr="002A1341">
              <w:rPr>
                <w:rFonts w:eastAsia="Tahoma" w:cstheme="minorHAnsi"/>
                <w:sz w:val="24"/>
                <w:szCs w:val="24"/>
              </w:rPr>
              <w:t>Module Title:</w:t>
            </w:r>
          </w:p>
        </w:tc>
        <w:tc>
          <w:tcPr>
            <w:tcW w:w="6055" w:type="dxa"/>
          </w:tcPr>
          <w:p w:rsidR="009464DB" w:rsidRPr="002A1341" w:rsidRDefault="00CC2324" w:rsidP="00FE3B09">
            <w:pPr>
              <w:pStyle w:val="Title"/>
              <w:rPr>
                <w:rFonts w:asciiTheme="minorHAnsi" w:hAnsiTheme="minorHAnsi" w:cstheme="minorHAnsi"/>
                <w:color w:val="0D0D0D" w:themeColor="text1" w:themeTint="F2"/>
                <w:sz w:val="24"/>
                <w:szCs w:val="24"/>
              </w:rPr>
            </w:pPr>
            <w:r w:rsidRPr="002A1341">
              <w:rPr>
                <w:rFonts w:asciiTheme="minorHAnsi" w:hAnsiTheme="minorHAnsi" w:cstheme="minorHAnsi"/>
                <w:color w:val="0D0D0D" w:themeColor="text1" w:themeTint="F2"/>
                <w:sz w:val="24"/>
                <w:szCs w:val="24"/>
              </w:rPr>
              <w:t>Developing the Learning Organisation</w:t>
            </w:r>
          </w:p>
        </w:tc>
      </w:tr>
    </w:tbl>
    <w:p w:rsidR="009464DB" w:rsidRPr="002A1341" w:rsidRDefault="009464DB" w:rsidP="009464DB">
      <w:pPr>
        <w:spacing w:before="120" w:after="120" w:line="360" w:lineRule="auto"/>
        <w:rPr>
          <w:rFonts w:cstheme="minorHAnsi"/>
          <w:color w:val="FF0000"/>
          <w:sz w:val="24"/>
          <w:szCs w:val="24"/>
        </w:rPr>
      </w:pPr>
    </w:p>
    <w:p w:rsidR="009464DB" w:rsidRPr="002A1341" w:rsidRDefault="009464DB" w:rsidP="009464DB">
      <w:pPr>
        <w:spacing w:before="120" w:after="120" w:line="360" w:lineRule="auto"/>
        <w:rPr>
          <w:rFonts w:eastAsia="Tahoma" w:cstheme="minorHAnsi"/>
          <w:b/>
          <w:color w:val="000000"/>
          <w:sz w:val="24"/>
          <w:szCs w:val="24"/>
        </w:rPr>
      </w:pPr>
      <w:r w:rsidRPr="002A1341">
        <w:rPr>
          <w:rFonts w:eastAsia="Tahoma" w:cstheme="minorHAnsi"/>
          <w:b/>
          <w:color w:val="000000"/>
          <w:sz w:val="24"/>
          <w:szCs w:val="24"/>
        </w:rPr>
        <w:t>Statement of Confirmation of Authenticity</w:t>
      </w:r>
    </w:p>
    <w:p w:rsidR="009464DB" w:rsidRPr="002A1341" w:rsidRDefault="009464DB" w:rsidP="009464DB">
      <w:pPr>
        <w:spacing w:before="120" w:after="120" w:line="360" w:lineRule="auto"/>
        <w:rPr>
          <w:rFonts w:eastAsia="Tahoma" w:cstheme="minorHAnsi"/>
          <w:color w:val="000000"/>
          <w:sz w:val="24"/>
          <w:szCs w:val="24"/>
        </w:rPr>
      </w:pPr>
      <w:r w:rsidRPr="002A1341">
        <w:rPr>
          <w:rFonts w:eastAsia="Tahoma"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9464DB" w:rsidRPr="002A1341" w:rsidRDefault="009464DB" w:rsidP="009464DB">
      <w:pPr>
        <w:spacing w:before="120" w:after="120" w:line="360" w:lineRule="auto"/>
        <w:rPr>
          <w:rFonts w:eastAsia="Tahoma" w:cstheme="minorHAnsi"/>
          <w:color w:val="000000"/>
          <w:sz w:val="24"/>
          <w:szCs w:val="24"/>
        </w:rPr>
      </w:pPr>
      <w:r w:rsidRPr="002A1341">
        <w:rPr>
          <w:rFonts w:eastAsia="Tahoma" w:cstheme="minorHAnsi"/>
          <w:color w:val="000000"/>
          <w:sz w:val="24"/>
          <w:szCs w:val="24"/>
        </w:rPr>
        <w:t>Attention is drawn to the plagiarism and unfair practice policies of both the University and of ILM.</w:t>
      </w:r>
    </w:p>
    <w:p w:rsidR="009464DB" w:rsidRPr="002A1341" w:rsidRDefault="009464DB" w:rsidP="006A4C28">
      <w:pPr>
        <w:spacing w:before="100" w:beforeAutospacing="1" w:after="100" w:afterAutospacing="1" w:line="240" w:lineRule="auto"/>
        <w:outlineLvl w:val="2"/>
        <w:rPr>
          <w:rFonts w:eastAsia="Times New Roman" w:cstheme="minorHAnsi"/>
          <w:b/>
          <w:bCs/>
          <w:sz w:val="24"/>
          <w:szCs w:val="24"/>
          <w:lang w:eastAsia="en-GB"/>
        </w:rPr>
      </w:pPr>
    </w:p>
    <w:p w:rsidR="009464DB" w:rsidRPr="002A1341" w:rsidRDefault="009464DB" w:rsidP="006A4C28">
      <w:pPr>
        <w:spacing w:before="100" w:beforeAutospacing="1" w:after="100" w:afterAutospacing="1" w:line="240" w:lineRule="auto"/>
        <w:outlineLvl w:val="2"/>
        <w:rPr>
          <w:rFonts w:eastAsia="Times New Roman" w:cstheme="minorHAnsi"/>
          <w:b/>
          <w:bCs/>
          <w:sz w:val="24"/>
          <w:szCs w:val="24"/>
          <w:lang w:eastAsia="en-GB"/>
        </w:rPr>
      </w:pPr>
    </w:p>
    <w:p w:rsidR="009464DB" w:rsidRDefault="009464DB" w:rsidP="006A4C28">
      <w:pPr>
        <w:spacing w:before="100" w:beforeAutospacing="1" w:after="100" w:afterAutospacing="1" w:line="240" w:lineRule="auto"/>
        <w:outlineLvl w:val="2"/>
        <w:rPr>
          <w:rFonts w:eastAsia="Times New Roman" w:cstheme="minorHAnsi"/>
          <w:b/>
          <w:bCs/>
          <w:sz w:val="24"/>
          <w:szCs w:val="24"/>
          <w:lang w:eastAsia="en-GB"/>
        </w:rPr>
      </w:pPr>
    </w:p>
    <w:p w:rsidR="002A1341" w:rsidRDefault="002A1341" w:rsidP="006A4C28">
      <w:pPr>
        <w:spacing w:before="100" w:beforeAutospacing="1" w:after="100" w:afterAutospacing="1" w:line="240" w:lineRule="auto"/>
        <w:outlineLvl w:val="2"/>
        <w:rPr>
          <w:rFonts w:eastAsia="Times New Roman" w:cstheme="minorHAnsi"/>
          <w:b/>
          <w:bCs/>
          <w:sz w:val="24"/>
          <w:szCs w:val="24"/>
          <w:lang w:eastAsia="en-GB"/>
        </w:rPr>
      </w:pPr>
    </w:p>
    <w:p w:rsidR="002A1341" w:rsidRDefault="002A1341" w:rsidP="006A4C28">
      <w:pPr>
        <w:spacing w:before="100" w:beforeAutospacing="1" w:after="100" w:afterAutospacing="1" w:line="240" w:lineRule="auto"/>
        <w:outlineLvl w:val="2"/>
        <w:rPr>
          <w:rFonts w:eastAsia="Times New Roman" w:cstheme="minorHAnsi"/>
          <w:b/>
          <w:bCs/>
          <w:sz w:val="24"/>
          <w:szCs w:val="24"/>
          <w:lang w:eastAsia="en-GB"/>
        </w:rPr>
      </w:pPr>
    </w:p>
    <w:p w:rsidR="002A1341" w:rsidRPr="002A1341" w:rsidRDefault="002A1341" w:rsidP="006A4C28">
      <w:pPr>
        <w:spacing w:before="100" w:beforeAutospacing="1" w:after="100" w:afterAutospacing="1" w:line="240" w:lineRule="auto"/>
        <w:outlineLvl w:val="2"/>
        <w:rPr>
          <w:rFonts w:eastAsia="Times New Roman" w:cstheme="minorHAnsi"/>
          <w:b/>
          <w:bCs/>
          <w:sz w:val="24"/>
          <w:szCs w:val="24"/>
          <w:lang w:eastAsia="en-GB"/>
        </w:rPr>
      </w:pPr>
    </w:p>
    <w:p w:rsidR="00EE160A" w:rsidRPr="002A1341" w:rsidRDefault="009171B6" w:rsidP="00EE160A">
      <w:pPr>
        <w:pStyle w:val="TOCHeading"/>
        <w:rPr>
          <w:rFonts w:asciiTheme="minorHAnsi" w:hAnsiTheme="minorHAnsi" w:cstheme="minorHAnsi"/>
          <w:sz w:val="24"/>
          <w:szCs w:val="24"/>
        </w:rPr>
      </w:pPr>
      <w:r w:rsidRPr="002A1341">
        <w:rPr>
          <w:rFonts w:asciiTheme="minorHAnsi" w:hAnsiTheme="minorHAnsi" w:cstheme="minorHAnsi"/>
          <w:sz w:val="24"/>
          <w:szCs w:val="24"/>
        </w:rPr>
        <w:lastRenderedPageBreak/>
        <w:t xml:space="preserve"> </w:t>
      </w:r>
    </w:p>
    <w:sdt>
      <w:sdtPr>
        <w:rPr>
          <w:rFonts w:asciiTheme="minorHAnsi" w:eastAsiaTheme="minorHAnsi" w:hAnsiTheme="minorHAnsi" w:cstheme="minorHAnsi"/>
          <w:b w:val="0"/>
          <w:bCs w:val="0"/>
          <w:color w:val="auto"/>
          <w:sz w:val="24"/>
          <w:szCs w:val="24"/>
          <w:lang w:val="en-GB" w:eastAsia="en-US"/>
        </w:rPr>
        <w:id w:val="-2099159029"/>
        <w:docPartObj>
          <w:docPartGallery w:val="Table of Contents"/>
          <w:docPartUnique/>
        </w:docPartObj>
      </w:sdtPr>
      <w:sdtEndPr>
        <w:rPr>
          <w:noProof/>
        </w:rPr>
      </w:sdtEndPr>
      <w:sdtContent>
        <w:p w:rsidR="00EE160A" w:rsidRPr="002A1341" w:rsidRDefault="00EE160A" w:rsidP="00EE160A">
          <w:pPr>
            <w:pStyle w:val="TOCHeading"/>
            <w:rPr>
              <w:rFonts w:asciiTheme="minorHAnsi" w:hAnsiTheme="minorHAnsi" w:cstheme="minorHAnsi"/>
              <w:sz w:val="24"/>
              <w:szCs w:val="24"/>
            </w:rPr>
          </w:pPr>
          <w:r w:rsidRPr="002A1341">
            <w:rPr>
              <w:rFonts w:asciiTheme="minorHAnsi" w:hAnsiTheme="minorHAnsi" w:cstheme="minorHAnsi"/>
              <w:sz w:val="24"/>
              <w:szCs w:val="24"/>
            </w:rPr>
            <w:t>Contents</w:t>
          </w:r>
        </w:p>
        <w:p w:rsidR="0038005D" w:rsidRDefault="00EE160A">
          <w:pPr>
            <w:pStyle w:val="TOC1"/>
            <w:tabs>
              <w:tab w:val="right" w:leader="dot" w:pos="9016"/>
            </w:tabs>
            <w:rPr>
              <w:rFonts w:eastAsiaTheme="minorEastAsia"/>
              <w:noProof/>
              <w:lang w:eastAsia="en-GB"/>
            </w:rPr>
          </w:pPr>
          <w:r w:rsidRPr="002A1341">
            <w:rPr>
              <w:rFonts w:cstheme="minorHAnsi"/>
              <w:sz w:val="24"/>
              <w:szCs w:val="24"/>
            </w:rPr>
            <w:fldChar w:fldCharType="begin"/>
          </w:r>
          <w:r w:rsidRPr="002A1341">
            <w:rPr>
              <w:rFonts w:cstheme="minorHAnsi"/>
              <w:sz w:val="24"/>
              <w:szCs w:val="24"/>
            </w:rPr>
            <w:instrText xml:space="preserve"> TOC \o "1-3" \h \z \u </w:instrText>
          </w:r>
          <w:r w:rsidRPr="002A1341">
            <w:rPr>
              <w:rFonts w:cstheme="minorHAnsi"/>
              <w:sz w:val="24"/>
              <w:szCs w:val="24"/>
            </w:rPr>
            <w:fldChar w:fldCharType="separate"/>
          </w:r>
          <w:hyperlink w:anchor="_Toc211629501" w:history="1">
            <w:r w:rsidR="0038005D" w:rsidRPr="005B5893">
              <w:rPr>
                <w:rStyle w:val="Hyperlink"/>
                <w:rFonts w:cstheme="minorHAnsi"/>
                <w:noProof/>
              </w:rPr>
              <w:t>Introduction</w:t>
            </w:r>
            <w:r w:rsidR="0038005D">
              <w:rPr>
                <w:noProof/>
                <w:webHidden/>
              </w:rPr>
              <w:tab/>
            </w:r>
            <w:r w:rsidR="0038005D">
              <w:rPr>
                <w:noProof/>
                <w:webHidden/>
              </w:rPr>
              <w:fldChar w:fldCharType="begin"/>
            </w:r>
            <w:r w:rsidR="0038005D">
              <w:rPr>
                <w:noProof/>
                <w:webHidden/>
              </w:rPr>
              <w:instrText xml:space="preserve"> PAGEREF _Toc211629501 \h </w:instrText>
            </w:r>
            <w:r w:rsidR="0038005D">
              <w:rPr>
                <w:noProof/>
                <w:webHidden/>
              </w:rPr>
            </w:r>
            <w:r w:rsidR="0038005D">
              <w:rPr>
                <w:noProof/>
                <w:webHidden/>
              </w:rPr>
              <w:fldChar w:fldCharType="separate"/>
            </w:r>
            <w:r w:rsidR="0038005D">
              <w:rPr>
                <w:noProof/>
                <w:webHidden/>
              </w:rPr>
              <w:t>3</w:t>
            </w:r>
            <w:r w:rsidR="0038005D">
              <w:rPr>
                <w:noProof/>
                <w:webHidden/>
              </w:rPr>
              <w:fldChar w:fldCharType="end"/>
            </w:r>
          </w:hyperlink>
        </w:p>
        <w:p w:rsidR="0038005D" w:rsidRDefault="0038005D">
          <w:pPr>
            <w:pStyle w:val="TOC1"/>
            <w:tabs>
              <w:tab w:val="right" w:leader="dot" w:pos="9016"/>
            </w:tabs>
            <w:rPr>
              <w:rFonts w:eastAsiaTheme="minorEastAsia"/>
              <w:noProof/>
              <w:lang w:eastAsia="en-GB"/>
            </w:rPr>
          </w:pPr>
          <w:hyperlink w:anchor="_Toc211629502" w:history="1">
            <w:r w:rsidRPr="005B5893">
              <w:rPr>
                <w:rStyle w:val="Hyperlink"/>
                <w:rFonts w:cstheme="minorHAnsi"/>
                <w:noProof/>
              </w:rPr>
              <w:t>Critical Assessment of the Potential Organisational Benefits of Developing Individuals in an Accountancy Practice</w:t>
            </w:r>
            <w:r>
              <w:rPr>
                <w:noProof/>
                <w:webHidden/>
              </w:rPr>
              <w:tab/>
            </w:r>
            <w:r>
              <w:rPr>
                <w:noProof/>
                <w:webHidden/>
              </w:rPr>
              <w:fldChar w:fldCharType="begin"/>
            </w:r>
            <w:r>
              <w:rPr>
                <w:noProof/>
                <w:webHidden/>
              </w:rPr>
              <w:instrText xml:space="preserve"> PAGEREF _Toc211629502 \h </w:instrText>
            </w:r>
            <w:r>
              <w:rPr>
                <w:noProof/>
                <w:webHidden/>
              </w:rPr>
            </w:r>
            <w:r>
              <w:rPr>
                <w:noProof/>
                <w:webHidden/>
              </w:rPr>
              <w:fldChar w:fldCharType="separate"/>
            </w:r>
            <w:r>
              <w:rPr>
                <w:noProof/>
                <w:webHidden/>
              </w:rPr>
              <w:t>3</w:t>
            </w:r>
            <w:r>
              <w:rPr>
                <w:noProof/>
                <w:webHidden/>
              </w:rPr>
              <w:fldChar w:fldCharType="end"/>
            </w:r>
          </w:hyperlink>
        </w:p>
        <w:p w:rsidR="0038005D" w:rsidRDefault="0038005D">
          <w:pPr>
            <w:pStyle w:val="TOC1"/>
            <w:tabs>
              <w:tab w:val="right" w:leader="dot" w:pos="9016"/>
            </w:tabs>
            <w:rPr>
              <w:rFonts w:eastAsiaTheme="minorEastAsia"/>
              <w:noProof/>
              <w:lang w:eastAsia="en-GB"/>
            </w:rPr>
          </w:pPr>
          <w:hyperlink w:anchor="_Toc211629503" w:history="1">
            <w:r w:rsidRPr="005B5893">
              <w:rPr>
                <w:rStyle w:val="Hyperlink"/>
                <w:rFonts w:cstheme="minorHAnsi"/>
                <w:noProof/>
              </w:rPr>
              <w:t>Managing an Individual’s Expectations in Respect of Personal Development</w:t>
            </w:r>
            <w:r>
              <w:rPr>
                <w:noProof/>
                <w:webHidden/>
              </w:rPr>
              <w:tab/>
            </w:r>
            <w:r>
              <w:rPr>
                <w:noProof/>
                <w:webHidden/>
              </w:rPr>
              <w:fldChar w:fldCharType="begin"/>
            </w:r>
            <w:r>
              <w:rPr>
                <w:noProof/>
                <w:webHidden/>
              </w:rPr>
              <w:instrText xml:space="preserve"> PAGEREF _Toc211629503 \h </w:instrText>
            </w:r>
            <w:r>
              <w:rPr>
                <w:noProof/>
                <w:webHidden/>
              </w:rPr>
            </w:r>
            <w:r>
              <w:rPr>
                <w:noProof/>
                <w:webHidden/>
              </w:rPr>
              <w:fldChar w:fldCharType="separate"/>
            </w:r>
            <w:r>
              <w:rPr>
                <w:noProof/>
                <w:webHidden/>
              </w:rPr>
              <w:t>5</w:t>
            </w:r>
            <w:r>
              <w:rPr>
                <w:noProof/>
                <w:webHidden/>
              </w:rPr>
              <w:fldChar w:fldCharType="end"/>
            </w:r>
          </w:hyperlink>
        </w:p>
        <w:p w:rsidR="0038005D" w:rsidRDefault="0038005D">
          <w:pPr>
            <w:pStyle w:val="TOC1"/>
            <w:tabs>
              <w:tab w:val="right" w:leader="dot" w:pos="9016"/>
            </w:tabs>
            <w:rPr>
              <w:rFonts w:eastAsiaTheme="minorEastAsia"/>
              <w:noProof/>
              <w:lang w:eastAsia="en-GB"/>
            </w:rPr>
          </w:pPr>
          <w:hyperlink w:anchor="_Toc211629504" w:history="1">
            <w:r w:rsidRPr="005B5893">
              <w:rPr>
                <w:rStyle w:val="Hyperlink"/>
                <w:rFonts w:cstheme="minorHAnsi"/>
                <w:noProof/>
              </w:rPr>
              <w:t>Critical Evaluation of Development Vehicles Available to an Organisation Appropriate to the Development Needs of the Individual</w:t>
            </w:r>
            <w:r>
              <w:rPr>
                <w:noProof/>
                <w:webHidden/>
              </w:rPr>
              <w:tab/>
            </w:r>
            <w:r>
              <w:rPr>
                <w:noProof/>
                <w:webHidden/>
              </w:rPr>
              <w:fldChar w:fldCharType="begin"/>
            </w:r>
            <w:r>
              <w:rPr>
                <w:noProof/>
                <w:webHidden/>
              </w:rPr>
              <w:instrText xml:space="preserve"> PAGEREF _Toc211629504 \h </w:instrText>
            </w:r>
            <w:r>
              <w:rPr>
                <w:noProof/>
                <w:webHidden/>
              </w:rPr>
            </w:r>
            <w:r>
              <w:rPr>
                <w:noProof/>
                <w:webHidden/>
              </w:rPr>
              <w:fldChar w:fldCharType="separate"/>
            </w:r>
            <w:r>
              <w:rPr>
                <w:noProof/>
                <w:webHidden/>
              </w:rPr>
              <w:t>6</w:t>
            </w:r>
            <w:r>
              <w:rPr>
                <w:noProof/>
                <w:webHidden/>
              </w:rPr>
              <w:fldChar w:fldCharType="end"/>
            </w:r>
          </w:hyperlink>
        </w:p>
        <w:p w:rsidR="0038005D" w:rsidRDefault="0038005D">
          <w:pPr>
            <w:pStyle w:val="TOC1"/>
            <w:tabs>
              <w:tab w:val="right" w:leader="dot" w:pos="9016"/>
            </w:tabs>
            <w:rPr>
              <w:rFonts w:eastAsiaTheme="minorEastAsia"/>
              <w:noProof/>
              <w:lang w:eastAsia="en-GB"/>
            </w:rPr>
          </w:pPr>
          <w:hyperlink w:anchor="_Toc211629505" w:history="1">
            <w:r w:rsidRPr="005B5893">
              <w:rPr>
                <w:rStyle w:val="Hyperlink"/>
                <w:rFonts w:cstheme="minorHAnsi"/>
                <w:noProof/>
              </w:rPr>
              <w:t>Developing a Detailed Plan to Meet Individual Development Needs and Manage Performance</w:t>
            </w:r>
            <w:r>
              <w:rPr>
                <w:noProof/>
                <w:webHidden/>
              </w:rPr>
              <w:tab/>
            </w:r>
            <w:r>
              <w:rPr>
                <w:noProof/>
                <w:webHidden/>
              </w:rPr>
              <w:fldChar w:fldCharType="begin"/>
            </w:r>
            <w:r>
              <w:rPr>
                <w:noProof/>
                <w:webHidden/>
              </w:rPr>
              <w:instrText xml:space="preserve"> PAGEREF _Toc211629505 \h </w:instrText>
            </w:r>
            <w:r>
              <w:rPr>
                <w:noProof/>
                <w:webHidden/>
              </w:rPr>
            </w:r>
            <w:r>
              <w:rPr>
                <w:noProof/>
                <w:webHidden/>
              </w:rPr>
              <w:fldChar w:fldCharType="separate"/>
            </w:r>
            <w:r>
              <w:rPr>
                <w:noProof/>
                <w:webHidden/>
              </w:rPr>
              <w:t>7</w:t>
            </w:r>
            <w:r>
              <w:rPr>
                <w:noProof/>
                <w:webHidden/>
              </w:rPr>
              <w:fldChar w:fldCharType="end"/>
            </w:r>
          </w:hyperlink>
        </w:p>
        <w:p w:rsidR="0038005D" w:rsidRDefault="0038005D">
          <w:pPr>
            <w:pStyle w:val="TOC2"/>
            <w:tabs>
              <w:tab w:val="right" w:leader="dot" w:pos="9016"/>
            </w:tabs>
            <w:rPr>
              <w:rFonts w:eastAsiaTheme="minorEastAsia"/>
              <w:noProof/>
              <w:lang w:eastAsia="en-GB"/>
            </w:rPr>
          </w:pPr>
          <w:hyperlink w:anchor="_Toc211629506" w:history="1">
            <w:r w:rsidRPr="005B5893">
              <w:rPr>
                <w:rStyle w:val="Hyperlink"/>
                <w:rFonts w:cstheme="minorHAnsi"/>
                <w:noProof/>
              </w:rPr>
              <w:t>Identifying Development Needs</w:t>
            </w:r>
            <w:r>
              <w:rPr>
                <w:noProof/>
                <w:webHidden/>
              </w:rPr>
              <w:tab/>
            </w:r>
            <w:r>
              <w:rPr>
                <w:noProof/>
                <w:webHidden/>
              </w:rPr>
              <w:fldChar w:fldCharType="begin"/>
            </w:r>
            <w:r>
              <w:rPr>
                <w:noProof/>
                <w:webHidden/>
              </w:rPr>
              <w:instrText xml:space="preserve"> PAGEREF _Toc211629506 \h </w:instrText>
            </w:r>
            <w:r>
              <w:rPr>
                <w:noProof/>
                <w:webHidden/>
              </w:rPr>
            </w:r>
            <w:r>
              <w:rPr>
                <w:noProof/>
                <w:webHidden/>
              </w:rPr>
              <w:fldChar w:fldCharType="separate"/>
            </w:r>
            <w:r>
              <w:rPr>
                <w:noProof/>
                <w:webHidden/>
              </w:rPr>
              <w:t>8</w:t>
            </w:r>
            <w:r>
              <w:rPr>
                <w:noProof/>
                <w:webHidden/>
              </w:rPr>
              <w:fldChar w:fldCharType="end"/>
            </w:r>
          </w:hyperlink>
        </w:p>
        <w:p w:rsidR="0038005D" w:rsidRDefault="0038005D">
          <w:pPr>
            <w:pStyle w:val="TOC2"/>
            <w:tabs>
              <w:tab w:val="right" w:leader="dot" w:pos="9016"/>
            </w:tabs>
            <w:rPr>
              <w:rFonts w:eastAsiaTheme="minorEastAsia"/>
              <w:noProof/>
              <w:lang w:eastAsia="en-GB"/>
            </w:rPr>
          </w:pPr>
          <w:hyperlink w:anchor="_Toc211629507" w:history="1">
            <w:r w:rsidRPr="005B5893">
              <w:rPr>
                <w:rStyle w:val="Hyperlink"/>
                <w:rFonts w:cstheme="minorHAnsi"/>
                <w:noProof/>
              </w:rPr>
              <w:t>Setting SMART Objectives</w:t>
            </w:r>
            <w:r>
              <w:rPr>
                <w:noProof/>
                <w:webHidden/>
              </w:rPr>
              <w:tab/>
            </w:r>
            <w:r>
              <w:rPr>
                <w:noProof/>
                <w:webHidden/>
              </w:rPr>
              <w:fldChar w:fldCharType="begin"/>
            </w:r>
            <w:r>
              <w:rPr>
                <w:noProof/>
                <w:webHidden/>
              </w:rPr>
              <w:instrText xml:space="preserve"> PAGEREF _Toc211629507 \h </w:instrText>
            </w:r>
            <w:r>
              <w:rPr>
                <w:noProof/>
                <w:webHidden/>
              </w:rPr>
            </w:r>
            <w:r>
              <w:rPr>
                <w:noProof/>
                <w:webHidden/>
              </w:rPr>
              <w:fldChar w:fldCharType="separate"/>
            </w:r>
            <w:r>
              <w:rPr>
                <w:noProof/>
                <w:webHidden/>
              </w:rPr>
              <w:t>8</w:t>
            </w:r>
            <w:r>
              <w:rPr>
                <w:noProof/>
                <w:webHidden/>
              </w:rPr>
              <w:fldChar w:fldCharType="end"/>
            </w:r>
          </w:hyperlink>
        </w:p>
        <w:p w:rsidR="0038005D" w:rsidRDefault="0038005D">
          <w:pPr>
            <w:pStyle w:val="TOC2"/>
            <w:tabs>
              <w:tab w:val="right" w:leader="dot" w:pos="9016"/>
            </w:tabs>
            <w:rPr>
              <w:rFonts w:eastAsiaTheme="minorEastAsia"/>
              <w:noProof/>
              <w:lang w:eastAsia="en-GB"/>
            </w:rPr>
          </w:pPr>
          <w:hyperlink w:anchor="_Toc211629508" w:history="1">
            <w:r w:rsidRPr="005B5893">
              <w:rPr>
                <w:rStyle w:val="Hyperlink"/>
                <w:rFonts w:cstheme="minorHAnsi"/>
                <w:noProof/>
              </w:rPr>
              <w:t>Selecting Appropriate Development Vehicles</w:t>
            </w:r>
            <w:r>
              <w:rPr>
                <w:noProof/>
                <w:webHidden/>
              </w:rPr>
              <w:tab/>
            </w:r>
            <w:r>
              <w:rPr>
                <w:noProof/>
                <w:webHidden/>
              </w:rPr>
              <w:fldChar w:fldCharType="begin"/>
            </w:r>
            <w:r>
              <w:rPr>
                <w:noProof/>
                <w:webHidden/>
              </w:rPr>
              <w:instrText xml:space="preserve"> PAGEREF _Toc211629508 \h </w:instrText>
            </w:r>
            <w:r>
              <w:rPr>
                <w:noProof/>
                <w:webHidden/>
              </w:rPr>
            </w:r>
            <w:r>
              <w:rPr>
                <w:noProof/>
                <w:webHidden/>
              </w:rPr>
              <w:fldChar w:fldCharType="separate"/>
            </w:r>
            <w:r>
              <w:rPr>
                <w:noProof/>
                <w:webHidden/>
              </w:rPr>
              <w:t>8</w:t>
            </w:r>
            <w:r>
              <w:rPr>
                <w:noProof/>
                <w:webHidden/>
              </w:rPr>
              <w:fldChar w:fldCharType="end"/>
            </w:r>
          </w:hyperlink>
        </w:p>
        <w:p w:rsidR="0038005D" w:rsidRDefault="0038005D">
          <w:pPr>
            <w:pStyle w:val="TOC2"/>
            <w:tabs>
              <w:tab w:val="right" w:leader="dot" w:pos="9016"/>
            </w:tabs>
            <w:rPr>
              <w:rFonts w:eastAsiaTheme="minorEastAsia"/>
              <w:noProof/>
              <w:lang w:eastAsia="en-GB"/>
            </w:rPr>
          </w:pPr>
          <w:hyperlink w:anchor="_Toc211629509" w:history="1">
            <w:r w:rsidRPr="005B5893">
              <w:rPr>
                <w:rStyle w:val="Hyperlink"/>
                <w:rFonts w:cstheme="minorHAnsi"/>
                <w:noProof/>
              </w:rPr>
              <w:t>Integrating Development with Performance Management</w:t>
            </w:r>
            <w:r>
              <w:rPr>
                <w:noProof/>
                <w:webHidden/>
              </w:rPr>
              <w:tab/>
            </w:r>
            <w:r>
              <w:rPr>
                <w:noProof/>
                <w:webHidden/>
              </w:rPr>
              <w:fldChar w:fldCharType="begin"/>
            </w:r>
            <w:r>
              <w:rPr>
                <w:noProof/>
                <w:webHidden/>
              </w:rPr>
              <w:instrText xml:space="preserve"> PAGEREF _Toc211629509 \h </w:instrText>
            </w:r>
            <w:r>
              <w:rPr>
                <w:noProof/>
                <w:webHidden/>
              </w:rPr>
            </w:r>
            <w:r>
              <w:rPr>
                <w:noProof/>
                <w:webHidden/>
              </w:rPr>
              <w:fldChar w:fldCharType="separate"/>
            </w:r>
            <w:r>
              <w:rPr>
                <w:noProof/>
                <w:webHidden/>
              </w:rPr>
              <w:t>8</w:t>
            </w:r>
            <w:r>
              <w:rPr>
                <w:noProof/>
                <w:webHidden/>
              </w:rPr>
              <w:fldChar w:fldCharType="end"/>
            </w:r>
          </w:hyperlink>
        </w:p>
        <w:p w:rsidR="0038005D" w:rsidRDefault="0038005D">
          <w:pPr>
            <w:pStyle w:val="TOC2"/>
            <w:tabs>
              <w:tab w:val="right" w:leader="dot" w:pos="9016"/>
            </w:tabs>
            <w:rPr>
              <w:rFonts w:eastAsiaTheme="minorEastAsia"/>
              <w:noProof/>
              <w:lang w:eastAsia="en-GB"/>
            </w:rPr>
          </w:pPr>
          <w:hyperlink w:anchor="_Toc211629510" w:history="1">
            <w:r w:rsidRPr="005B5893">
              <w:rPr>
                <w:rStyle w:val="Hyperlink"/>
                <w:rFonts w:cstheme="minorHAnsi"/>
                <w:noProof/>
              </w:rPr>
              <w:t>Providing Support and Resources</w:t>
            </w:r>
            <w:r>
              <w:rPr>
                <w:noProof/>
                <w:webHidden/>
              </w:rPr>
              <w:tab/>
            </w:r>
            <w:r>
              <w:rPr>
                <w:noProof/>
                <w:webHidden/>
              </w:rPr>
              <w:fldChar w:fldCharType="begin"/>
            </w:r>
            <w:r>
              <w:rPr>
                <w:noProof/>
                <w:webHidden/>
              </w:rPr>
              <w:instrText xml:space="preserve"> PAGEREF _Toc211629510 \h </w:instrText>
            </w:r>
            <w:r>
              <w:rPr>
                <w:noProof/>
                <w:webHidden/>
              </w:rPr>
            </w:r>
            <w:r>
              <w:rPr>
                <w:noProof/>
                <w:webHidden/>
              </w:rPr>
              <w:fldChar w:fldCharType="separate"/>
            </w:r>
            <w:r>
              <w:rPr>
                <w:noProof/>
                <w:webHidden/>
              </w:rPr>
              <w:t>9</w:t>
            </w:r>
            <w:r>
              <w:rPr>
                <w:noProof/>
                <w:webHidden/>
              </w:rPr>
              <w:fldChar w:fldCharType="end"/>
            </w:r>
          </w:hyperlink>
        </w:p>
        <w:p w:rsidR="0038005D" w:rsidRDefault="0038005D">
          <w:pPr>
            <w:pStyle w:val="TOC2"/>
            <w:tabs>
              <w:tab w:val="right" w:leader="dot" w:pos="9016"/>
            </w:tabs>
            <w:rPr>
              <w:rFonts w:eastAsiaTheme="minorEastAsia"/>
              <w:noProof/>
              <w:lang w:eastAsia="en-GB"/>
            </w:rPr>
          </w:pPr>
          <w:hyperlink w:anchor="_Toc211629511" w:history="1">
            <w:r w:rsidRPr="005B5893">
              <w:rPr>
                <w:rStyle w:val="Hyperlink"/>
                <w:rFonts w:cstheme="minorHAnsi"/>
                <w:noProof/>
              </w:rPr>
              <w:t>Monitoring and Evaluation</w:t>
            </w:r>
            <w:r>
              <w:rPr>
                <w:noProof/>
                <w:webHidden/>
              </w:rPr>
              <w:tab/>
            </w:r>
            <w:r>
              <w:rPr>
                <w:noProof/>
                <w:webHidden/>
              </w:rPr>
              <w:fldChar w:fldCharType="begin"/>
            </w:r>
            <w:r>
              <w:rPr>
                <w:noProof/>
                <w:webHidden/>
              </w:rPr>
              <w:instrText xml:space="preserve"> PAGEREF _Toc211629511 \h </w:instrText>
            </w:r>
            <w:r>
              <w:rPr>
                <w:noProof/>
                <w:webHidden/>
              </w:rPr>
            </w:r>
            <w:r>
              <w:rPr>
                <w:noProof/>
                <w:webHidden/>
              </w:rPr>
              <w:fldChar w:fldCharType="separate"/>
            </w:r>
            <w:r>
              <w:rPr>
                <w:noProof/>
                <w:webHidden/>
              </w:rPr>
              <w:t>9</w:t>
            </w:r>
            <w:r>
              <w:rPr>
                <w:noProof/>
                <w:webHidden/>
              </w:rPr>
              <w:fldChar w:fldCharType="end"/>
            </w:r>
          </w:hyperlink>
        </w:p>
        <w:p w:rsidR="0038005D" w:rsidRDefault="0038005D">
          <w:pPr>
            <w:pStyle w:val="TOC2"/>
            <w:tabs>
              <w:tab w:val="right" w:leader="dot" w:pos="9016"/>
            </w:tabs>
            <w:rPr>
              <w:rFonts w:eastAsiaTheme="minorEastAsia"/>
              <w:noProof/>
              <w:lang w:eastAsia="en-GB"/>
            </w:rPr>
          </w:pPr>
          <w:hyperlink w:anchor="_Toc211629512" w:history="1">
            <w:r w:rsidRPr="005B5893">
              <w:rPr>
                <w:rStyle w:val="Hyperlink"/>
                <w:rFonts w:cstheme="minorHAnsi"/>
                <w:noProof/>
              </w:rPr>
              <w:t>Critical Reflection</w:t>
            </w:r>
            <w:r>
              <w:rPr>
                <w:noProof/>
                <w:webHidden/>
              </w:rPr>
              <w:tab/>
            </w:r>
            <w:r>
              <w:rPr>
                <w:noProof/>
                <w:webHidden/>
              </w:rPr>
              <w:fldChar w:fldCharType="begin"/>
            </w:r>
            <w:r>
              <w:rPr>
                <w:noProof/>
                <w:webHidden/>
              </w:rPr>
              <w:instrText xml:space="preserve"> PAGEREF _Toc211629512 \h </w:instrText>
            </w:r>
            <w:r>
              <w:rPr>
                <w:noProof/>
                <w:webHidden/>
              </w:rPr>
            </w:r>
            <w:r>
              <w:rPr>
                <w:noProof/>
                <w:webHidden/>
              </w:rPr>
              <w:fldChar w:fldCharType="separate"/>
            </w:r>
            <w:r>
              <w:rPr>
                <w:noProof/>
                <w:webHidden/>
              </w:rPr>
              <w:t>9</w:t>
            </w:r>
            <w:r>
              <w:rPr>
                <w:noProof/>
                <w:webHidden/>
              </w:rPr>
              <w:fldChar w:fldCharType="end"/>
            </w:r>
          </w:hyperlink>
        </w:p>
        <w:p w:rsidR="0038005D" w:rsidRDefault="0038005D">
          <w:pPr>
            <w:pStyle w:val="TOC1"/>
            <w:tabs>
              <w:tab w:val="right" w:leader="dot" w:pos="9016"/>
            </w:tabs>
            <w:rPr>
              <w:rFonts w:eastAsiaTheme="minorEastAsia"/>
              <w:noProof/>
              <w:lang w:eastAsia="en-GB"/>
            </w:rPr>
          </w:pPr>
          <w:hyperlink w:anchor="_Toc211629513" w:history="1">
            <w:r w:rsidRPr="005B5893">
              <w:rPr>
                <w:rStyle w:val="Hyperlink"/>
                <w:rFonts w:cstheme="minorHAnsi"/>
                <w:noProof/>
              </w:rPr>
              <w:t>Personal Development Plan (PDP)</w:t>
            </w:r>
            <w:r>
              <w:rPr>
                <w:noProof/>
                <w:webHidden/>
              </w:rPr>
              <w:tab/>
            </w:r>
            <w:r>
              <w:rPr>
                <w:noProof/>
                <w:webHidden/>
              </w:rPr>
              <w:fldChar w:fldCharType="begin"/>
            </w:r>
            <w:r>
              <w:rPr>
                <w:noProof/>
                <w:webHidden/>
              </w:rPr>
              <w:instrText xml:space="preserve"> PAGEREF _Toc211629513 \h </w:instrText>
            </w:r>
            <w:r>
              <w:rPr>
                <w:noProof/>
                <w:webHidden/>
              </w:rPr>
            </w:r>
            <w:r>
              <w:rPr>
                <w:noProof/>
                <w:webHidden/>
              </w:rPr>
              <w:fldChar w:fldCharType="separate"/>
            </w:r>
            <w:r>
              <w:rPr>
                <w:noProof/>
                <w:webHidden/>
              </w:rPr>
              <w:t>10</w:t>
            </w:r>
            <w:r>
              <w:rPr>
                <w:noProof/>
                <w:webHidden/>
              </w:rPr>
              <w:fldChar w:fldCharType="end"/>
            </w:r>
          </w:hyperlink>
        </w:p>
        <w:p w:rsidR="0038005D" w:rsidRDefault="0038005D">
          <w:pPr>
            <w:pStyle w:val="TOC1"/>
            <w:tabs>
              <w:tab w:val="right" w:leader="dot" w:pos="9016"/>
            </w:tabs>
            <w:rPr>
              <w:rFonts w:eastAsiaTheme="minorEastAsia"/>
              <w:noProof/>
              <w:lang w:eastAsia="en-GB"/>
            </w:rPr>
          </w:pPr>
          <w:hyperlink w:anchor="_Toc211629514" w:history="1">
            <w:r w:rsidRPr="005B5893">
              <w:rPr>
                <w:rStyle w:val="Hyperlink"/>
                <w:rFonts w:cstheme="minorHAnsi"/>
                <w:noProof/>
              </w:rPr>
              <w:t>Performance Management and Review Process</w:t>
            </w:r>
            <w:r>
              <w:rPr>
                <w:noProof/>
                <w:webHidden/>
              </w:rPr>
              <w:tab/>
            </w:r>
            <w:r>
              <w:rPr>
                <w:noProof/>
                <w:webHidden/>
              </w:rPr>
              <w:fldChar w:fldCharType="begin"/>
            </w:r>
            <w:r>
              <w:rPr>
                <w:noProof/>
                <w:webHidden/>
              </w:rPr>
              <w:instrText xml:space="preserve"> PAGEREF _Toc211629514 \h </w:instrText>
            </w:r>
            <w:r>
              <w:rPr>
                <w:noProof/>
                <w:webHidden/>
              </w:rPr>
            </w:r>
            <w:r>
              <w:rPr>
                <w:noProof/>
                <w:webHidden/>
              </w:rPr>
              <w:fldChar w:fldCharType="separate"/>
            </w:r>
            <w:r>
              <w:rPr>
                <w:noProof/>
                <w:webHidden/>
              </w:rPr>
              <w:t>11</w:t>
            </w:r>
            <w:r>
              <w:rPr>
                <w:noProof/>
                <w:webHidden/>
              </w:rPr>
              <w:fldChar w:fldCharType="end"/>
            </w:r>
          </w:hyperlink>
        </w:p>
        <w:p w:rsidR="0038005D" w:rsidRDefault="0038005D">
          <w:pPr>
            <w:pStyle w:val="TOC1"/>
            <w:tabs>
              <w:tab w:val="right" w:leader="dot" w:pos="9016"/>
            </w:tabs>
            <w:rPr>
              <w:rFonts w:eastAsiaTheme="minorEastAsia"/>
              <w:noProof/>
              <w:lang w:eastAsia="en-GB"/>
            </w:rPr>
          </w:pPr>
          <w:hyperlink w:anchor="_Toc211629515" w:history="1">
            <w:r w:rsidRPr="005B5893">
              <w:rPr>
                <w:rStyle w:val="Hyperlink"/>
                <w:rFonts w:cstheme="minorHAnsi"/>
                <w:noProof/>
              </w:rPr>
              <w:t>Critical Commentary</w:t>
            </w:r>
            <w:r>
              <w:rPr>
                <w:noProof/>
                <w:webHidden/>
              </w:rPr>
              <w:tab/>
            </w:r>
            <w:r>
              <w:rPr>
                <w:noProof/>
                <w:webHidden/>
              </w:rPr>
              <w:fldChar w:fldCharType="begin"/>
            </w:r>
            <w:r>
              <w:rPr>
                <w:noProof/>
                <w:webHidden/>
              </w:rPr>
              <w:instrText xml:space="preserve"> PAGEREF _Toc211629515 \h </w:instrText>
            </w:r>
            <w:r>
              <w:rPr>
                <w:noProof/>
                <w:webHidden/>
              </w:rPr>
            </w:r>
            <w:r>
              <w:rPr>
                <w:noProof/>
                <w:webHidden/>
              </w:rPr>
              <w:fldChar w:fldCharType="separate"/>
            </w:r>
            <w:r>
              <w:rPr>
                <w:noProof/>
                <w:webHidden/>
              </w:rPr>
              <w:t>12</w:t>
            </w:r>
            <w:r>
              <w:rPr>
                <w:noProof/>
                <w:webHidden/>
              </w:rPr>
              <w:fldChar w:fldCharType="end"/>
            </w:r>
          </w:hyperlink>
        </w:p>
        <w:p w:rsidR="0038005D" w:rsidRDefault="0038005D">
          <w:pPr>
            <w:pStyle w:val="TOC1"/>
            <w:tabs>
              <w:tab w:val="right" w:leader="dot" w:pos="9016"/>
            </w:tabs>
            <w:rPr>
              <w:rFonts w:eastAsiaTheme="minorEastAsia"/>
              <w:noProof/>
              <w:lang w:eastAsia="en-GB"/>
            </w:rPr>
          </w:pPr>
          <w:hyperlink w:anchor="_Toc211629516" w:history="1">
            <w:r w:rsidRPr="005B5893">
              <w:rPr>
                <w:rStyle w:val="Hyperlink"/>
                <w:rFonts w:cstheme="minorHAnsi"/>
                <w:noProof/>
              </w:rPr>
              <w:t>Embedding a Learning Culture to Maximise Organisational and Individual Development</w:t>
            </w:r>
            <w:r>
              <w:rPr>
                <w:noProof/>
                <w:webHidden/>
              </w:rPr>
              <w:tab/>
            </w:r>
            <w:r>
              <w:rPr>
                <w:noProof/>
                <w:webHidden/>
              </w:rPr>
              <w:fldChar w:fldCharType="begin"/>
            </w:r>
            <w:r>
              <w:rPr>
                <w:noProof/>
                <w:webHidden/>
              </w:rPr>
              <w:instrText xml:space="preserve"> PAGEREF _Toc211629516 \h </w:instrText>
            </w:r>
            <w:r>
              <w:rPr>
                <w:noProof/>
                <w:webHidden/>
              </w:rPr>
            </w:r>
            <w:r>
              <w:rPr>
                <w:noProof/>
                <w:webHidden/>
              </w:rPr>
              <w:fldChar w:fldCharType="separate"/>
            </w:r>
            <w:r>
              <w:rPr>
                <w:noProof/>
                <w:webHidden/>
              </w:rPr>
              <w:t>12</w:t>
            </w:r>
            <w:r>
              <w:rPr>
                <w:noProof/>
                <w:webHidden/>
              </w:rPr>
              <w:fldChar w:fldCharType="end"/>
            </w:r>
          </w:hyperlink>
        </w:p>
        <w:p w:rsidR="0038005D" w:rsidRDefault="0038005D">
          <w:pPr>
            <w:pStyle w:val="TOC1"/>
            <w:tabs>
              <w:tab w:val="right" w:leader="dot" w:pos="9016"/>
            </w:tabs>
            <w:rPr>
              <w:rFonts w:eastAsiaTheme="minorEastAsia"/>
              <w:noProof/>
              <w:lang w:eastAsia="en-GB"/>
            </w:rPr>
          </w:pPr>
          <w:hyperlink w:anchor="_Toc211629517" w:history="1">
            <w:r w:rsidRPr="005B5893">
              <w:rPr>
                <w:rStyle w:val="Hyperlink"/>
                <w:rFonts w:cstheme="minorHAnsi"/>
                <w:noProof/>
              </w:rPr>
              <w:t>References</w:t>
            </w:r>
            <w:r>
              <w:rPr>
                <w:noProof/>
                <w:webHidden/>
              </w:rPr>
              <w:tab/>
            </w:r>
            <w:r>
              <w:rPr>
                <w:noProof/>
                <w:webHidden/>
              </w:rPr>
              <w:fldChar w:fldCharType="begin"/>
            </w:r>
            <w:r>
              <w:rPr>
                <w:noProof/>
                <w:webHidden/>
              </w:rPr>
              <w:instrText xml:space="preserve"> PAGEREF _Toc211629517 \h </w:instrText>
            </w:r>
            <w:r>
              <w:rPr>
                <w:noProof/>
                <w:webHidden/>
              </w:rPr>
            </w:r>
            <w:r>
              <w:rPr>
                <w:noProof/>
                <w:webHidden/>
              </w:rPr>
              <w:fldChar w:fldCharType="separate"/>
            </w:r>
            <w:r>
              <w:rPr>
                <w:noProof/>
                <w:webHidden/>
              </w:rPr>
              <w:t>14</w:t>
            </w:r>
            <w:r>
              <w:rPr>
                <w:noProof/>
                <w:webHidden/>
              </w:rPr>
              <w:fldChar w:fldCharType="end"/>
            </w:r>
          </w:hyperlink>
        </w:p>
        <w:p w:rsidR="00EE160A" w:rsidRPr="002A1341" w:rsidRDefault="00EE160A" w:rsidP="00EE160A">
          <w:pPr>
            <w:rPr>
              <w:rFonts w:cstheme="minorHAnsi"/>
              <w:noProof/>
              <w:sz w:val="24"/>
              <w:szCs w:val="24"/>
            </w:rPr>
          </w:pPr>
          <w:r w:rsidRPr="002A1341">
            <w:rPr>
              <w:rFonts w:cstheme="minorHAnsi"/>
              <w:b/>
              <w:bCs/>
              <w:noProof/>
              <w:sz w:val="24"/>
              <w:szCs w:val="24"/>
            </w:rPr>
            <w:fldChar w:fldCharType="end"/>
          </w:r>
        </w:p>
      </w:sdtContent>
    </w:sdt>
    <w:p w:rsidR="00BA2A1C" w:rsidRPr="002A1341" w:rsidRDefault="00BA2A1C" w:rsidP="00BA2A1C">
      <w:pPr>
        <w:pStyle w:val="Heading1"/>
        <w:rPr>
          <w:rFonts w:asciiTheme="minorHAnsi" w:hAnsiTheme="minorHAnsi" w:cstheme="minorHAnsi"/>
          <w:noProof/>
          <w:sz w:val="24"/>
          <w:szCs w:val="24"/>
        </w:rPr>
      </w:pPr>
    </w:p>
    <w:p w:rsidR="00BA2A1C" w:rsidRPr="002A1341" w:rsidRDefault="00BA2A1C" w:rsidP="00BA2A1C">
      <w:pPr>
        <w:pStyle w:val="Heading1"/>
        <w:rPr>
          <w:rFonts w:asciiTheme="minorHAnsi" w:hAnsiTheme="minorHAnsi" w:cstheme="minorHAnsi"/>
          <w:noProof/>
          <w:sz w:val="24"/>
          <w:szCs w:val="24"/>
        </w:rPr>
      </w:pPr>
    </w:p>
    <w:p w:rsidR="00BA2A1C" w:rsidRPr="002A1341" w:rsidRDefault="00BA2A1C" w:rsidP="00BA2A1C">
      <w:pPr>
        <w:rPr>
          <w:rFonts w:cstheme="minorHAnsi"/>
          <w:sz w:val="24"/>
          <w:szCs w:val="24"/>
        </w:rPr>
      </w:pPr>
    </w:p>
    <w:p w:rsidR="00BA2A1C" w:rsidRPr="002A1341" w:rsidRDefault="00BA2A1C" w:rsidP="00BA2A1C">
      <w:pPr>
        <w:rPr>
          <w:rFonts w:cstheme="minorHAnsi"/>
          <w:sz w:val="24"/>
          <w:szCs w:val="24"/>
        </w:rPr>
      </w:pPr>
    </w:p>
    <w:p w:rsidR="00BA2A1C" w:rsidRPr="002A1341" w:rsidRDefault="00BA2A1C" w:rsidP="00BA2A1C">
      <w:pPr>
        <w:rPr>
          <w:rFonts w:cstheme="minorHAnsi"/>
          <w:sz w:val="24"/>
          <w:szCs w:val="24"/>
        </w:rPr>
      </w:pPr>
    </w:p>
    <w:p w:rsidR="00BA2A1C" w:rsidRPr="002A1341" w:rsidRDefault="00BA2A1C" w:rsidP="00BA2A1C">
      <w:pPr>
        <w:rPr>
          <w:rFonts w:cstheme="minorHAnsi"/>
          <w:sz w:val="24"/>
          <w:szCs w:val="24"/>
        </w:rPr>
      </w:pPr>
    </w:p>
    <w:p w:rsidR="00BA2A1C" w:rsidRPr="002A1341" w:rsidRDefault="00BA2A1C" w:rsidP="00BA2A1C">
      <w:pPr>
        <w:rPr>
          <w:rFonts w:cstheme="minorHAnsi"/>
          <w:sz w:val="24"/>
          <w:szCs w:val="24"/>
        </w:rPr>
      </w:pPr>
    </w:p>
    <w:p w:rsidR="00BA2A1C" w:rsidRPr="002A1341" w:rsidRDefault="00BA2A1C" w:rsidP="00BA2A1C">
      <w:pPr>
        <w:rPr>
          <w:rFonts w:cstheme="minorHAnsi"/>
          <w:sz w:val="24"/>
          <w:szCs w:val="24"/>
        </w:rPr>
      </w:pPr>
    </w:p>
    <w:p w:rsidR="00BA2A1C" w:rsidRPr="002A1341" w:rsidRDefault="00BA2A1C" w:rsidP="00BA2A1C">
      <w:pPr>
        <w:rPr>
          <w:rFonts w:cstheme="minorHAnsi"/>
          <w:sz w:val="24"/>
          <w:szCs w:val="24"/>
        </w:rPr>
      </w:pPr>
    </w:p>
    <w:p w:rsidR="002A1341" w:rsidRPr="002A1341" w:rsidRDefault="00CC2324" w:rsidP="002A1341">
      <w:pPr>
        <w:pStyle w:val="Heading1"/>
        <w:rPr>
          <w:rFonts w:asciiTheme="minorHAnsi" w:hAnsiTheme="minorHAnsi" w:cstheme="minorHAnsi"/>
          <w:noProof/>
          <w:sz w:val="24"/>
          <w:szCs w:val="24"/>
        </w:rPr>
      </w:pPr>
      <w:bookmarkStart w:id="0" w:name="_Toc211629501"/>
      <w:bookmarkStart w:id="1" w:name="_GoBack"/>
      <w:bookmarkEnd w:id="1"/>
      <w:r w:rsidRPr="002A1341">
        <w:rPr>
          <w:rFonts w:asciiTheme="minorHAnsi" w:hAnsiTheme="minorHAnsi" w:cstheme="minorHAnsi"/>
          <w:noProof/>
          <w:sz w:val="24"/>
          <w:szCs w:val="24"/>
        </w:rPr>
        <w:lastRenderedPageBreak/>
        <w:t>Introduction</w:t>
      </w:r>
      <w:bookmarkEnd w:id="0"/>
    </w:p>
    <w:p w:rsidR="00CC2324" w:rsidRPr="002A1341" w:rsidRDefault="00CC2324" w:rsidP="00EE160A">
      <w:pPr>
        <w:rPr>
          <w:rFonts w:cstheme="minorHAnsi"/>
          <w:sz w:val="24"/>
          <w:szCs w:val="24"/>
        </w:rPr>
      </w:pPr>
      <w:r w:rsidRPr="002A1341">
        <w:rPr>
          <w:rFonts w:cstheme="minorHAnsi"/>
          <w:sz w:val="24"/>
          <w:szCs w:val="24"/>
        </w:rPr>
        <w:t>In today’s dynamic professional services landscape, accountancy practices face increasing pressure to adapt to regulatory changes, technological advancements, and shifting client expectations. To remain competiti</w:t>
      </w:r>
      <w:r w:rsidR="002A1341" w:rsidRPr="002A1341">
        <w:rPr>
          <w:rFonts w:cstheme="minorHAnsi"/>
          <w:sz w:val="24"/>
          <w:szCs w:val="24"/>
        </w:rPr>
        <w:t xml:space="preserve">ve and deliver sustained value </w:t>
      </w:r>
      <w:r w:rsidRPr="002A1341">
        <w:rPr>
          <w:rFonts w:cstheme="minorHAnsi"/>
          <w:sz w:val="24"/>
          <w:szCs w:val="24"/>
        </w:rPr>
        <w:t xml:space="preserve">these firms must go beyond technical competence and compliance to foster continuous learning and innovation </w:t>
      </w:r>
      <w:r w:rsidR="002A1341" w:rsidRPr="002A1341">
        <w:rPr>
          <w:rFonts w:cstheme="minorHAnsi"/>
          <w:sz w:val="24"/>
          <w:szCs w:val="24"/>
        </w:rPr>
        <w:t xml:space="preserve">(Peter </w:t>
      </w:r>
      <w:proofErr w:type="spellStart"/>
      <w:r w:rsidR="002A1341" w:rsidRPr="002A1341">
        <w:rPr>
          <w:rFonts w:cstheme="minorHAnsi"/>
          <w:sz w:val="24"/>
          <w:szCs w:val="24"/>
        </w:rPr>
        <w:t>Senge</w:t>
      </w:r>
      <w:proofErr w:type="spellEnd"/>
      <w:r w:rsidR="002A1341" w:rsidRPr="002A1341">
        <w:rPr>
          <w:rFonts w:cstheme="minorHAnsi"/>
          <w:sz w:val="24"/>
          <w:szCs w:val="24"/>
        </w:rPr>
        <w:t xml:space="preserve"> 1990</w:t>
      </w:r>
      <w:r w:rsidR="002A1341" w:rsidRPr="002A1341">
        <w:rPr>
          <w:rFonts w:cstheme="minorHAnsi"/>
          <w:sz w:val="24"/>
          <w:szCs w:val="24"/>
        </w:rPr>
        <w:t>).  Developing</w:t>
      </w:r>
      <w:r w:rsidRPr="002A1341">
        <w:rPr>
          <w:rFonts w:cstheme="minorHAnsi"/>
          <w:sz w:val="24"/>
          <w:szCs w:val="24"/>
        </w:rPr>
        <w:t xml:space="preserve"> a learning organisation within an accountancy practice involves creating a culture where knowledge is openly shared, reflection and collaboration are encouraged, and individuals are empowered to adapt and grow. This essay explores how accountancy practices can de</w:t>
      </w:r>
      <w:r w:rsidR="002A1341" w:rsidRPr="002A1341">
        <w:rPr>
          <w:rFonts w:cstheme="minorHAnsi"/>
          <w:sz w:val="24"/>
          <w:szCs w:val="24"/>
        </w:rPr>
        <w:t xml:space="preserve">velop as learning organisations </w:t>
      </w:r>
      <w:r w:rsidRPr="002A1341">
        <w:rPr>
          <w:rFonts w:cstheme="minorHAnsi"/>
          <w:sz w:val="24"/>
          <w:szCs w:val="24"/>
        </w:rPr>
        <w:t xml:space="preserve">examining the principles, </w:t>
      </w:r>
      <w:r w:rsidR="002A1341" w:rsidRPr="002A1341">
        <w:rPr>
          <w:rFonts w:cstheme="minorHAnsi"/>
          <w:sz w:val="24"/>
          <w:szCs w:val="24"/>
        </w:rPr>
        <w:t>enablers and barriers involved and also consider</w:t>
      </w:r>
      <w:r w:rsidRPr="002A1341">
        <w:rPr>
          <w:rFonts w:cstheme="minorHAnsi"/>
          <w:sz w:val="24"/>
          <w:szCs w:val="24"/>
        </w:rPr>
        <w:t xml:space="preserve"> how doing so can enhance service quality, employee engagement, and organisational resilience in a rapidly evolving profession.</w:t>
      </w:r>
    </w:p>
    <w:p w:rsidR="002428B7" w:rsidRPr="002A1341" w:rsidRDefault="002428B7" w:rsidP="00EE160A">
      <w:pPr>
        <w:rPr>
          <w:rFonts w:cstheme="minorHAnsi"/>
          <w:sz w:val="24"/>
          <w:szCs w:val="24"/>
        </w:rPr>
      </w:pPr>
      <w:r w:rsidRPr="002A1341">
        <w:rPr>
          <w:rFonts w:cstheme="minorHAnsi"/>
          <w:sz w:val="24"/>
          <w:szCs w:val="24"/>
        </w:rPr>
        <w:t xml:space="preserve">This assignment critically examines the development of individuals within an accountancy practice, highlighting the strategic importance of learning and performance management for organisational success. It explores how development needs can be identified through performance appraisal, feedback, and reflective assessment, and how managing employee expectations ensures alignment between personal aspirations and organisational objectives. Various </w:t>
      </w:r>
      <w:r w:rsidR="002A1341" w:rsidRPr="002A1341">
        <w:rPr>
          <w:rFonts w:cstheme="minorHAnsi"/>
          <w:sz w:val="24"/>
          <w:szCs w:val="24"/>
        </w:rPr>
        <w:t xml:space="preserve">development vehicles </w:t>
      </w:r>
      <w:r w:rsidRPr="002A1341">
        <w:rPr>
          <w:rFonts w:cstheme="minorHAnsi"/>
          <w:sz w:val="24"/>
          <w:szCs w:val="24"/>
        </w:rPr>
        <w:t xml:space="preserve">ranging from formal training and professional qualifications to mentoring, coaching, work-based </w:t>
      </w:r>
      <w:r w:rsidR="002A1341" w:rsidRPr="002A1341">
        <w:rPr>
          <w:rFonts w:cstheme="minorHAnsi"/>
          <w:sz w:val="24"/>
          <w:szCs w:val="24"/>
        </w:rPr>
        <w:t xml:space="preserve">learning, and digital platforms </w:t>
      </w:r>
      <w:r w:rsidRPr="002A1341">
        <w:rPr>
          <w:rFonts w:cstheme="minorHAnsi"/>
          <w:sz w:val="24"/>
          <w:szCs w:val="24"/>
        </w:rPr>
        <w:t>are evaluated for their suitability in addressing individual growth. The assignment also presents a structured Personal Development Plan (PDP) that integrates development activities with performance management, providing clear objectives, resources, timescales, and success criteria. The findings underscore that the effectiveness of development initiatives relies on a supportive learning culture, strategic alignment, and continuous review. Ultimately, investing in individual development enhances professional competence, engagement, knowledge sharing, and organisational resilience, enabling the accountancy practice to operate as a learning organisation capable of sustaining high performance in a dynamic business environment.</w:t>
      </w:r>
    </w:p>
    <w:p w:rsidR="002428B7" w:rsidRPr="002A1341" w:rsidRDefault="002428B7" w:rsidP="00EE160A">
      <w:pPr>
        <w:rPr>
          <w:rFonts w:cstheme="minorHAnsi"/>
          <w:sz w:val="24"/>
          <w:szCs w:val="24"/>
        </w:rPr>
      </w:pPr>
    </w:p>
    <w:p w:rsidR="00CC2324" w:rsidRPr="002A1341" w:rsidRDefault="00CC2324" w:rsidP="00BA2A1C">
      <w:pPr>
        <w:pStyle w:val="Heading1"/>
        <w:rPr>
          <w:rFonts w:asciiTheme="minorHAnsi" w:hAnsiTheme="minorHAnsi" w:cstheme="minorHAnsi"/>
          <w:sz w:val="24"/>
          <w:szCs w:val="24"/>
        </w:rPr>
      </w:pPr>
      <w:bookmarkStart w:id="2" w:name="_Toc211629502"/>
      <w:r w:rsidRPr="002A1341">
        <w:rPr>
          <w:rFonts w:asciiTheme="minorHAnsi" w:hAnsiTheme="minorHAnsi" w:cstheme="minorHAnsi"/>
          <w:sz w:val="24"/>
          <w:szCs w:val="24"/>
        </w:rPr>
        <w:t>Critical Assessment of the Potential Organisational Benefits of Developing Individuals in an Accountancy Practice</w:t>
      </w:r>
      <w:bookmarkEnd w:id="2"/>
    </w:p>
    <w:p w:rsidR="00CC2324" w:rsidRPr="002A1341" w:rsidRDefault="00CC2324" w:rsidP="00CC2324">
      <w:pPr>
        <w:pStyle w:val="NormalWeb"/>
        <w:rPr>
          <w:rFonts w:asciiTheme="minorHAnsi" w:hAnsiTheme="minorHAnsi" w:cstheme="minorHAnsi"/>
        </w:rPr>
      </w:pPr>
      <w:r w:rsidRPr="002A1341">
        <w:rPr>
          <w:rFonts w:asciiTheme="minorHAnsi" w:hAnsiTheme="minorHAnsi" w:cstheme="minorHAnsi"/>
        </w:rPr>
        <w:t>Developing individuals within an accountancy practice brings strategic and cultural benefits that extend far beyond enhancing technical skills. In a profession defined by regulation, ethical responsibility, and client trust, the capability and adaptability of individuals underpin organisational success. Employee development, when integrated into a broader knowledge management culture, strengthens not only individual performance but also the collective learning capacity of the firm. This alignment is particularly critical for accountancy practices seeking to maintain competitive advantage in an environment shaped by digital transformation, complex client needs, and regulatory scrutiny (CIPD, 2023).</w:t>
      </w:r>
    </w:p>
    <w:p w:rsidR="00CC2324" w:rsidRPr="002A1341" w:rsidRDefault="00CC2324" w:rsidP="00CC2324">
      <w:pPr>
        <w:pStyle w:val="NormalWeb"/>
        <w:rPr>
          <w:rFonts w:asciiTheme="minorHAnsi" w:hAnsiTheme="minorHAnsi" w:cstheme="minorHAnsi"/>
        </w:rPr>
      </w:pPr>
      <w:r w:rsidRPr="002A1341">
        <w:rPr>
          <w:rFonts w:asciiTheme="minorHAnsi" w:hAnsiTheme="minorHAnsi" w:cstheme="minorHAnsi"/>
        </w:rPr>
        <w:t xml:space="preserve">The first key organisational benefit of developing individuals lies in the enhancement of professional competence and service quality. Through targeted learning and development </w:t>
      </w:r>
      <w:r w:rsidRPr="002A1341">
        <w:rPr>
          <w:rFonts w:asciiTheme="minorHAnsi" w:hAnsiTheme="minorHAnsi" w:cstheme="minorHAnsi"/>
        </w:rPr>
        <w:lastRenderedPageBreak/>
        <w:t>programmes, accountants deepen their technical expertise, analytical ability, and understanding of emerging financial technologies. This development supports accur</w:t>
      </w:r>
      <w:r w:rsidR="002A1341" w:rsidRPr="002A1341">
        <w:rPr>
          <w:rFonts w:asciiTheme="minorHAnsi" w:hAnsiTheme="minorHAnsi" w:cstheme="minorHAnsi"/>
        </w:rPr>
        <w:t xml:space="preserve">acy, compliance, and efficiency </w:t>
      </w:r>
      <w:r w:rsidRPr="002A1341">
        <w:rPr>
          <w:rFonts w:asciiTheme="minorHAnsi" w:hAnsiTheme="minorHAnsi" w:cstheme="minorHAnsi"/>
        </w:rPr>
        <w:t xml:space="preserve">cornerstones of professional credibility (IFAC, 2018). However, as </w:t>
      </w:r>
      <w:proofErr w:type="spellStart"/>
      <w:r w:rsidRPr="002A1341">
        <w:rPr>
          <w:rFonts w:asciiTheme="minorHAnsi" w:hAnsiTheme="minorHAnsi" w:cstheme="minorHAnsi"/>
        </w:rPr>
        <w:t>Garavan</w:t>
      </w:r>
      <w:proofErr w:type="spellEnd"/>
      <w:r w:rsidRPr="002A1341">
        <w:rPr>
          <w:rFonts w:asciiTheme="minorHAnsi" w:hAnsiTheme="minorHAnsi" w:cstheme="minorHAnsi"/>
        </w:rPr>
        <w:t xml:space="preserve"> et al. (2021) argue, effective development also extends to the cultivation of soft skills such as critical thinking, communication, and ethical decision-making, which enable practitioners to act as trusted advisors rather than transactional service providers. By encouraging reflective practice and continuous professional learning, accountancy firms ensure that individual growth translates into improved client relationships and organisational reputation.</w:t>
      </w:r>
    </w:p>
    <w:p w:rsidR="00CC2324" w:rsidRPr="002A1341" w:rsidRDefault="00CC2324" w:rsidP="00CC2324">
      <w:pPr>
        <w:pStyle w:val="NormalWeb"/>
        <w:rPr>
          <w:rFonts w:asciiTheme="minorHAnsi" w:hAnsiTheme="minorHAnsi" w:cstheme="minorHAnsi"/>
        </w:rPr>
      </w:pPr>
      <w:r w:rsidRPr="002A1341">
        <w:rPr>
          <w:rFonts w:asciiTheme="minorHAnsi" w:hAnsiTheme="minorHAnsi" w:cstheme="minorHAnsi"/>
        </w:rPr>
        <w:t>Another significant benefit concerns employee engagement and retention. Professional service firms face persistent challenges in attracting and retaining skilled talent, particularly among younger professionals who value learning and development opportunities (</w:t>
      </w:r>
      <w:proofErr w:type="spellStart"/>
      <w:r w:rsidRPr="002A1341">
        <w:rPr>
          <w:rFonts w:asciiTheme="minorHAnsi" w:hAnsiTheme="minorHAnsi" w:cstheme="minorHAnsi"/>
        </w:rPr>
        <w:t>Kyndt</w:t>
      </w:r>
      <w:proofErr w:type="spellEnd"/>
      <w:r w:rsidRPr="002A1341">
        <w:rPr>
          <w:rFonts w:asciiTheme="minorHAnsi" w:hAnsiTheme="minorHAnsi" w:cstheme="minorHAnsi"/>
        </w:rPr>
        <w:t xml:space="preserve"> et al., 2013). Providing structured pathways for professional growth signals organisational commitment to employee well-being and career progression, thereby fostering loyalty and reducing costly turnover. Within a knowledge management culture, such initiatives also reinforce the reciprocal relationship between the firm and its staff: individuals contribute knowledge and innovation in exchange for developmental support, creating a self-sustaining learning ecosystem (Nonaka and Takeuchi, 1995).</w:t>
      </w:r>
    </w:p>
    <w:p w:rsidR="00CC2324" w:rsidRPr="002A1341" w:rsidRDefault="00CC2324" w:rsidP="00CC2324">
      <w:pPr>
        <w:pStyle w:val="NormalWeb"/>
        <w:rPr>
          <w:rFonts w:asciiTheme="minorHAnsi" w:hAnsiTheme="minorHAnsi" w:cstheme="minorHAnsi"/>
        </w:rPr>
      </w:pPr>
      <w:r w:rsidRPr="002A1341">
        <w:rPr>
          <w:rFonts w:asciiTheme="minorHAnsi" w:hAnsiTheme="minorHAnsi" w:cstheme="minorHAnsi"/>
        </w:rPr>
        <w:t xml:space="preserve">Developing individuals also facilitates the creation and dissemination of organisational knowledge. </w:t>
      </w:r>
      <w:proofErr w:type="spellStart"/>
      <w:r w:rsidRPr="002A1341">
        <w:rPr>
          <w:rFonts w:asciiTheme="minorHAnsi" w:hAnsiTheme="minorHAnsi" w:cstheme="minorHAnsi"/>
        </w:rPr>
        <w:t>Senge’s</w:t>
      </w:r>
      <w:proofErr w:type="spellEnd"/>
      <w:r w:rsidRPr="002A1341">
        <w:rPr>
          <w:rFonts w:asciiTheme="minorHAnsi" w:hAnsiTheme="minorHAnsi" w:cstheme="minorHAnsi"/>
        </w:rPr>
        <w:t xml:space="preserve"> (1990) concept of the learning organisation highlights the importance of shared vision, systems thinking, and team learning. In an accountancy </w:t>
      </w:r>
      <w:r w:rsidR="002A1341">
        <w:rPr>
          <w:rFonts w:asciiTheme="minorHAnsi" w:hAnsiTheme="minorHAnsi" w:cstheme="minorHAnsi"/>
        </w:rPr>
        <w:t xml:space="preserve">practice, where tacit knowledge </w:t>
      </w:r>
      <w:r w:rsidRPr="002A1341">
        <w:rPr>
          <w:rFonts w:asciiTheme="minorHAnsi" w:hAnsiTheme="minorHAnsi" w:cstheme="minorHAnsi"/>
        </w:rPr>
        <w:t>such as client handling techniques, audit insight</w:t>
      </w:r>
      <w:r w:rsidR="002A1341">
        <w:rPr>
          <w:rFonts w:asciiTheme="minorHAnsi" w:hAnsiTheme="minorHAnsi" w:cstheme="minorHAnsi"/>
        </w:rPr>
        <w:t xml:space="preserve">s, or risk management practices </w:t>
      </w:r>
      <w:r w:rsidRPr="002A1341">
        <w:rPr>
          <w:rFonts w:asciiTheme="minorHAnsi" w:hAnsiTheme="minorHAnsi" w:cstheme="minorHAnsi"/>
        </w:rPr>
        <w:t xml:space="preserve">is invaluable, individual development acts as a catalyst for organisational learning. Through mentoring, communities of practice, and digital knowledge-sharing systems, personal learning can be captured, codified, and distributed across the firm. This process transforms isolated expertise into institutional capability, improving consistency and innovation. However, without intentional structures to support knowledge transfer, there is a risk that learning remains </w:t>
      </w:r>
      <w:r w:rsidR="002A1341" w:rsidRPr="002A1341">
        <w:rPr>
          <w:rFonts w:asciiTheme="minorHAnsi" w:hAnsiTheme="minorHAnsi" w:cstheme="minorHAnsi"/>
        </w:rPr>
        <w:t>isolated</w:t>
      </w:r>
      <w:r w:rsidRPr="002A1341">
        <w:rPr>
          <w:rFonts w:asciiTheme="minorHAnsi" w:hAnsiTheme="minorHAnsi" w:cstheme="minorHAnsi"/>
        </w:rPr>
        <w:t>, limiting its strategic impact (Armstrong and Taylor, 2020).</w:t>
      </w:r>
    </w:p>
    <w:p w:rsidR="00CC2324" w:rsidRPr="002A1341" w:rsidRDefault="00CC2324" w:rsidP="00CC2324">
      <w:pPr>
        <w:pStyle w:val="NormalWeb"/>
        <w:rPr>
          <w:rFonts w:asciiTheme="minorHAnsi" w:hAnsiTheme="minorHAnsi" w:cstheme="minorHAnsi"/>
        </w:rPr>
      </w:pPr>
      <w:r w:rsidRPr="002A1341">
        <w:rPr>
          <w:rFonts w:asciiTheme="minorHAnsi" w:hAnsiTheme="minorHAnsi" w:cstheme="minorHAnsi"/>
        </w:rPr>
        <w:t>Critically, the benefits of developing individuals depend on strategic alignment and cultural support. If learning initiatives are disconnected from organisational goals, they may fail to deliver meaningful returns or even generate resistance among staff. For instance, development programmes focused solely on compliance might reinforce procedural thinking at the expense of innovation (CIPD, 2023). Sim</w:t>
      </w:r>
      <w:r w:rsidR="002A1341" w:rsidRPr="002A1341">
        <w:rPr>
          <w:rFonts w:asciiTheme="minorHAnsi" w:hAnsiTheme="minorHAnsi" w:cstheme="minorHAnsi"/>
        </w:rPr>
        <w:t xml:space="preserve">ilarly, in hierarchical or time </w:t>
      </w:r>
      <w:r w:rsidRPr="002A1341">
        <w:rPr>
          <w:rFonts w:asciiTheme="minorHAnsi" w:hAnsiTheme="minorHAnsi" w:cstheme="minorHAnsi"/>
        </w:rPr>
        <w:t>pressured environments, employees may view learning as secondary to billable work, undermining engagement. Leadership therefore plays a crucial role in embedding development within the firm’s values and daily practice. As Guest (2017) notes, when senior leaders model learning behaviour and encourage reflection, they help cultivate a psychologically safe environment where experimentation and growth are encouraged. This cultural alignment ensures that individual development contributes to the firm’s collective strategic objectives.</w:t>
      </w:r>
    </w:p>
    <w:p w:rsidR="00CC2324" w:rsidRPr="002A1341" w:rsidRDefault="00CC2324" w:rsidP="00CC2324">
      <w:pPr>
        <w:pStyle w:val="NormalWeb"/>
        <w:rPr>
          <w:rFonts w:asciiTheme="minorHAnsi" w:hAnsiTheme="minorHAnsi" w:cstheme="minorHAnsi"/>
        </w:rPr>
      </w:pPr>
      <w:r w:rsidRPr="002A1341">
        <w:rPr>
          <w:rFonts w:asciiTheme="minorHAnsi" w:hAnsiTheme="minorHAnsi" w:cstheme="minorHAnsi"/>
        </w:rPr>
        <w:t>Ultimately, the development of individuals within an accountancy practice</w:t>
      </w:r>
      <w:r w:rsidR="002A1341">
        <w:rPr>
          <w:rFonts w:asciiTheme="minorHAnsi" w:hAnsiTheme="minorHAnsi" w:cstheme="minorHAnsi"/>
        </w:rPr>
        <w:t xml:space="preserve"> </w:t>
      </w:r>
      <w:r w:rsidRPr="002A1341">
        <w:rPr>
          <w:rFonts w:asciiTheme="minorHAnsi" w:hAnsiTheme="minorHAnsi" w:cstheme="minorHAnsi"/>
        </w:rPr>
        <w:t>when framed within</w:t>
      </w:r>
      <w:r w:rsidR="002A1341" w:rsidRPr="002A1341">
        <w:rPr>
          <w:rFonts w:asciiTheme="minorHAnsi" w:hAnsiTheme="minorHAnsi" w:cstheme="minorHAnsi"/>
        </w:rPr>
        <w:t xml:space="preserve"> a knowledge management culture </w:t>
      </w:r>
      <w:r w:rsidRPr="002A1341">
        <w:rPr>
          <w:rFonts w:asciiTheme="minorHAnsi" w:hAnsiTheme="minorHAnsi" w:cstheme="minorHAnsi"/>
        </w:rPr>
        <w:t xml:space="preserve">offers a pathway to sustained organisational performance. It enhances technical excellence, fosters engagement, builds a resilient learning culture, and supports innovation in client service. However, these benefits are contingent on a systemic approach that links learning with strategy, encourages collaboration, and ensures that personal growth translates into shared organisational </w:t>
      </w:r>
      <w:r w:rsidRPr="002A1341">
        <w:rPr>
          <w:rFonts w:asciiTheme="minorHAnsi" w:hAnsiTheme="minorHAnsi" w:cstheme="minorHAnsi"/>
        </w:rPr>
        <w:lastRenderedPageBreak/>
        <w:t>capability. When development becomes an embedded and valued part of professional life, the practice evolves from a provider of accounting services to a dynamic learning organisation capable of continuous renewal and long-term success.</w:t>
      </w:r>
    </w:p>
    <w:p w:rsidR="002428B7" w:rsidRPr="002A1341" w:rsidRDefault="002428B7" w:rsidP="00BA2A1C">
      <w:pPr>
        <w:pStyle w:val="Heading1"/>
        <w:rPr>
          <w:rFonts w:asciiTheme="minorHAnsi" w:hAnsiTheme="minorHAnsi" w:cstheme="minorHAnsi"/>
          <w:sz w:val="24"/>
          <w:szCs w:val="24"/>
        </w:rPr>
      </w:pPr>
      <w:bookmarkStart w:id="3" w:name="_Toc211629503"/>
      <w:r w:rsidRPr="002A1341">
        <w:rPr>
          <w:rFonts w:asciiTheme="minorHAnsi" w:hAnsiTheme="minorHAnsi" w:cstheme="minorHAnsi"/>
          <w:sz w:val="24"/>
          <w:szCs w:val="24"/>
        </w:rPr>
        <w:t>Managing an Individual’s Expectations in Respect of Personal Development</w:t>
      </w:r>
      <w:bookmarkEnd w:id="3"/>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Managing expectations in relation to personal development is a critical aspect of organisational effectiveness and employee engagement. It involves ensuring that individuals have a realistic understanding of the opportunities, resources, and outcomes associated with their development within the organisation. Effective expectation management helps balance individual aspirations with organisational goals, fostering alignment, motivation, and trust between employer and employee (Armstrong and Taylor, 2020).</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From a strategic perspective, clear communication is central to managing expectations. Employees often view personal development as a pathway to career progression, increased responsibility, or enhanced remuneration. However, not all learning or development activities immediately translate into promotion or financial reward. Managers therefore play a vital role in framing development as a continuous process that supports both current performance and long-term employability (</w:t>
      </w:r>
      <w:proofErr w:type="spellStart"/>
      <w:r w:rsidRPr="002A1341">
        <w:rPr>
          <w:rFonts w:asciiTheme="minorHAnsi" w:hAnsiTheme="minorHAnsi" w:cstheme="minorHAnsi"/>
        </w:rPr>
        <w:t>Garavan</w:t>
      </w:r>
      <w:proofErr w:type="spellEnd"/>
      <w:r w:rsidRPr="002A1341">
        <w:rPr>
          <w:rFonts w:asciiTheme="minorHAnsi" w:hAnsiTheme="minorHAnsi" w:cstheme="minorHAnsi"/>
        </w:rPr>
        <w:t xml:space="preserve"> et al., 2021). Transparent discussion of development objectives, timelines, and evaluation criteria helps individuals understand what can realistically be achieved and within what time frame, reducing the risk of frustration or disengagement (CIPD, 2023).</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Expectation management also involves aligning individual development goals with organisational priorities. In professional services such as accountancy, where time and resources are often constrained by client demands, development opportunities must be both relevant and feasible. By linking personal learni</w:t>
      </w:r>
      <w:r w:rsidR="0038005D">
        <w:rPr>
          <w:rFonts w:asciiTheme="minorHAnsi" w:hAnsiTheme="minorHAnsi" w:cstheme="minorHAnsi"/>
        </w:rPr>
        <w:t xml:space="preserve">ng plans to business objectives </w:t>
      </w:r>
      <w:r w:rsidRPr="002A1341">
        <w:rPr>
          <w:rFonts w:asciiTheme="minorHAnsi" w:hAnsiTheme="minorHAnsi" w:cstheme="minorHAnsi"/>
        </w:rPr>
        <w:t xml:space="preserve">such as improving audit quality, strengthening advisory capability, </w:t>
      </w:r>
      <w:r w:rsidR="0038005D">
        <w:rPr>
          <w:rFonts w:asciiTheme="minorHAnsi" w:hAnsiTheme="minorHAnsi" w:cstheme="minorHAnsi"/>
        </w:rPr>
        <w:t xml:space="preserve">or developing digital expertise </w:t>
      </w:r>
      <w:r w:rsidRPr="002A1341">
        <w:rPr>
          <w:rFonts w:asciiTheme="minorHAnsi" w:hAnsiTheme="minorHAnsi" w:cstheme="minorHAnsi"/>
        </w:rPr>
        <w:t>organisations ensure that individual growth contributes to collective success. As Guest (2017) notes, when employees perceive that their development benefits both themselves and the organisation, they are more likely to engage positively with learning initiatives and sustain motivation.</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Regular feedback and developmental dialogue are further essential components of managing expectations. Constructive conversations between managers and team members help to clarify progress, identify barriers, and recalibrate goals where necessary. This continuous dialogue fosters a sense of psychological safety and partnership, allowing individuals to express ambitions and concerns without unrealistic assumptions (</w:t>
      </w:r>
      <w:proofErr w:type="spellStart"/>
      <w:r w:rsidRPr="002A1341">
        <w:rPr>
          <w:rFonts w:asciiTheme="minorHAnsi" w:hAnsiTheme="minorHAnsi" w:cstheme="minorHAnsi"/>
        </w:rPr>
        <w:t>Kyndt</w:t>
      </w:r>
      <w:proofErr w:type="spellEnd"/>
      <w:r w:rsidRPr="002A1341">
        <w:rPr>
          <w:rFonts w:asciiTheme="minorHAnsi" w:hAnsiTheme="minorHAnsi" w:cstheme="minorHAnsi"/>
        </w:rPr>
        <w:t xml:space="preserve"> et al., 2013). In an accountancy practice, such discussions might take place during performance reviews, supervision meetings, or mentoring sessions, ensuring that personal development remains an ongoing and ada</w:t>
      </w:r>
      <w:r w:rsidR="0038005D">
        <w:rPr>
          <w:rFonts w:asciiTheme="minorHAnsi" w:hAnsiTheme="minorHAnsi" w:cstheme="minorHAnsi"/>
        </w:rPr>
        <w:t xml:space="preserve">ptive process rather than a one </w:t>
      </w:r>
      <w:r w:rsidRPr="002A1341">
        <w:rPr>
          <w:rFonts w:asciiTheme="minorHAnsi" w:hAnsiTheme="minorHAnsi" w:cstheme="minorHAnsi"/>
        </w:rPr>
        <w:t>off event.</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However, managing expectations also requires sensitivity to individual differences. Employees vary in their motivation, learning preferences, and career aspirations. A one-size-fits-all approach can lead to disengagement or perceptions of inequity (CIPD, 2023). Managers must therefor</w:t>
      </w:r>
      <w:r w:rsidR="0038005D">
        <w:rPr>
          <w:rFonts w:asciiTheme="minorHAnsi" w:hAnsiTheme="minorHAnsi" w:cstheme="minorHAnsi"/>
        </w:rPr>
        <w:t xml:space="preserve">e adopt a personalised approach </w:t>
      </w:r>
      <w:r w:rsidRPr="002A1341">
        <w:rPr>
          <w:rFonts w:asciiTheme="minorHAnsi" w:hAnsiTheme="minorHAnsi" w:cstheme="minorHAnsi"/>
        </w:rPr>
        <w:t xml:space="preserve">listening actively to individual goals, recognising potential, and setting achievable but stretching targets. Equally, it is important to be honest about organisational constraints. Overpromising development opportunities that cannot be delivered can damage trust and morale. Thus, effective </w:t>
      </w:r>
      <w:r w:rsidRPr="002A1341">
        <w:rPr>
          <w:rFonts w:asciiTheme="minorHAnsi" w:hAnsiTheme="minorHAnsi" w:cstheme="minorHAnsi"/>
        </w:rPr>
        <w:lastRenderedPageBreak/>
        <w:t>expectation management depends on balancing encouragement with realism and aligning personal aspirations with the firm’s strategic direction.</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In summary, managing an individual’s expectations in respect of personal development is a dynamic process that relies on open communication, goal alignment, and ongoing support. When handled effectively, it enhances engagement, trust, and performance; when neglected, it can lead to dissatisfaction, attrition, and misalignment between individual and organisational objectives. Within an accountancy practice, where professional growth and expertise </w:t>
      </w:r>
      <w:proofErr w:type="gramStart"/>
      <w:r w:rsidRPr="002A1341">
        <w:rPr>
          <w:rFonts w:asciiTheme="minorHAnsi" w:hAnsiTheme="minorHAnsi" w:cstheme="minorHAnsi"/>
        </w:rPr>
        <w:t>are</w:t>
      </w:r>
      <w:proofErr w:type="gramEnd"/>
      <w:r w:rsidRPr="002A1341">
        <w:rPr>
          <w:rFonts w:asciiTheme="minorHAnsi" w:hAnsiTheme="minorHAnsi" w:cstheme="minorHAnsi"/>
        </w:rPr>
        <w:t xml:space="preserve"> core to client value, managing development expectations responsibly is not only a matter of good people management but a driver of long-term organisational success.</w:t>
      </w:r>
    </w:p>
    <w:p w:rsidR="002428B7" w:rsidRPr="002A1341" w:rsidRDefault="002428B7" w:rsidP="00BA2A1C">
      <w:pPr>
        <w:pStyle w:val="Heading1"/>
        <w:rPr>
          <w:rFonts w:asciiTheme="minorHAnsi" w:hAnsiTheme="minorHAnsi" w:cstheme="minorHAnsi"/>
          <w:sz w:val="24"/>
          <w:szCs w:val="24"/>
        </w:rPr>
      </w:pPr>
      <w:bookmarkStart w:id="4" w:name="_Toc211629504"/>
      <w:r w:rsidRPr="002A1341">
        <w:rPr>
          <w:rFonts w:asciiTheme="minorHAnsi" w:hAnsiTheme="minorHAnsi" w:cstheme="minorHAnsi"/>
          <w:sz w:val="24"/>
          <w:szCs w:val="24"/>
        </w:rPr>
        <w:t>Critical Evaluation of Development Vehicles Available to an Organisation Appropriate to the Development Needs of the Individual</w:t>
      </w:r>
      <w:bookmarkEnd w:id="4"/>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Organisations employ a range of development vehicles to enhance the skills, knowledge, and capabilities of their employees. The effectiveness of these methods depends on how well they are aligned with both individual learning needs and organisational objectives. In professional service environments such as accountancy practices, the choice of development vehicle must also consider factors such as regulatory requirements, client service demands, and the need for continual professional competence. A critical evaluation therefore requires not only identifying different approaches but also assessing their relative strengths and limitations within a strategic and cultural context.</w:t>
      </w:r>
    </w:p>
    <w:p w:rsidR="002428B7" w:rsidRPr="002A1341" w:rsidRDefault="0038005D" w:rsidP="002428B7">
      <w:pPr>
        <w:pStyle w:val="NormalWeb"/>
        <w:rPr>
          <w:rFonts w:asciiTheme="minorHAnsi" w:hAnsiTheme="minorHAnsi" w:cstheme="minorHAnsi"/>
        </w:rPr>
      </w:pPr>
      <w:r>
        <w:rPr>
          <w:rFonts w:asciiTheme="minorHAnsi" w:hAnsiTheme="minorHAnsi" w:cstheme="minorHAnsi"/>
        </w:rPr>
        <w:t xml:space="preserve">Formal learning interventions </w:t>
      </w:r>
      <w:r w:rsidR="002428B7" w:rsidRPr="002A1341">
        <w:rPr>
          <w:rFonts w:asciiTheme="minorHAnsi" w:hAnsiTheme="minorHAnsi" w:cstheme="minorHAnsi"/>
        </w:rPr>
        <w:t>such as structured training courses, professional qualifications, and continuing profession</w:t>
      </w:r>
      <w:r>
        <w:rPr>
          <w:rFonts w:asciiTheme="minorHAnsi" w:hAnsiTheme="minorHAnsi" w:cstheme="minorHAnsi"/>
        </w:rPr>
        <w:t xml:space="preserve">al development (CPD) programmes </w:t>
      </w:r>
      <w:proofErr w:type="gramStart"/>
      <w:r w:rsidR="002428B7" w:rsidRPr="002A1341">
        <w:rPr>
          <w:rFonts w:asciiTheme="minorHAnsi" w:hAnsiTheme="minorHAnsi" w:cstheme="minorHAnsi"/>
        </w:rPr>
        <w:t>remain</w:t>
      </w:r>
      <w:proofErr w:type="gramEnd"/>
      <w:r w:rsidR="002428B7" w:rsidRPr="002A1341">
        <w:rPr>
          <w:rFonts w:asciiTheme="minorHAnsi" w:hAnsiTheme="minorHAnsi" w:cstheme="minorHAnsi"/>
        </w:rPr>
        <w:t xml:space="preserve"> a cornerstone of development in accountancy practices. These vehicles provide employees with recognised credentials, ensuring technical accuracy and compliance with professional standards set by bodies such as the Association of Chartered Certified Accountants (ACCA) and the Institute of Chartered Accountants in England and Wales (ICAEW). Such programmes enhance professional credibility and standardisation across the firm (IFAC, 2018). However, critics argue that formal learning can be overly prescriptive and may fail to encourage critical thinking or contextual problem-solving (</w:t>
      </w:r>
      <w:proofErr w:type="spellStart"/>
      <w:r w:rsidR="002428B7" w:rsidRPr="002A1341">
        <w:rPr>
          <w:rFonts w:asciiTheme="minorHAnsi" w:hAnsiTheme="minorHAnsi" w:cstheme="minorHAnsi"/>
        </w:rPr>
        <w:t>Garavan</w:t>
      </w:r>
      <w:proofErr w:type="spellEnd"/>
      <w:r w:rsidR="002428B7" w:rsidRPr="002A1341">
        <w:rPr>
          <w:rFonts w:asciiTheme="minorHAnsi" w:hAnsiTheme="minorHAnsi" w:cstheme="minorHAnsi"/>
        </w:rPr>
        <w:t xml:space="preserve"> et al., 2021). Moreover, the cost and time associated with structured training may limit access for some employees, particularly in smaller practices where billable time pressures are significant.</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In contrast, informal and</w:t>
      </w:r>
      <w:r w:rsidR="0038005D">
        <w:rPr>
          <w:rFonts w:asciiTheme="minorHAnsi" w:hAnsiTheme="minorHAnsi" w:cstheme="minorHAnsi"/>
        </w:rPr>
        <w:t xml:space="preserve"> experiential learning vehicles </w:t>
      </w:r>
      <w:r w:rsidRPr="002A1341">
        <w:rPr>
          <w:rFonts w:asciiTheme="minorHAnsi" w:hAnsiTheme="minorHAnsi" w:cstheme="minorHAnsi"/>
        </w:rPr>
        <w:t xml:space="preserve">such as mentoring, coaching, job </w:t>
      </w:r>
      <w:proofErr w:type="gramStart"/>
      <w:r w:rsidRPr="002A1341">
        <w:rPr>
          <w:rFonts w:asciiTheme="minorHAnsi" w:hAnsiTheme="minorHAnsi" w:cstheme="minorHAnsi"/>
        </w:rPr>
        <w:t>rotat</w:t>
      </w:r>
      <w:r w:rsidR="0038005D">
        <w:rPr>
          <w:rFonts w:asciiTheme="minorHAnsi" w:hAnsiTheme="minorHAnsi" w:cstheme="minorHAnsi"/>
        </w:rPr>
        <w:t>ion,</w:t>
      </w:r>
      <w:proofErr w:type="gramEnd"/>
      <w:r w:rsidR="0038005D">
        <w:rPr>
          <w:rFonts w:asciiTheme="minorHAnsi" w:hAnsiTheme="minorHAnsi" w:cstheme="minorHAnsi"/>
        </w:rPr>
        <w:t xml:space="preserve"> and project-based learning </w:t>
      </w:r>
      <w:r w:rsidRPr="002A1341">
        <w:rPr>
          <w:rFonts w:asciiTheme="minorHAnsi" w:hAnsiTheme="minorHAnsi" w:cstheme="minorHAnsi"/>
        </w:rPr>
        <w:t xml:space="preserve">offer flexible and contextualised development opportunities. Mentoring relationships, for example, allow experienced practitioners to transfer tacit knowledge and provide guidance on both technical and professional issues. Coaching, meanwhile, supports individual reflection, self-awareness, and performance improvement through structured dialogue (Armstrong and Taylor, 2020). These vehicles are particularly effective for developing soft skills such as leadership, communication, and ethical judgement—areas often overlooked by formal training. However, their success depends heavily on the quality of the relationship and the capability of the mentor or coach. </w:t>
      </w:r>
      <w:proofErr w:type="gramStart"/>
      <w:r w:rsidRPr="002A1341">
        <w:rPr>
          <w:rFonts w:asciiTheme="minorHAnsi" w:hAnsiTheme="minorHAnsi" w:cstheme="minorHAnsi"/>
        </w:rPr>
        <w:t>Without proper training or support, these interventions risk becoming inconsistent or ineffective (CIPD, 2023).</w:t>
      </w:r>
      <w:proofErr w:type="gramEnd"/>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Work-based learning, including stretch assignments, shadowing, and secondments, provides another valuable development pathway. By immersing individuals in new contexts and </w:t>
      </w:r>
      <w:r w:rsidRPr="002A1341">
        <w:rPr>
          <w:rFonts w:asciiTheme="minorHAnsi" w:hAnsiTheme="minorHAnsi" w:cstheme="minorHAnsi"/>
        </w:rPr>
        <w:lastRenderedPageBreak/>
        <w:t>responsibilities, such experiences promote adaptive learning and enhance problem-solving ability. Within an accountancy practice, secon</w:t>
      </w:r>
      <w:r w:rsidR="0038005D">
        <w:rPr>
          <w:rFonts w:asciiTheme="minorHAnsi" w:hAnsiTheme="minorHAnsi" w:cstheme="minorHAnsi"/>
        </w:rPr>
        <w:t xml:space="preserve">dments to different departments </w:t>
      </w:r>
      <w:r w:rsidRPr="002A1341">
        <w:rPr>
          <w:rFonts w:asciiTheme="minorHAnsi" w:hAnsiTheme="minorHAnsi" w:cstheme="minorHAnsi"/>
        </w:rPr>
        <w:t>such as audit, tax,</w:t>
      </w:r>
      <w:r w:rsidR="0038005D">
        <w:rPr>
          <w:rFonts w:asciiTheme="minorHAnsi" w:hAnsiTheme="minorHAnsi" w:cstheme="minorHAnsi"/>
        </w:rPr>
        <w:t xml:space="preserve"> or advisory </w:t>
      </w:r>
      <w:r w:rsidRPr="002A1341">
        <w:rPr>
          <w:rFonts w:asciiTheme="minorHAnsi" w:hAnsiTheme="minorHAnsi" w:cstheme="minorHAnsi"/>
        </w:rPr>
        <w:t>enable employees to broaden their perspective and develop commercial awareness. This aligns closely with Kolb’s (1984) experiential learning theory, which emphasises learning through reflection on experience. However, while work-based learning is cost-effective and embedded in day-to-day practice, it can lack structure and reflection if not supported by formal review and feedback processes (</w:t>
      </w:r>
      <w:proofErr w:type="spellStart"/>
      <w:r w:rsidRPr="002A1341">
        <w:rPr>
          <w:rFonts w:asciiTheme="minorHAnsi" w:hAnsiTheme="minorHAnsi" w:cstheme="minorHAnsi"/>
        </w:rPr>
        <w:t>Senge</w:t>
      </w:r>
      <w:proofErr w:type="spellEnd"/>
      <w:r w:rsidRPr="002A1341">
        <w:rPr>
          <w:rFonts w:asciiTheme="minorHAnsi" w:hAnsiTheme="minorHAnsi" w:cstheme="minorHAnsi"/>
        </w:rPr>
        <w:t>, 1990).</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Digital and self-directed learning are increasingly significant development vehicles, particularly in the post-pandemic era. Online learning platforms, webinars, and digital knowledge repositories allow employees to access resources flexibly and at scale. In accountancy, where new software systems, data analytics tools, and regulatory updates emerge rapidly, digital learning provides an efficient way to maintain up-to-date knowledge (CIPD, 2023). Yet, the effectiveness of digital learning depends on learner motivation and digital literacy. Without sufficient managerial support or opportunities for application, self-directed learning can lead to superficial engagement rather than deep understanding (</w:t>
      </w:r>
      <w:proofErr w:type="spellStart"/>
      <w:r w:rsidRPr="002A1341">
        <w:rPr>
          <w:rFonts w:asciiTheme="minorHAnsi" w:hAnsiTheme="minorHAnsi" w:cstheme="minorHAnsi"/>
        </w:rPr>
        <w:t>Kyndt</w:t>
      </w:r>
      <w:proofErr w:type="spellEnd"/>
      <w:r w:rsidRPr="002A1341">
        <w:rPr>
          <w:rFonts w:asciiTheme="minorHAnsi" w:hAnsiTheme="minorHAnsi" w:cstheme="minorHAnsi"/>
        </w:rPr>
        <w:t xml:space="preserve"> et al., 2013).</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Crucially, no single development vehicle can meet all individual or organisat</w:t>
      </w:r>
      <w:r w:rsidR="0038005D">
        <w:rPr>
          <w:rFonts w:asciiTheme="minorHAnsi" w:hAnsiTheme="minorHAnsi" w:cstheme="minorHAnsi"/>
        </w:rPr>
        <w:t xml:space="preserve">ional needs. A blended approach </w:t>
      </w:r>
      <w:r w:rsidRPr="002A1341">
        <w:rPr>
          <w:rFonts w:asciiTheme="minorHAnsi" w:hAnsiTheme="minorHAnsi" w:cstheme="minorHAnsi"/>
        </w:rPr>
        <w:t>integrating formal, informal, exp</w:t>
      </w:r>
      <w:r w:rsidR="0038005D">
        <w:rPr>
          <w:rFonts w:asciiTheme="minorHAnsi" w:hAnsiTheme="minorHAnsi" w:cstheme="minorHAnsi"/>
        </w:rPr>
        <w:t xml:space="preserve">eriential, and digital learning </w:t>
      </w:r>
      <w:r w:rsidRPr="002A1341">
        <w:rPr>
          <w:rFonts w:asciiTheme="minorHAnsi" w:hAnsiTheme="minorHAnsi" w:cstheme="minorHAnsi"/>
        </w:rPr>
        <w:t>is generally considered most effective (</w:t>
      </w:r>
      <w:proofErr w:type="spellStart"/>
      <w:r w:rsidRPr="002A1341">
        <w:rPr>
          <w:rFonts w:asciiTheme="minorHAnsi" w:hAnsiTheme="minorHAnsi" w:cstheme="minorHAnsi"/>
        </w:rPr>
        <w:t>Garavan</w:t>
      </w:r>
      <w:proofErr w:type="spellEnd"/>
      <w:r w:rsidRPr="002A1341">
        <w:rPr>
          <w:rFonts w:asciiTheme="minorHAnsi" w:hAnsiTheme="minorHAnsi" w:cstheme="minorHAnsi"/>
        </w:rPr>
        <w:t xml:space="preserve"> et al., 2021). This approach enables personalisation and adaptability, ensuring that employees can develop in ways that align with their learning styles, career stage, and role requirements. For example, in an accountancy practice, a newly qualified accountant might benefit from a combination of mentoring, technical CPD courses, and client-facing project experience, while a senior manager may focus on leadership coaching and strategic development programmes. The key challenge for organisations lies in designing and managing these learning opportunities cohesively, ensuring that they are inclusive, strategically aligned, and evaluated for impact.</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In conclusion, the development vehicles available to an organisation offer diverse and complementary means of enhancing individual and collective capability. Formal training ensures professional compliance and credibility; informal and experiential methods foster reflection and adaptability; and digital learning </w:t>
      </w:r>
      <w:proofErr w:type="gramStart"/>
      <w:r w:rsidR="0038005D" w:rsidRPr="002A1341">
        <w:rPr>
          <w:rFonts w:asciiTheme="minorHAnsi" w:hAnsiTheme="minorHAnsi" w:cstheme="minorHAnsi"/>
        </w:rPr>
        <w:t>enhance</w:t>
      </w:r>
      <w:r w:rsidR="0038005D">
        <w:rPr>
          <w:rFonts w:asciiTheme="minorHAnsi" w:hAnsiTheme="minorHAnsi" w:cstheme="minorHAnsi"/>
        </w:rPr>
        <w:t>s</w:t>
      </w:r>
      <w:proofErr w:type="gramEnd"/>
      <w:r w:rsidRPr="002A1341">
        <w:rPr>
          <w:rFonts w:asciiTheme="minorHAnsi" w:hAnsiTheme="minorHAnsi" w:cstheme="minorHAnsi"/>
        </w:rPr>
        <w:t xml:space="preserve"> accessibility and responsiveness. T</w:t>
      </w:r>
      <w:r w:rsidR="0038005D">
        <w:rPr>
          <w:rFonts w:asciiTheme="minorHAnsi" w:hAnsiTheme="minorHAnsi" w:cstheme="minorHAnsi"/>
        </w:rPr>
        <w:t xml:space="preserve">he critical factor is alignment </w:t>
      </w:r>
      <w:r w:rsidRPr="002A1341">
        <w:rPr>
          <w:rFonts w:asciiTheme="minorHAnsi" w:hAnsiTheme="minorHAnsi" w:cstheme="minorHAnsi"/>
        </w:rPr>
        <w:t>between individual needs, organisational strategy, and the chosen learning methods. In an accountancy practice committed to developing as a learning organisation, a blended and strategically integrated development framework provides the most effective route to achieving both individual fulfilment and organisational excellence.</w:t>
      </w:r>
    </w:p>
    <w:p w:rsidR="00CC2324" w:rsidRPr="002A1341" w:rsidRDefault="00CC2324" w:rsidP="00EE160A">
      <w:pPr>
        <w:rPr>
          <w:rFonts w:cstheme="minorHAnsi"/>
          <w:noProof/>
          <w:sz w:val="24"/>
          <w:szCs w:val="24"/>
        </w:rPr>
      </w:pPr>
    </w:p>
    <w:p w:rsidR="002428B7" w:rsidRPr="002A1341" w:rsidRDefault="002428B7" w:rsidP="00BA2A1C">
      <w:pPr>
        <w:pStyle w:val="Heading1"/>
        <w:rPr>
          <w:rFonts w:asciiTheme="minorHAnsi" w:hAnsiTheme="minorHAnsi" w:cstheme="minorHAnsi"/>
          <w:sz w:val="24"/>
          <w:szCs w:val="24"/>
        </w:rPr>
      </w:pPr>
      <w:bookmarkStart w:id="5" w:name="_Toc211629505"/>
      <w:r w:rsidRPr="002A1341">
        <w:rPr>
          <w:rFonts w:asciiTheme="minorHAnsi" w:hAnsiTheme="minorHAnsi" w:cstheme="minorHAnsi"/>
          <w:sz w:val="24"/>
          <w:szCs w:val="24"/>
        </w:rPr>
        <w:t>Developing a Detailed Plan to Meet Individual Development Needs and Manage Performance</w:t>
      </w:r>
      <w:bookmarkEnd w:id="5"/>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An effective personal development plan (PDP) integrates individual learning needs with organisational objectives and performance management processes. Within an accountancy practice, this ensures that development not only enhances professional competence but also contributes directly to service quality, client satisfaction, and regulatory compliance. The process begins with identifying specific development needs through structured </w:t>
      </w:r>
      <w:r w:rsidRPr="002A1341">
        <w:rPr>
          <w:rFonts w:asciiTheme="minorHAnsi" w:hAnsiTheme="minorHAnsi" w:cstheme="minorHAnsi"/>
        </w:rPr>
        <w:lastRenderedPageBreak/>
        <w:t>assessment and then designing targeted interventions supported by ongoing performance management and feedback.</w:t>
      </w:r>
    </w:p>
    <w:p w:rsidR="002428B7" w:rsidRPr="002A1341" w:rsidRDefault="002428B7" w:rsidP="00BA2A1C">
      <w:pPr>
        <w:pStyle w:val="Heading2"/>
        <w:rPr>
          <w:rFonts w:asciiTheme="minorHAnsi" w:hAnsiTheme="minorHAnsi" w:cstheme="minorHAnsi"/>
          <w:sz w:val="24"/>
          <w:szCs w:val="24"/>
        </w:rPr>
      </w:pPr>
      <w:bookmarkStart w:id="6" w:name="_Toc211629506"/>
      <w:r w:rsidRPr="002A1341">
        <w:rPr>
          <w:rFonts w:asciiTheme="minorHAnsi" w:hAnsiTheme="minorHAnsi" w:cstheme="minorHAnsi"/>
          <w:sz w:val="24"/>
          <w:szCs w:val="24"/>
        </w:rPr>
        <w:t>Identifying Development Needs</w:t>
      </w:r>
      <w:bookmarkEnd w:id="6"/>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The first step is to diagnose the individual’s development requirements. This typically involves a combination of </w:t>
      </w:r>
      <w:r w:rsidRPr="0038005D">
        <w:rPr>
          <w:rStyle w:val="Strong"/>
          <w:rFonts w:asciiTheme="minorHAnsi" w:hAnsiTheme="minorHAnsi" w:cstheme="minorHAnsi"/>
          <w:b w:val="0"/>
        </w:rPr>
        <w:t>performance appraisal</w:t>
      </w:r>
      <w:r w:rsidRPr="0038005D">
        <w:rPr>
          <w:rFonts w:asciiTheme="minorHAnsi" w:hAnsiTheme="minorHAnsi" w:cstheme="minorHAnsi"/>
          <w:b/>
        </w:rPr>
        <w:t xml:space="preserve">, </w:t>
      </w:r>
      <w:r w:rsidR="0038005D">
        <w:rPr>
          <w:rStyle w:val="Strong"/>
          <w:rFonts w:asciiTheme="minorHAnsi" w:hAnsiTheme="minorHAnsi" w:cstheme="minorHAnsi"/>
          <w:b w:val="0"/>
        </w:rPr>
        <w:t>self-assessment</w:t>
      </w:r>
      <w:r w:rsidRPr="002A1341">
        <w:rPr>
          <w:rFonts w:asciiTheme="minorHAnsi" w:hAnsiTheme="minorHAnsi" w:cstheme="minorHAnsi"/>
        </w:rPr>
        <w:t xml:space="preserve"> and </w:t>
      </w:r>
      <w:r w:rsidRPr="0038005D">
        <w:rPr>
          <w:rStyle w:val="Strong"/>
          <w:rFonts w:asciiTheme="minorHAnsi" w:hAnsiTheme="minorHAnsi" w:cstheme="minorHAnsi"/>
          <w:b w:val="0"/>
        </w:rPr>
        <w:t>feedback</w:t>
      </w:r>
      <w:r w:rsidRPr="002A1341">
        <w:rPr>
          <w:rFonts w:asciiTheme="minorHAnsi" w:hAnsiTheme="minorHAnsi" w:cstheme="minorHAnsi"/>
        </w:rPr>
        <w:t xml:space="preserve"> from line managers, peers, and clients. Using tools such as 360-degree feedback, competency frameworks, or CPD gap analyses enables a robust understanding of strengths and areas for improvement (Armstrong and Taylor, 2020). For example, a senior accountant may demonstrate strong technical skills but limited confidence in client relationship management or leadership. These insights form the basis for a tailored development plan.</w:t>
      </w:r>
    </w:p>
    <w:p w:rsidR="002428B7" w:rsidRPr="002A1341" w:rsidRDefault="002428B7" w:rsidP="00BA2A1C">
      <w:pPr>
        <w:pStyle w:val="Heading2"/>
        <w:rPr>
          <w:rFonts w:asciiTheme="minorHAnsi" w:hAnsiTheme="minorHAnsi" w:cstheme="minorHAnsi"/>
          <w:sz w:val="24"/>
          <w:szCs w:val="24"/>
        </w:rPr>
      </w:pPr>
      <w:bookmarkStart w:id="7" w:name="_Toc211629507"/>
      <w:r w:rsidRPr="002A1341">
        <w:rPr>
          <w:rFonts w:asciiTheme="minorHAnsi" w:hAnsiTheme="minorHAnsi" w:cstheme="minorHAnsi"/>
          <w:sz w:val="24"/>
          <w:szCs w:val="24"/>
        </w:rPr>
        <w:t>Setting SMART Objectives</w:t>
      </w:r>
      <w:bookmarkEnd w:id="7"/>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Once needs are identified, clear and measurable development objectives should be established using the </w:t>
      </w:r>
      <w:r w:rsidRPr="0038005D">
        <w:rPr>
          <w:rStyle w:val="Strong"/>
          <w:rFonts w:asciiTheme="minorHAnsi" w:hAnsiTheme="minorHAnsi" w:cstheme="minorHAnsi"/>
          <w:b w:val="0"/>
        </w:rPr>
        <w:t>SMART</w:t>
      </w:r>
      <w:r w:rsidR="0038005D">
        <w:rPr>
          <w:rFonts w:asciiTheme="minorHAnsi" w:hAnsiTheme="minorHAnsi" w:cstheme="minorHAnsi"/>
        </w:rPr>
        <w:t xml:space="preserve"> model </w:t>
      </w:r>
      <w:r w:rsidRPr="002A1341">
        <w:rPr>
          <w:rFonts w:asciiTheme="minorHAnsi" w:hAnsiTheme="minorHAnsi" w:cstheme="minorHAnsi"/>
        </w:rPr>
        <w:t xml:space="preserve">Specific, Measurable, Achievable, Relevant, and Time-bound (Doran, 1981). This approach ensures accountability and alignment between individual aspirations and organisational goals. For instance, a development objective might be: </w:t>
      </w:r>
      <w:r w:rsidRPr="002A1341">
        <w:rPr>
          <w:rStyle w:val="Emphasis"/>
          <w:rFonts w:asciiTheme="minorHAnsi" w:eastAsiaTheme="majorEastAsia" w:hAnsiTheme="minorHAnsi" w:cstheme="minorHAnsi"/>
        </w:rPr>
        <w:t xml:space="preserve">“To enhance client relationship management skills by successfully leading three client meetings within six </w:t>
      </w:r>
      <w:proofErr w:type="gramStart"/>
      <w:r w:rsidRPr="002A1341">
        <w:rPr>
          <w:rStyle w:val="Emphasis"/>
          <w:rFonts w:asciiTheme="minorHAnsi" w:eastAsiaTheme="majorEastAsia" w:hAnsiTheme="minorHAnsi" w:cstheme="minorHAnsi"/>
        </w:rPr>
        <w:t>months,</w:t>
      </w:r>
      <w:proofErr w:type="gramEnd"/>
      <w:r w:rsidRPr="002A1341">
        <w:rPr>
          <w:rStyle w:val="Emphasis"/>
          <w:rFonts w:asciiTheme="minorHAnsi" w:eastAsiaTheme="majorEastAsia" w:hAnsiTheme="minorHAnsi" w:cstheme="minorHAnsi"/>
        </w:rPr>
        <w:t xml:space="preserve"> supported by coaching and feedback.”</w:t>
      </w:r>
      <w:r w:rsidRPr="002A1341">
        <w:rPr>
          <w:rFonts w:asciiTheme="minorHAnsi" w:hAnsiTheme="minorHAnsi" w:cstheme="minorHAnsi"/>
        </w:rPr>
        <w:t xml:space="preserve"> Such objectives provide focus and measurable outcomes, supporting both performance evaluation and motivation (CIPD, 2023).</w:t>
      </w:r>
    </w:p>
    <w:p w:rsidR="002428B7" w:rsidRPr="002A1341" w:rsidRDefault="002428B7" w:rsidP="00BA2A1C">
      <w:pPr>
        <w:pStyle w:val="Heading2"/>
        <w:rPr>
          <w:rFonts w:asciiTheme="minorHAnsi" w:hAnsiTheme="minorHAnsi" w:cstheme="minorHAnsi"/>
          <w:sz w:val="24"/>
          <w:szCs w:val="24"/>
        </w:rPr>
      </w:pPr>
      <w:bookmarkStart w:id="8" w:name="_Toc211629508"/>
      <w:r w:rsidRPr="002A1341">
        <w:rPr>
          <w:rFonts w:asciiTheme="minorHAnsi" w:hAnsiTheme="minorHAnsi" w:cstheme="minorHAnsi"/>
          <w:sz w:val="24"/>
          <w:szCs w:val="24"/>
        </w:rPr>
        <w:t>Selecting Appropriate Development Vehicles</w:t>
      </w:r>
      <w:bookmarkEnd w:id="8"/>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The next stage involves selecting development methods suited to the individual’s needs, learning style, and role requirements. A </w:t>
      </w:r>
      <w:r w:rsidRPr="0038005D">
        <w:rPr>
          <w:rStyle w:val="Strong"/>
          <w:rFonts w:asciiTheme="minorHAnsi" w:hAnsiTheme="minorHAnsi" w:cstheme="minorHAnsi"/>
          <w:b w:val="0"/>
        </w:rPr>
        <w:t>blended learning</w:t>
      </w:r>
      <w:r w:rsidRPr="002A1341">
        <w:rPr>
          <w:rFonts w:asciiTheme="minorHAnsi" w:hAnsiTheme="minorHAnsi" w:cstheme="minorHAnsi"/>
        </w:rPr>
        <w:t xml:space="preserve"> approach is often most effective. In the accountancy context, this could include:</w:t>
      </w:r>
    </w:p>
    <w:p w:rsidR="002428B7" w:rsidRPr="002A1341" w:rsidRDefault="002428B7" w:rsidP="002428B7">
      <w:pPr>
        <w:pStyle w:val="NormalWeb"/>
        <w:numPr>
          <w:ilvl w:val="0"/>
          <w:numId w:val="23"/>
        </w:numPr>
        <w:rPr>
          <w:rFonts w:asciiTheme="minorHAnsi" w:hAnsiTheme="minorHAnsi" w:cstheme="minorHAnsi"/>
        </w:rPr>
      </w:pPr>
      <w:r w:rsidRPr="002A1341">
        <w:rPr>
          <w:rStyle w:val="Strong"/>
          <w:rFonts w:asciiTheme="minorHAnsi" w:hAnsiTheme="minorHAnsi" w:cstheme="minorHAnsi"/>
        </w:rPr>
        <w:t>Formal learning:</w:t>
      </w:r>
      <w:r w:rsidRPr="002A1341">
        <w:rPr>
          <w:rFonts w:asciiTheme="minorHAnsi" w:hAnsiTheme="minorHAnsi" w:cstheme="minorHAnsi"/>
        </w:rPr>
        <w:t xml:space="preserve"> Attending CPD-accredited courses on client communication or leadership.</w:t>
      </w:r>
    </w:p>
    <w:p w:rsidR="002428B7" w:rsidRPr="002A1341" w:rsidRDefault="002428B7" w:rsidP="002428B7">
      <w:pPr>
        <w:pStyle w:val="NormalWeb"/>
        <w:numPr>
          <w:ilvl w:val="0"/>
          <w:numId w:val="23"/>
        </w:numPr>
        <w:rPr>
          <w:rFonts w:asciiTheme="minorHAnsi" w:hAnsiTheme="minorHAnsi" w:cstheme="minorHAnsi"/>
        </w:rPr>
      </w:pPr>
      <w:r w:rsidRPr="002A1341">
        <w:rPr>
          <w:rStyle w:val="Strong"/>
          <w:rFonts w:asciiTheme="minorHAnsi" w:hAnsiTheme="minorHAnsi" w:cstheme="minorHAnsi"/>
        </w:rPr>
        <w:t>Coaching and mentoring:</w:t>
      </w:r>
      <w:r w:rsidRPr="002A1341">
        <w:rPr>
          <w:rFonts w:asciiTheme="minorHAnsi" w:hAnsiTheme="minorHAnsi" w:cstheme="minorHAnsi"/>
        </w:rPr>
        <w:t xml:space="preserve"> Pairing the individual with a senior partner to observe best practices and receive feedback.</w:t>
      </w:r>
    </w:p>
    <w:p w:rsidR="002428B7" w:rsidRPr="002A1341" w:rsidRDefault="002428B7" w:rsidP="002428B7">
      <w:pPr>
        <w:pStyle w:val="NormalWeb"/>
        <w:numPr>
          <w:ilvl w:val="0"/>
          <w:numId w:val="23"/>
        </w:numPr>
        <w:rPr>
          <w:rFonts w:asciiTheme="minorHAnsi" w:hAnsiTheme="minorHAnsi" w:cstheme="minorHAnsi"/>
        </w:rPr>
      </w:pPr>
      <w:r w:rsidRPr="002A1341">
        <w:rPr>
          <w:rStyle w:val="Strong"/>
          <w:rFonts w:asciiTheme="minorHAnsi" w:hAnsiTheme="minorHAnsi" w:cstheme="minorHAnsi"/>
        </w:rPr>
        <w:t>Experiential learning:</w:t>
      </w:r>
      <w:r w:rsidRPr="002A1341">
        <w:rPr>
          <w:rFonts w:asciiTheme="minorHAnsi" w:hAnsiTheme="minorHAnsi" w:cstheme="minorHAnsi"/>
        </w:rPr>
        <w:t xml:space="preserve"> Leading client meetings, managing small teams, or working on cross-functional projects to apply new skills (Kolb, 1984).</w:t>
      </w:r>
    </w:p>
    <w:p w:rsidR="002428B7" w:rsidRPr="002A1341" w:rsidRDefault="002428B7" w:rsidP="002428B7">
      <w:pPr>
        <w:pStyle w:val="NormalWeb"/>
        <w:numPr>
          <w:ilvl w:val="0"/>
          <w:numId w:val="23"/>
        </w:numPr>
        <w:rPr>
          <w:rFonts w:asciiTheme="minorHAnsi" w:hAnsiTheme="minorHAnsi" w:cstheme="minorHAnsi"/>
        </w:rPr>
      </w:pPr>
      <w:r w:rsidRPr="002A1341">
        <w:rPr>
          <w:rStyle w:val="Strong"/>
          <w:rFonts w:asciiTheme="minorHAnsi" w:hAnsiTheme="minorHAnsi" w:cstheme="minorHAnsi"/>
        </w:rPr>
        <w:t>Self-directed learning:</w:t>
      </w:r>
      <w:r w:rsidRPr="002A1341">
        <w:rPr>
          <w:rFonts w:asciiTheme="minorHAnsi" w:hAnsiTheme="minorHAnsi" w:cstheme="minorHAnsi"/>
        </w:rPr>
        <w:t xml:space="preserve"> Accessing online resources, webinars, and knowledge databases for reflective learning.</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Each development activity should be recorded in the individual’s PDP, with timelines, resources, and expected outcomes clearly documented.</w:t>
      </w:r>
    </w:p>
    <w:p w:rsidR="002428B7" w:rsidRPr="002A1341" w:rsidRDefault="002428B7" w:rsidP="00BA2A1C">
      <w:pPr>
        <w:pStyle w:val="Heading2"/>
        <w:rPr>
          <w:rFonts w:asciiTheme="minorHAnsi" w:hAnsiTheme="minorHAnsi" w:cstheme="minorHAnsi"/>
          <w:sz w:val="24"/>
          <w:szCs w:val="24"/>
        </w:rPr>
      </w:pPr>
      <w:bookmarkStart w:id="9" w:name="_Toc211629509"/>
      <w:r w:rsidRPr="002A1341">
        <w:rPr>
          <w:rFonts w:asciiTheme="minorHAnsi" w:hAnsiTheme="minorHAnsi" w:cstheme="minorHAnsi"/>
          <w:sz w:val="24"/>
          <w:szCs w:val="24"/>
        </w:rPr>
        <w:t>Integrating Development with Performance Management</w:t>
      </w:r>
      <w:bookmarkEnd w:id="9"/>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Development planning and performance management must operate as an integrated cycle rather than separate processes. According to </w:t>
      </w:r>
      <w:proofErr w:type="spellStart"/>
      <w:r w:rsidRPr="002A1341">
        <w:rPr>
          <w:rFonts w:asciiTheme="minorHAnsi" w:hAnsiTheme="minorHAnsi" w:cstheme="minorHAnsi"/>
        </w:rPr>
        <w:t>Garavan</w:t>
      </w:r>
      <w:proofErr w:type="spellEnd"/>
      <w:r w:rsidRPr="002A1341">
        <w:rPr>
          <w:rFonts w:asciiTheme="minorHAnsi" w:hAnsiTheme="minorHAnsi" w:cstheme="minorHAnsi"/>
        </w:rPr>
        <w:t xml:space="preserve"> et al. (2021), effective performance management involves continuous dialogue, goal setting, monitoring, feedback, and review. Regular </w:t>
      </w:r>
      <w:r w:rsidRPr="0038005D">
        <w:rPr>
          <w:rStyle w:val="Strong"/>
          <w:rFonts w:asciiTheme="minorHAnsi" w:hAnsiTheme="minorHAnsi" w:cstheme="minorHAnsi"/>
          <w:b w:val="0"/>
        </w:rPr>
        <w:t>performance review meetings</w:t>
      </w:r>
      <w:r w:rsidRPr="002A1341">
        <w:rPr>
          <w:rFonts w:asciiTheme="minorHAnsi" w:hAnsiTheme="minorHAnsi" w:cstheme="minorHAnsi"/>
        </w:rPr>
        <w:t xml:space="preserve"> provide opportunities to discuss progress against objectives, identify barriers, and adjust development activities as necessary. In accountancy </w:t>
      </w:r>
      <w:r w:rsidRPr="002A1341">
        <w:rPr>
          <w:rFonts w:asciiTheme="minorHAnsi" w:hAnsiTheme="minorHAnsi" w:cstheme="minorHAnsi"/>
        </w:rPr>
        <w:lastRenderedPageBreak/>
        <w:t>practices, this might coincide with quarterly performance reviews or post-project evaluations.</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Performance management also requires establishing clear </w:t>
      </w:r>
      <w:r w:rsidRPr="0038005D">
        <w:rPr>
          <w:rStyle w:val="Strong"/>
          <w:rFonts w:asciiTheme="minorHAnsi" w:hAnsiTheme="minorHAnsi" w:cstheme="minorHAnsi"/>
          <w:b w:val="0"/>
        </w:rPr>
        <w:t>Key Performance Indicators (KPIs)</w:t>
      </w:r>
      <w:r w:rsidR="0038005D">
        <w:rPr>
          <w:rFonts w:asciiTheme="minorHAnsi" w:hAnsiTheme="minorHAnsi" w:cstheme="minorHAnsi"/>
        </w:rPr>
        <w:t xml:space="preserve"> linked to development goals </w:t>
      </w:r>
      <w:r w:rsidRPr="002A1341">
        <w:rPr>
          <w:rFonts w:asciiTheme="minorHAnsi" w:hAnsiTheme="minorHAnsi" w:cstheme="minorHAnsi"/>
        </w:rPr>
        <w:t>such as improvements in client feedback scores, error rates, or leadership effectiveness. These indicators ensure that development outcomes are measurable and contribute to both individual and organisational success.</w:t>
      </w:r>
    </w:p>
    <w:p w:rsidR="002428B7" w:rsidRPr="002A1341" w:rsidRDefault="002428B7" w:rsidP="00BA2A1C">
      <w:pPr>
        <w:pStyle w:val="Heading2"/>
        <w:rPr>
          <w:rFonts w:asciiTheme="minorHAnsi" w:hAnsiTheme="minorHAnsi" w:cstheme="minorHAnsi"/>
          <w:sz w:val="24"/>
          <w:szCs w:val="24"/>
        </w:rPr>
      </w:pPr>
      <w:bookmarkStart w:id="10" w:name="_Toc211629510"/>
      <w:r w:rsidRPr="002A1341">
        <w:rPr>
          <w:rFonts w:asciiTheme="minorHAnsi" w:hAnsiTheme="minorHAnsi" w:cstheme="minorHAnsi"/>
          <w:sz w:val="24"/>
          <w:szCs w:val="24"/>
        </w:rPr>
        <w:t>Providing Support and Resources</w:t>
      </w:r>
      <w:bookmarkEnd w:id="10"/>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The success of any development plan depends on the provision of adequate resources and managerial support. This includes access to time for learning, funding for training programmes, and the guidance of mentors or coaches. Senior leadership plays a vital role in fostering a culture that values learning and development. As </w:t>
      </w:r>
      <w:proofErr w:type="spellStart"/>
      <w:r w:rsidRPr="002A1341">
        <w:rPr>
          <w:rFonts w:asciiTheme="minorHAnsi" w:hAnsiTheme="minorHAnsi" w:cstheme="minorHAnsi"/>
        </w:rPr>
        <w:t>Senge</w:t>
      </w:r>
      <w:proofErr w:type="spellEnd"/>
      <w:r w:rsidRPr="002A1341">
        <w:rPr>
          <w:rFonts w:asciiTheme="minorHAnsi" w:hAnsiTheme="minorHAnsi" w:cstheme="minorHAnsi"/>
        </w:rPr>
        <w:t xml:space="preserve"> (1990) suggests, leaders in learning organisations act as de</w:t>
      </w:r>
      <w:r w:rsidR="0038005D">
        <w:rPr>
          <w:rFonts w:asciiTheme="minorHAnsi" w:hAnsiTheme="minorHAnsi" w:cstheme="minorHAnsi"/>
        </w:rPr>
        <w:t xml:space="preserve">signers, teachers, and stewards </w:t>
      </w:r>
      <w:r w:rsidRPr="002A1341">
        <w:rPr>
          <w:rFonts w:asciiTheme="minorHAnsi" w:hAnsiTheme="minorHAnsi" w:cstheme="minorHAnsi"/>
        </w:rPr>
        <w:t>creating the conditions in which individuals can continually expand their capabilities.</w:t>
      </w:r>
    </w:p>
    <w:p w:rsidR="002428B7" w:rsidRPr="002A1341" w:rsidRDefault="002428B7" w:rsidP="00BA2A1C">
      <w:pPr>
        <w:pStyle w:val="Heading2"/>
        <w:rPr>
          <w:rFonts w:asciiTheme="minorHAnsi" w:hAnsiTheme="minorHAnsi" w:cstheme="minorHAnsi"/>
          <w:sz w:val="24"/>
          <w:szCs w:val="24"/>
        </w:rPr>
      </w:pPr>
      <w:bookmarkStart w:id="11" w:name="_Toc211629511"/>
      <w:r w:rsidRPr="002A1341">
        <w:rPr>
          <w:rFonts w:asciiTheme="minorHAnsi" w:hAnsiTheme="minorHAnsi" w:cstheme="minorHAnsi"/>
          <w:sz w:val="24"/>
          <w:szCs w:val="24"/>
        </w:rPr>
        <w:t>Monitoring and Evaluation</w:t>
      </w:r>
      <w:bookmarkEnd w:id="11"/>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The final stage involves evaluating the effectiveness of the development plan. Evaluation should assess both </w:t>
      </w:r>
      <w:r w:rsidRPr="0038005D">
        <w:rPr>
          <w:rStyle w:val="Strong"/>
          <w:rFonts w:asciiTheme="minorHAnsi" w:hAnsiTheme="minorHAnsi" w:cstheme="minorHAnsi"/>
          <w:b w:val="0"/>
        </w:rPr>
        <w:t>learning outcomes</w:t>
      </w:r>
      <w:r w:rsidRPr="002A1341">
        <w:rPr>
          <w:rFonts w:asciiTheme="minorHAnsi" w:hAnsiTheme="minorHAnsi" w:cstheme="minorHAnsi"/>
        </w:rPr>
        <w:t xml:space="preserve"> (knowledge and skill acquisition) and </w:t>
      </w:r>
      <w:r w:rsidRPr="0038005D">
        <w:rPr>
          <w:rStyle w:val="Strong"/>
          <w:rFonts w:asciiTheme="minorHAnsi" w:hAnsiTheme="minorHAnsi" w:cstheme="minorHAnsi"/>
          <w:b w:val="0"/>
        </w:rPr>
        <w:t>performance outcomes</w:t>
      </w:r>
      <w:r w:rsidRPr="002A1341">
        <w:rPr>
          <w:rFonts w:asciiTheme="minorHAnsi" w:hAnsiTheme="minorHAnsi" w:cstheme="minorHAnsi"/>
        </w:rPr>
        <w:t xml:space="preserve"> (improvements in job effectiveness and contribution to organisational goals). Using frameworks such as Kirkpatrick’s four levels of evaluation—reaction, learning, behaviour, and results—can help determine the return on investment and inform future development planning (Kirkpatrick and Kirkpatrick, 2016). Continuous monitoring also reinforces accountability and enables adjustments to maintain relevance and impact.</w:t>
      </w:r>
    </w:p>
    <w:p w:rsidR="002428B7" w:rsidRPr="002A1341" w:rsidRDefault="002428B7" w:rsidP="00BA2A1C">
      <w:pPr>
        <w:pStyle w:val="Heading2"/>
        <w:rPr>
          <w:rFonts w:asciiTheme="minorHAnsi" w:hAnsiTheme="minorHAnsi" w:cstheme="minorHAnsi"/>
          <w:sz w:val="24"/>
          <w:szCs w:val="24"/>
        </w:rPr>
      </w:pPr>
      <w:bookmarkStart w:id="12" w:name="_Toc211629512"/>
      <w:r w:rsidRPr="002A1341">
        <w:rPr>
          <w:rFonts w:asciiTheme="minorHAnsi" w:hAnsiTheme="minorHAnsi" w:cstheme="minorHAnsi"/>
          <w:sz w:val="24"/>
          <w:szCs w:val="24"/>
        </w:rPr>
        <w:t>Critical Reflection</w:t>
      </w:r>
      <w:bookmarkEnd w:id="12"/>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While structured development planning and performance management bring clear benefits, challenges remain. Overly rigid frameworks can stifle creativity and intrinsic motivation if employees perceive development as a compliance exercise rather than a genuine growth opportunity (Guest, 2017). Moreover, line managers may lack the skills or time to conduct meaningful performance discussions. Therefore, organisations must equip managers with the capability to coach, provide constructive feedback, and foster trust. Embedding these practices within a supportive learning culture ensures that development planning becomes a collaborative, empowering process rather than a bureaucratic one.</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In summary, a detailed and integrated development plan enables individuals to achieve personal growth while contributing to organisational performance. Within an accountancy practice, such plans ensure that learning is purposeful, measurable, and strategically aligned. When combined with continuous performance management and supported by strong leadership, development planning becomes a key driver of engagement, professional excellence, and organisational resilience.</w:t>
      </w:r>
    </w:p>
    <w:p w:rsidR="00CC2324" w:rsidRPr="002A1341" w:rsidRDefault="00CC2324" w:rsidP="00EE160A">
      <w:pPr>
        <w:rPr>
          <w:rFonts w:cstheme="minorHAnsi"/>
          <w:noProof/>
          <w:sz w:val="24"/>
          <w:szCs w:val="24"/>
        </w:rPr>
      </w:pPr>
    </w:p>
    <w:p w:rsidR="002428B7" w:rsidRPr="002A1341" w:rsidRDefault="002428B7" w:rsidP="00BA2A1C">
      <w:pPr>
        <w:pStyle w:val="Heading1"/>
        <w:rPr>
          <w:rFonts w:asciiTheme="minorHAnsi" w:hAnsiTheme="minorHAnsi" w:cstheme="minorHAnsi"/>
          <w:sz w:val="24"/>
          <w:szCs w:val="24"/>
        </w:rPr>
      </w:pPr>
      <w:bookmarkStart w:id="13" w:name="_Toc211629513"/>
      <w:r w:rsidRPr="002A1341">
        <w:rPr>
          <w:rStyle w:val="Strong"/>
          <w:rFonts w:asciiTheme="minorHAnsi" w:hAnsiTheme="minorHAnsi" w:cstheme="minorHAnsi"/>
          <w:b/>
          <w:bCs/>
          <w:sz w:val="24"/>
          <w:szCs w:val="24"/>
        </w:rPr>
        <w:lastRenderedPageBreak/>
        <w:t>Personal Development Plan (PDP)</w:t>
      </w:r>
      <w:bookmarkEnd w:id="13"/>
      <w:r w:rsidRPr="002A1341">
        <w:rPr>
          <w:rStyle w:val="Strong"/>
          <w:rFonts w:asciiTheme="minorHAnsi" w:hAnsiTheme="minorHAnsi" w:cstheme="minorHAnsi"/>
          <w:b/>
          <w:bCs/>
          <w:sz w:val="24"/>
          <w:szCs w:val="24"/>
        </w:rPr>
        <w:t xml:space="preserve"> </w:t>
      </w:r>
    </w:p>
    <w:p w:rsidR="002428B7" w:rsidRPr="002A1341" w:rsidRDefault="002428B7" w:rsidP="002428B7">
      <w:pPr>
        <w:pStyle w:val="NormalWeb"/>
        <w:rPr>
          <w:rFonts w:asciiTheme="minorHAnsi" w:hAnsiTheme="minorHAnsi" w:cstheme="minorHAnsi"/>
        </w:rPr>
      </w:pPr>
      <w:r w:rsidRPr="002A1341">
        <w:rPr>
          <w:rStyle w:val="Strong"/>
          <w:rFonts w:asciiTheme="minorHAnsi" w:hAnsiTheme="minorHAnsi" w:cstheme="minorHAnsi"/>
        </w:rPr>
        <w:t>Employee Name:</w:t>
      </w:r>
      <w:r w:rsidRPr="002A1341">
        <w:rPr>
          <w:rFonts w:asciiTheme="minorHAnsi" w:hAnsiTheme="minorHAnsi" w:cstheme="minorHAnsi"/>
        </w:rPr>
        <w:t xml:space="preserve"> </w:t>
      </w:r>
      <w:r w:rsidR="0038005D">
        <w:rPr>
          <w:rFonts w:asciiTheme="minorHAnsi" w:hAnsiTheme="minorHAnsi" w:cstheme="minorHAnsi"/>
        </w:rPr>
        <w:t>Lisa Bowen</w:t>
      </w:r>
      <w:r w:rsidRPr="002A1341">
        <w:rPr>
          <w:rFonts w:asciiTheme="minorHAnsi" w:hAnsiTheme="minorHAnsi" w:cstheme="minorHAnsi"/>
        </w:rPr>
        <w:br/>
      </w:r>
      <w:r w:rsidRPr="002A1341">
        <w:rPr>
          <w:rStyle w:val="Strong"/>
          <w:rFonts w:asciiTheme="minorHAnsi" w:hAnsiTheme="minorHAnsi" w:cstheme="minorHAnsi"/>
        </w:rPr>
        <w:t>Job Title:</w:t>
      </w:r>
      <w:r w:rsidR="0038005D">
        <w:rPr>
          <w:rFonts w:asciiTheme="minorHAnsi" w:hAnsiTheme="minorHAnsi" w:cstheme="minorHAnsi"/>
        </w:rPr>
        <w:t xml:space="preserve"> </w:t>
      </w:r>
      <w:r w:rsidRPr="002A1341">
        <w:rPr>
          <w:rFonts w:asciiTheme="minorHAnsi" w:hAnsiTheme="minorHAnsi" w:cstheme="minorHAnsi"/>
        </w:rPr>
        <w:t>Accountant</w:t>
      </w:r>
      <w:r w:rsidRPr="002A1341">
        <w:rPr>
          <w:rFonts w:asciiTheme="minorHAnsi" w:hAnsiTheme="minorHAnsi" w:cstheme="minorHAnsi"/>
        </w:rPr>
        <w:br/>
      </w:r>
      <w:r w:rsidRPr="002A1341">
        <w:rPr>
          <w:rStyle w:val="Strong"/>
          <w:rFonts w:asciiTheme="minorHAnsi" w:hAnsiTheme="minorHAnsi" w:cstheme="minorHAnsi"/>
        </w:rPr>
        <w:t>Department:</w:t>
      </w:r>
      <w:r w:rsidRPr="002A1341">
        <w:rPr>
          <w:rFonts w:asciiTheme="minorHAnsi" w:hAnsiTheme="minorHAnsi" w:cstheme="minorHAnsi"/>
        </w:rPr>
        <w:t xml:space="preserve"> </w:t>
      </w:r>
      <w:r w:rsidR="0038005D">
        <w:rPr>
          <w:rFonts w:asciiTheme="minorHAnsi" w:hAnsiTheme="minorHAnsi" w:cstheme="minorHAnsi"/>
        </w:rPr>
        <w:t>Accounts/</w:t>
      </w:r>
      <w:r w:rsidRPr="002A1341">
        <w:rPr>
          <w:rFonts w:asciiTheme="minorHAnsi" w:hAnsiTheme="minorHAnsi" w:cstheme="minorHAnsi"/>
        </w:rPr>
        <w:t>Audit and Assurance</w:t>
      </w:r>
      <w:r w:rsidRPr="002A1341">
        <w:rPr>
          <w:rFonts w:asciiTheme="minorHAnsi" w:hAnsiTheme="minorHAnsi" w:cstheme="minorHAnsi"/>
        </w:rPr>
        <w:br/>
      </w:r>
      <w:r w:rsidRPr="002A1341">
        <w:rPr>
          <w:rStyle w:val="Strong"/>
          <w:rFonts w:asciiTheme="minorHAnsi" w:hAnsiTheme="minorHAnsi" w:cstheme="minorHAnsi"/>
        </w:rPr>
        <w:t>Review Period:</w:t>
      </w:r>
      <w:r w:rsidRPr="002A1341">
        <w:rPr>
          <w:rFonts w:asciiTheme="minorHAnsi" w:hAnsiTheme="minorHAnsi" w:cstheme="minorHAnsi"/>
        </w:rPr>
        <w:t xml:space="preserve"> April 2025 – March 2026</w:t>
      </w:r>
    </w:p>
    <w:tbl>
      <w:tblPr>
        <w:tblW w:w="9401"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463"/>
        <w:gridCol w:w="1236"/>
        <w:gridCol w:w="1457"/>
        <w:gridCol w:w="1073"/>
        <w:gridCol w:w="1195"/>
        <w:gridCol w:w="1418"/>
        <w:gridCol w:w="1559"/>
      </w:tblGrid>
      <w:tr w:rsidR="0038005D" w:rsidRPr="002A1341" w:rsidTr="0038005D">
        <w:trPr>
          <w:tblHeader/>
          <w:tblCellSpacing w:w="15" w:type="dxa"/>
        </w:trPr>
        <w:tc>
          <w:tcPr>
            <w:tcW w:w="1418" w:type="dxa"/>
            <w:vAlign w:val="center"/>
            <w:hideMark/>
          </w:tcPr>
          <w:p w:rsidR="002428B7" w:rsidRPr="002A1341" w:rsidRDefault="002428B7">
            <w:pPr>
              <w:jc w:val="center"/>
              <w:rPr>
                <w:rFonts w:cstheme="minorHAnsi"/>
                <w:b/>
                <w:bCs/>
                <w:sz w:val="24"/>
                <w:szCs w:val="24"/>
              </w:rPr>
            </w:pPr>
            <w:r w:rsidRPr="002A1341">
              <w:rPr>
                <w:rStyle w:val="Strong"/>
                <w:rFonts w:cstheme="minorHAnsi"/>
                <w:sz w:val="24"/>
                <w:szCs w:val="24"/>
              </w:rPr>
              <w:t>Development Area / Need</w:t>
            </w:r>
          </w:p>
        </w:tc>
        <w:tc>
          <w:tcPr>
            <w:tcW w:w="1206" w:type="dxa"/>
            <w:vAlign w:val="center"/>
            <w:hideMark/>
          </w:tcPr>
          <w:p w:rsidR="002428B7" w:rsidRPr="002A1341" w:rsidRDefault="002428B7">
            <w:pPr>
              <w:jc w:val="center"/>
              <w:rPr>
                <w:rFonts w:cstheme="minorHAnsi"/>
                <w:b/>
                <w:bCs/>
                <w:sz w:val="24"/>
                <w:szCs w:val="24"/>
              </w:rPr>
            </w:pPr>
            <w:r w:rsidRPr="002A1341">
              <w:rPr>
                <w:rStyle w:val="Strong"/>
                <w:rFonts w:cstheme="minorHAnsi"/>
                <w:sz w:val="24"/>
                <w:szCs w:val="24"/>
              </w:rPr>
              <w:t>SMART Objective</w:t>
            </w:r>
          </w:p>
        </w:tc>
        <w:tc>
          <w:tcPr>
            <w:tcW w:w="1427" w:type="dxa"/>
            <w:vAlign w:val="center"/>
            <w:hideMark/>
          </w:tcPr>
          <w:p w:rsidR="002428B7" w:rsidRPr="002A1341" w:rsidRDefault="002428B7">
            <w:pPr>
              <w:jc w:val="center"/>
              <w:rPr>
                <w:rFonts w:cstheme="minorHAnsi"/>
                <w:b/>
                <w:bCs/>
                <w:sz w:val="24"/>
                <w:szCs w:val="24"/>
              </w:rPr>
            </w:pPr>
            <w:r w:rsidRPr="002A1341">
              <w:rPr>
                <w:rStyle w:val="Strong"/>
                <w:rFonts w:cstheme="minorHAnsi"/>
                <w:sz w:val="24"/>
                <w:szCs w:val="24"/>
              </w:rPr>
              <w:t>Development Activities / Actions</w:t>
            </w:r>
          </w:p>
        </w:tc>
        <w:tc>
          <w:tcPr>
            <w:tcW w:w="1043" w:type="dxa"/>
            <w:vAlign w:val="center"/>
            <w:hideMark/>
          </w:tcPr>
          <w:p w:rsidR="002428B7" w:rsidRPr="002A1341" w:rsidRDefault="002428B7">
            <w:pPr>
              <w:jc w:val="center"/>
              <w:rPr>
                <w:rFonts w:cstheme="minorHAnsi"/>
                <w:b/>
                <w:bCs/>
                <w:sz w:val="24"/>
                <w:szCs w:val="24"/>
              </w:rPr>
            </w:pPr>
            <w:r w:rsidRPr="002A1341">
              <w:rPr>
                <w:rStyle w:val="Strong"/>
                <w:rFonts w:cstheme="minorHAnsi"/>
                <w:sz w:val="24"/>
                <w:szCs w:val="24"/>
              </w:rPr>
              <w:t>Resources &amp; Support Required</w:t>
            </w:r>
          </w:p>
        </w:tc>
        <w:tc>
          <w:tcPr>
            <w:tcW w:w="1165" w:type="dxa"/>
            <w:vAlign w:val="center"/>
            <w:hideMark/>
          </w:tcPr>
          <w:p w:rsidR="002428B7" w:rsidRPr="002A1341" w:rsidRDefault="002428B7">
            <w:pPr>
              <w:jc w:val="center"/>
              <w:rPr>
                <w:rFonts w:cstheme="minorHAnsi"/>
                <w:b/>
                <w:bCs/>
                <w:sz w:val="24"/>
                <w:szCs w:val="24"/>
              </w:rPr>
            </w:pPr>
            <w:r w:rsidRPr="002A1341">
              <w:rPr>
                <w:rStyle w:val="Strong"/>
                <w:rFonts w:cstheme="minorHAnsi"/>
                <w:sz w:val="24"/>
                <w:szCs w:val="24"/>
              </w:rPr>
              <w:t>Timescale / Review Points</w:t>
            </w:r>
          </w:p>
        </w:tc>
        <w:tc>
          <w:tcPr>
            <w:tcW w:w="1388" w:type="dxa"/>
            <w:vAlign w:val="center"/>
            <w:hideMark/>
          </w:tcPr>
          <w:p w:rsidR="002428B7" w:rsidRPr="002A1341" w:rsidRDefault="002428B7">
            <w:pPr>
              <w:jc w:val="center"/>
              <w:rPr>
                <w:rFonts w:cstheme="minorHAnsi"/>
                <w:b/>
                <w:bCs/>
                <w:sz w:val="24"/>
                <w:szCs w:val="24"/>
              </w:rPr>
            </w:pPr>
            <w:r w:rsidRPr="002A1341">
              <w:rPr>
                <w:rStyle w:val="Strong"/>
                <w:rFonts w:cstheme="minorHAnsi"/>
                <w:sz w:val="24"/>
                <w:szCs w:val="24"/>
              </w:rPr>
              <w:t>Success Criteria / Performance Indicators</w:t>
            </w:r>
          </w:p>
        </w:tc>
        <w:tc>
          <w:tcPr>
            <w:tcW w:w="1514" w:type="dxa"/>
            <w:vAlign w:val="center"/>
            <w:hideMark/>
          </w:tcPr>
          <w:p w:rsidR="002428B7" w:rsidRPr="002A1341" w:rsidRDefault="002428B7">
            <w:pPr>
              <w:jc w:val="center"/>
              <w:rPr>
                <w:rFonts w:cstheme="minorHAnsi"/>
                <w:b/>
                <w:bCs/>
                <w:sz w:val="24"/>
                <w:szCs w:val="24"/>
              </w:rPr>
            </w:pPr>
            <w:r w:rsidRPr="002A1341">
              <w:rPr>
                <w:rStyle w:val="Strong"/>
                <w:rFonts w:cstheme="minorHAnsi"/>
                <w:sz w:val="24"/>
                <w:szCs w:val="24"/>
              </w:rPr>
              <w:t>Organisational Alignment</w:t>
            </w:r>
          </w:p>
        </w:tc>
      </w:tr>
      <w:tr w:rsidR="0038005D" w:rsidRPr="002A1341" w:rsidTr="0038005D">
        <w:trPr>
          <w:tblCellSpacing w:w="15" w:type="dxa"/>
        </w:trPr>
        <w:tc>
          <w:tcPr>
            <w:tcW w:w="1418" w:type="dxa"/>
            <w:vAlign w:val="center"/>
            <w:hideMark/>
          </w:tcPr>
          <w:p w:rsidR="002428B7" w:rsidRPr="002A1341" w:rsidRDefault="002428B7">
            <w:pPr>
              <w:rPr>
                <w:rFonts w:cstheme="minorHAnsi"/>
                <w:sz w:val="24"/>
                <w:szCs w:val="24"/>
              </w:rPr>
            </w:pPr>
            <w:r w:rsidRPr="002A1341">
              <w:rPr>
                <w:rStyle w:val="Strong"/>
                <w:rFonts w:cstheme="minorHAnsi"/>
                <w:sz w:val="24"/>
                <w:szCs w:val="24"/>
              </w:rPr>
              <w:t>1. Leadership and Team Management</w:t>
            </w:r>
          </w:p>
        </w:tc>
        <w:tc>
          <w:tcPr>
            <w:tcW w:w="1206" w:type="dxa"/>
            <w:vAlign w:val="center"/>
            <w:hideMark/>
          </w:tcPr>
          <w:p w:rsidR="002428B7" w:rsidRPr="002A1341" w:rsidRDefault="002428B7">
            <w:pPr>
              <w:rPr>
                <w:rFonts w:cstheme="minorHAnsi"/>
                <w:sz w:val="24"/>
                <w:szCs w:val="24"/>
              </w:rPr>
            </w:pPr>
            <w:r w:rsidRPr="002A1341">
              <w:rPr>
                <w:rFonts w:cstheme="minorHAnsi"/>
                <w:sz w:val="24"/>
                <w:szCs w:val="24"/>
              </w:rPr>
              <w:t>Develop leadership and delegation skills to effectively manage junior audit staff within six months.</w:t>
            </w:r>
          </w:p>
        </w:tc>
        <w:tc>
          <w:tcPr>
            <w:tcW w:w="1427" w:type="dxa"/>
            <w:vAlign w:val="center"/>
            <w:hideMark/>
          </w:tcPr>
          <w:p w:rsidR="002428B7" w:rsidRPr="002A1341" w:rsidRDefault="002428B7">
            <w:pPr>
              <w:rPr>
                <w:rFonts w:cstheme="minorHAnsi"/>
                <w:sz w:val="24"/>
                <w:szCs w:val="24"/>
              </w:rPr>
            </w:pPr>
            <w:r w:rsidRPr="002A1341">
              <w:rPr>
                <w:rFonts w:cstheme="minorHAnsi"/>
                <w:sz w:val="24"/>
                <w:szCs w:val="24"/>
              </w:rPr>
              <w:t xml:space="preserve">• Attend a 2-day internal leadership course. </w:t>
            </w:r>
            <w:r w:rsidRPr="002A1341">
              <w:rPr>
                <w:rFonts w:cstheme="minorHAnsi"/>
                <w:sz w:val="24"/>
                <w:szCs w:val="24"/>
              </w:rPr>
              <w:br/>
              <w:t xml:space="preserve">• Receive monthly coaching sessions from Audit Partner. </w:t>
            </w:r>
            <w:r w:rsidRPr="002A1341">
              <w:rPr>
                <w:rFonts w:cstheme="minorHAnsi"/>
                <w:sz w:val="24"/>
                <w:szCs w:val="24"/>
              </w:rPr>
              <w:br/>
              <w:t>• Lead two audit engagements, providing feedback to junior staff.</w:t>
            </w:r>
          </w:p>
        </w:tc>
        <w:tc>
          <w:tcPr>
            <w:tcW w:w="1043" w:type="dxa"/>
            <w:vAlign w:val="center"/>
            <w:hideMark/>
          </w:tcPr>
          <w:p w:rsidR="002428B7" w:rsidRPr="002A1341" w:rsidRDefault="002428B7">
            <w:pPr>
              <w:rPr>
                <w:rFonts w:cstheme="minorHAnsi"/>
                <w:sz w:val="24"/>
                <w:szCs w:val="24"/>
              </w:rPr>
            </w:pPr>
            <w:r w:rsidRPr="002A1341">
              <w:rPr>
                <w:rFonts w:cstheme="minorHAnsi"/>
                <w:sz w:val="24"/>
                <w:szCs w:val="24"/>
              </w:rPr>
              <w:t>Coaching time from partner; internal training budget; feedback template.</w:t>
            </w:r>
          </w:p>
        </w:tc>
        <w:tc>
          <w:tcPr>
            <w:tcW w:w="1165" w:type="dxa"/>
            <w:vAlign w:val="center"/>
            <w:hideMark/>
          </w:tcPr>
          <w:p w:rsidR="002428B7" w:rsidRPr="002A1341" w:rsidRDefault="002428B7">
            <w:pPr>
              <w:rPr>
                <w:rFonts w:cstheme="minorHAnsi"/>
                <w:sz w:val="24"/>
                <w:szCs w:val="24"/>
              </w:rPr>
            </w:pPr>
            <w:r w:rsidRPr="002A1341">
              <w:rPr>
                <w:rFonts w:cstheme="minorHAnsi"/>
                <w:sz w:val="24"/>
                <w:szCs w:val="24"/>
              </w:rPr>
              <w:t xml:space="preserve">June 2025 – September 2025. </w:t>
            </w:r>
            <w:r w:rsidRPr="002A1341">
              <w:rPr>
                <w:rFonts w:cstheme="minorHAnsi"/>
                <w:sz w:val="24"/>
                <w:szCs w:val="24"/>
              </w:rPr>
              <w:br/>
              <w:t>Review at mid-year appraisal.</w:t>
            </w:r>
          </w:p>
        </w:tc>
        <w:tc>
          <w:tcPr>
            <w:tcW w:w="1388" w:type="dxa"/>
            <w:vAlign w:val="center"/>
            <w:hideMark/>
          </w:tcPr>
          <w:p w:rsidR="002428B7" w:rsidRPr="002A1341" w:rsidRDefault="002428B7">
            <w:pPr>
              <w:rPr>
                <w:rFonts w:cstheme="minorHAnsi"/>
                <w:sz w:val="24"/>
                <w:szCs w:val="24"/>
              </w:rPr>
            </w:pPr>
            <w:r w:rsidRPr="002A1341">
              <w:rPr>
                <w:rFonts w:cstheme="minorHAnsi"/>
                <w:sz w:val="24"/>
                <w:szCs w:val="24"/>
              </w:rPr>
              <w:t xml:space="preserve">Evidence of improved team efficiency and positive feedback from juniors. </w:t>
            </w:r>
            <w:r w:rsidRPr="002A1341">
              <w:rPr>
                <w:rFonts w:cstheme="minorHAnsi"/>
                <w:sz w:val="24"/>
                <w:szCs w:val="24"/>
              </w:rPr>
              <w:br/>
              <w:t>Demonstrates confidence in leading engagements.</w:t>
            </w:r>
          </w:p>
        </w:tc>
        <w:tc>
          <w:tcPr>
            <w:tcW w:w="1514" w:type="dxa"/>
            <w:vAlign w:val="center"/>
            <w:hideMark/>
          </w:tcPr>
          <w:p w:rsidR="002428B7" w:rsidRPr="002A1341" w:rsidRDefault="002428B7">
            <w:pPr>
              <w:rPr>
                <w:rFonts w:cstheme="minorHAnsi"/>
                <w:sz w:val="24"/>
                <w:szCs w:val="24"/>
              </w:rPr>
            </w:pPr>
            <w:r w:rsidRPr="002A1341">
              <w:rPr>
                <w:rFonts w:cstheme="minorHAnsi"/>
                <w:sz w:val="24"/>
                <w:szCs w:val="24"/>
              </w:rPr>
              <w:t>Supports the firm’s succession planning and staff development strategy.</w:t>
            </w:r>
          </w:p>
        </w:tc>
      </w:tr>
      <w:tr w:rsidR="0038005D" w:rsidRPr="002A1341" w:rsidTr="0038005D">
        <w:trPr>
          <w:tblCellSpacing w:w="15" w:type="dxa"/>
        </w:trPr>
        <w:tc>
          <w:tcPr>
            <w:tcW w:w="1418" w:type="dxa"/>
            <w:vAlign w:val="center"/>
            <w:hideMark/>
          </w:tcPr>
          <w:p w:rsidR="002428B7" w:rsidRPr="002A1341" w:rsidRDefault="002428B7">
            <w:pPr>
              <w:rPr>
                <w:rFonts w:cstheme="minorHAnsi"/>
                <w:sz w:val="24"/>
                <w:szCs w:val="24"/>
              </w:rPr>
            </w:pPr>
            <w:r w:rsidRPr="002A1341">
              <w:rPr>
                <w:rStyle w:val="Strong"/>
                <w:rFonts w:cstheme="minorHAnsi"/>
                <w:sz w:val="24"/>
                <w:szCs w:val="24"/>
              </w:rPr>
              <w:t>2. Client Relationship Management</w:t>
            </w:r>
          </w:p>
        </w:tc>
        <w:tc>
          <w:tcPr>
            <w:tcW w:w="1206" w:type="dxa"/>
            <w:vAlign w:val="center"/>
            <w:hideMark/>
          </w:tcPr>
          <w:p w:rsidR="002428B7" w:rsidRPr="002A1341" w:rsidRDefault="002428B7">
            <w:pPr>
              <w:rPr>
                <w:rFonts w:cstheme="minorHAnsi"/>
                <w:sz w:val="24"/>
                <w:szCs w:val="24"/>
              </w:rPr>
            </w:pPr>
            <w:r w:rsidRPr="002A1341">
              <w:rPr>
                <w:rFonts w:cstheme="minorHAnsi"/>
                <w:sz w:val="24"/>
                <w:szCs w:val="24"/>
              </w:rPr>
              <w:t>Strengthen client communication and relationship management skills by independently managing three client meetings by year-end.</w:t>
            </w:r>
          </w:p>
        </w:tc>
        <w:tc>
          <w:tcPr>
            <w:tcW w:w="1427" w:type="dxa"/>
            <w:vAlign w:val="center"/>
            <w:hideMark/>
          </w:tcPr>
          <w:p w:rsidR="002428B7" w:rsidRPr="002A1341" w:rsidRDefault="002428B7">
            <w:pPr>
              <w:rPr>
                <w:rFonts w:cstheme="minorHAnsi"/>
                <w:sz w:val="24"/>
                <w:szCs w:val="24"/>
              </w:rPr>
            </w:pPr>
            <w:r w:rsidRPr="002A1341">
              <w:rPr>
                <w:rFonts w:cstheme="minorHAnsi"/>
                <w:sz w:val="24"/>
                <w:szCs w:val="24"/>
              </w:rPr>
              <w:t xml:space="preserve">• Shadow a senior partner during client meetings. </w:t>
            </w:r>
            <w:r w:rsidRPr="002A1341">
              <w:rPr>
                <w:rFonts w:cstheme="minorHAnsi"/>
                <w:sz w:val="24"/>
                <w:szCs w:val="24"/>
              </w:rPr>
              <w:br/>
              <w:t xml:space="preserve">• Attend a workshop on relationship management and commercial awareness. </w:t>
            </w:r>
            <w:r w:rsidRPr="002A1341">
              <w:rPr>
                <w:rFonts w:cstheme="minorHAnsi"/>
                <w:sz w:val="24"/>
                <w:szCs w:val="24"/>
              </w:rPr>
              <w:br/>
              <w:t xml:space="preserve">• Lead three meetings, capturing feedback from clients </w:t>
            </w:r>
            <w:r w:rsidRPr="002A1341">
              <w:rPr>
                <w:rFonts w:cstheme="minorHAnsi"/>
                <w:sz w:val="24"/>
                <w:szCs w:val="24"/>
              </w:rPr>
              <w:lastRenderedPageBreak/>
              <w:t>and mentor.</w:t>
            </w:r>
          </w:p>
        </w:tc>
        <w:tc>
          <w:tcPr>
            <w:tcW w:w="1043" w:type="dxa"/>
            <w:vAlign w:val="center"/>
            <w:hideMark/>
          </w:tcPr>
          <w:p w:rsidR="002428B7" w:rsidRPr="002A1341" w:rsidRDefault="002428B7">
            <w:pPr>
              <w:rPr>
                <w:rFonts w:cstheme="minorHAnsi"/>
                <w:sz w:val="24"/>
                <w:szCs w:val="24"/>
              </w:rPr>
            </w:pPr>
            <w:r w:rsidRPr="002A1341">
              <w:rPr>
                <w:rFonts w:cstheme="minorHAnsi"/>
                <w:sz w:val="24"/>
                <w:szCs w:val="24"/>
              </w:rPr>
              <w:lastRenderedPageBreak/>
              <w:t>Partner mentorship; CPD workshop funding; time allocation for meetings.</w:t>
            </w:r>
          </w:p>
        </w:tc>
        <w:tc>
          <w:tcPr>
            <w:tcW w:w="1165" w:type="dxa"/>
            <w:vAlign w:val="center"/>
            <w:hideMark/>
          </w:tcPr>
          <w:p w:rsidR="002428B7" w:rsidRPr="002A1341" w:rsidRDefault="002428B7">
            <w:pPr>
              <w:rPr>
                <w:rFonts w:cstheme="minorHAnsi"/>
                <w:sz w:val="24"/>
                <w:szCs w:val="24"/>
              </w:rPr>
            </w:pPr>
            <w:r w:rsidRPr="002A1341">
              <w:rPr>
                <w:rFonts w:cstheme="minorHAnsi"/>
                <w:sz w:val="24"/>
                <w:szCs w:val="24"/>
              </w:rPr>
              <w:t xml:space="preserve">April 2025 – March 2026. </w:t>
            </w:r>
            <w:r w:rsidRPr="002A1341">
              <w:rPr>
                <w:rFonts w:cstheme="minorHAnsi"/>
                <w:sz w:val="24"/>
                <w:szCs w:val="24"/>
              </w:rPr>
              <w:br/>
              <w:t>Quarterly review meetings.</w:t>
            </w:r>
          </w:p>
        </w:tc>
        <w:tc>
          <w:tcPr>
            <w:tcW w:w="1388" w:type="dxa"/>
            <w:vAlign w:val="center"/>
            <w:hideMark/>
          </w:tcPr>
          <w:p w:rsidR="002428B7" w:rsidRPr="002A1341" w:rsidRDefault="002428B7">
            <w:pPr>
              <w:rPr>
                <w:rFonts w:cstheme="minorHAnsi"/>
                <w:sz w:val="24"/>
                <w:szCs w:val="24"/>
              </w:rPr>
            </w:pPr>
            <w:r w:rsidRPr="002A1341">
              <w:rPr>
                <w:rFonts w:cstheme="minorHAnsi"/>
                <w:sz w:val="24"/>
                <w:szCs w:val="24"/>
              </w:rPr>
              <w:t>Improved client satisfaction scores; enhanced confidence and communication.</w:t>
            </w:r>
          </w:p>
        </w:tc>
        <w:tc>
          <w:tcPr>
            <w:tcW w:w="1514" w:type="dxa"/>
            <w:vAlign w:val="center"/>
            <w:hideMark/>
          </w:tcPr>
          <w:p w:rsidR="002428B7" w:rsidRPr="002A1341" w:rsidRDefault="002428B7">
            <w:pPr>
              <w:rPr>
                <w:rFonts w:cstheme="minorHAnsi"/>
                <w:sz w:val="24"/>
                <w:szCs w:val="24"/>
              </w:rPr>
            </w:pPr>
            <w:r w:rsidRPr="002A1341">
              <w:rPr>
                <w:rFonts w:cstheme="minorHAnsi"/>
                <w:sz w:val="24"/>
                <w:szCs w:val="24"/>
              </w:rPr>
              <w:t>Contributes to client retention and the firm’s reputation for service quality.</w:t>
            </w:r>
          </w:p>
        </w:tc>
      </w:tr>
      <w:tr w:rsidR="0038005D" w:rsidRPr="002A1341" w:rsidTr="0038005D">
        <w:trPr>
          <w:tblCellSpacing w:w="15" w:type="dxa"/>
        </w:trPr>
        <w:tc>
          <w:tcPr>
            <w:tcW w:w="1418" w:type="dxa"/>
            <w:vAlign w:val="center"/>
            <w:hideMark/>
          </w:tcPr>
          <w:p w:rsidR="002428B7" w:rsidRPr="002A1341" w:rsidRDefault="002428B7">
            <w:pPr>
              <w:rPr>
                <w:rFonts w:cstheme="minorHAnsi"/>
                <w:sz w:val="24"/>
                <w:szCs w:val="24"/>
              </w:rPr>
            </w:pPr>
            <w:r w:rsidRPr="002A1341">
              <w:rPr>
                <w:rStyle w:val="Strong"/>
                <w:rFonts w:cstheme="minorHAnsi"/>
                <w:sz w:val="24"/>
                <w:szCs w:val="24"/>
              </w:rPr>
              <w:lastRenderedPageBreak/>
              <w:t>3. Technical Competence &amp; Digital Proficiency</w:t>
            </w:r>
          </w:p>
        </w:tc>
        <w:tc>
          <w:tcPr>
            <w:tcW w:w="1206" w:type="dxa"/>
            <w:vAlign w:val="center"/>
            <w:hideMark/>
          </w:tcPr>
          <w:p w:rsidR="002428B7" w:rsidRPr="002A1341" w:rsidRDefault="002428B7">
            <w:pPr>
              <w:rPr>
                <w:rFonts w:cstheme="minorHAnsi"/>
                <w:sz w:val="24"/>
                <w:szCs w:val="24"/>
              </w:rPr>
            </w:pPr>
            <w:r w:rsidRPr="002A1341">
              <w:rPr>
                <w:rFonts w:cstheme="minorHAnsi"/>
                <w:sz w:val="24"/>
                <w:szCs w:val="24"/>
              </w:rPr>
              <w:t>Improve digital audit software proficiency to increase efficiency and data accuracy by 20%.</w:t>
            </w:r>
          </w:p>
        </w:tc>
        <w:tc>
          <w:tcPr>
            <w:tcW w:w="1427" w:type="dxa"/>
            <w:vAlign w:val="center"/>
            <w:hideMark/>
          </w:tcPr>
          <w:p w:rsidR="002428B7" w:rsidRPr="002A1341" w:rsidRDefault="002428B7">
            <w:pPr>
              <w:rPr>
                <w:rFonts w:cstheme="minorHAnsi"/>
                <w:sz w:val="24"/>
                <w:szCs w:val="24"/>
              </w:rPr>
            </w:pPr>
            <w:r w:rsidRPr="002A1341">
              <w:rPr>
                <w:rFonts w:cstheme="minorHAnsi"/>
                <w:sz w:val="24"/>
                <w:szCs w:val="24"/>
              </w:rPr>
              <w:t xml:space="preserve">• Complete online training on new audit analytics software. </w:t>
            </w:r>
            <w:r w:rsidRPr="002A1341">
              <w:rPr>
                <w:rFonts w:cstheme="minorHAnsi"/>
                <w:sz w:val="24"/>
                <w:szCs w:val="24"/>
              </w:rPr>
              <w:br/>
              <w:t>• Participate in a cross-departmental project testing automation tools.</w:t>
            </w:r>
          </w:p>
        </w:tc>
        <w:tc>
          <w:tcPr>
            <w:tcW w:w="1043" w:type="dxa"/>
            <w:vAlign w:val="center"/>
            <w:hideMark/>
          </w:tcPr>
          <w:p w:rsidR="002428B7" w:rsidRPr="002A1341" w:rsidRDefault="002428B7">
            <w:pPr>
              <w:rPr>
                <w:rFonts w:cstheme="minorHAnsi"/>
                <w:sz w:val="24"/>
                <w:szCs w:val="24"/>
              </w:rPr>
            </w:pPr>
            <w:r w:rsidRPr="002A1341">
              <w:rPr>
                <w:rFonts w:cstheme="minorHAnsi"/>
                <w:sz w:val="24"/>
                <w:szCs w:val="24"/>
              </w:rPr>
              <w:t>IT training resources; access to software sandbox environment.</w:t>
            </w:r>
          </w:p>
        </w:tc>
        <w:tc>
          <w:tcPr>
            <w:tcW w:w="1165" w:type="dxa"/>
            <w:vAlign w:val="center"/>
            <w:hideMark/>
          </w:tcPr>
          <w:p w:rsidR="002428B7" w:rsidRPr="002A1341" w:rsidRDefault="002428B7">
            <w:pPr>
              <w:rPr>
                <w:rFonts w:cstheme="minorHAnsi"/>
                <w:sz w:val="24"/>
                <w:szCs w:val="24"/>
              </w:rPr>
            </w:pPr>
            <w:r w:rsidRPr="002A1341">
              <w:rPr>
                <w:rFonts w:cstheme="minorHAnsi"/>
                <w:sz w:val="24"/>
                <w:szCs w:val="24"/>
              </w:rPr>
              <w:t>May 2025 – December 2025.</w:t>
            </w:r>
          </w:p>
        </w:tc>
        <w:tc>
          <w:tcPr>
            <w:tcW w:w="1388" w:type="dxa"/>
            <w:vAlign w:val="center"/>
            <w:hideMark/>
          </w:tcPr>
          <w:p w:rsidR="002428B7" w:rsidRPr="002A1341" w:rsidRDefault="002428B7">
            <w:pPr>
              <w:rPr>
                <w:rFonts w:cstheme="minorHAnsi"/>
                <w:sz w:val="24"/>
                <w:szCs w:val="24"/>
              </w:rPr>
            </w:pPr>
            <w:r w:rsidRPr="002A1341">
              <w:rPr>
                <w:rFonts w:cstheme="minorHAnsi"/>
                <w:sz w:val="24"/>
                <w:szCs w:val="24"/>
              </w:rPr>
              <w:t>Reduction in audit rework; faster completion of audit fieldwork; positive feedback from review partner.</w:t>
            </w:r>
          </w:p>
        </w:tc>
        <w:tc>
          <w:tcPr>
            <w:tcW w:w="1514" w:type="dxa"/>
            <w:vAlign w:val="center"/>
            <w:hideMark/>
          </w:tcPr>
          <w:p w:rsidR="002428B7" w:rsidRPr="002A1341" w:rsidRDefault="002428B7">
            <w:pPr>
              <w:rPr>
                <w:rFonts w:cstheme="minorHAnsi"/>
                <w:sz w:val="24"/>
                <w:szCs w:val="24"/>
              </w:rPr>
            </w:pPr>
            <w:r w:rsidRPr="002A1341">
              <w:rPr>
                <w:rFonts w:cstheme="minorHAnsi"/>
                <w:sz w:val="24"/>
                <w:szCs w:val="24"/>
              </w:rPr>
              <w:t>Supports digital transformation objectives and operational efficiency.</w:t>
            </w:r>
          </w:p>
        </w:tc>
      </w:tr>
      <w:tr w:rsidR="0038005D" w:rsidRPr="002A1341" w:rsidTr="0038005D">
        <w:trPr>
          <w:tblCellSpacing w:w="15" w:type="dxa"/>
        </w:trPr>
        <w:tc>
          <w:tcPr>
            <w:tcW w:w="1418" w:type="dxa"/>
            <w:vAlign w:val="center"/>
            <w:hideMark/>
          </w:tcPr>
          <w:p w:rsidR="002428B7" w:rsidRPr="002A1341" w:rsidRDefault="002428B7">
            <w:pPr>
              <w:rPr>
                <w:rFonts w:cstheme="minorHAnsi"/>
                <w:sz w:val="24"/>
                <w:szCs w:val="24"/>
              </w:rPr>
            </w:pPr>
            <w:r w:rsidRPr="002A1341">
              <w:rPr>
                <w:rStyle w:val="Strong"/>
                <w:rFonts w:cstheme="minorHAnsi"/>
                <w:sz w:val="24"/>
                <w:szCs w:val="24"/>
              </w:rPr>
              <w:t>4. Reflective Learning &amp; Knowledge Sharing</w:t>
            </w:r>
          </w:p>
        </w:tc>
        <w:tc>
          <w:tcPr>
            <w:tcW w:w="1206" w:type="dxa"/>
            <w:vAlign w:val="center"/>
            <w:hideMark/>
          </w:tcPr>
          <w:p w:rsidR="002428B7" w:rsidRPr="002A1341" w:rsidRDefault="002428B7">
            <w:pPr>
              <w:rPr>
                <w:rFonts w:cstheme="minorHAnsi"/>
                <w:sz w:val="24"/>
                <w:szCs w:val="24"/>
              </w:rPr>
            </w:pPr>
            <w:r w:rsidRPr="002A1341">
              <w:rPr>
                <w:rFonts w:cstheme="minorHAnsi"/>
                <w:sz w:val="24"/>
                <w:szCs w:val="24"/>
              </w:rPr>
              <w:t>Embed reflective practice by maintaining a professional learning log and sharing two case insights via the firm’s knowledge portal.</w:t>
            </w:r>
          </w:p>
        </w:tc>
        <w:tc>
          <w:tcPr>
            <w:tcW w:w="1427" w:type="dxa"/>
            <w:vAlign w:val="center"/>
            <w:hideMark/>
          </w:tcPr>
          <w:p w:rsidR="002428B7" w:rsidRPr="002A1341" w:rsidRDefault="002428B7">
            <w:pPr>
              <w:rPr>
                <w:rFonts w:cstheme="minorHAnsi"/>
                <w:sz w:val="24"/>
                <w:szCs w:val="24"/>
              </w:rPr>
            </w:pPr>
            <w:r w:rsidRPr="002A1341">
              <w:rPr>
                <w:rFonts w:cstheme="minorHAnsi"/>
                <w:sz w:val="24"/>
                <w:szCs w:val="24"/>
              </w:rPr>
              <w:t xml:space="preserve">• Keep a monthly CPD reflection journal. </w:t>
            </w:r>
            <w:r w:rsidRPr="002A1341">
              <w:rPr>
                <w:rFonts w:cstheme="minorHAnsi"/>
                <w:sz w:val="24"/>
                <w:szCs w:val="24"/>
              </w:rPr>
              <w:br/>
              <w:t>• Present learning insights at quarterly team meeting.</w:t>
            </w:r>
          </w:p>
        </w:tc>
        <w:tc>
          <w:tcPr>
            <w:tcW w:w="1043" w:type="dxa"/>
            <w:vAlign w:val="center"/>
            <w:hideMark/>
          </w:tcPr>
          <w:p w:rsidR="002428B7" w:rsidRPr="002A1341" w:rsidRDefault="002428B7">
            <w:pPr>
              <w:rPr>
                <w:rFonts w:cstheme="minorHAnsi"/>
                <w:sz w:val="24"/>
                <w:szCs w:val="24"/>
              </w:rPr>
            </w:pPr>
            <w:r w:rsidRPr="002A1341">
              <w:rPr>
                <w:rFonts w:cstheme="minorHAnsi"/>
                <w:sz w:val="24"/>
                <w:szCs w:val="24"/>
              </w:rPr>
              <w:t>CPD platform access; team meeting time allocation.</w:t>
            </w:r>
          </w:p>
        </w:tc>
        <w:tc>
          <w:tcPr>
            <w:tcW w:w="1165" w:type="dxa"/>
            <w:vAlign w:val="center"/>
            <w:hideMark/>
          </w:tcPr>
          <w:p w:rsidR="002428B7" w:rsidRPr="002A1341" w:rsidRDefault="002428B7">
            <w:pPr>
              <w:rPr>
                <w:rFonts w:cstheme="minorHAnsi"/>
                <w:sz w:val="24"/>
                <w:szCs w:val="24"/>
              </w:rPr>
            </w:pPr>
            <w:r w:rsidRPr="002A1341">
              <w:rPr>
                <w:rFonts w:cstheme="minorHAnsi"/>
                <w:sz w:val="24"/>
                <w:szCs w:val="24"/>
              </w:rPr>
              <w:t>April 2025 – March 2026.</w:t>
            </w:r>
          </w:p>
        </w:tc>
        <w:tc>
          <w:tcPr>
            <w:tcW w:w="1388" w:type="dxa"/>
            <w:vAlign w:val="center"/>
            <w:hideMark/>
          </w:tcPr>
          <w:p w:rsidR="002428B7" w:rsidRPr="002A1341" w:rsidRDefault="002428B7">
            <w:pPr>
              <w:rPr>
                <w:rFonts w:cstheme="minorHAnsi"/>
                <w:sz w:val="24"/>
                <w:szCs w:val="24"/>
              </w:rPr>
            </w:pPr>
            <w:r w:rsidRPr="002A1341">
              <w:rPr>
                <w:rFonts w:cstheme="minorHAnsi"/>
                <w:sz w:val="24"/>
                <w:szCs w:val="24"/>
              </w:rPr>
              <w:t>Consistent log entries; two shared knowledge posts; improved team learning engagement.</w:t>
            </w:r>
          </w:p>
        </w:tc>
        <w:tc>
          <w:tcPr>
            <w:tcW w:w="1514" w:type="dxa"/>
            <w:vAlign w:val="center"/>
            <w:hideMark/>
          </w:tcPr>
          <w:p w:rsidR="002428B7" w:rsidRPr="002A1341" w:rsidRDefault="002428B7">
            <w:pPr>
              <w:rPr>
                <w:rFonts w:cstheme="minorHAnsi"/>
                <w:sz w:val="24"/>
                <w:szCs w:val="24"/>
              </w:rPr>
            </w:pPr>
            <w:r w:rsidRPr="002A1341">
              <w:rPr>
                <w:rFonts w:cstheme="minorHAnsi"/>
                <w:sz w:val="24"/>
                <w:szCs w:val="24"/>
              </w:rPr>
              <w:t>Supports organisational knowledge management and learning culture.</w:t>
            </w:r>
          </w:p>
        </w:tc>
      </w:tr>
    </w:tbl>
    <w:p w:rsidR="00CC2324" w:rsidRPr="002A1341" w:rsidRDefault="00CC2324" w:rsidP="00EE160A">
      <w:pPr>
        <w:rPr>
          <w:rFonts w:cstheme="minorHAnsi"/>
          <w:noProof/>
          <w:sz w:val="24"/>
          <w:szCs w:val="24"/>
        </w:rPr>
      </w:pPr>
    </w:p>
    <w:p w:rsidR="00CC2324" w:rsidRPr="002A1341" w:rsidRDefault="00CC2324" w:rsidP="00EE160A">
      <w:pPr>
        <w:rPr>
          <w:rFonts w:cstheme="minorHAnsi"/>
          <w:noProof/>
          <w:sz w:val="24"/>
          <w:szCs w:val="24"/>
        </w:rPr>
      </w:pPr>
    </w:p>
    <w:p w:rsidR="002428B7" w:rsidRPr="002A1341" w:rsidRDefault="002428B7" w:rsidP="00BA2A1C">
      <w:pPr>
        <w:pStyle w:val="Heading1"/>
        <w:rPr>
          <w:rFonts w:asciiTheme="minorHAnsi" w:hAnsiTheme="minorHAnsi" w:cstheme="minorHAnsi"/>
          <w:sz w:val="24"/>
          <w:szCs w:val="24"/>
        </w:rPr>
      </w:pPr>
      <w:bookmarkStart w:id="14" w:name="_Toc211629514"/>
      <w:r w:rsidRPr="002A1341">
        <w:rPr>
          <w:rStyle w:val="Strong"/>
          <w:rFonts w:asciiTheme="minorHAnsi" w:hAnsiTheme="minorHAnsi" w:cstheme="minorHAnsi"/>
          <w:b/>
          <w:bCs/>
          <w:sz w:val="24"/>
          <w:szCs w:val="24"/>
        </w:rPr>
        <w:t>P</w:t>
      </w:r>
      <w:r w:rsidRPr="002A1341">
        <w:rPr>
          <w:rStyle w:val="Strong"/>
          <w:rFonts w:asciiTheme="minorHAnsi" w:hAnsiTheme="minorHAnsi" w:cstheme="minorHAnsi"/>
          <w:b/>
          <w:bCs/>
          <w:sz w:val="24"/>
          <w:szCs w:val="24"/>
        </w:rPr>
        <w:t>erformance Management and Review Process</w:t>
      </w:r>
      <w:bookmarkEnd w:id="14"/>
    </w:p>
    <w:p w:rsidR="002428B7" w:rsidRPr="002A1341" w:rsidRDefault="002428B7" w:rsidP="002428B7">
      <w:pPr>
        <w:pStyle w:val="NormalWeb"/>
        <w:rPr>
          <w:rFonts w:asciiTheme="minorHAnsi" w:hAnsiTheme="minorHAnsi" w:cstheme="minorHAnsi"/>
        </w:rPr>
      </w:pPr>
      <w:r w:rsidRPr="002A1341">
        <w:rPr>
          <w:rStyle w:val="Strong"/>
          <w:rFonts w:asciiTheme="minorHAnsi" w:hAnsiTheme="minorHAnsi" w:cstheme="minorHAnsi"/>
        </w:rPr>
        <w:t>Quarterly Performance Reviews</w:t>
      </w:r>
      <w:proofErr w:type="gramStart"/>
      <w:r w:rsidRPr="002A1341">
        <w:rPr>
          <w:rStyle w:val="Strong"/>
          <w:rFonts w:asciiTheme="minorHAnsi" w:hAnsiTheme="minorHAnsi" w:cstheme="minorHAnsi"/>
        </w:rPr>
        <w:t>:</w:t>
      </w:r>
      <w:proofErr w:type="gramEnd"/>
      <w:r w:rsidRPr="002A1341">
        <w:rPr>
          <w:rFonts w:asciiTheme="minorHAnsi" w:hAnsiTheme="minorHAnsi" w:cstheme="minorHAnsi"/>
        </w:rPr>
        <w:br/>
        <w:t xml:space="preserve">Each quarter, the line manager and employee review progress against objectives, using both </w:t>
      </w:r>
      <w:r w:rsidRPr="002A1341">
        <w:rPr>
          <w:rFonts w:asciiTheme="minorHAnsi" w:hAnsiTheme="minorHAnsi" w:cstheme="minorHAnsi"/>
        </w:rPr>
        <w:lastRenderedPageBreak/>
        <w:t>qualitative feedback (e.g., mentoring notes, client feedback) and quantitative data (e.g., audit efficiency metrics). Adjustments are made to objectives or support as necessary.</w:t>
      </w:r>
    </w:p>
    <w:p w:rsidR="002428B7" w:rsidRPr="002A1341" w:rsidRDefault="002428B7" w:rsidP="002428B7">
      <w:pPr>
        <w:pStyle w:val="NormalWeb"/>
        <w:rPr>
          <w:rFonts w:asciiTheme="minorHAnsi" w:hAnsiTheme="minorHAnsi" w:cstheme="minorHAnsi"/>
        </w:rPr>
      </w:pPr>
      <w:r w:rsidRPr="002A1341">
        <w:rPr>
          <w:rStyle w:val="Strong"/>
          <w:rFonts w:asciiTheme="minorHAnsi" w:hAnsiTheme="minorHAnsi" w:cstheme="minorHAnsi"/>
        </w:rPr>
        <w:t>Mid-Year Review</w:t>
      </w:r>
      <w:proofErr w:type="gramStart"/>
      <w:r w:rsidRPr="002A1341">
        <w:rPr>
          <w:rStyle w:val="Strong"/>
          <w:rFonts w:asciiTheme="minorHAnsi" w:hAnsiTheme="minorHAnsi" w:cstheme="minorHAnsi"/>
        </w:rPr>
        <w:t>:</w:t>
      </w:r>
      <w:proofErr w:type="gramEnd"/>
      <w:r w:rsidRPr="002A1341">
        <w:rPr>
          <w:rFonts w:asciiTheme="minorHAnsi" w:hAnsiTheme="minorHAnsi" w:cstheme="minorHAnsi"/>
        </w:rPr>
        <w:br/>
        <w:t>Formal discussion of progress towards leadership and client management goals, with recalibration if needed. Coaching and feedback sessions recorded in HR system.</w:t>
      </w:r>
    </w:p>
    <w:p w:rsidR="002428B7" w:rsidRPr="002A1341" w:rsidRDefault="002428B7" w:rsidP="002428B7">
      <w:pPr>
        <w:pStyle w:val="NormalWeb"/>
        <w:rPr>
          <w:rFonts w:asciiTheme="minorHAnsi" w:hAnsiTheme="minorHAnsi" w:cstheme="minorHAnsi"/>
        </w:rPr>
      </w:pPr>
      <w:r w:rsidRPr="002A1341">
        <w:rPr>
          <w:rStyle w:val="Strong"/>
          <w:rFonts w:asciiTheme="minorHAnsi" w:hAnsiTheme="minorHAnsi" w:cstheme="minorHAnsi"/>
        </w:rPr>
        <w:t>End-of-Year Review</w:t>
      </w:r>
      <w:proofErr w:type="gramStart"/>
      <w:r w:rsidRPr="002A1341">
        <w:rPr>
          <w:rStyle w:val="Strong"/>
          <w:rFonts w:asciiTheme="minorHAnsi" w:hAnsiTheme="minorHAnsi" w:cstheme="minorHAnsi"/>
        </w:rPr>
        <w:t>:</w:t>
      </w:r>
      <w:proofErr w:type="gramEnd"/>
      <w:r w:rsidRPr="002A1341">
        <w:rPr>
          <w:rFonts w:asciiTheme="minorHAnsi" w:hAnsiTheme="minorHAnsi" w:cstheme="minorHAnsi"/>
        </w:rPr>
        <w:br/>
        <w:t>Evaluation of outcomes against success criteria. The review informs next year’s PDP and performance rating, linking to reward and promotion decisions.</w:t>
      </w:r>
    </w:p>
    <w:p w:rsidR="002428B7" w:rsidRPr="002A1341" w:rsidRDefault="002428B7" w:rsidP="002428B7">
      <w:pPr>
        <w:pStyle w:val="NormalWeb"/>
        <w:rPr>
          <w:rFonts w:asciiTheme="minorHAnsi" w:hAnsiTheme="minorHAnsi" w:cstheme="minorHAnsi"/>
        </w:rPr>
      </w:pPr>
      <w:r w:rsidRPr="002A1341">
        <w:rPr>
          <w:rStyle w:val="Strong"/>
          <w:rFonts w:asciiTheme="minorHAnsi" w:hAnsiTheme="minorHAnsi" w:cstheme="minorHAnsi"/>
        </w:rPr>
        <w:t>Manager’s Role</w:t>
      </w:r>
      <w:proofErr w:type="gramStart"/>
      <w:r w:rsidRPr="002A1341">
        <w:rPr>
          <w:rStyle w:val="Strong"/>
          <w:rFonts w:asciiTheme="minorHAnsi" w:hAnsiTheme="minorHAnsi" w:cstheme="minorHAnsi"/>
        </w:rPr>
        <w:t>:</w:t>
      </w:r>
      <w:proofErr w:type="gramEnd"/>
      <w:r w:rsidRPr="002A1341">
        <w:rPr>
          <w:rFonts w:asciiTheme="minorHAnsi" w:hAnsiTheme="minorHAnsi" w:cstheme="minorHAnsi"/>
        </w:rPr>
        <w:br/>
        <w:t>To provide guidance, feedback, and access to learning opportunities. Managers act as facilitators of development rather than assessors alone, consistent with the principles of the learning organisation (</w:t>
      </w:r>
      <w:proofErr w:type="spellStart"/>
      <w:r w:rsidRPr="002A1341">
        <w:rPr>
          <w:rFonts w:asciiTheme="minorHAnsi" w:hAnsiTheme="minorHAnsi" w:cstheme="minorHAnsi"/>
        </w:rPr>
        <w:t>Senge</w:t>
      </w:r>
      <w:proofErr w:type="spellEnd"/>
      <w:r w:rsidRPr="002A1341">
        <w:rPr>
          <w:rFonts w:asciiTheme="minorHAnsi" w:hAnsiTheme="minorHAnsi" w:cstheme="minorHAnsi"/>
        </w:rPr>
        <w:t>, 1990).</w:t>
      </w:r>
    </w:p>
    <w:p w:rsidR="00CC2324" w:rsidRPr="002A1341" w:rsidRDefault="002428B7" w:rsidP="0038005D">
      <w:pPr>
        <w:pStyle w:val="NormalWeb"/>
        <w:rPr>
          <w:rFonts w:asciiTheme="minorHAnsi" w:hAnsiTheme="minorHAnsi" w:cstheme="minorHAnsi"/>
        </w:rPr>
      </w:pPr>
      <w:r w:rsidRPr="002A1341">
        <w:rPr>
          <w:rStyle w:val="Strong"/>
          <w:rFonts w:asciiTheme="minorHAnsi" w:hAnsiTheme="minorHAnsi" w:cstheme="minorHAnsi"/>
        </w:rPr>
        <w:t>Employee’s Role</w:t>
      </w:r>
      <w:proofErr w:type="gramStart"/>
      <w:r w:rsidRPr="002A1341">
        <w:rPr>
          <w:rStyle w:val="Strong"/>
          <w:rFonts w:asciiTheme="minorHAnsi" w:hAnsiTheme="minorHAnsi" w:cstheme="minorHAnsi"/>
        </w:rPr>
        <w:t>:</w:t>
      </w:r>
      <w:proofErr w:type="gramEnd"/>
      <w:r w:rsidRPr="002A1341">
        <w:rPr>
          <w:rFonts w:asciiTheme="minorHAnsi" w:hAnsiTheme="minorHAnsi" w:cstheme="minorHAnsi"/>
        </w:rPr>
        <w:br/>
        <w:t>To take ownership of their development by actively engaging in learning opportunities, reflecting on progress, and applying new skills in practice.</w:t>
      </w:r>
    </w:p>
    <w:p w:rsidR="002428B7" w:rsidRPr="002A1341" w:rsidRDefault="002428B7" w:rsidP="00BA2A1C">
      <w:pPr>
        <w:pStyle w:val="Heading1"/>
        <w:rPr>
          <w:rFonts w:asciiTheme="minorHAnsi" w:hAnsiTheme="minorHAnsi" w:cstheme="minorHAnsi"/>
          <w:sz w:val="24"/>
          <w:szCs w:val="24"/>
        </w:rPr>
      </w:pPr>
      <w:bookmarkStart w:id="15" w:name="_Toc211629515"/>
      <w:r w:rsidRPr="002A1341">
        <w:rPr>
          <w:rStyle w:val="Strong"/>
          <w:rFonts w:asciiTheme="minorHAnsi" w:hAnsiTheme="minorHAnsi" w:cstheme="minorHAnsi"/>
          <w:b/>
          <w:bCs/>
          <w:sz w:val="24"/>
          <w:szCs w:val="24"/>
        </w:rPr>
        <w:t>Critical Commentary</w:t>
      </w:r>
      <w:bookmarkEnd w:id="15"/>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A structured PDP such as this provides a clear and transparent framework for individual development and performance management. It promotes accountability and ensures that learning is directly tied to organisational objectives. However, to be effective, it must remain flexible and supported by a culture that values learning. </w:t>
      </w:r>
      <w:proofErr w:type="gramStart"/>
      <w:r w:rsidRPr="002A1341">
        <w:rPr>
          <w:rFonts w:asciiTheme="minorHAnsi" w:hAnsiTheme="minorHAnsi" w:cstheme="minorHAnsi"/>
        </w:rPr>
        <w:t>Overly rigid or compliance-driven PDPs risk becoming bureaucratic and demotivating (Guest, 2017).</w:t>
      </w:r>
      <w:proofErr w:type="gramEnd"/>
      <w:r w:rsidRPr="002A1341">
        <w:rPr>
          <w:rFonts w:asciiTheme="minorHAnsi" w:hAnsiTheme="minorHAnsi" w:cstheme="minorHAnsi"/>
        </w:rPr>
        <w:t xml:space="preserve"> The most successful development plans are co-created between manager and employee, reviewed regularly, and embedded within a continuous performance management cycle (</w:t>
      </w:r>
      <w:proofErr w:type="spellStart"/>
      <w:r w:rsidRPr="002A1341">
        <w:rPr>
          <w:rFonts w:asciiTheme="minorHAnsi" w:hAnsiTheme="minorHAnsi" w:cstheme="minorHAnsi"/>
        </w:rPr>
        <w:t>Garavan</w:t>
      </w:r>
      <w:proofErr w:type="spellEnd"/>
      <w:r w:rsidRPr="002A1341">
        <w:rPr>
          <w:rFonts w:asciiTheme="minorHAnsi" w:hAnsiTheme="minorHAnsi" w:cstheme="minorHAnsi"/>
        </w:rPr>
        <w:t xml:space="preserve"> et al., 2021).</w:t>
      </w:r>
    </w:p>
    <w:p w:rsidR="00BA2A1C" w:rsidRPr="002A1341" w:rsidRDefault="00BA2A1C" w:rsidP="00BA2A1C">
      <w:pPr>
        <w:pStyle w:val="Heading1"/>
        <w:rPr>
          <w:rFonts w:asciiTheme="minorHAnsi" w:hAnsiTheme="minorHAnsi" w:cstheme="minorHAnsi"/>
          <w:sz w:val="24"/>
          <w:szCs w:val="24"/>
        </w:rPr>
      </w:pPr>
      <w:bookmarkStart w:id="16" w:name="_Toc211629516"/>
      <w:r w:rsidRPr="002A1341">
        <w:rPr>
          <w:rStyle w:val="Strong"/>
          <w:rFonts w:asciiTheme="minorHAnsi" w:hAnsiTheme="minorHAnsi" w:cstheme="minorHAnsi"/>
          <w:b/>
          <w:bCs/>
          <w:sz w:val="24"/>
          <w:szCs w:val="24"/>
        </w:rPr>
        <w:t>Embedding a Learning Culture to Maximise Organisational and Individual Development</w:t>
      </w:r>
      <w:bookmarkEnd w:id="16"/>
    </w:p>
    <w:p w:rsidR="00BA2A1C" w:rsidRPr="002A1341" w:rsidRDefault="00BA2A1C" w:rsidP="00BA2A1C">
      <w:pPr>
        <w:pStyle w:val="NormalWeb"/>
        <w:rPr>
          <w:rFonts w:asciiTheme="minorHAnsi" w:hAnsiTheme="minorHAnsi" w:cstheme="minorHAnsi"/>
        </w:rPr>
      </w:pPr>
      <w:r w:rsidRPr="002A1341">
        <w:rPr>
          <w:rFonts w:asciiTheme="minorHAnsi" w:hAnsiTheme="minorHAnsi" w:cstheme="minorHAnsi"/>
        </w:rPr>
        <w:t xml:space="preserve">While identifying development needs and implementing structured development plans are essential, the ultimate impact of these initiatives depends on the extent to which a firm cultivates a </w:t>
      </w:r>
      <w:r w:rsidRPr="0038005D">
        <w:rPr>
          <w:rStyle w:val="Strong"/>
          <w:rFonts w:asciiTheme="minorHAnsi" w:hAnsiTheme="minorHAnsi" w:cstheme="minorHAnsi"/>
          <w:b w:val="0"/>
        </w:rPr>
        <w:t>learning culture</w:t>
      </w:r>
      <w:r w:rsidRPr="002A1341">
        <w:rPr>
          <w:rFonts w:asciiTheme="minorHAnsi" w:hAnsiTheme="minorHAnsi" w:cstheme="minorHAnsi"/>
        </w:rPr>
        <w:t>. A learning culture encourages continuous improvement, knowledge sharing, and adaptive thinking, creating an environment where development becomes an ongoing process rather than a series of discrete events (</w:t>
      </w:r>
      <w:proofErr w:type="spellStart"/>
      <w:r w:rsidRPr="002A1341">
        <w:rPr>
          <w:rFonts w:asciiTheme="minorHAnsi" w:hAnsiTheme="minorHAnsi" w:cstheme="minorHAnsi"/>
        </w:rPr>
        <w:t>Senge</w:t>
      </w:r>
      <w:proofErr w:type="spellEnd"/>
      <w:r w:rsidRPr="002A1341">
        <w:rPr>
          <w:rFonts w:asciiTheme="minorHAnsi" w:hAnsiTheme="minorHAnsi" w:cstheme="minorHAnsi"/>
        </w:rPr>
        <w:t>, 1990). In accountancy practices, where compliance, precision, and client trust are critical, embedding such a culture ensures that individual growth directly supports organisational resilience and service excellence.</w:t>
      </w:r>
    </w:p>
    <w:p w:rsidR="00BA2A1C" w:rsidRPr="002A1341" w:rsidRDefault="00BA2A1C" w:rsidP="00BA2A1C">
      <w:pPr>
        <w:pStyle w:val="NormalWeb"/>
        <w:rPr>
          <w:rFonts w:asciiTheme="minorHAnsi" w:hAnsiTheme="minorHAnsi" w:cstheme="minorHAnsi"/>
        </w:rPr>
      </w:pPr>
      <w:r w:rsidRPr="002A1341">
        <w:rPr>
          <w:rFonts w:asciiTheme="minorHAnsi" w:hAnsiTheme="minorHAnsi" w:cstheme="minorHAnsi"/>
        </w:rPr>
        <w:t>Embedding a learning culture involves several interrelated elements. First, leadership commitment is essential. Senior partners and managers must model continuous learning, demonstrate openness to feedback, and actively support the professional development of staff. Their behaviour sets the tone for the organisation and signals that learning is valued at all levels (</w:t>
      </w:r>
      <w:proofErr w:type="spellStart"/>
      <w:r w:rsidRPr="002A1341">
        <w:rPr>
          <w:rFonts w:asciiTheme="minorHAnsi" w:hAnsiTheme="minorHAnsi" w:cstheme="minorHAnsi"/>
        </w:rPr>
        <w:t>Garavan</w:t>
      </w:r>
      <w:proofErr w:type="spellEnd"/>
      <w:r w:rsidRPr="002A1341">
        <w:rPr>
          <w:rFonts w:asciiTheme="minorHAnsi" w:hAnsiTheme="minorHAnsi" w:cstheme="minorHAnsi"/>
        </w:rPr>
        <w:t xml:space="preserve"> et al., 2021). In practice, this could include leaders attending CPD sessions alongside junior staff, facilitating knowledge-sharing forums, or mentoring emerging talent.</w:t>
      </w:r>
    </w:p>
    <w:p w:rsidR="00BA2A1C" w:rsidRPr="002A1341" w:rsidRDefault="00BA2A1C" w:rsidP="00BA2A1C">
      <w:pPr>
        <w:pStyle w:val="NormalWeb"/>
        <w:rPr>
          <w:rFonts w:asciiTheme="minorHAnsi" w:hAnsiTheme="minorHAnsi" w:cstheme="minorHAnsi"/>
        </w:rPr>
      </w:pPr>
      <w:r w:rsidRPr="002A1341">
        <w:rPr>
          <w:rFonts w:asciiTheme="minorHAnsi" w:hAnsiTheme="minorHAnsi" w:cstheme="minorHAnsi"/>
        </w:rPr>
        <w:lastRenderedPageBreak/>
        <w:t>Second, communication and transparency are critical in reinforcing the learning culture. Employees should have clear visibility of available development opportunities, the expected outcomes of learning initiatives, and how these align with both personal career progression and organisational objectives. In accountancy practices, transparent communication regarding promotion criteria, client responsibilities, and skill requirements reduces uncertainty, manages expectations, and enhances engagement (CIPD, 2023).</w:t>
      </w:r>
    </w:p>
    <w:p w:rsidR="00BA2A1C" w:rsidRPr="002A1341" w:rsidRDefault="00BA2A1C" w:rsidP="00BA2A1C">
      <w:pPr>
        <w:pStyle w:val="NormalWeb"/>
        <w:rPr>
          <w:rFonts w:asciiTheme="minorHAnsi" w:hAnsiTheme="minorHAnsi" w:cstheme="minorHAnsi"/>
        </w:rPr>
      </w:pPr>
      <w:r w:rsidRPr="002A1341">
        <w:rPr>
          <w:rFonts w:asciiTheme="minorHAnsi" w:hAnsiTheme="minorHAnsi" w:cstheme="minorHAnsi"/>
        </w:rPr>
        <w:t xml:space="preserve">Third, a learning culture must support </w:t>
      </w:r>
      <w:r w:rsidRPr="0038005D">
        <w:rPr>
          <w:rStyle w:val="Strong"/>
          <w:rFonts w:asciiTheme="minorHAnsi" w:hAnsiTheme="minorHAnsi" w:cstheme="minorHAnsi"/>
          <w:b w:val="0"/>
        </w:rPr>
        <w:t>experiential learning and reflective practice</w:t>
      </w:r>
      <w:r w:rsidRPr="002A1341">
        <w:rPr>
          <w:rFonts w:asciiTheme="minorHAnsi" w:hAnsiTheme="minorHAnsi" w:cstheme="minorHAnsi"/>
        </w:rPr>
        <w:t>. Encouraging staff to apply new knowledge in real-world client engagements, reflect on outcomes, and share lessons learned strengthens both individual competence and collective capability. For example, post-audit review meetings or project debriefs can capture critical insights, which can then inform training programmes or process improvements across the firm. Such practices help transform tacit knowledge into explicit knowledge, supporting innovation and continuous quality improvement (Nonaka and Takeuchi, 1995).</w:t>
      </w:r>
    </w:p>
    <w:p w:rsidR="00BA2A1C" w:rsidRPr="002A1341" w:rsidRDefault="00BA2A1C" w:rsidP="00BA2A1C">
      <w:pPr>
        <w:pStyle w:val="NormalWeb"/>
        <w:rPr>
          <w:rFonts w:asciiTheme="minorHAnsi" w:hAnsiTheme="minorHAnsi" w:cstheme="minorHAnsi"/>
        </w:rPr>
      </w:pPr>
      <w:r w:rsidRPr="002A1341">
        <w:rPr>
          <w:rFonts w:asciiTheme="minorHAnsi" w:hAnsiTheme="minorHAnsi" w:cstheme="minorHAnsi"/>
        </w:rPr>
        <w:t>Additionally, fostering collaboration and knowledge sharing is essential. Accountancy practices often operate in team-based structures where individuals’ expertise is interdependent.</w:t>
      </w:r>
      <w:r w:rsidR="0038005D">
        <w:rPr>
          <w:rFonts w:asciiTheme="minorHAnsi" w:hAnsiTheme="minorHAnsi" w:cstheme="minorHAnsi"/>
        </w:rPr>
        <w:t xml:space="preserve"> Establishing formal mechanism </w:t>
      </w:r>
      <w:r w:rsidRPr="002A1341">
        <w:rPr>
          <w:rFonts w:asciiTheme="minorHAnsi" w:hAnsiTheme="minorHAnsi" w:cstheme="minorHAnsi"/>
        </w:rPr>
        <w:t xml:space="preserve">such as communities of practice, mentoring </w:t>
      </w:r>
      <w:proofErr w:type="gramStart"/>
      <w:r w:rsidRPr="002A1341">
        <w:rPr>
          <w:rFonts w:asciiTheme="minorHAnsi" w:hAnsiTheme="minorHAnsi" w:cstheme="minorHAnsi"/>
        </w:rPr>
        <w:t>schemes,</w:t>
      </w:r>
      <w:proofErr w:type="gramEnd"/>
      <w:r w:rsidRPr="002A1341">
        <w:rPr>
          <w:rFonts w:asciiTheme="minorHAnsi" w:hAnsiTheme="minorHAnsi" w:cstheme="minorHAnsi"/>
        </w:rPr>
        <w:t xml:space="preserve"> or</w:t>
      </w:r>
      <w:r w:rsidR="0038005D">
        <w:rPr>
          <w:rFonts w:asciiTheme="minorHAnsi" w:hAnsiTheme="minorHAnsi" w:cstheme="minorHAnsi"/>
        </w:rPr>
        <w:t xml:space="preserve"> digital knowledge repositories </w:t>
      </w:r>
      <w:r w:rsidRPr="002A1341">
        <w:rPr>
          <w:rFonts w:asciiTheme="minorHAnsi" w:hAnsiTheme="minorHAnsi" w:cstheme="minorHAnsi"/>
        </w:rPr>
        <w:t>allows learning to extend beyond the individual, creating organisational memory and reducing risks associated with staff turnover. A collaborative learning culture also enhances employee engagement, as staff feel their contributions are recognised and valued, fostering motivation and retention (</w:t>
      </w:r>
      <w:proofErr w:type="spellStart"/>
      <w:r w:rsidRPr="002A1341">
        <w:rPr>
          <w:rFonts w:asciiTheme="minorHAnsi" w:hAnsiTheme="minorHAnsi" w:cstheme="minorHAnsi"/>
        </w:rPr>
        <w:t>Kyndt</w:t>
      </w:r>
      <w:proofErr w:type="spellEnd"/>
      <w:r w:rsidRPr="002A1341">
        <w:rPr>
          <w:rFonts w:asciiTheme="minorHAnsi" w:hAnsiTheme="minorHAnsi" w:cstheme="minorHAnsi"/>
        </w:rPr>
        <w:t xml:space="preserve"> et al., 2013).</w:t>
      </w:r>
    </w:p>
    <w:p w:rsidR="00BA2A1C" w:rsidRPr="002A1341" w:rsidRDefault="00BA2A1C" w:rsidP="00BA2A1C">
      <w:pPr>
        <w:pStyle w:val="NormalWeb"/>
        <w:rPr>
          <w:rFonts w:asciiTheme="minorHAnsi" w:hAnsiTheme="minorHAnsi" w:cstheme="minorHAnsi"/>
        </w:rPr>
      </w:pPr>
      <w:r w:rsidRPr="002A1341">
        <w:rPr>
          <w:rFonts w:asciiTheme="minorHAnsi" w:hAnsiTheme="minorHAnsi" w:cstheme="minorHAnsi"/>
        </w:rPr>
        <w:t>Finally, measuring and evaluating learning outcomes ensures that development activities are effective and strategically aligned. Performance management systems, KPIs, and reflective reviews enable the firm to monitor the application of new skills, the impact on client service, and the contribution to organisational goals. In accountancy practices, such evaluation can highlight areas for improvement, inform succession planning, and provide evidence of return on investment for training and development programmes (Armstrong and Taylor, 2020).</w:t>
      </w:r>
    </w:p>
    <w:p w:rsidR="00BA2A1C" w:rsidRPr="002A1341" w:rsidRDefault="00BA2A1C" w:rsidP="00BA2A1C">
      <w:pPr>
        <w:pStyle w:val="NormalWeb"/>
        <w:rPr>
          <w:rFonts w:asciiTheme="minorHAnsi" w:hAnsiTheme="minorHAnsi" w:cstheme="minorHAnsi"/>
        </w:rPr>
      </w:pPr>
      <w:r w:rsidRPr="002A1341">
        <w:rPr>
          <w:rFonts w:asciiTheme="minorHAnsi" w:hAnsiTheme="minorHAnsi" w:cstheme="minorHAnsi"/>
        </w:rPr>
        <w:t>Critically, creating a learning culture is not without challenges. Time pressures, billable hour targets, and hierarchical structures can hinder engagement in learning initiatives. Furthermore, inconsistent managerial support or lack of resources can undermine even the most well-designed development plans. Overcoming these challenges requires a deliberate, strategic approach that integrates learning into everyday work practices, reinforces the value of development, and aligns incentives with learning outcomes.</w:t>
      </w:r>
    </w:p>
    <w:p w:rsidR="00BA2A1C" w:rsidRPr="002A1341" w:rsidRDefault="00BA2A1C" w:rsidP="00BA2A1C">
      <w:pPr>
        <w:pStyle w:val="NormalWeb"/>
        <w:rPr>
          <w:rFonts w:asciiTheme="minorHAnsi" w:hAnsiTheme="minorHAnsi" w:cstheme="minorHAnsi"/>
        </w:rPr>
      </w:pPr>
      <w:r w:rsidRPr="002A1341">
        <w:rPr>
          <w:rFonts w:asciiTheme="minorHAnsi" w:hAnsiTheme="minorHAnsi" w:cstheme="minorHAnsi"/>
        </w:rPr>
        <w:t>In summary, embedding a learning culture is a crucial enabler for maximising both individual development and organisational performance. In an accountancy practice, it ensures that employee growth translates into enhanced professional competence, innovation, knowledge sharing, and client satisfaction. By fostering an environment where continuous learning is valued, supported, and applied, the firm can achieve sustainable competitive advantage and establish itself as a true learning organisation.</w:t>
      </w:r>
    </w:p>
    <w:p w:rsidR="00CC2324" w:rsidRPr="002A1341" w:rsidRDefault="00CC2324" w:rsidP="00EE160A">
      <w:pPr>
        <w:rPr>
          <w:rFonts w:cstheme="minorHAnsi"/>
          <w:noProof/>
          <w:sz w:val="24"/>
          <w:szCs w:val="24"/>
        </w:rPr>
      </w:pPr>
    </w:p>
    <w:p w:rsidR="002428B7" w:rsidRPr="002A1341" w:rsidRDefault="002428B7" w:rsidP="00EE160A">
      <w:pPr>
        <w:rPr>
          <w:rFonts w:cstheme="minorHAnsi"/>
          <w:noProof/>
          <w:sz w:val="24"/>
          <w:szCs w:val="24"/>
        </w:rPr>
      </w:pPr>
    </w:p>
    <w:p w:rsidR="00CC2324" w:rsidRPr="002A1341" w:rsidRDefault="002428B7" w:rsidP="00BA2A1C">
      <w:pPr>
        <w:pStyle w:val="Heading1"/>
        <w:rPr>
          <w:rFonts w:asciiTheme="minorHAnsi" w:hAnsiTheme="minorHAnsi" w:cstheme="minorHAnsi"/>
          <w:noProof/>
          <w:sz w:val="24"/>
          <w:szCs w:val="24"/>
        </w:rPr>
      </w:pPr>
      <w:bookmarkStart w:id="17" w:name="_Toc211629517"/>
      <w:r w:rsidRPr="002A1341">
        <w:rPr>
          <w:rFonts w:asciiTheme="minorHAnsi" w:hAnsiTheme="minorHAnsi" w:cstheme="minorHAnsi"/>
          <w:noProof/>
          <w:sz w:val="24"/>
          <w:szCs w:val="24"/>
        </w:rPr>
        <w:lastRenderedPageBreak/>
        <w:t>References</w:t>
      </w:r>
      <w:bookmarkEnd w:id="17"/>
    </w:p>
    <w:p w:rsidR="00CC2324" w:rsidRPr="002A1341" w:rsidRDefault="00CC2324" w:rsidP="00CC2324">
      <w:pPr>
        <w:pStyle w:val="NormalWeb"/>
        <w:rPr>
          <w:rFonts w:asciiTheme="minorHAnsi" w:hAnsiTheme="minorHAnsi" w:cstheme="minorHAnsi"/>
        </w:rPr>
      </w:pPr>
      <w:proofErr w:type="gramStart"/>
      <w:r w:rsidRPr="002A1341">
        <w:rPr>
          <w:rFonts w:asciiTheme="minorHAnsi" w:hAnsiTheme="minorHAnsi" w:cstheme="minorHAnsi"/>
        </w:rPr>
        <w:t xml:space="preserve">Armstrong, M. and Taylor, S. (2020) </w:t>
      </w:r>
      <w:r w:rsidRPr="002A1341">
        <w:rPr>
          <w:rStyle w:val="Emphasis"/>
          <w:rFonts w:asciiTheme="minorHAnsi" w:hAnsiTheme="minorHAnsi" w:cstheme="minorHAnsi"/>
        </w:rPr>
        <w:t>Armstrong’s Handbook of Human Resource Management Practice.</w:t>
      </w:r>
      <w:proofErr w:type="gramEnd"/>
      <w:r w:rsidRPr="002A1341">
        <w:rPr>
          <w:rFonts w:asciiTheme="minorHAnsi" w:hAnsiTheme="minorHAnsi" w:cstheme="minorHAnsi"/>
        </w:rPr>
        <w:t xml:space="preserve"> 15th ed. London: </w:t>
      </w:r>
      <w:proofErr w:type="spellStart"/>
      <w:r w:rsidRPr="002A1341">
        <w:rPr>
          <w:rFonts w:asciiTheme="minorHAnsi" w:hAnsiTheme="minorHAnsi" w:cstheme="minorHAnsi"/>
        </w:rPr>
        <w:t>Kogan</w:t>
      </w:r>
      <w:proofErr w:type="spellEnd"/>
      <w:r w:rsidRPr="002A1341">
        <w:rPr>
          <w:rFonts w:asciiTheme="minorHAnsi" w:hAnsiTheme="minorHAnsi" w:cstheme="minorHAnsi"/>
        </w:rPr>
        <w:t xml:space="preserve"> Page.</w:t>
      </w:r>
    </w:p>
    <w:p w:rsidR="00CC2324" w:rsidRPr="002A1341" w:rsidRDefault="00CC2324" w:rsidP="00CC2324">
      <w:pPr>
        <w:pStyle w:val="NormalWeb"/>
        <w:rPr>
          <w:rFonts w:asciiTheme="minorHAnsi" w:hAnsiTheme="minorHAnsi" w:cstheme="minorHAnsi"/>
        </w:rPr>
      </w:pPr>
      <w:r w:rsidRPr="002A1341">
        <w:rPr>
          <w:rFonts w:asciiTheme="minorHAnsi" w:hAnsiTheme="minorHAnsi" w:cstheme="minorHAnsi"/>
        </w:rPr>
        <w:t xml:space="preserve">CIPD (2023) </w:t>
      </w:r>
      <w:r w:rsidRPr="002A1341">
        <w:rPr>
          <w:rStyle w:val="Emphasis"/>
          <w:rFonts w:asciiTheme="minorHAnsi" w:hAnsiTheme="minorHAnsi" w:cstheme="minorHAnsi"/>
        </w:rPr>
        <w:t>Learning and Development in Organisations: Annual Report 2023.</w:t>
      </w:r>
      <w:r w:rsidRPr="002A1341">
        <w:rPr>
          <w:rFonts w:asciiTheme="minorHAnsi" w:hAnsiTheme="minorHAnsi" w:cstheme="minorHAnsi"/>
        </w:rPr>
        <w:t xml:space="preserve"> London: Chartered Institute of Personnel and Development.</w:t>
      </w:r>
    </w:p>
    <w:p w:rsidR="00CC2324" w:rsidRPr="002A1341" w:rsidRDefault="00CC2324" w:rsidP="00CC2324">
      <w:pPr>
        <w:pStyle w:val="NormalWeb"/>
        <w:rPr>
          <w:rFonts w:asciiTheme="minorHAnsi" w:hAnsiTheme="minorHAnsi" w:cstheme="minorHAnsi"/>
        </w:rPr>
      </w:pPr>
      <w:proofErr w:type="spellStart"/>
      <w:proofErr w:type="gramStart"/>
      <w:r w:rsidRPr="002A1341">
        <w:rPr>
          <w:rFonts w:asciiTheme="minorHAnsi" w:hAnsiTheme="minorHAnsi" w:cstheme="minorHAnsi"/>
        </w:rPr>
        <w:t>Garavan</w:t>
      </w:r>
      <w:proofErr w:type="spellEnd"/>
      <w:r w:rsidRPr="002A1341">
        <w:rPr>
          <w:rFonts w:asciiTheme="minorHAnsi" w:hAnsiTheme="minorHAnsi" w:cstheme="minorHAnsi"/>
        </w:rPr>
        <w:t xml:space="preserve">, T.N., McCarthy, A. and Morley, M. (2021) </w:t>
      </w:r>
      <w:r w:rsidRPr="002A1341">
        <w:rPr>
          <w:rStyle w:val="Emphasis"/>
          <w:rFonts w:asciiTheme="minorHAnsi" w:hAnsiTheme="minorHAnsi" w:cstheme="minorHAnsi"/>
        </w:rPr>
        <w:t>Strategic Human Resource Development.</w:t>
      </w:r>
      <w:proofErr w:type="gramEnd"/>
      <w:r w:rsidRPr="002A1341">
        <w:rPr>
          <w:rFonts w:asciiTheme="minorHAnsi" w:hAnsiTheme="minorHAnsi" w:cstheme="minorHAnsi"/>
        </w:rPr>
        <w:t xml:space="preserve"> 3rd ed. London: Routledge.</w:t>
      </w:r>
    </w:p>
    <w:p w:rsidR="00CC2324" w:rsidRPr="002A1341" w:rsidRDefault="00CC2324" w:rsidP="00CC2324">
      <w:pPr>
        <w:pStyle w:val="NormalWeb"/>
        <w:rPr>
          <w:rFonts w:asciiTheme="minorHAnsi" w:hAnsiTheme="minorHAnsi" w:cstheme="minorHAnsi"/>
        </w:rPr>
      </w:pPr>
      <w:r w:rsidRPr="002A1341">
        <w:rPr>
          <w:rFonts w:asciiTheme="minorHAnsi" w:hAnsiTheme="minorHAnsi" w:cstheme="minorHAnsi"/>
        </w:rPr>
        <w:t xml:space="preserve">Guest, D. (2017) ‘Human resource management and employee well-being: Towards a new analytic framework’, </w:t>
      </w:r>
      <w:r w:rsidRPr="002A1341">
        <w:rPr>
          <w:rStyle w:val="Emphasis"/>
          <w:rFonts w:asciiTheme="minorHAnsi" w:hAnsiTheme="minorHAnsi" w:cstheme="minorHAnsi"/>
        </w:rPr>
        <w:t>Human Resource Management Journal</w:t>
      </w:r>
      <w:r w:rsidRPr="002A1341">
        <w:rPr>
          <w:rFonts w:asciiTheme="minorHAnsi" w:hAnsiTheme="minorHAnsi" w:cstheme="minorHAnsi"/>
        </w:rPr>
        <w:t>, 27(1), pp. 22–38.</w:t>
      </w:r>
    </w:p>
    <w:p w:rsidR="00CC2324" w:rsidRPr="002A1341" w:rsidRDefault="00CC2324" w:rsidP="00CC2324">
      <w:pPr>
        <w:pStyle w:val="NormalWeb"/>
        <w:rPr>
          <w:rFonts w:asciiTheme="minorHAnsi" w:hAnsiTheme="minorHAnsi" w:cstheme="minorHAnsi"/>
        </w:rPr>
      </w:pPr>
      <w:r w:rsidRPr="002A1341">
        <w:rPr>
          <w:rFonts w:asciiTheme="minorHAnsi" w:hAnsiTheme="minorHAnsi" w:cstheme="minorHAnsi"/>
        </w:rPr>
        <w:t xml:space="preserve">IFAC (2018) </w:t>
      </w:r>
      <w:proofErr w:type="gramStart"/>
      <w:r w:rsidRPr="002A1341">
        <w:rPr>
          <w:rStyle w:val="Emphasis"/>
          <w:rFonts w:asciiTheme="minorHAnsi" w:hAnsiTheme="minorHAnsi" w:cstheme="minorHAnsi"/>
        </w:rPr>
        <w:t>The</w:t>
      </w:r>
      <w:proofErr w:type="gramEnd"/>
      <w:r w:rsidRPr="002A1341">
        <w:rPr>
          <w:rStyle w:val="Emphasis"/>
          <w:rFonts w:asciiTheme="minorHAnsi" w:hAnsiTheme="minorHAnsi" w:cstheme="minorHAnsi"/>
        </w:rPr>
        <w:t xml:space="preserve"> Role and Expectations of Professional Accountants in Business.</w:t>
      </w:r>
      <w:r w:rsidRPr="002A1341">
        <w:rPr>
          <w:rFonts w:asciiTheme="minorHAnsi" w:hAnsiTheme="minorHAnsi" w:cstheme="minorHAnsi"/>
        </w:rPr>
        <w:t xml:space="preserve"> New York: International Federation of Accountants.</w:t>
      </w:r>
    </w:p>
    <w:p w:rsidR="00CC2324" w:rsidRPr="002A1341" w:rsidRDefault="00CC2324" w:rsidP="00CC2324">
      <w:pPr>
        <w:pStyle w:val="NormalWeb"/>
        <w:rPr>
          <w:rFonts w:asciiTheme="minorHAnsi" w:hAnsiTheme="minorHAnsi" w:cstheme="minorHAnsi"/>
        </w:rPr>
      </w:pPr>
      <w:proofErr w:type="spellStart"/>
      <w:r w:rsidRPr="002A1341">
        <w:rPr>
          <w:rFonts w:asciiTheme="minorHAnsi" w:hAnsiTheme="minorHAnsi" w:cstheme="minorHAnsi"/>
        </w:rPr>
        <w:t>Kyndt</w:t>
      </w:r>
      <w:proofErr w:type="spellEnd"/>
      <w:r w:rsidRPr="002A1341">
        <w:rPr>
          <w:rFonts w:asciiTheme="minorHAnsi" w:hAnsiTheme="minorHAnsi" w:cstheme="minorHAnsi"/>
        </w:rPr>
        <w:t xml:space="preserve">, E., </w:t>
      </w:r>
      <w:proofErr w:type="spellStart"/>
      <w:r w:rsidRPr="002A1341">
        <w:rPr>
          <w:rFonts w:asciiTheme="minorHAnsi" w:hAnsiTheme="minorHAnsi" w:cstheme="minorHAnsi"/>
        </w:rPr>
        <w:t>Dochy</w:t>
      </w:r>
      <w:proofErr w:type="spellEnd"/>
      <w:r w:rsidRPr="002A1341">
        <w:rPr>
          <w:rFonts w:asciiTheme="minorHAnsi" w:hAnsiTheme="minorHAnsi" w:cstheme="minorHAnsi"/>
        </w:rPr>
        <w:t xml:space="preserve">, F., </w:t>
      </w:r>
      <w:proofErr w:type="spellStart"/>
      <w:r w:rsidRPr="002A1341">
        <w:rPr>
          <w:rFonts w:asciiTheme="minorHAnsi" w:hAnsiTheme="minorHAnsi" w:cstheme="minorHAnsi"/>
        </w:rPr>
        <w:t>Michielsen</w:t>
      </w:r>
      <w:proofErr w:type="spellEnd"/>
      <w:r w:rsidRPr="002A1341">
        <w:rPr>
          <w:rFonts w:asciiTheme="minorHAnsi" w:hAnsiTheme="minorHAnsi" w:cstheme="minorHAnsi"/>
        </w:rPr>
        <w:t xml:space="preserve">, M. and </w:t>
      </w:r>
      <w:proofErr w:type="spellStart"/>
      <w:r w:rsidRPr="002A1341">
        <w:rPr>
          <w:rFonts w:asciiTheme="minorHAnsi" w:hAnsiTheme="minorHAnsi" w:cstheme="minorHAnsi"/>
        </w:rPr>
        <w:t>Moeyaert</w:t>
      </w:r>
      <w:proofErr w:type="spellEnd"/>
      <w:r w:rsidRPr="002A1341">
        <w:rPr>
          <w:rFonts w:asciiTheme="minorHAnsi" w:hAnsiTheme="minorHAnsi" w:cstheme="minorHAnsi"/>
        </w:rPr>
        <w:t xml:space="preserve">, B. (2013) ‘Employee retention: Organisational and personal perspectives’, </w:t>
      </w:r>
      <w:r w:rsidRPr="002A1341">
        <w:rPr>
          <w:rStyle w:val="Emphasis"/>
          <w:rFonts w:asciiTheme="minorHAnsi" w:hAnsiTheme="minorHAnsi" w:cstheme="minorHAnsi"/>
        </w:rPr>
        <w:t>Vocational Learning</w:t>
      </w:r>
      <w:r w:rsidRPr="002A1341">
        <w:rPr>
          <w:rFonts w:asciiTheme="minorHAnsi" w:hAnsiTheme="minorHAnsi" w:cstheme="minorHAnsi"/>
        </w:rPr>
        <w:t>, 6(2), pp. 195–215.</w:t>
      </w:r>
    </w:p>
    <w:p w:rsidR="00CC2324" w:rsidRPr="002A1341" w:rsidRDefault="00CC2324" w:rsidP="00CC2324">
      <w:pPr>
        <w:pStyle w:val="NormalWeb"/>
        <w:rPr>
          <w:rFonts w:asciiTheme="minorHAnsi" w:hAnsiTheme="minorHAnsi" w:cstheme="minorHAnsi"/>
        </w:rPr>
      </w:pPr>
      <w:r w:rsidRPr="002A1341">
        <w:rPr>
          <w:rFonts w:asciiTheme="minorHAnsi" w:hAnsiTheme="minorHAnsi" w:cstheme="minorHAnsi"/>
        </w:rPr>
        <w:t xml:space="preserve">Nonaka, I. and Takeuchi, H. (1995) </w:t>
      </w:r>
      <w:proofErr w:type="gramStart"/>
      <w:r w:rsidRPr="002A1341">
        <w:rPr>
          <w:rStyle w:val="Emphasis"/>
          <w:rFonts w:asciiTheme="minorHAnsi" w:hAnsiTheme="minorHAnsi" w:cstheme="minorHAnsi"/>
        </w:rPr>
        <w:t>The</w:t>
      </w:r>
      <w:proofErr w:type="gramEnd"/>
      <w:r w:rsidRPr="002A1341">
        <w:rPr>
          <w:rStyle w:val="Emphasis"/>
          <w:rFonts w:asciiTheme="minorHAnsi" w:hAnsiTheme="minorHAnsi" w:cstheme="minorHAnsi"/>
        </w:rPr>
        <w:t xml:space="preserve"> Knowledge-Creating Company.</w:t>
      </w:r>
      <w:r w:rsidRPr="002A1341">
        <w:rPr>
          <w:rFonts w:asciiTheme="minorHAnsi" w:hAnsiTheme="minorHAnsi" w:cstheme="minorHAnsi"/>
        </w:rPr>
        <w:t xml:space="preserve"> Oxford: Oxford University Press.</w:t>
      </w:r>
    </w:p>
    <w:p w:rsidR="00CC2324" w:rsidRPr="002A1341" w:rsidRDefault="00CC2324" w:rsidP="00CC2324">
      <w:pPr>
        <w:pStyle w:val="NormalWeb"/>
        <w:rPr>
          <w:rFonts w:asciiTheme="minorHAnsi" w:hAnsiTheme="minorHAnsi" w:cstheme="minorHAnsi"/>
        </w:rPr>
      </w:pPr>
      <w:proofErr w:type="spellStart"/>
      <w:r w:rsidRPr="002A1341">
        <w:rPr>
          <w:rFonts w:asciiTheme="minorHAnsi" w:hAnsiTheme="minorHAnsi" w:cstheme="minorHAnsi"/>
        </w:rPr>
        <w:t>Senge</w:t>
      </w:r>
      <w:proofErr w:type="spellEnd"/>
      <w:r w:rsidRPr="002A1341">
        <w:rPr>
          <w:rFonts w:asciiTheme="minorHAnsi" w:hAnsiTheme="minorHAnsi" w:cstheme="minorHAnsi"/>
        </w:rPr>
        <w:t xml:space="preserve">, P.M. (1990) </w:t>
      </w:r>
      <w:proofErr w:type="gramStart"/>
      <w:r w:rsidRPr="002A1341">
        <w:rPr>
          <w:rStyle w:val="Emphasis"/>
          <w:rFonts w:asciiTheme="minorHAnsi" w:hAnsiTheme="minorHAnsi" w:cstheme="minorHAnsi"/>
        </w:rPr>
        <w:t>The</w:t>
      </w:r>
      <w:proofErr w:type="gramEnd"/>
      <w:r w:rsidRPr="002A1341">
        <w:rPr>
          <w:rStyle w:val="Emphasis"/>
          <w:rFonts w:asciiTheme="minorHAnsi" w:hAnsiTheme="minorHAnsi" w:cstheme="minorHAnsi"/>
        </w:rPr>
        <w:t xml:space="preserve"> Fifth Discipline: The Art and Practice of the Learning Organization.</w:t>
      </w:r>
      <w:r w:rsidRPr="002A1341">
        <w:rPr>
          <w:rFonts w:asciiTheme="minorHAnsi" w:hAnsiTheme="minorHAnsi" w:cstheme="minorHAnsi"/>
        </w:rPr>
        <w:t xml:space="preserve"> New York: Doubleday.</w:t>
      </w:r>
    </w:p>
    <w:p w:rsidR="002428B7" w:rsidRPr="002A1341" w:rsidRDefault="002428B7" w:rsidP="002428B7">
      <w:pPr>
        <w:pStyle w:val="NormalWeb"/>
        <w:rPr>
          <w:rFonts w:asciiTheme="minorHAnsi" w:hAnsiTheme="minorHAnsi" w:cstheme="minorHAnsi"/>
        </w:rPr>
      </w:pPr>
      <w:proofErr w:type="gramStart"/>
      <w:r w:rsidRPr="002A1341">
        <w:rPr>
          <w:rFonts w:asciiTheme="minorHAnsi" w:hAnsiTheme="minorHAnsi" w:cstheme="minorHAnsi"/>
        </w:rPr>
        <w:t xml:space="preserve">Armstrong, M. and Taylor, S. (2020) </w:t>
      </w:r>
      <w:r w:rsidRPr="002A1341">
        <w:rPr>
          <w:rStyle w:val="Emphasis"/>
          <w:rFonts w:asciiTheme="minorHAnsi" w:hAnsiTheme="minorHAnsi" w:cstheme="minorHAnsi"/>
        </w:rPr>
        <w:t>Armstrong’s Handbook of Human Resource Management Practice.</w:t>
      </w:r>
      <w:proofErr w:type="gramEnd"/>
      <w:r w:rsidRPr="002A1341">
        <w:rPr>
          <w:rFonts w:asciiTheme="minorHAnsi" w:hAnsiTheme="minorHAnsi" w:cstheme="minorHAnsi"/>
        </w:rPr>
        <w:t xml:space="preserve"> 15th ed. London: </w:t>
      </w:r>
      <w:proofErr w:type="spellStart"/>
      <w:r w:rsidRPr="002A1341">
        <w:rPr>
          <w:rFonts w:asciiTheme="minorHAnsi" w:hAnsiTheme="minorHAnsi" w:cstheme="minorHAnsi"/>
        </w:rPr>
        <w:t>Kogan</w:t>
      </w:r>
      <w:proofErr w:type="spellEnd"/>
      <w:r w:rsidRPr="002A1341">
        <w:rPr>
          <w:rFonts w:asciiTheme="minorHAnsi" w:hAnsiTheme="minorHAnsi" w:cstheme="minorHAnsi"/>
        </w:rPr>
        <w:t xml:space="preserve"> Page.</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CIPD (2023) </w:t>
      </w:r>
      <w:r w:rsidRPr="002A1341">
        <w:rPr>
          <w:rStyle w:val="Emphasis"/>
          <w:rFonts w:asciiTheme="minorHAnsi" w:hAnsiTheme="minorHAnsi" w:cstheme="minorHAnsi"/>
        </w:rPr>
        <w:t>Learning and Development in Organisations: Annual Report 2023.</w:t>
      </w:r>
      <w:r w:rsidRPr="002A1341">
        <w:rPr>
          <w:rFonts w:asciiTheme="minorHAnsi" w:hAnsiTheme="minorHAnsi" w:cstheme="minorHAnsi"/>
        </w:rPr>
        <w:t xml:space="preserve"> London: Chartered Institute of Personnel and Development.</w:t>
      </w:r>
    </w:p>
    <w:p w:rsidR="002428B7" w:rsidRPr="002A1341" w:rsidRDefault="002428B7" w:rsidP="002428B7">
      <w:pPr>
        <w:pStyle w:val="NormalWeb"/>
        <w:rPr>
          <w:rFonts w:asciiTheme="minorHAnsi" w:hAnsiTheme="minorHAnsi" w:cstheme="minorHAnsi"/>
        </w:rPr>
      </w:pPr>
      <w:proofErr w:type="spellStart"/>
      <w:proofErr w:type="gramStart"/>
      <w:r w:rsidRPr="002A1341">
        <w:rPr>
          <w:rFonts w:asciiTheme="minorHAnsi" w:hAnsiTheme="minorHAnsi" w:cstheme="minorHAnsi"/>
        </w:rPr>
        <w:t>Garavan</w:t>
      </w:r>
      <w:proofErr w:type="spellEnd"/>
      <w:r w:rsidRPr="002A1341">
        <w:rPr>
          <w:rFonts w:asciiTheme="minorHAnsi" w:hAnsiTheme="minorHAnsi" w:cstheme="minorHAnsi"/>
        </w:rPr>
        <w:t xml:space="preserve">, T.N., McCarthy, A. and Morley, M. (2021) </w:t>
      </w:r>
      <w:r w:rsidRPr="002A1341">
        <w:rPr>
          <w:rStyle w:val="Emphasis"/>
          <w:rFonts w:asciiTheme="minorHAnsi" w:hAnsiTheme="minorHAnsi" w:cstheme="minorHAnsi"/>
        </w:rPr>
        <w:t>Strategic Human Resource Development.</w:t>
      </w:r>
      <w:proofErr w:type="gramEnd"/>
      <w:r w:rsidRPr="002A1341">
        <w:rPr>
          <w:rFonts w:asciiTheme="minorHAnsi" w:hAnsiTheme="minorHAnsi" w:cstheme="minorHAnsi"/>
        </w:rPr>
        <w:t xml:space="preserve"> 3rd ed. London: Routledge.</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Guest, D. (2017) ‘Human resource management and employee well-being: Towards a new analytic framework’, </w:t>
      </w:r>
      <w:r w:rsidRPr="002A1341">
        <w:rPr>
          <w:rStyle w:val="Emphasis"/>
          <w:rFonts w:asciiTheme="minorHAnsi" w:hAnsiTheme="minorHAnsi" w:cstheme="minorHAnsi"/>
        </w:rPr>
        <w:t>Human Resource Management Journal</w:t>
      </w:r>
      <w:r w:rsidRPr="002A1341">
        <w:rPr>
          <w:rFonts w:asciiTheme="minorHAnsi" w:hAnsiTheme="minorHAnsi" w:cstheme="minorHAnsi"/>
        </w:rPr>
        <w:t>, 27(1), pp. 22–38.</w:t>
      </w:r>
    </w:p>
    <w:p w:rsidR="002428B7" w:rsidRPr="002A1341" w:rsidRDefault="002428B7" w:rsidP="002428B7">
      <w:pPr>
        <w:pStyle w:val="NormalWeb"/>
        <w:rPr>
          <w:rFonts w:asciiTheme="minorHAnsi" w:hAnsiTheme="minorHAnsi" w:cstheme="minorHAnsi"/>
        </w:rPr>
      </w:pPr>
      <w:proofErr w:type="spellStart"/>
      <w:r w:rsidRPr="002A1341">
        <w:rPr>
          <w:rFonts w:asciiTheme="minorHAnsi" w:hAnsiTheme="minorHAnsi" w:cstheme="minorHAnsi"/>
        </w:rPr>
        <w:t>Kyndt</w:t>
      </w:r>
      <w:proofErr w:type="spellEnd"/>
      <w:r w:rsidRPr="002A1341">
        <w:rPr>
          <w:rFonts w:asciiTheme="minorHAnsi" w:hAnsiTheme="minorHAnsi" w:cstheme="minorHAnsi"/>
        </w:rPr>
        <w:t xml:space="preserve">, E., </w:t>
      </w:r>
      <w:proofErr w:type="spellStart"/>
      <w:r w:rsidRPr="002A1341">
        <w:rPr>
          <w:rFonts w:asciiTheme="minorHAnsi" w:hAnsiTheme="minorHAnsi" w:cstheme="minorHAnsi"/>
        </w:rPr>
        <w:t>Dochy</w:t>
      </w:r>
      <w:proofErr w:type="spellEnd"/>
      <w:r w:rsidRPr="002A1341">
        <w:rPr>
          <w:rFonts w:asciiTheme="minorHAnsi" w:hAnsiTheme="minorHAnsi" w:cstheme="minorHAnsi"/>
        </w:rPr>
        <w:t xml:space="preserve">, F., </w:t>
      </w:r>
      <w:proofErr w:type="spellStart"/>
      <w:r w:rsidRPr="002A1341">
        <w:rPr>
          <w:rFonts w:asciiTheme="minorHAnsi" w:hAnsiTheme="minorHAnsi" w:cstheme="minorHAnsi"/>
        </w:rPr>
        <w:t>Michielsen</w:t>
      </w:r>
      <w:proofErr w:type="spellEnd"/>
      <w:r w:rsidRPr="002A1341">
        <w:rPr>
          <w:rFonts w:asciiTheme="minorHAnsi" w:hAnsiTheme="minorHAnsi" w:cstheme="minorHAnsi"/>
        </w:rPr>
        <w:t xml:space="preserve">, M. and </w:t>
      </w:r>
      <w:proofErr w:type="spellStart"/>
      <w:r w:rsidRPr="002A1341">
        <w:rPr>
          <w:rFonts w:asciiTheme="minorHAnsi" w:hAnsiTheme="minorHAnsi" w:cstheme="minorHAnsi"/>
        </w:rPr>
        <w:t>Moeyaert</w:t>
      </w:r>
      <w:proofErr w:type="spellEnd"/>
      <w:r w:rsidRPr="002A1341">
        <w:rPr>
          <w:rFonts w:asciiTheme="minorHAnsi" w:hAnsiTheme="minorHAnsi" w:cstheme="minorHAnsi"/>
        </w:rPr>
        <w:t xml:space="preserve">, B. (2013) ‘Employee retention: Organisational </w:t>
      </w:r>
    </w:p>
    <w:p w:rsidR="002428B7" w:rsidRPr="002A1341" w:rsidRDefault="002428B7" w:rsidP="002428B7">
      <w:pPr>
        <w:pStyle w:val="NormalWeb"/>
        <w:rPr>
          <w:rFonts w:asciiTheme="minorHAnsi" w:hAnsiTheme="minorHAnsi" w:cstheme="minorHAnsi"/>
        </w:rPr>
      </w:pPr>
      <w:proofErr w:type="gramStart"/>
      <w:r w:rsidRPr="002A1341">
        <w:rPr>
          <w:rFonts w:asciiTheme="minorHAnsi" w:hAnsiTheme="minorHAnsi" w:cstheme="minorHAnsi"/>
        </w:rPr>
        <w:t xml:space="preserve">Armstrong, M. and Taylor, S. (2020) </w:t>
      </w:r>
      <w:r w:rsidRPr="002A1341">
        <w:rPr>
          <w:rStyle w:val="Emphasis"/>
          <w:rFonts w:asciiTheme="minorHAnsi" w:hAnsiTheme="minorHAnsi" w:cstheme="minorHAnsi"/>
        </w:rPr>
        <w:t>Armstrong’s Handbook of Human Resource Management Practice.</w:t>
      </w:r>
      <w:proofErr w:type="gramEnd"/>
      <w:r w:rsidRPr="002A1341">
        <w:rPr>
          <w:rFonts w:asciiTheme="minorHAnsi" w:hAnsiTheme="minorHAnsi" w:cstheme="minorHAnsi"/>
        </w:rPr>
        <w:t xml:space="preserve"> 15th ed. London: </w:t>
      </w:r>
      <w:proofErr w:type="spellStart"/>
      <w:r w:rsidRPr="002A1341">
        <w:rPr>
          <w:rFonts w:asciiTheme="minorHAnsi" w:hAnsiTheme="minorHAnsi" w:cstheme="minorHAnsi"/>
        </w:rPr>
        <w:t>Kogan</w:t>
      </w:r>
      <w:proofErr w:type="spellEnd"/>
      <w:r w:rsidRPr="002A1341">
        <w:rPr>
          <w:rFonts w:asciiTheme="minorHAnsi" w:hAnsiTheme="minorHAnsi" w:cstheme="minorHAnsi"/>
        </w:rPr>
        <w:t xml:space="preserve"> Page.</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CIPD (2023) </w:t>
      </w:r>
      <w:r w:rsidRPr="002A1341">
        <w:rPr>
          <w:rStyle w:val="Emphasis"/>
          <w:rFonts w:asciiTheme="minorHAnsi" w:hAnsiTheme="minorHAnsi" w:cstheme="minorHAnsi"/>
        </w:rPr>
        <w:t>Learning and Development in Organisations: Annual Report 2023.</w:t>
      </w:r>
      <w:r w:rsidRPr="002A1341">
        <w:rPr>
          <w:rFonts w:asciiTheme="minorHAnsi" w:hAnsiTheme="minorHAnsi" w:cstheme="minorHAnsi"/>
        </w:rPr>
        <w:t xml:space="preserve"> London: Chartered Institute of Personnel and Development.</w:t>
      </w:r>
    </w:p>
    <w:p w:rsidR="002428B7" w:rsidRPr="002A1341" w:rsidRDefault="002428B7" w:rsidP="002428B7">
      <w:pPr>
        <w:pStyle w:val="NormalWeb"/>
        <w:rPr>
          <w:rFonts w:asciiTheme="minorHAnsi" w:hAnsiTheme="minorHAnsi" w:cstheme="minorHAnsi"/>
        </w:rPr>
      </w:pPr>
      <w:proofErr w:type="spellStart"/>
      <w:proofErr w:type="gramStart"/>
      <w:r w:rsidRPr="002A1341">
        <w:rPr>
          <w:rFonts w:asciiTheme="minorHAnsi" w:hAnsiTheme="minorHAnsi" w:cstheme="minorHAnsi"/>
        </w:rPr>
        <w:t>Garavan</w:t>
      </w:r>
      <w:proofErr w:type="spellEnd"/>
      <w:r w:rsidRPr="002A1341">
        <w:rPr>
          <w:rFonts w:asciiTheme="minorHAnsi" w:hAnsiTheme="minorHAnsi" w:cstheme="minorHAnsi"/>
        </w:rPr>
        <w:t xml:space="preserve">, T.N., McCarthy, A. and Morley, M. (2021) </w:t>
      </w:r>
      <w:r w:rsidRPr="002A1341">
        <w:rPr>
          <w:rStyle w:val="Emphasis"/>
          <w:rFonts w:asciiTheme="minorHAnsi" w:hAnsiTheme="minorHAnsi" w:cstheme="minorHAnsi"/>
        </w:rPr>
        <w:t>Strategic Human Resource Development.</w:t>
      </w:r>
      <w:proofErr w:type="gramEnd"/>
      <w:r w:rsidRPr="002A1341">
        <w:rPr>
          <w:rFonts w:asciiTheme="minorHAnsi" w:hAnsiTheme="minorHAnsi" w:cstheme="minorHAnsi"/>
        </w:rPr>
        <w:t xml:space="preserve"> 3rd ed. London: Routledge.</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lastRenderedPageBreak/>
        <w:t xml:space="preserve">IFAC (2018) </w:t>
      </w:r>
      <w:proofErr w:type="gramStart"/>
      <w:r w:rsidRPr="002A1341">
        <w:rPr>
          <w:rStyle w:val="Emphasis"/>
          <w:rFonts w:asciiTheme="minorHAnsi" w:hAnsiTheme="minorHAnsi" w:cstheme="minorHAnsi"/>
        </w:rPr>
        <w:t>The</w:t>
      </w:r>
      <w:proofErr w:type="gramEnd"/>
      <w:r w:rsidRPr="002A1341">
        <w:rPr>
          <w:rStyle w:val="Emphasis"/>
          <w:rFonts w:asciiTheme="minorHAnsi" w:hAnsiTheme="minorHAnsi" w:cstheme="minorHAnsi"/>
        </w:rPr>
        <w:t xml:space="preserve"> Role and Expectations of Professional Accountants in Business.</w:t>
      </w:r>
      <w:r w:rsidRPr="002A1341">
        <w:rPr>
          <w:rFonts w:asciiTheme="minorHAnsi" w:hAnsiTheme="minorHAnsi" w:cstheme="minorHAnsi"/>
        </w:rPr>
        <w:t xml:space="preserve"> New York: International Federation of Accountants.</w:t>
      </w:r>
    </w:p>
    <w:p w:rsidR="002428B7" w:rsidRPr="002A1341" w:rsidRDefault="002428B7" w:rsidP="002428B7">
      <w:pPr>
        <w:pStyle w:val="NormalWeb"/>
        <w:rPr>
          <w:rFonts w:asciiTheme="minorHAnsi" w:hAnsiTheme="minorHAnsi" w:cstheme="minorHAnsi"/>
        </w:rPr>
      </w:pPr>
      <w:proofErr w:type="gramStart"/>
      <w:r w:rsidRPr="002A1341">
        <w:rPr>
          <w:rFonts w:asciiTheme="minorHAnsi" w:hAnsiTheme="minorHAnsi" w:cstheme="minorHAnsi"/>
        </w:rPr>
        <w:t xml:space="preserve">Kolb, D.A. (1984) </w:t>
      </w:r>
      <w:r w:rsidRPr="002A1341">
        <w:rPr>
          <w:rStyle w:val="Emphasis"/>
          <w:rFonts w:asciiTheme="minorHAnsi" w:hAnsiTheme="minorHAnsi" w:cstheme="minorHAnsi"/>
        </w:rPr>
        <w:t>Experiential Learning: Experience as the Source of Learning and Development.</w:t>
      </w:r>
      <w:proofErr w:type="gramEnd"/>
      <w:r w:rsidRPr="002A1341">
        <w:rPr>
          <w:rFonts w:asciiTheme="minorHAnsi" w:hAnsiTheme="minorHAnsi" w:cstheme="minorHAnsi"/>
        </w:rPr>
        <w:t xml:space="preserve"> Englewood Cliffs, NJ: Prentice Hall.</w:t>
      </w:r>
    </w:p>
    <w:p w:rsidR="002428B7" w:rsidRPr="002A1341" w:rsidRDefault="002428B7" w:rsidP="002428B7">
      <w:pPr>
        <w:pStyle w:val="NormalWeb"/>
        <w:rPr>
          <w:rFonts w:asciiTheme="minorHAnsi" w:hAnsiTheme="minorHAnsi" w:cstheme="minorHAnsi"/>
        </w:rPr>
      </w:pPr>
      <w:proofErr w:type="spellStart"/>
      <w:r w:rsidRPr="002A1341">
        <w:rPr>
          <w:rFonts w:asciiTheme="minorHAnsi" w:hAnsiTheme="minorHAnsi" w:cstheme="minorHAnsi"/>
        </w:rPr>
        <w:t>Kyndt</w:t>
      </w:r>
      <w:proofErr w:type="spellEnd"/>
      <w:r w:rsidRPr="002A1341">
        <w:rPr>
          <w:rFonts w:asciiTheme="minorHAnsi" w:hAnsiTheme="minorHAnsi" w:cstheme="minorHAnsi"/>
        </w:rPr>
        <w:t xml:space="preserve">, E., </w:t>
      </w:r>
      <w:proofErr w:type="spellStart"/>
      <w:r w:rsidRPr="002A1341">
        <w:rPr>
          <w:rFonts w:asciiTheme="minorHAnsi" w:hAnsiTheme="minorHAnsi" w:cstheme="minorHAnsi"/>
        </w:rPr>
        <w:t>Dochy</w:t>
      </w:r>
      <w:proofErr w:type="spellEnd"/>
      <w:r w:rsidRPr="002A1341">
        <w:rPr>
          <w:rFonts w:asciiTheme="minorHAnsi" w:hAnsiTheme="minorHAnsi" w:cstheme="minorHAnsi"/>
        </w:rPr>
        <w:t xml:space="preserve">, F., </w:t>
      </w:r>
      <w:proofErr w:type="spellStart"/>
      <w:r w:rsidRPr="002A1341">
        <w:rPr>
          <w:rFonts w:asciiTheme="minorHAnsi" w:hAnsiTheme="minorHAnsi" w:cstheme="minorHAnsi"/>
        </w:rPr>
        <w:t>Michielsen</w:t>
      </w:r>
      <w:proofErr w:type="spellEnd"/>
      <w:r w:rsidRPr="002A1341">
        <w:rPr>
          <w:rFonts w:asciiTheme="minorHAnsi" w:hAnsiTheme="minorHAnsi" w:cstheme="minorHAnsi"/>
        </w:rPr>
        <w:t xml:space="preserve">, M. and </w:t>
      </w:r>
      <w:proofErr w:type="spellStart"/>
      <w:r w:rsidRPr="002A1341">
        <w:rPr>
          <w:rFonts w:asciiTheme="minorHAnsi" w:hAnsiTheme="minorHAnsi" w:cstheme="minorHAnsi"/>
        </w:rPr>
        <w:t>Moeyaert</w:t>
      </w:r>
      <w:proofErr w:type="spellEnd"/>
      <w:r w:rsidRPr="002A1341">
        <w:rPr>
          <w:rFonts w:asciiTheme="minorHAnsi" w:hAnsiTheme="minorHAnsi" w:cstheme="minorHAnsi"/>
        </w:rPr>
        <w:t xml:space="preserve">, B. (2013) ‘Employee retention: Organisational and personal perspectives’, </w:t>
      </w:r>
      <w:r w:rsidRPr="002A1341">
        <w:rPr>
          <w:rStyle w:val="Emphasis"/>
          <w:rFonts w:asciiTheme="minorHAnsi" w:hAnsiTheme="minorHAnsi" w:cstheme="minorHAnsi"/>
        </w:rPr>
        <w:t>Vocational Learning</w:t>
      </w:r>
      <w:r w:rsidRPr="002A1341">
        <w:rPr>
          <w:rFonts w:asciiTheme="minorHAnsi" w:hAnsiTheme="minorHAnsi" w:cstheme="minorHAnsi"/>
        </w:rPr>
        <w:t>, 6(2), pp. 195–215.</w:t>
      </w:r>
    </w:p>
    <w:p w:rsidR="002428B7" w:rsidRPr="002A1341" w:rsidRDefault="002428B7" w:rsidP="002428B7">
      <w:pPr>
        <w:pStyle w:val="NormalWeb"/>
        <w:rPr>
          <w:rFonts w:asciiTheme="minorHAnsi" w:hAnsiTheme="minorHAnsi" w:cstheme="minorHAnsi"/>
        </w:rPr>
      </w:pPr>
      <w:proofErr w:type="spellStart"/>
      <w:r w:rsidRPr="002A1341">
        <w:rPr>
          <w:rFonts w:asciiTheme="minorHAnsi" w:hAnsiTheme="minorHAnsi" w:cstheme="minorHAnsi"/>
        </w:rPr>
        <w:t>Senge</w:t>
      </w:r>
      <w:proofErr w:type="spellEnd"/>
      <w:r w:rsidRPr="002A1341">
        <w:rPr>
          <w:rFonts w:asciiTheme="minorHAnsi" w:hAnsiTheme="minorHAnsi" w:cstheme="minorHAnsi"/>
        </w:rPr>
        <w:t xml:space="preserve">, P.M. (1990) </w:t>
      </w:r>
      <w:proofErr w:type="gramStart"/>
      <w:r w:rsidRPr="002A1341">
        <w:rPr>
          <w:rStyle w:val="Emphasis"/>
          <w:rFonts w:asciiTheme="minorHAnsi" w:hAnsiTheme="minorHAnsi" w:cstheme="minorHAnsi"/>
        </w:rPr>
        <w:t>The</w:t>
      </w:r>
      <w:proofErr w:type="gramEnd"/>
      <w:r w:rsidRPr="002A1341">
        <w:rPr>
          <w:rStyle w:val="Emphasis"/>
          <w:rFonts w:asciiTheme="minorHAnsi" w:hAnsiTheme="minorHAnsi" w:cstheme="minorHAnsi"/>
        </w:rPr>
        <w:t xml:space="preserve"> Fifth Discipline: The Art and Practice of the Learning Organization.</w:t>
      </w:r>
      <w:r w:rsidRPr="002A1341">
        <w:rPr>
          <w:rFonts w:asciiTheme="minorHAnsi" w:hAnsiTheme="minorHAnsi" w:cstheme="minorHAnsi"/>
        </w:rPr>
        <w:t xml:space="preserve"> New York: Doubleday.</w:t>
      </w:r>
    </w:p>
    <w:p w:rsidR="002428B7" w:rsidRPr="002A1341" w:rsidRDefault="002428B7" w:rsidP="002428B7">
      <w:pPr>
        <w:pStyle w:val="NormalWeb"/>
        <w:rPr>
          <w:rFonts w:asciiTheme="minorHAnsi" w:hAnsiTheme="minorHAnsi" w:cstheme="minorHAnsi"/>
        </w:rPr>
      </w:pPr>
      <w:proofErr w:type="gramStart"/>
      <w:r w:rsidRPr="002A1341">
        <w:rPr>
          <w:rFonts w:asciiTheme="minorHAnsi" w:hAnsiTheme="minorHAnsi" w:cstheme="minorHAnsi"/>
        </w:rPr>
        <w:t xml:space="preserve">Armstrong, M. and Taylor, S. (2020) </w:t>
      </w:r>
      <w:r w:rsidRPr="002A1341">
        <w:rPr>
          <w:rStyle w:val="Emphasis"/>
          <w:rFonts w:asciiTheme="minorHAnsi" w:hAnsiTheme="minorHAnsi" w:cstheme="minorHAnsi"/>
        </w:rPr>
        <w:t>Armstrong’s Handbook of Human Resource Management Practice.</w:t>
      </w:r>
      <w:proofErr w:type="gramEnd"/>
      <w:r w:rsidRPr="002A1341">
        <w:rPr>
          <w:rFonts w:asciiTheme="minorHAnsi" w:hAnsiTheme="minorHAnsi" w:cstheme="minorHAnsi"/>
        </w:rPr>
        <w:t xml:space="preserve"> 15th ed. London: </w:t>
      </w:r>
      <w:proofErr w:type="spellStart"/>
      <w:r w:rsidRPr="002A1341">
        <w:rPr>
          <w:rFonts w:asciiTheme="minorHAnsi" w:hAnsiTheme="minorHAnsi" w:cstheme="minorHAnsi"/>
        </w:rPr>
        <w:t>Kogan</w:t>
      </w:r>
      <w:proofErr w:type="spellEnd"/>
      <w:r w:rsidRPr="002A1341">
        <w:rPr>
          <w:rFonts w:asciiTheme="minorHAnsi" w:hAnsiTheme="minorHAnsi" w:cstheme="minorHAnsi"/>
        </w:rPr>
        <w:t xml:space="preserve"> Page.</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CIPD (2023) </w:t>
      </w:r>
      <w:r w:rsidRPr="002A1341">
        <w:rPr>
          <w:rStyle w:val="Emphasis"/>
          <w:rFonts w:asciiTheme="minorHAnsi" w:hAnsiTheme="minorHAnsi" w:cstheme="minorHAnsi"/>
        </w:rPr>
        <w:t>Learning and Development in Organisations: Annual Report 2023.</w:t>
      </w:r>
      <w:r w:rsidRPr="002A1341">
        <w:rPr>
          <w:rFonts w:asciiTheme="minorHAnsi" w:hAnsiTheme="minorHAnsi" w:cstheme="minorHAnsi"/>
        </w:rPr>
        <w:t xml:space="preserve"> London: Chartered Institute of Personnel and Development.</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Doran, G.T. (1981) ‘There’s </w:t>
      </w:r>
      <w:proofErr w:type="gramStart"/>
      <w:r w:rsidRPr="002A1341">
        <w:rPr>
          <w:rFonts w:asciiTheme="minorHAnsi" w:hAnsiTheme="minorHAnsi" w:cstheme="minorHAnsi"/>
        </w:rPr>
        <w:t>a</w:t>
      </w:r>
      <w:proofErr w:type="gramEnd"/>
      <w:r w:rsidRPr="002A1341">
        <w:rPr>
          <w:rFonts w:asciiTheme="minorHAnsi" w:hAnsiTheme="minorHAnsi" w:cstheme="minorHAnsi"/>
        </w:rPr>
        <w:t xml:space="preserve"> S.M.A.R.T. way to write management’s goals and objectives’, </w:t>
      </w:r>
      <w:r w:rsidRPr="002A1341">
        <w:rPr>
          <w:rStyle w:val="Emphasis"/>
          <w:rFonts w:asciiTheme="minorHAnsi" w:hAnsiTheme="minorHAnsi" w:cstheme="minorHAnsi"/>
        </w:rPr>
        <w:t>Management Review</w:t>
      </w:r>
      <w:r w:rsidRPr="002A1341">
        <w:rPr>
          <w:rFonts w:asciiTheme="minorHAnsi" w:hAnsiTheme="minorHAnsi" w:cstheme="minorHAnsi"/>
        </w:rPr>
        <w:t>, 70(11), pp. 35–36.</w:t>
      </w:r>
    </w:p>
    <w:p w:rsidR="002428B7" w:rsidRPr="002A1341" w:rsidRDefault="002428B7" w:rsidP="002428B7">
      <w:pPr>
        <w:pStyle w:val="NormalWeb"/>
        <w:rPr>
          <w:rFonts w:asciiTheme="minorHAnsi" w:hAnsiTheme="minorHAnsi" w:cstheme="minorHAnsi"/>
        </w:rPr>
      </w:pPr>
      <w:proofErr w:type="spellStart"/>
      <w:proofErr w:type="gramStart"/>
      <w:r w:rsidRPr="002A1341">
        <w:rPr>
          <w:rFonts w:asciiTheme="minorHAnsi" w:hAnsiTheme="minorHAnsi" w:cstheme="minorHAnsi"/>
        </w:rPr>
        <w:t>Garavan</w:t>
      </w:r>
      <w:proofErr w:type="spellEnd"/>
      <w:r w:rsidRPr="002A1341">
        <w:rPr>
          <w:rFonts w:asciiTheme="minorHAnsi" w:hAnsiTheme="minorHAnsi" w:cstheme="minorHAnsi"/>
        </w:rPr>
        <w:t xml:space="preserve">, T.N., McCarthy, A. and Morley, M. (2021) </w:t>
      </w:r>
      <w:r w:rsidRPr="002A1341">
        <w:rPr>
          <w:rStyle w:val="Emphasis"/>
          <w:rFonts w:asciiTheme="minorHAnsi" w:hAnsiTheme="minorHAnsi" w:cstheme="minorHAnsi"/>
        </w:rPr>
        <w:t>Strategic Human Resource Development.</w:t>
      </w:r>
      <w:proofErr w:type="gramEnd"/>
      <w:r w:rsidRPr="002A1341">
        <w:rPr>
          <w:rFonts w:asciiTheme="minorHAnsi" w:hAnsiTheme="minorHAnsi" w:cstheme="minorHAnsi"/>
        </w:rPr>
        <w:t xml:space="preserve"> 3rd ed. London: Routledge.</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Guest, D. (2017) ‘Human resource management and employee well-being: Towards a new analytic framework’, </w:t>
      </w:r>
      <w:r w:rsidRPr="002A1341">
        <w:rPr>
          <w:rStyle w:val="Emphasis"/>
          <w:rFonts w:asciiTheme="minorHAnsi" w:hAnsiTheme="minorHAnsi" w:cstheme="minorHAnsi"/>
        </w:rPr>
        <w:t>Human Resource Management Journal</w:t>
      </w:r>
      <w:r w:rsidRPr="002A1341">
        <w:rPr>
          <w:rFonts w:asciiTheme="minorHAnsi" w:hAnsiTheme="minorHAnsi" w:cstheme="minorHAnsi"/>
        </w:rPr>
        <w:t>, 27(1), pp. 22–38.</w:t>
      </w:r>
    </w:p>
    <w:p w:rsidR="002428B7" w:rsidRPr="002A1341" w:rsidRDefault="002428B7" w:rsidP="002428B7">
      <w:pPr>
        <w:pStyle w:val="NormalWeb"/>
        <w:rPr>
          <w:rFonts w:asciiTheme="minorHAnsi" w:hAnsiTheme="minorHAnsi" w:cstheme="minorHAnsi"/>
        </w:rPr>
      </w:pPr>
      <w:proofErr w:type="gramStart"/>
      <w:r w:rsidRPr="002A1341">
        <w:rPr>
          <w:rFonts w:asciiTheme="minorHAnsi" w:hAnsiTheme="minorHAnsi" w:cstheme="minorHAnsi"/>
        </w:rPr>
        <w:t xml:space="preserve">Kirkpatrick, J.D. and Kirkpatrick, W.K. (2016) </w:t>
      </w:r>
      <w:r w:rsidRPr="002A1341">
        <w:rPr>
          <w:rStyle w:val="Emphasis"/>
          <w:rFonts w:asciiTheme="minorHAnsi" w:hAnsiTheme="minorHAnsi" w:cstheme="minorHAnsi"/>
        </w:rPr>
        <w:t>Kirkpatrick’s Four Levels of Training Evaluation.</w:t>
      </w:r>
      <w:proofErr w:type="gramEnd"/>
      <w:r w:rsidRPr="002A1341">
        <w:rPr>
          <w:rFonts w:asciiTheme="minorHAnsi" w:hAnsiTheme="minorHAnsi" w:cstheme="minorHAnsi"/>
        </w:rPr>
        <w:t xml:space="preserve"> Alexandria, VA: ATD Press.</w:t>
      </w:r>
    </w:p>
    <w:p w:rsidR="002428B7" w:rsidRPr="002A1341" w:rsidRDefault="002428B7" w:rsidP="002428B7">
      <w:pPr>
        <w:pStyle w:val="NormalWeb"/>
        <w:rPr>
          <w:rFonts w:asciiTheme="minorHAnsi" w:hAnsiTheme="minorHAnsi" w:cstheme="minorHAnsi"/>
        </w:rPr>
      </w:pPr>
      <w:proofErr w:type="gramStart"/>
      <w:r w:rsidRPr="002A1341">
        <w:rPr>
          <w:rFonts w:asciiTheme="minorHAnsi" w:hAnsiTheme="minorHAnsi" w:cstheme="minorHAnsi"/>
        </w:rPr>
        <w:t xml:space="preserve">Kolb, D.A. (1984) </w:t>
      </w:r>
      <w:r w:rsidRPr="002A1341">
        <w:rPr>
          <w:rStyle w:val="Emphasis"/>
          <w:rFonts w:asciiTheme="minorHAnsi" w:hAnsiTheme="minorHAnsi" w:cstheme="minorHAnsi"/>
        </w:rPr>
        <w:t>Experiential Learning: Experience as the Source of Learning and Development.</w:t>
      </w:r>
      <w:proofErr w:type="gramEnd"/>
      <w:r w:rsidRPr="002A1341">
        <w:rPr>
          <w:rFonts w:asciiTheme="minorHAnsi" w:hAnsiTheme="minorHAnsi" w:cstheme="minorHAnsi"/>
        </w:rPr>
        <w:t xml:space="preserve"> Englewood Cliffs, NJ: Prentice Hall.</w:t>
      </w:r>
    </w:p>
    <w:p w:rsidR="002428B7" w:rsidRPr="002A1341" w:rsidRDefault="002428B7" w:rsidP="002428B7">
      <w:pPr>
        <w:pStyle w:val="NormalWeb"/>
        <w:rPr>
          <w:rFonts w:asciiTheme="minorHAnsi" w:hAnsiTheme="minorHAnsi" w:cstheme="minorHAnsi"/>
        </w:rPr>
      </w:pPr>
      <w:proofErr w:type="spellStart"/>
      <w:r w:rsidRPr="002A1341">
        <w:rPr>
          <w:rFonts w:asciiTheme="minorHAnsi" w:hAnsiTheme="minorHAnsi" w:cstheme="minorHAnsi"/>
        </w:rPr>
        <w:t>Senge</w:t>
      </w:r>
      <w:proofErr w:type="spellEnd"/>
      <w:r w:rsidRPr="002A1341">
        <w:rPr>
          <w:rFonts w:asciiTheme="minorHAnsi" w:hAnsiTheme="minorHAnsi" w:cstheme="minorHAnsi"/>
        </w:rPr>
        <w:t xml:space="preserve">, P.M. (1990) </w:t>
      </w:r>
      <w:proofErr w:type="gramStart"/>
      <w:r w:rsidRPr="002A1341">
        <w:rPr>
          <w:rStyle w:val="Emphasis"/>
          <w:rFonts w:asciiTheme="minorHAnsi" w:hAnsiTheme="minorHAnsi" w:cstheme="minorHAnsi"/>
        </w:rPr>
        <w:t>The</w:t>
      </w:r>
      <w:proofErr w:type="gramEnd"/>
      <w:r w:rsidRPr="002A1341">
        <w:rPr>
          <w:rStyle w:val="Emphasis"/>
          <w:rFonts w:asciiTheme="minorHAnsi" w:hAnsiTheme="minorHAnsi" w:cstheme="minorHAnsi"/>
        </w:rPr>
        <w:t xml:space="preserve"> Fifth Discipline: The Art and Practice of the Learning Organization.</w:t>
      </w:r>
      <w:r w:rsidRPr="002A1341">
        <w:rPr>
          <w:rFonts w:asciiTheme="minorHAnsi" w:hAnsiTheme="minorHAnsi" w:cstheme="minorHAnsi"/>
        </w:rPr>
        <w:t xml:space="preserve"> New York: Doubleday.</w:t>
      </w:r>
    </w:p>
    <w:p w:rsidR="002428B7" w:rsidRPr="002A1341" w:rsidRDefault="002428B7" w:rsidP="002428B7">
      <w:pPr>
        <w:pStyle w:val="NormalWeb"/>
        <w:rPr>
          <w:rFonts w:asciiTheme="minorHAnsi" w:hAnsiTheme="minorHAnsi" w:cstheme="minorHAnsi"/>
        </w:rPr>
      </w:pPr>
      <w:proofErr w:type="gramStart"/>
      <w:r w:rsidRPr="002A1341">
        <w:rPr>
          <w:rFonts w:asciiTheme="minorHAnsi" w:hAnsiTheme="minorHAnsi" w:cstheme="minorHAnsi"/>
        </w:rPr>
        <w:t xml:space="preserve">Armstrong, M. and Taylor, S. (2020) </w:t>
      </w:r>
      <w:r w:rsidRPr="002A1341">
        <w:rPr>
          <w:rStyle w:val="Emphasis"/>
          <w:rFonts w:asciiTheme="minorHAnsi" w:hAnsiTheme="minorHAnsi" w:cstheme="minorHAnsi"/>
        </w:rPr>
        <w:t>Armstrong’s Handbook of Human Resource Management Practice.</w:t>
      </w:r>
      <w:proofErr w:type="gramEnd"/>
      <w:r w:rsidRPr="002A1341">
        <w:rPr>
          <w:rFonts w:asciiTheme="minorHAnsi" w:hAnsiTheme="minorHAnsi" w:cstheme="minorHAnsi"/>
        </w:rPr>
        <w:t xml:space="preserve"> 15th ed. London: </w:t>
      </w:r>
      <w:proofErr w:type="spellStart"/>
      <w:r w:rsidRPr="002A1341">
        <w:rPr>
          <w:rFonts w:asciiTheme="minorHAnsi" w:hAnsiTheme="minorHAnsi" w:cstheme="minorHAnsi"/>
        </w:rPr>
        <w:t>Kogan</w:t>
      </w:r>
      <w:proofErr w:type="spellEnd"/>
      <w:r w:rsidRPr="002A1341">
        <w:rPr>
          <w:rFonts w:asciiTheme="minorHAnsi" w:hAnsiTheme="minorHAnsi" w:cstheme="minorHAnsi"/>
        </w:rPr>
        <w:t xml:space="preserve"> Page.</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CIPD (2023) </w:t>
      </w:r>
      <w:r w:rsidRPr="002A1341">
        <w:rPr>
          <w:rStyle w:val="Emphasis"/>
          <w:rFonts w:asciiTheme="minorHAnsi" w:hAnsiTheme="minorHAnsi" w:cstheme="minorHAnsi"/>
        </w:rPr>
        <w:t>Learning and Development in Organisations: Annual Report 2023.</w:t>
      </w:r>
      <w:r w:rsidRPr="002A1341">
        <w:rPr>
          <w:rFonts w:asciiTheme="minorHAnsi" w:hAnsiTheme="minorHAnsi" w:cstheme="minorHAnsi"/>
        </w:rPr>
        <w:t xml:space="preserve"> London: Chartered Institute of Personnel and Development.</w:t>
      </w:r>
    </w:p>
    <w:p w:rsidR="002428B7" w:rsidRPr="002A1341" w:rsidRDefault="002428B7" w:rsidP="002428B7">
      <w:pPr>
        <w:pStyle w:val="NormalWeb"/>
        <w:rPr>
          <w:rFonts w:asciiTheme="minorHAnsi" w:hAnsiTheme="minorHAnsi" w:cstheme="minorHAnsi"/>
        </w:rPr>
      </w:pPr>
      <w:proofErr w:type="spellStart"/>
      <w:proofErr w:type="gramStart"/>
      <w:r w:rsidRPr="002A1341">
        <w:rPr>
          <w:rFonts w:asciiTheme="minorHAnsi" w:hAnsiTheme="minorHAnsi" w:cstheme="minorHAnsi"/>
        </w:rPr>
        <w:t>Garavan</w:t>
      </w:r>
      <w:proofErr w:type="spellEnd"/>
      <w:r w:rsidRPr="002A1341">
        <w:rPr>
          <w:rFonts w:asciiTheme="minorHAnsi" w:hAnsiTheme="minorHAnsi" w:cstheme="minorHAnsi"/>
        </w:rPr>
        <w:t xml:space="preserve">, T.N., McCarthy, A. and Morley, M. (2021) </w:t>
      </w:r>
      <w:r w:rsidRPr="002A1341">
        <w:rPr>
          <w:rStyle w:val="Emphasis"/>
          <w:rFonts w:asciiTheme="minorHAnsi" w:hAnsiTheme="minorHAnsi" w:cstheme="minorHAnsi"/>
        </w:rPr>
        <w:t>Strategic Human Resource Development.</w:t>
      </w:r>
      <w:proofErr w:type="gramEnd"/>
      <w:r w:rsidRPr="002A1341">
        <w:rPr>
          <w:rFonts w:asciiTheme="minorHAnsi" w:hAnsiTheme="minorHAnsi" w:cstheme="minorHAnsi"/>
        </w:rPr>
        <w:t xml:space="preserve"> 3rd ed. London: Routledge.</w:t>
      </w:r>
    </w:p>
    <w:p w:rsidR="002428B7" w:rsidRPr="002A1341" w:rsidRDefault="002428B7" w:rsidP="002428B7">
      <w:pPr>
        <w:pStyle w:val="NormalWeb"/>
        <w:rPr>
          <w:rFonts w:asciiTheme="minorHAnsi" w:hAnsiTheme="minorHAnsi" w:cstheme="minorHAnsi"/>
        </w:rPr>
      </w:pPr>
      <w:r w:rsidRPr="002A1341">
        <w:rPr>
          <w:rFonts w:asciiTheme="minorHAnsi" w:hAnsiTheme="minorHAnsi" w:cstheme="minorHAnsi"/>
        </w:rPr>
        <w:t xml:space="preserve">Guest, D. (2017) ‘Human resource management and employee well-being: Towards a new analytic framework’, </w:t>
      </w:r>
      <w:r w:rsidRPr="002A1341">
        <w:rPr>
          <w:rStyle w:val="Emphasis"/>
          <w:rFonts w:asciiTheme="minorHAnsi" w:hAnsiTheme="minorHAnsi" w:cstheme="minorHAnsi"/>
        </w:rPr>
        <w:t>Human Resource Management Journal</w:t>
      </w:r>
      <w:r w:rsidRPr="002A1341">
        <w:rPr>
          <w:rFonts w:asciiTheme="minorHAnsi" w:hAnsiTheme="minorHAnsi" w:cstheme="minorHAnsi"/>
        </w:rPr>
        <w:t>, 27(1), pp. 22–38.</w:t>
      </w:r>
    </w:p>
    <w:p w:rsidR="002428B7" w:rsidRPr="002A1341" w:rsidRDefault="002428B7" w:rsidP="002428B7">
      <w:pPr>
        <w:pStyle w:val="NormalWeb"/>
        <w:rPr>
          <w:rFonts w:asciiTheme="minorHAnsi" w:hAnsiTheme="minorHAnsi" w:cstheme="minorHAnsi"/>
        </w:rPr>
      </w:pPr>
      <w:proofErr w:type="spellStart"/>
      <w:r w:rsidRPr="002A1341">
        <w:rPr>
          <w:rFonts w:asciiTheme="minorHAnsi" w:hAnsiTheme="minorHAnsi" w:cstheme="minorHAnsi"/>
        </w:rPr>
        <w:t>Senge</w:t>
      </w:r>
      <w:proofErr w:type="spellEnd"/>
      <w:r w:rsidRPr="002A1341">
        <w:rPr>
          <w:rFonts w:asciiTheme="minorHAnsi" w:hAnsiTheme="minorHAnsi" w:cstheme="minorHAnsi"/>
        </w:rPr>
        <w:t xml:space="preserve">, P.M. (1990) </w:t>
      </w:r>
      <w:proofErr w:type="gramStart"/>
      <w:r w:rsidRPr="002A1341">
        <w:rPr>
          <w:rStyle w:val="Emphasis"/>
          <w:rFonts w:asciiTheme="minorHAnsi" w:hAnsiTheme="minorHAnsi" w:cstheme="minorHAnsi"/>
        </w:rPr>
        <w:t>The</w:t>
      </w:r>
      <w:proofErr w:type="gramEnd"/>
      <w:r w:rsidRPr="002A1341">
        <w:rPr>
          <w:rStyle w:val="Emphasis"/>
          <w:rFonts w:asciiTheme="minorHAnsi" w:hAnsiTheme="minorHAnsi" w:cstheme="minorHAnsi"/>
        </w:rPr>
        <w:t xml:space="preserve"> Fifth Discipline: The Art and Practice of the Learning Organization.</w:t>
      </w:r>
      <w:r w:rsidRPr="002A1341">
        <w:rPr>
          <w:rFonts w:asciiTheme="minorHAnsi" w:hAnsiTheme="minorHAnsi" w:cstheme="minorHAnsi"/>
        </w:rPr>
        <w:t xml:space="preserve"> New York: Doubleday.</w:t>
      </w:r>
    </w:p>
    <w:p w:rsidR="00BA2A1C" w:rsidRPr="002A1341" w:rsidRDefault="00BA2A1C" w:rsidP="00BA2A1C">
      <w:pPr>
        <w:pStyle w:val="NormalWeb"/>
        <w:rPr>
          <w:rFonts w:asciiTheme="minorHAnsi" w:hAnsiTheme="minorHAnsi" w:cstheme="minorHAnsi"/>
        </w:rPr>
      </w:pPr>
      <w:proofErr w:type="gramStart"/>
      <w:r w:rsidRPr="002A1341">
        <w:rPr>
          <w:rFonts w:asciiTheme="minorHAnsi" w:hAnsiTheme="minorHAnsi" w:cstheme="minorHAnsi"/>
        </w:rPr>
        <w:lastRenderedPageBreak/>
        <w:t xml:space="preserve">Armstrong, M. and Taylor, S. (2020) </w:t>
      </w:r>
      <w:r w:rsidRPr="002A1341">
        <w:rPr>
          <w:rStyle w:val="Emphasis"/>
          <w:rFonts w:asciiTheme="minorHAnsi" w:hAnsiTheme="minorHAnsi" w:cstheme="minorHAnsi"/>
        </w:rPr>
        <w:t>Armstrong’s Handbook of Human Resource Management Practice.</w:t>
      </w:r>
      <w:proofErr w:type="gramEnd"/>
      <w:r w:rsidRPr="002A1341">
        <w:rPr>
          <w:rFonts w:asciiTheme="minorHAnsi" w:hAnsiTheme="minorHAnsi" w:cstheme="minorHAnsi"/>
        </w:rPr>
        <w:t xml:space="preserve"> 15th ed. London: </w:t>
      </w:r>
      <w:proofErr w:type="spellStart"/>
      <w:r w:rsidRPr="002A1341">
        <w:rPr>
          <w:rFonts w:asciiTheme="minorHAnsi" w:hAnsiTheme="minorHAnsi" w:cstheme="minorHAnsi"/>
        </w:rPr>
        <w:t>Kogan</w:t>
      </w:r>
      <w:proofErr w:type="spellEnd"/>
      <w:r w:rsidRPr="002A1341">
        <w:rPr>
          <w:rFonts w:asciiTheme="minorHAnsi" w:hAnsiTheme="minorHAnsi" w:cstheme="minorHAnsi"/>
        </w:rPr>
        <w:t xml:space="preserve"> Page.</w:t>
      </w:r>
    </w:p>
    <w:p w:rsidR="00BA2A1C" w:rsidRPr="002A1341" w:rsidRDefault="00BA2A1C" w:rsidP="00BA2A1C">
      <w:pPr>
        <w:pStyle w:val="NormalWeb"/>
        <w:rPr>
          <w:rFonts w:asciiTheme="minorHAnsi" w:hAnsiTheme="minorHAnsi" w:cstheme="minorHAnsi"/>
        </w:rPr>
      </w:pPr>
      <w:r w:rsidRPr="002A1341">
        <w:rPr>
          <w:rFonts w:asciiTheme="minorHAnsi" w:hAnsiTheme="minorHAnsi" w:cstheme="minorHAnsi"/>
        </w:rPr>
        <w:t xml:space="preserve">CIPD (2023) </w:t>
      </w:r>
      <w:r w:rsidRPr="002A1341">
        <w:rPr>
          <w:rStyle w:val="Emphasis"/>
          <w:rFonts w:asciiTheme="minorHAnsi" w:hAnsiTheme="minorHAnsi" w:cstheme="minorHAnsi"/>
        </w:rPr>
        <w:t>Learning and Development in Organisations: Annual Report 2023.</w:t>
      </w:r>
      <w:r w:rsidRPr="002A1341">
        <w:rPr>
          <w:rFonts w:asciiTheme="minorHAnsi" w:hAnsiTheme="minorHAnsi" w:cstheme="minorHAnsi"/>
        </w:rPr>
        <w:t xml:space="preserve"> London: Chartered Institute of Personnel and Development.</w:t>
      </w:r>
    </w:p>
    <w:p w:rsidR="00BA2A1C" w:rsidRPr="002A1341" w:rsidRDefault="00BA2A1C" w:rsidP="00BA2A1C">
      <w:pPr>
        <w:pStyle w:val="NormalWeb"/>
        <w:rPr>
          <w:rFonts w:asciiTheme="minorHAnsi" w:hAnsiTheme="minorHAnsi" w:cstheme="minorHAnsi"/>
        </w:rPr>
      </w:pPr>
      <w:proofErr w:type="spellStart"/>
      <w:proofErr w:type="gramStart"/>
      <w:r w:rsidRPr="002A1341">
        <w:rPr>
          <w:rFonts w:asciiTheme="minorHAnsi" w:hAnsiTheme="minorHAnsi" w:cstheme="minorHAnsi"/>
        </w:rPr>
        <w:t>Garavan</w:t>
      </w:r>
      <w:proofErr w:type="spellEnd"/>
      <w:r w:rsidRPr="002A1341">
        <w:rPr>
          <w:rFonts w:asciiTheme="minorHAnsi" w:hAnsiTheme="minorHAnsi" w:cstheme="minorHAnsi"/>
        </w:rPr>
        <w:t xml:space="preserve">, T.N., McCarthy, A. and Morley, M. (2021) </w:t>
      </w:r>
      <w:r w:rsidRPr="002A1341">
        <w:rPr>
          <w:rStyle w:val="Emphasis"/>
          <w:rFonts w:asciiTheme="minorHAnsi" w:hAnsiTheme="minorHAnsi" w:cstheme="minorHAnsi"/>
        </w:rPr>
        <w:t>Strategic Human Resource Development.</w:t>
      </w:r>
      <w:proofErr w:type="gramEnd"/>
      <w:r w:rsidRPr="002A1341">
        <w:rPr>
          <w:rFonts w:asciiTheme="minorHAnsi" w:hAnsiTheme="minorHAnsi" w:cstheme="minorHAnsi"/>
        </w:rPr>
        <w:t xml:space="preserve"> 3rd ed. London: Routledge.</w:t>
      </w:r>
    </w:p>
    <w:p w:rsidR="00BA2A1C" w:rsidRPr="002A1341" w:rsidRDefault="00BA2A1C" w:rsidP="00BA2A1C">
      <w:pPr>
        <w:pStyle w:val="NormalWeb"/>
        <w:rPr>
          <w:rFonts w:asciiTheme="minorHAnsi" w:hAnsiTheme="minorHAnsi" w:cstheme="minorHAnsi"/>
        </w:rPr>
      </w:pPr>
      <w:proofErr w:type="spellStart"/>
      <w:r w:rsidRPr="002A1341">
        <w:rPr>
          <w:rFonts w:asciiTheme="minorHAnsi" w:hAnsiTheme="minorHAnsi" w:cstheme="minorHAnsi"/>
        </w:rPr>
        <w:t>Kyndt</w:t>
      </w:r>
      <w:proofErr w:type="spellEnd"/>
      <w:r w:rsidRPr="002A1341">
        <w:rPr>
          <w:rFonts w:asciiTheme="minorHAnsi" w:hAnsiTheme="minorHAnsi" w:cstheme="minorHAnsi"/>
        </w:rPr>
        <w:t xml:space="preserve">, E., </w:t>
      </w:r>
      <w:proofErr w:type="spellStart"/>
      <w:r w:rsidRPr="002A1341">
        <w:rPr>
          <w:rFonts w:asciiTheme="minorHAnsi" w:hAnsiTheme="minorHAnsi" w:cstheme="minorHAnsi"/>
        </w:rPr>
        <w:t>Dochy</w:t>
      </w:r>
      <w:proofErr w:type="spellEnd"/>
      <w:r w:rsidRPr="002A1341">
        <w:rPr>
          <w:rFonts w:asciiTheme="minorHAnsi" w:hAnsiTheme="minorHAnsi" w:cstheme="minorHAnsi"/>
        </w:rPr>
        <w:t xml:space="preserve">, F., </w:t>
      </w:r>
      <w:proofErr w:type="spellStart"/>
      <w:r w:rsidRPr="002A1341">
        <w:rPr>
          <w:rFonts w:asciiTheme="minorHAnsi" w:hAnsiTheme="minorHAnsi" w:cstheme="minorHAnsi"/>
        </w:rPr>
        <w:t>Michielsen</w:t>
      </w:r>
      <w:proofErr w:type="spellEnd"/>
      <w:r w:rsidRPr="002A1341">
        <w:rPr>
          <w:rFonts w:asciiTheme="minorHAnsi" w:hAnsiTheme="minorHAnsi" w:cstheme="minorHAnsi"/>
        </w:rPr>
        <w:t xml:space="preserve">, M. and </w:t>
      </w:r>
      <w:proofErr w:type="spellStart"/>
      <w:r w:rsidRPr="002A1341">
        <w:rPr>
          <w:rFonts w:asciiTheme="minorHAnsi" w:hAnsiTheme="minorHAnsi" w:cstheme="minorHAnsi"/>
        </w:rPr>
        <w:t>Moeyaert</w:t>
      </w:r>
      <w:proofErr w:type="spellEnd"/>
      <w:r w:rsidRPr="002A1341">
        <w:rPr>
          <w:rFonts w:asciiTheme="minorHAnsi" w:hAnsiTheme="minorHAnsi" w:cstheme="minorHAnsi"/>
        </w:rPr>
        <w:t xml:space="preserve">, B. (2013) ‘Employee retention: Organisational and personal perspectives’, </w:t>
      </w:r>
      <w:r w:rsidRPr="002A1341">
        <w:rPr>
          <w:rStyle w:val="Emphasis"/>
          <w:rFonts w:asciiTheme="minorHAnsi" w:hAnsiTheme="minorHAnsi" w:cstheme="minorHAnsi"/>
        </w:rPr>
        <w:t>Vocational Learning</w:t>
      </w:r>
      <w:r w:rsidRPr="002A1341">
        <w:rPr>
          <w:rFonts w:asciiTheme="minorHAnsi" w:hAnsiTheme="minorHAnsi" w:cstheme="minorHAnsi"/>
        </w:rPr>
        <w:t>, 6(2), pp. 195–215.</w:t>
      </w:r>
    </w:p>
    <w:p w:rsidR="00BA2A1C" w:rsidRPr="002A1341" w:rsidRDefault="00BA2A1C" w:rsidP="00BA2A1C">
      <w:pPr>
        <w:pStyle w:val="NormalWeb"/>
        <w:rPr>
          <w:rFonts w:asciiTheme="minorHAnsi" w:hAnsiTheme="minorHAnsi" w:cstheme="minorHAnsi"/>
        </w:rPr>
      </w:pPr>
      <w:r w:rsidRPr="002A1341">
        <w:rPr>
          <w:rFonts w:asciiTheme="minorHAnsi" w:hAnsiTheme="minorHAnsi" w:cstheme="minorHAnsi"/>
        </w:rPr>
        <w:t xml:space="preserve">Nonaka, I. and Takeuchi, H. (1995) </w:t>
      </w:r>
      <w:proofErr w:type="gramStart"/>
      <w:r w:rsidRPr="002A1341">
        <w:rPr>
          <w:rStyle w:val="Emphasis"/>
          <w:rFonts w:asciiTheme="minorHAnsi" w:hAnsiTheme="minorHAnsi" w:cstheme="minorHAnsi"/>
        </w:rPr>
        <w:t>The</w:t>
      </w:r>
      <w:proofErr w:type="gramEnd"/>
      <w:r w:rsidRPr="002A1341">
        <w:rPr>
          <w:rStyle w:val="Emphasis"/>
          <w:rFonts w:asciiTheme="minorHAnsi" w:hAnsiTheme="minorHAnsi" w:cstheme="minorHAnsi"/>
        </w:rPr>
        <w:t xml:space="preserve"> Knowledge-Creating Company.</w:t>
      </w:r>
      <w:r w:rsidRPr="002A1341">
        <w:rPr>
          <w:rFonts w:asciiTheme="minorHAnsi" w:hAnsiTheme="minorHAnsi" w:cstheme="minorHAnsi"/>
        </w:rPr>
        <w:t xml:space="preserve"> Oxford: Oxford University Press.</w:t>
      </w:r>
    </w:p>
    <w:p w:rsidR="00BA2A1C" w:rsidRPr="002A1341" w:rsidRDefault="00BA2A1C" w:rsidP="00BA2A1C">
      <w:pPr>
        <w:pStyle w:val="NormalWeb"/>
        <w:rPr>
          <w:rFonts w:asciiTheme="minorHAnsi" w:hAnsiTheme="minorHAnsi" w:cstheme="minorHAnsi"/>
        </w:rPr>
      </w:pPr>
      <w:proofErr w:type="spellStart"/>
      <w:r w:rsidRPr="002A1341">
        <w:rPr>
          <w:rFonts w:asciiTheme="minorHAnsi" w:hAnsiTheme="minorHAnsi" w:cstheme="minorHAnsi"/>
        </w:rPr>
        <w:t>Senge</w:t>
      </w:r>
      <w:proofErr w:type="spellEnd"/>
      <w:r w:rsidRPr="002A1341">
        <w:rPr>
          <w:rFonts w:asciiTheme="minorHAnsi" w:hAnsiTheme="minorHAnsi" w:cstheme="minorHAnsi"/>
        </w:rPr>
        <w:t xml:space="preserve">, P.M. (1990) </w:t>
      </w:r>
      <w:proofErr w:type="gramStart"/>
      <w:r w:rsidRPr="002A1341">
        <w:rPr>
          <w:rStyle w:val="Emphasis"/>
          <w:rFonts w:asciiTheme="minorHAnsi" w:hAnsiTheme="minorHAnsi" w:cstheme="minorHAnsi"/>
        </w:rPr>
        <w:t>The</w:t>
      </w:r>
      <w:proofErr w:type="gramEnd"/>
      <w:r w:rsidRPr="002A1341">
        <w:rPr>
          <w:rStyle w:val="Emphasis"/>
          <w:rFonts w:asciiTheme="minorHAnsi" w:hAnsiTheme="minorHAnsi" w:cstheme="minorHAnsi"/>
        </w:rPr>
        <w:t xml:space="preserve"> Fifth Discipline: The Art and Practice of the Learning Organization.</w:t>
      </w:r>
      <w:r w:rsidRPr="002A1341">
        <w:rPr>
          <w:rFonts w:asciiTheme="minorHAnsi" w:hAnsiTheme="minorHAnsi" w:cstheme="minorHAnsi"/>
        </w:rPr>
        <w:t xml:space="preserve"> New York: Doubleday.</w:t>
      </w:r>
    </w:p>
    <w:p w:rsidR="00CC2324" w:rsidRDefault="00CC2324" w:rsidP="00EE160A">
      <w:pPr>
        <w:rPr>
          <w:rFonts w:cstheme="minorHAnsi"/>
          <w:noProof/>
          <w:sz w:val="24"/>
          <w:szCs w:val="24"/>
        </w:rPr>
      </w:pPr>
    </w:p>
    <w:p w:rsidR="002A1341" w:rsidRPr="002A1341" w:rsidRDefault="002A1341" w:rsidP="00EE160A">
      <w:pPr>
        <w:rPr>
          <w:rFonts w:cstheme="minorHAnsi"/>
          <w:noProof/>
          <w:sz w:val="24"/>
          <w:szCs w:val="24"/>
        </w:rPr>
      </w:pPr>
    </w:p>
    <w:sectPr w:rsidR="002A1341" w:rsidRPr="002A1341" w:rsidSect="00BA2A1C">
      <w:footerReference w:type="default" r:id="rId1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5BF" w:rsidRDefault="001E55BF" w:rsidP="00FE3B09">
      <w:pPr>
        <w:spacing w:after="0" w:line="240" w:lineRule="auto"/>
      </w:pPr>
      <w:r>
        <w:separator/>
      </w:r>
    </w:p>
  </w:endnote>
  <w:endnote w:type="continuationSeparator" w:id="0">
    <w:p w:rsidR="001E55BF" w:rsidRDefault="001E55BF" w:rsidP="00FE3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9662046"/>
      <w:docPartObj>
        <w:docPartGallery w:val="Page Numbers (Bottom of Page)"/>
        <w:docPartUnique/>
      </w:docPartObj>
    </w:sdtPr>
    <w:sdtEndPr>
      <w:rPr>
        <w:noProof/>
      </w:rPr>
    </w:sdtEndPr>
    <w:sdtContent>
      <w:p w:rsidR="001F1D92" w:rsidRDefault="001F1D92">
        <w:pPr>
          <w:pStyle w:val="Footer"/>
          <w:jc w:val="right"/>
        </w:pPr>
        <w:r>
          <w:fldChar w:fldCharType="begin"/>
        </w:r>
        <w:r>
          <w:instrText xml:space="preserve"> PAGE   \* MERGEFORMAT </w:instrText>
        </w:r>
        <w:r>
          <w:fldChar w:fldCharType="separate"/>
        </w:r>
        <w:r w:rsidR="0038005D">
          <w:rPr>
            <w:noProof/>
          </w:rPr>
          <w:t>10</w:t>
        </w:r>
        <w:r>
          <w:rPr>
            <w:noProof/>
          </w:rPr>
          <w:fldChar w:fldCharType="end"/>
        </w:r>
      </w:p>
    </w:sdtContent>
  </w:sdt>
  <w:p w:rsidR="001F1D92" w:rsidRDefault="001F1D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5BF" w:rsidRDefault="001E55BF" w:rsidP="00FE3B09">
      <w:pPr>
        <w:spacing w:after="0" w:line="240" w:lineRule="auto"/>
      </w:pPr>
      <w:r>
        <w:separator/>
      </w:r>
    </w:p>
  </w:footnote>
  <w:footnote w:type="continuationSeparator" w:id="0">
    <w:p w:rsidR="001E55BF" w:rsidRDefault="001E55BF" w:rsidP="00FE3B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40412"/>
    <w:multiLevelType w:val="multilevel"/>
    <w:tmpl w:val="A806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FA1411"/>
    <w:multiLevelType w:val="multilevel"/>
    <w:tmpl w:val="0D1C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630D62"/>
    <w:multiLevelType w:val="multilevel"/>
    <w:tmpl w:val="4110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A34686"/>
    <w:multiLevelType w:val="multilevel"/>
    <w:tmpl w:val="79169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97576F"/>
    <w:multiLevelType w:val="multilevel"/>
    <w:tmpl w:val="11BC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AE1F40"/>
    <w:multiLevelType w:val="multilevel"/>
    <w:tmpl w:val="1CFA2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E0208C"/>
    <w:multiLevelType w:val="multilevel"/>
    <w:tmpl w:val="CA70D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27500D"/>
    <w:multiLevelType w:val="multilevel"/>
    <w:tmpl w:val="A6EE6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544769"/>
    <w:multiLevelType w:val="multilevel"/>
    <w:tmpl w:val="85EE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3A1122"/>
    <w:multiLevelType w:val="multilevel"/>
    <w:tmpl w:val="E0B88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8D609E"/>
    <w:multiLevelType w:val="multilevel"/>
    <w:tmpl w:val="C3DC6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221F35"/>
    <w:multiLevelType w:val="multilevel"/>
    <w:tmpl w:val="F8C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A850B1"/>
    <w:multiLevelType w:val="multilevel"/>
    <w:tmpl w:val="BE0C50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B007434"/>
    <w:multiLevelType w:val="multilevel"/>
    <w:tmpl w:val="9D3A5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C701E96"/>
    <w:multiLevelType w:val="multilevel"/>
    <w:tmpl w:val="1AFC9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98C153F"/>
    <w:multiLevelType w:val="multilevel"/>
    <w:tmpl w:val="A450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652295"/>
    <w:multiLevelType w:val="multilevel"/>
    <w:tmpl w:val="B204E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04221A4"/>
    <w:multiLevelType w:val="multilevel"/>
    <w:tmpl w:val="7CD2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1F6C6B"/>
    <w:multiLevelType w:val="multilevel"/>
    <w:tmpl w:val="2A2C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F740978"/>
    <w:multiLevelType w:val="multilevel"/>
    <w:tmpl w:val="EBD28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E86CEE"/>
    <w:multiLevelType w:val="multilevel"/>
    <w:tmpl w:val="8EB663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77763E8"/>
    <w:multiLevelType w:val="multilevel"/>
    <w:tmpl w:val="3328D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86469C3"/>
    <w:multiLevelType w:val="multilevel"/>
    <w:tmpl w:val="3EB0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4"/>
  </w:num>
  <w:num w:numId="3">
    <w:abstractNumId w:val="16"/>
  </w:num>
  <w:num w:numId="4">
    <w:abstractNumId w:val="3"/>
  </w:num>
  <w:num w:numId="5">
    <w:abstractNumId w:val="18"/>
  </w:num>
  <w:num w:numId="6">
    <w:abstractNumId w:val="4"/>
  </w:num>
  <w:num w:numId="7">
    <w:abstractNumId w:val="11"/>
  </w:num>
  <w:num w:numId="8">
    <w:abstractNumId w:val="5"/>
  </w:num>
  <w:num w:numId="9">
    <w:abstractNumId w:val="17"/>
  </w:num>
  <w:num w:numId="10">
    <w:abstractNumId w:val="21"/>
  </w:num>
  <w:num w:numId="11">
    <w:abstractNumId w:val="7"/>
  </w:num>
  <w:num w:numId="12">
    <w:abstractNumId w:val="20"/>
  </w:num>
  <w:num w:numId="13">
    <w:abstractNumId w:val="9"/>
  </w:num>
  <w:num w:numId="14">
    <w:abstractNumId w:val="8"/>
  </w:num>
  <w:num w:numId="15">
    <w:abstractNumId w:val="19"/>
  </w:num>
  <w:num w:numId="16">
    <w:abstractNumId w:val="12"/>
  </w:num>
  <w:num w:numId="17">
    <w:abstractNumId w:val="0"/>
  </w:num>
  <w:num w:numId="18">
    <w:abstractNumId w:val="13"/>
  </w:num>
  <w:num w:numId="19">
    <w:abstractNumId w:val="2"/>
  </w:num>
  <w:num w:numId="20">
    <w:abstractNumId w:val="6"/>
  </w:num>
  <w:num w:numId="21">
    <w:abstractNumId w:val="10"/>
  </w:num>
  <w:num w:numId="22">
    <w:abstractNumId w:val="1"/>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C28"/>
    <w:rsid w:val="00085667"/>
    <w:rsid w:val="001A4BB8"/>
    <w:rsid w:val="001E55BF"/>
    <w:rsid w:val="001F1D92"/>
    <w:rsid w:val="002428B7"/>
    <w:rsid w:val="00253670"/>
    <w:rsid w:val="002A1341"/>
    <w:rsid w:val="002C5489"/>
    <w:rsid w:val="003318E0"/>
    <w:rsid w:val="0036572D"/>
    <w:rsid w:val="0038005D"/>
    <w:rsid w:val="003C2989"/>
    <w:rsid w:val="004C3641"/>
    <w:rsid w:val="004E46DE"/>
    <w:rsid w:val="00504246"/>
    <w:rsid w:val="005067F9"/>
    <w:rsid w:val="00523ADA"/>
    <w:rsid w:val="00574BE5"/>
    <w:rsid w:val="0058421E"/>
    <w:rsid w:val="005C3B28"/>
    <w:rsid w:val="006501E3"/>
    <w:rsid w:val="006651D2"/>
    <w:rsid w:val="006A4C28"/>
    <w:rsid w:val="006D0E00"/>
    <w:rsid w:val="006D6DB5"/>
    <w:rsid w:val="00734454"/>
    <w:rsid w:val="008652C9"/>
    <w:rsid w:val="008C6D7B"/>
    <w:rsid w:val="008D7D99"/>
    <w:rsid w:val="008E4772"/>
    <w:rsid w:val="009171B6"/>
    <w:rsid w:val="009464DB"/>
    <w:rsid w:val="00A14A76"/>
    <w:rsid w:val="00B94E52"/>
    <w:rsid w:val="00BA2A1C"/>
    <w:rsid w:val="00C47C3F"/>
    <w:rsid w:val="00CC2324"/>
    <w:rsid w:val="00D122FA"/>
    <w:rsid w:val="00DB4001"/>
    <w:rsid w:val="00EE160A"/>
    <w:rsid w:val="00F52829"/>
    <w:rsid w:val="00FA73F9"/>
    <w:rsid w:val="00FE3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3B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E3B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A4C2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6D6D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A4C2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A4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4C28"/>
    <w:rPr>
      <w:b/>
      <w:bCs/>
    </w:rPr>
  </w:style>
  <w:style w:type="character" w:styleId="Emphasis">
    <w:name w:val="Emphasis"/>
    <w:basedOn w:val="DefaultParagraphFont"/>
    <w:uiPriority w:val="20"/>
    <w:qFormat/>
    <w:rsid w:val="006A4C28"/>
    <w:rPr>
      <w:i/>
      <w:iCs/>
    </w:rPr>
  </w:style>
  <w:style w:type="character" w:customStyle="1" w:styleId="Heading4Char">
    <w:name w:val="Heading 4 Char"/>
    <w:basedOn w:val="DefaultParagraphFont"/>
    <w:link w:val="Heading4"/>
    <w:uiPriority w:val="9"/>
    <w:semiHidden/>
    <w:rsid w:val="006D6D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34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454"/>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73445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34454"/>
    <w:rPr>
      <w:rFonts w:ascii="Arial" w:eastAsia="Times New Roman" w:hAnsi="Arial" w:cs="Arial"/>
      <w:vanish/>
      <w:sz w:val="16"/>
      <w:szCs w:val="16"/>
      <w:lang w:eastAsia="en-GB"/>
    </w:rPr>
  </w:style>
  <w:style w:type="paragraph" w:customStyle="1" w:styleId="placeholder">
    <w:name w:val="placeholder"/>
    <w:basedOn w:val="Normal"/>
    <w:rsid w:val="00734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inter-events-none">
    <w:name w:val="pointer-events-none"/>
    <w:basedOn w:val="DefaultParagraphFont"/>
    <w:rsid w:val="00734454"/>
  </w:style>
  <w:style w:type="paragraph" w:styleId="z-BottomofForm">
    <w:name w:val="HTML Bottom of Form"/>
    <w:basedOn w:val="Normal"/>
    <w:next w:val="Normal"/>
    <w:link w:val="z-BottomofFormChar"/>
    <w:hidden/>
    <w:uiPriority w:val="99"/>
    <w:semiHidden/>
    <w:unhideWhenUsed/>
    <w:rsid w:val="0073445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34454"/>
    <w:rPr>
      <w:rFonts w:ascii="Arial" w:eastAsia="Times New Roman" w:hAnsi="Arial" w:cs="Arial"/>
      <w:vanish/>
      <w:sz w:val="16"/>
      <w:szCs w:val="16"/>
      <w:lang w:eastAsia="en-GB"/>
    </w:rPr>
  </w:style>
  <w:style w:type="paragraph" w:styleId="Title">
    <w:name w:val="Title"/>
    <w:basedOn w:val="Normal"/>
    <w:next w:val="Normal"/>
    <w:link w:val="TitleChar"/>
    <w:uiPriority w:val="10"/>
    <w:qFormat/>
    <w:rsid w:val="009464DB"/>
    <w:pPr>
      <w:keepNext/>
      <w:keepLines/>
      <w:spacing w:before="480" w:after="120" w:line="259" w:lineRule="auto"/>
    </w:pPr>
    <w:rPr>
      <w:rFonts w:ascii="Calibri" w:eastAsia="Calibri" w:hAnsi="Calibri" w:cs="Calibri"/>
      <w:b/>
      <w:sz w:val="72"/>
      <w:szCs w:val="72"/>
      <w:lang w:eastAsia="zh-CN"/>
    </w:rPr>
  </w:style>
  <w:style w:type="character" w:customStyle="1" w:styleId="TitleChar">
    <w:name w:val="Title Char"/>
    <w:basedOn w:val="DefaultParagraphFont"/>
    <w:link w:val="Title"/>
    <w:uiPriority w:val="10"/>
    <w:rsid w:val="009464DB"/>
    <w:rPr>
      <w:rFonts w:ascii="Calibri" w:eastAsia="Calibri" w:hAnsi="Calibri" w:cs="Calibri"/>
      <w:b/>
      <w:sz w:val="72"/>
      <w:szCs w:val="72"/>
      <w:lang w:eastAsia="zh-CN"/>
    </w:rPr>
  </w:style>
  <w:style w:type="paragraph" w:styleId="Header">
    <w:name w:val="header"/>
    <w:basedOn w:val="Normal"/>
    <w:link w:val="HeaderChar"/>
    <w:uiPriority w:val="99"/>
    <w:unhideWhenUsed/>
    <w:rsid w:val="00FE3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B09"/>
  </w:style>
  <w:style w:type="paragraph" w:styleId="Footer">
    <w:name w:val="footer"/>
    <w:basedOn w:val="Normal"/>
    <w:link w:val="FooterChar"/>
    <w:uiPriority w:val="99"/>
    <w:unhideWhenUsed/>
    <w:rsid w:val="00FE3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B09"/>
  </w:style>
  <w:style w:type="character" w:customStyle="1" w:styleId="Heading1Char">
    <w:name w:val="Heading 1 Char"/>
    <w:basedOn w:val="DefaultParagraphFont"/>
    <w:link w:val="Heading1"/>
    <w:uiPriority w:val="9"/>
    <w:rsid w:val="00FE3B0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E3B09"/>
    <w:pPr>
      <w:outlineLvl w:val="9"/>
    </w:pPr>
    <w:rPr>
      <w:lang w:val="en-US" w:eastAsia="ja-JP"/>
    </w:rPr>
  </w:style>
  <w:style w:type="paragraph" w:styleId="TOC3">
    <w:name w:val="toc 3"/>
    <w:basedOn w:val="Normal"/>
    <w:next w:val="Normal"/>
    <w:autoRedefine/>
    <w:uiPriority w:val="39"/>
    <w:unhideWhenUsed/>
    <w:rsid w:val="00FE3B09"/>
    <w:pPr>
      <w:spacing w:after="100"/>
      <w:ind w:left="440"/>
    </w:pPr>
  </w:style>
  <w:style w:type="character" w:styleId="Hyperlink">
    <w:name w:val="Hyperlink"/>
    <w:basedOn w:val="DefaultParagraphFont"/>
    <w:uiPriority w:val="99"/>
    <w:unhideWhenUsed/>
    <w:rsid w:val="00FE3B09"/>
    <w:rPr>
      <w:color w:val="0000FF" w:themeColor="hyperlink"/>
      <w:u w:val="single"/>
    </w:rPr>
  </w:style>
  <w:style w:type="paragraph" w:styleId="ListParagraph">
    <w:name w:val="List Paragraph"/>
    <w:basedOn w:val="Normal"/>
    <w:uiPriority w:val="34"/>
    <w:qFormat/>
    <w:rsid w:val="00FE3B09"/>
    <w:pPr>
      <w:ind w:left="720"/>
      <w:contextualSpacing/>
    </w:pPr>
  </w:style>
  <w:style w:type="character" w:customStyle="1" w:styleId="Heading2Char">
    <w:name w:val="Heading 2 Char"/>
    <w:basedOn w:val="DefaultParagraphFont"/>
    <w:link w:val="Heading2"/>
    <w:uiPriority w:val="9"/>
    <w:rsid w:val="00FE3B09"/>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6572D"/>
    <w:pPr>
      <w:spacing w:after="100"/>
    </w:pPr>
  </w:style>
  <w:style w:type="paragraph" w:styleId="TOC2">
    <w:name w:val="toc 2"/>
    <w:basedOn w:val="Normal"/>
    <w:next w:val="Normal"/>
    <w:autoRedefine/>
    <w:uiPriority w:val="39"/>
    <w:unhideWhenUsed/>
    <w:rsid w:val="0036572D"/>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3B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E3B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A4C2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6D6D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A4C2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A4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4C28"/>
    <w:rPr>
      <w:b/>
      <w:bCs/>
    </w:rPr>
  </w:style>
  <w:style w:type="character" w:styleId="Emphasis">
    <w:name w:val="Emphasis"/>
    <w:basedOn w:val="DefaultParagraphFont"/>
    <w:uiPriority w:val="20"/>
    <w:qFormat/>
    <w:rsid w:val="006A4C28"/>
    <w:rPr>
      <w:i/>
      <w:iCs/>
    </w:rPr>
  </w:style>
  <w:style w:type="character" w:customStyle="1" w:styleId="Heading4Char">
    <w:name w:val="Heading 4 Char"/>
    <w:basedOn w:val="DefaultParagraphFont"/>
    <w:link w:val="Heading4"/>
    <w:uiPriority w:val="9"/>
    <w:semiHidden/>
    <w:rsid w:val="006D6D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34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454"/>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73445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34454"/>
    <w:rPr>
      <w:rFonts w:ascii="Arial" w:eastAsia="Times New Roman" w:hAnsi="Arial" w:cs="Arial"/>
      <w:vanish/>
      <w:sz w:val="16"/>
      <w:szCs w:val="16"/>
      <w:lang w:eastAsia="en-GB"/>
    </w:rPr>
  </w:style>
  <w:style w:type="paragraph" w:customStyle="1" w:styleId="placeholder">
    <w:name w:val="placeholder"/>
    <w:basedOn w:val="Normal"/>
    <w:rsid w:val="00734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inter-events-none">
    <w:name w:val="pointer-events-none"/>
    <w:basedOn w:val="DefaultParagraphFont"/>
    <w:rsid w:val="00734454"/>
  </w:style>
  <w:style w:type="paragraph" w:styleId="z-BottomofForm">
    <w:name w:val="HTML Bottom of Form"/>
    <w:basedOn w:val="Normal"/>
    <w:next w:val="Normal"/>
    <w:link w:val="z-BottomofFormChar"/>
    <w:hidden/>
    <w:uiPriority w:val="99"/>
    <w:semiHidden/>
    <w:unhideWhenUsed/>
    <w:rsid w:val="0073445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34454"/>
    <w:rPr>
      <w:rFonts w:ascii="Arial" w:eastAsia="Times New Roman" w:hAnsi="Arial" w:cs="Arial"/>
      <w:vanish/>
      <w:sz w:val="16"/>
      <w:szCs w:val="16"/>
      <w:lang w:eastAsia="en-GB"/>
    </w:rPr>
  </w:style>
  <w:style w:type="paragraph" w:styleId="Title">
    <w:name w:val="Title"/>
    <w:basedOn w:val="Normal"/>
    <w:next w:val="Normal"/>
    <w:link w:val="TitleChar"/>
    <w:uiPriority w:val="10"/>
    <w:qFormat/>
    <w:rsid w:val="009464DB"/>
    <w:pPr>
      <w:keepNext/>
      <w:keepLines/>
      <w:spacing w:before="480" w:after="120" w:line="259" w:lineRule="auto"/>
    </w:pPr>
    <w:rPr>
      <w:rFonts w:ascii="Calibri" w:eastAsia="Calibri" w:hAnsi="Calibri" w:cs="Calibri"/>
      <w:b/>
      <w:sz w:val="72"/>
      <w:szCs w:val="72"/>
      <w:lang w:eastAsia="zh-CN"/>
    </w:rPr>
  </w:style>
  <w:style w:type="character" w:customStyle="1" w:styleId="TitleChar">
    <w:name w:val="Title Char"/>
    <w:basedOn w:val="DefaultParagraphFont"/>
    <w:link w:val="Title"/>
    <w:uiPriority w:val="10"/>
    <w:rsid w:val="009464DB"/>
    <w:rPr>
      <w:rFonts w:ascii="Calibri" w:eastAsia="Calibri" w:hAnsi="Calibri" w:cs="Calibri"/>
      <w:b/>
      <w:sz w:val="72"/>
      <w:szCs w:val="72"/>
      <w:lang w:eastAsia="zh-CN"/>
    </w:rPr>
  </w:style>
  <w:style w:type="paragraph" w:styleId="Header">
    <w:name w:val="header"/>
    <w:basedOn w:val="Normal"/>
    <w:link w:val="HeaderChar"/>
    <w:uiPriority w:val="99"/>
    <w:unhideWhenUsed/>
    <w:rsid w:val="00FE3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B09"/>
  </w:style>
  <w:style w:type="paragraph" w:styleId="Footer">
    <w:name w:val="footer"/>
    <w:basedOn w:val="Normal"/>
    <w:link w:val="FooterChar"/>
    <w:uiPriority w:val="99"/>
    <w:unhideWhenUsed/>
    <w:rsid w:val="00FE3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B09"/>
  </w:style>
  <w:style w:type="character" w:customStyle="1" w:styleId="Heading1Char">
    <w:name w:val="Heading 1 Char"/>
    <w:basedOn w:val="DefaultParagraphFont"/>
    <w:link w:val="Heading1"/>
    <w:uiPriority w:val="9"/>
    <w:rsid w:val="00FE3B0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E3B09"/>
    <w:pPr>
      <w:outlineLvl w:val="9"/>
    </w:pPr>
    <w:rPr>
      <w:lang w:val="en-US" w:eastAsia="ja-JP"/>
    </w:rPr>
  </w:style>
  <w:style w:type="paragraph" w:styleId="TOC3">
    <w:name w:val="toc 3"/>
    <w:basedOn w:val="Normal"/>
    <w:next w:val="Normal"/>
    <w:autoRedefine/>
    <w:uiPriority w:val="39"/>
    <w:unhideWhenUsed/>
    <w:rsid w:val="00FE3B09"/>
    <w:pPr>
      <w:spacing w:after="100"/>
      <w:ind w:left="440"/>
    </w:pPr>
  </w:style>
  <w:style w:type="character" w:styleId="Hyperlink">
    <w:name w:val="Hyperlink"/>
    <w:basedOn w:val="DefaultParagraphFont"/>
    <w:uiPriority w:val="99"/>
    <w:unhideWhenUsed/>
    <w:rsid w:val="00FE3B09"/>
    <w:rPr>
      <w:color w:val="0000FF" w:themeColor="hyperlink"/>
      <w:u w:val="single"/>
    </w:rPr>
  </w:style>
  <w:style w:type="paragraph" w:styleId="ListParagraph">
    <w:name w:val="List Paragraph"/>
    <w:basedOn w:val="Normal"/>
    <w:uiPriority w:val="34"/>
    <w:qFormat/>
    <w:rsid w:val="00FE3B09"/>
    <w:pPr>
      <w:ind w:left="720"/>
      <w:contextualSpacing/>
    </w:pPr>
  </w:style>
  <w:style w:type="character" w:customStyle="1" w:styleId="Heading2Char">
    <w:name w:val="Heading 2 Char"/>
    <w:basedOn w:val="DefaultParagraphFont"/>
    <w:link w:val="Heading2"/>
    <w:uiPriority w:val="9"/>
    <w:rsid w:val="00FE3B09"/>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6572D"/>
    <w:pPr>
      <w:spacing w:after="100"/>
    </w:pPr>
  </w:style>
  <w:style w:type="paragraph" w:styleId="TOC2">
    <w:name w:val="toc 2"/>
    <w:basedOn w:val="Normal"/>
    <w:next w:val="Normal"/>
    <w:autoRedefine/>
    <w:uiPriority w:val="39"/>
    <w:unhideWhenUsed/>
    <w:rsid w:val="0036572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00648">
      <w:bodyDiv w:val="1"/>
      <w:marLeft w:val="0"/>
      <w:marRight w:val="0"/>
      <w:marTop w:val="0"/>
      <w:marBottom w:val="0"/>
      <w:divBdr>
        <w:top w:val="none" w:sz="0" w:space="0" w:color="auto"/>
        <w:left w:val="none" w:sz="0" w:space="0" w:color="auto"/>
        <w:bottom w:val="none" w:sz="0" w:space="0" w:color="auto"/>
        <w:right w:val="none" w:sz="0" w:space="0" w:color="auto"/>
      </w:divBdr>
    </w:div>
    <w:div w:id="152113679">
      <w:bodyDiv w:val="1"/>
      <w:marLeft w:val="0"/>
      <w:marRight w:val="0"/>
      <w:marTop w:val="0"/>
      <w:marBottom w:val="0"/>
      <w:divBdr>
        <w:top w:val="none" w:sz="0" w:space="0" w:color="auto"/>
        <w:left w:val="none" w:sz="0" w:space="0" w:color="auto"/>
        <w:bottom w:val="none" w:sz="0" w:space="0" w:color="auto"/>
        <w:right w:val="none" w:sz="0" w:space="0" w:color="auto"/>
      </w:divBdr>
    </w:div>
    <w:div w:id="155609732">
      <w:bodyDiv w:val="1"/>
      <w:marLeft w:val="0"/>
      <w:marRight w:val="0"/>
      <w:marTop w:val="0"/>
      <w:marBottom w:val="0"/>
      <w:divBdr>
        <w:top w:val="none" w:sz="0" w:space="0" w:color="auto"/>
        <w:left w:val="none" w:sz="0" w:space="0" w:color="auto"/>
        <w:bottom w:val="none" w:sz="0" w:space="0" w:color="auto"/>
        <w:right w:val="none" w:sz="0" w:space="0" w:color="auto"/>
      </w:divBdr>
    </w:div>
    <w:div w:id="236939367">
      <w:bodyDiv w:val="1"/>
      <w:marLeft w:val="0"/>
      <w:marRight w:val="0"/>
      <w:marTop w:val="0"/>
      <w:marBottom w:val="0"/>
      <w:divBdr>
        <w:top w:val="none" w:sz="0" w:space="0" w:color="auto"/>
        <w:left w:val="none" w:sz="0" w:space="0" w:color="auto"/>
        <w:bottom w:val="none" w:sz="0" w:space="0" w:color="auto"/>
        <w:right w:val="none" w:sz="0" w:space="0" w:color="auto"/>
      </w:divBdr>
    </w:div>
    <w:div w:id="269826486">
      <w:bodyDiv w:val="1"/>
      <w:marLeft w:val="0"/>
      <w:marRight w:val="0"/>
      <w:marTop w:val="0"/>
      <w:marBottom w:val="0"/>
      <w:divBdr>
        <w:top w:val="none" w:sz="0" w:space="0" w:color="auto"/>
        <w:left w:val="none" w:sz="0" w:space="0" w:color="auto"/>
        <w:bottom w:val="none" w:sz="0" w:space="0" w:color="auto"/>
        <w:right w:val="none" w:sz="0" w:space="0" w:color="auto"/>
      </w:divBdr>
    </w:div>
    <w:div w:id="275523107">
      <w:bodyDiv w:val="1"/>
      <w:marLeft w:val="0"/>
      <w:marRight w:val="0"/>
      <w:marTop w:val="0"/>
      <w:marBottom w:val="0"/>
      <w:divBdr>
        <w:top w:val="none" w:sz="0" w:space="0" w:color="auto"/>
        <w:left w:val="none" w:sz="0" w:space="0" w:color="auto"/>
        <w:bottom w:val="none" w:sz="0" w:space="0" w:color="auto"/>
        <w:right w:val="none" w:sz="0" w:space="0" w:color="auto"/>
      </w:divBdr>
    </w:div>
    <w:div w:id="279646502">
      <w:bodyDiv w:val="1"/>
      <w:marLeft w:val="0"/>
      <w:marRight w:val="0"/>
      <w:marTop w:val="0"/>
      <w:marBottom w:val="0"/>
      <w:divBdr>
        <w:top w:val="none" w:sz="0" w:space="0" w:color="auto"/>
        <w:left w:val="none" w:sz="0" w:space="0" w:color="auto"/>
        <w:bottom w:val="none" w:sz="0" w:space="0" w:color="auto"/>
        <w:right w:val="none" w:sz="0" w:space="0" w:color="auto"/>
      </w:divBdr>
    </w:div>
    <w:div w:id="281689778">
      <w:bodyDiv w:val="1"/>
      <w:marLeft w:val="0"/>
      <w:marRight w:val="0"/>
      <w:marTop w:val="0"/>
      <w:marBottom w:val="0"/>
      <w:divBdr>
        <w:top w:val="none" w:sz="0" w:space="0" w:color="auto"/>
        <w:left w:val="none" w:sz="0" w:space="0" w:color="auto"/>
        <w:bottom w:val="none" w:sz="0" w:space="0" w:color="auto"/>
        <w:right w:val="none" w:sz="0" w:space="0" w:color="auto"/>
      </w:divBdr>
      <w:divsChild>
        <w:div w:id="1947692140">
          <w:marLeft w:val="0"/>
          <w:marRight w:val="0"/>
          <w:marTop w:val="0"/>
          <w:marBottom w:val="0"/>
          <w:divBdr>
            <w:top w:val="none" w:sz="0" w:space="0" w:color="auto"/>
            <w:left w:val="none" w:sz="0" w:space="0" w:color="auto"/>
            <w:bottom w:val="none" w:sz="0" w:space="0" w:color="auto"/>
            <w:right w:val="none" w:sz="0" w:space="0" w:color="auto"/>
          </w:divBdr>
          <w:divsChild>
            <w:div w:id="55478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60814">
      <w:bodyDiv w:val="1"/>
      <w:marLeft w:val="0"/>
      <w:marRight w:val="0"/>
      <w:marTop w:val="0"/>
      <w:marBottom w:val="0"/>
      <w:divBdr>
        <w:top w:val="none" w:sz="0" w:space="0" w:color="auto"/>
        <w:left w:val="none" w:sz="0" w:space="0" w:color="auto"/>
        <w:bottom w:val="none" w:sz="0" w:space="0" w:color="auto"/>
        <w:right w:val="none" w:sz="0" w:space="0" w:color="auto"/>
      </w:divBdr>
    </w:div>
    <w:div w:id="297492079">
      <w:bodyDiv w:val="1"/>
      <w:marLeft w:val="0"/>
      <w:marRight w:val="0"/>
      <w:marTop w:val="0"/>
      <w:marBottom w:val="0"/>
      <w:divBdr>
        <w:top w:val="none" w:sz="0" w:space="0" w:color="auto"/>
        <w:left w:val="none" w:sz="0" w:space="0" w:color="auto"/>
        <w:bottom w:val="none" w:sz="0" w:space="0" w:color="auto"/>
        <w:right w:val="none" w:sz="0" w:space="0" w:color="auto"/>
      </w:divBdr>
    </w:div>
    <w:div w:id="336352782">
      <w:bodyDiv w:val="1"/>
      <w:marLeft w:val="0"/>
      <w:marRight w:val="0"/>
      <w:marTop w:val="0"/>
      <w:marBottom w:val="0"/>
      <w:divBdr>
        <w:top w:val="none" w:sz="0" w:space="0" w:color="auto"/>
        <w:left w:val="none" w:sz="0" w:space="0" w:color="auto"/>
        <w:bottom w:val="none" w:sz="0" w:space="0" w:color="auto"/>
        <w:right w:val="none" w:sz="0" w:space="0" w:color="auto"/>
      </w:divBdr>
    </w:div>
    <w:div w:id="336856407">
      <w:bodyDiv w:val="1"/>
      <w:marLeft w:val="0"/>
      <w:marRight w:val="0"/>
      <w:marTop w:val="0"/>
      <w:marBottom w:val="0"/>
      <w:divBdr>
        <w:top w:val="none" w:sz="0" w:space="0" w:color="auto"/>
        <w:left w:val="none" w:sz="0" w:space="0" w:color="auto"/>
        <w:bottom w:val="none" w:sz="0" w:space="0" w:color="auto"/>
        <w:right w:val="none" w:sz="0" w:space="0" w:color="auto"/>
      </w:divBdr>
    </w:div>
    <w:div w:id="368915843">
      <w:bodyDiv w:val="1"/>
      <w:marLeft w:val="0"/>
      <w:marRight w:val="0"/>
      <w:marTop w:val="0"/>
      <w:marBottom w:val="0"/>
      <w:divBdr>
        <w:top w:val="none" w:sz="0" w:space="0" w:color="auto"/>
        <w:left w:val="none" w:sz="0" w:space="0" w:color="auto"/>
        <w:bottom w:val="none" w:sz="0" w:space="0" w:color="auto"/>
        <w:right w:val="none" w:sz="0" w:space="0" w:color="auto"/>
      </w:divBdr>
    </w:div>
    <w:div w:id="382801651">
      <w:bodyDiv w:val="1"/>
      <w:marLeft w:val="0"/>
      <w:marRight w:val="0"/>
      <w:marTop w:val="0"/>
      <w:marBottom w:val="0"/>
      <w:divBdr>
        <w:top w:val="none" w:sz="0" w:space="0" w:color="auto"/>
        <w:left w:val="none" w:sz="0" w:space="0" w:color="auto"/>
        <w:bottom w:val="none" w:sz="0" w:space="0" w:color="auto"/>
        <w:right w:val="none" w:sz="0" w:space="0" w:color="auto"/>
      </w:divBdr>
    </w:div>
    <w:div w:id="405495919">
      <w:bodyDiv w:val="1"/>
      <w:marLeft w:val="0"/>
      <w:marRight w:val="0"/>
      <w:marTop w:val="0"/>
      <w:marBottom w:val="0"/>
      <w:divBdr>
        <w:top w:val="none" w:sz="0" w:space="0" w:color="auto"/>
        <w:left w:val="none" w:sz="0" w:space="0" w:color="auto"/>
        <w:bottom w:val="none" w:sz="0" w:space="0" w:color="auto"/>
        <w:right w:val="none" w:sz="0" w:space="0" w:color="auto"/>
      </w:divBdr>
    </w:div>
    <w:div w:id="419718612">
      <w:bodyDiv w:val="1"/>
      <w:marLeft w:val="0"/>
      <w:marRight w:val="0"/>
      <w:marTop w:val="0"/>
      <w:marBottom w:val="0"/>
      <w:divBdr>
        <w:top w:val="none" w:sz="0" w:space="0" w:color="auto"/>
        <w:left w:val="none" w:sz="0" w:space="0" w:color="auto"/>
        <w:bottom w:val="none" w:sz="0" w:space="0" w:color="auto"/>
        <w:right w:val="none" w:sz="0" w:space="0" w:color="auto"/>
      </w:divBdr>
    </w:div>
    <w:div w:id="469204744">
      <w:bodyDiv w:val="1"/>
      <w:marLeft w:val="0"/>
      <w:marRight w:val="0"/>
      <w:marTop w:val="0"/>
      <w:marBottom w:val="0"/>
      <w:divBdr>
        <w:top w:val="none" w:sz="0" w:space="0" w:color="auto"/>
        <w:left w:val="none" w:sz="0" w:space="0" w:color="auto"/>
        <w:bottom w:val="none" w:sz="0" w:space="0" w:color="auto"/>
        <w:right w:val="none" w:sz="0" w:space="0" w:color="auto"/>
      </w:divBdr>
    </w:div>
    <w:div w:id="495613060">
      <w:bodyDiv w:val="1"/>
      <w:marLeft w:val="0"/>
      <w:marRight w:val="0"/>
      <w:marTop w:val="0"/>
      <w:marBottom w:val="0"/>
      <w:divBdr>
        <w:top w:val="none" w:sz="0" w:space="0" w:color="auto"/>
        <w:left w:val="none" w:sz="0" w:space="0" w:color="auto"/>
        <w:bottom w:val="none" w:sz="0" w:space="0" w:color="auto"/>
        <w:right w:val="none" w:sz="0" w:space="0" w:color="auto"/>
      </w:divBdr>
    </w:div>
    <w:div w:id="522089108">
      <w:bodyDiv w:val="1"/>
      <w:marLeft w:val="0"/>
      <w:marRight w:val="0"/>
      <w:marTop w:val="0"/>
      <w:marBottom w:val="0"/>
      <w:divBdr>
        <w:top w:val="none" w:sz="0" w:space="0" w:color="auto"/>
        <w:left w:val="none" w:sz="0" w:space="0" w:color="auto"/>
        <w:bottom w:val="none" w:sz="0" w:space="0" w:color="auto"/>
        <w:right w:val="none" w:sz="0" w:space="0" w:color="auto"/>
      </w:divBdr>
    </w:div>
    <w:div w:id="599340650">
      <w:bodyDiv w:val="1"/>
      <w:marLeft w:val="0"/>
      <w:marRight w:val="0"/>
      <w:marTop w:val="0"/>
      <w:marBottom w:val="0"/>
      <w:divBdr>
        <w:top w:val="none" w:sz="0" w:space="0" w:color="auto"/>
        <w:left w:val="none" w:sz="0" w:space="0" w:color="auto"/>
        <w:bottom w:val="none" w:sz="0" w:space="0" w:color="auto"/>
        <w:right w:val="none" w:sz="0" w:space="0" w:color="auto"/>
      </w:divBdr>
    </w:div>
    <w:div w:id="600796524">
      <w:bodyDiv w:val="1"/>
      <w:marLeft w:val="0"/>
      <w:marRight w:val="0"/>
      <w:marTop w:val="0"/>
      <w:marBottom w:val="0"/>
      <w:divBdr>
        <w:top w:val="none" w:sz="0" w:space="0" w:color="auto"/>
        <w:left w:val="none" w:sz="0" w:space="0" w:color="auto"/>
        <w:bottom w:val="none" w:sz="0" w:space="0" w:color="auto"/>
        <w:right w:val="none" w:sz="0" w:space="0" w:color="auto"/>
      </w:divBdr>
      <w:divsChild>
        <w:div w:id="1509174186">
          <w:marLeft w:val="0"/>
          <w:marRight w:val="0"/>
          <w:marTop w:val="0"/>
          <w:marBottom w:val="0"/>
          <w:divBdr>
            <w:top w:val="none" w:sz="0" w:space="0" w:color="auto"/>
            <w:left w:val="none" w:sz="0" w:space="0" w:color="auto"/>
            <w:bottom w:val="none" w:sz="0" w:space="0" w:color="auto"/>
            <w:right w:val="none" w:sz="0" w:space="0" w:color="auto"/>
          </w:divBdr>
          <w:divsChild>
            <w:div w:id="1963000234">
              <w:marLeft w:val="0"/>
              <w:marRight w:val="0"/>
              <w:marTop w:val="0"/>
              <w:marBottom w:val="0"/>
              <w:divBdr>
                <w:top w:val="none" w:sz="0" w:space="0" w:color="auto"/>
                <w:left w:val="none" w:sz="0" w:space="0" w:color="auto"/>
                <w:bottom w:val="none" w:sz="0" w:space="0" w:color="auto"/>
                <w:right w:val="none" w:sz="0" w:space="0" w:color="auto"/>
              </w:divBdr>
              <w:divsChild>
                <w:div w:id="1312322651">
                  <w:marLeft w:val="0"/>
                  <w:marRight w:val="0"/>
                  <w:marTop w:val="0"/>
                  <w:marBottom w:val="0"/>
                  <w:divBdr>
                    <w:top w:val="none" w:sz="0" w:space="0" w:color="auto"/>
                    <w:left w:val="none" w:sz="0" w:space="0" w:color="auto"/>
                    <w:bottom w:val="none" w:sz="0" w:space="0" w:color="auto"/>
                    <w:right w:val="none" w:sz="0" w:space="0" w:color="auto"/>
                  </w:divBdr>
                  <w:divsChild>
                    <w:div w:id="1246189840">
                      <w:marLeft w:val="0"/>
                      <w:marRight w:val="0"/>
                      <w:marTop w:val="0"/>
                      <w:marBottom w:val="0"/>
                      <w:divBdr>
                        <w:top w:val="none" w:sz="0" w:space="0" w:color="auto"/>
                        <w:left w:val="none" w:sz="0" w:space="0" w:color="auto"/>
                        <w:bottom w:val="none" w:sz="0" w:space="0" w:color="auto"/>
                        <w:right w:val="none" w:sz="0" w:space="0" w:color="auto"/>
                      </w:divBdr>
                      <w:divsChild>
                        <w:div w:id="812134418">
                          <w:marLeft w:val="0"/>
                          <w:marRight w:val="0"/>
                          <w:marTop w:val="0"/>
                          <w:marBottom w:val="0"/>
                          <w:divBdr>
                            <w:top w:val="none" w:sz="0" w:space="0" w:color="auto"/>
                            <w:left w:val="none" w:sz="0" w:space="0" w:color="auto"/>
                            <w:bottom w:val="none" w:sz="0" w:space="0" w:color="auto"/>
                            <w:right w:val="none" w:sz="0" w:space="0" w:color="auto"/>
                          </w:divBdr>
                          <w:divsChild>
                            <w:div w:id="6098976">
                              <w:marLeft w:val="0"/>
                              <w:marRight w:val="0"/>
                              <w:marTop w:val="0"/>
                              <w:marBottom w:val="0"/>
                              <w:divBdr>
                                <w:top w:val="none" w:sz="0" w:space="0" w:color="auto"/>
                                <w:left w:val="none" w:sz="0" w:space="0" w:color="auto"/>
                                <w:bottom w:val="none" w:sz="0" w:space="0" w:color="auto"/>
                                <w:right w:val="none" w:sz="0" w:space="0" w:color="auto"/>
                              </w:divBdr>
                              <w:divsChild>
                                <w:div w:id="1452701804">
                                  <w:marLeft w:val="0"/>
                                  <w:marRight w:val="0"/>
                                  <w:marTop w:val="0"/>
                                  <w:marBottom w:val="0"/>
                                  <w:divBdr>
                                    <w:top w:val="none" w:sz="0" w:space="0" w:color="auto"/>
                                    <w:left w:val="none" w:sz="0" w:space="0" w:color="auto"/>
                                    <w:bottom w:val="none" w:sz="0" w:space="0" w:color="auto"/>
                                    <w:right w:val="none" w:sz="0" w:space="0" w:color="auto"/>
                                  </w:divBdr>
                                  <w:divsChild>
                                    <w:div w:id="41622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458735">
      <w:bodyDiv w:val="1"/>
      <w:marLeft w:val="0"/>
      <w:marRight w:val="0"/>
      <w:marTop w:val="0"/>
      <w:marBottom w:val="0"/>
      <w:divBdr>
        <w:top w:val="none" w:sz="0" w:space="0" w:color="auto"/>
        <w:left w:val="none" w:sz="0" w:space="0" w:color="auto"/>
        <w:bottom w:val="none" w:sz="0" w:space="0" w:color="auto"/>
        <w:right w:val="none" w:sz="0" w:space="0" w:color="auto"/>
      </w:divBdr>
      <w:divsChild>
        <w:div w:id="1638536317">
          <w:marLeft w:val="0"/>
          <w:marRight w:val="0"/>
          <w:marTop w:val="0"/>
          <w:marBottom w:val="0"/>
          <w:divBdr>
            <w:top w:val="none" w:sz="0" w:space="0" w:color="auto"/>
            <w:left w:val="none" w:sz="0" w:space="0" w:color="auto"/>
            <w:bottom w:val="none" w:sz="0" w:space="0" w:color="auto"/>
            <w:right w:val="none" w:sz="0" w:space="0" w:color="auto"/>
          </w:divBdr>
          <w:divsChild>
            <w:div w:id="91909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129821">
      <w:bodyDiv w:val="1"/>
      <w:marLeft w:val="0"/>
      <w:marRight w:val="0"/>
      <w:marTop w:val="0"/>
      <w:marBottom w:val="0"/>
      <w:divBdr>
        <w:top w:val="none" w:sz="0" w:space="0" w:color="auto"/>
        <w:left w:val="none" w:sz="0" w:space="0" w:color="auto"/>
        <w:bottom w:val="none" w:sz="0" w:space="0" w:color="auto"/>
        <w:right w:val="none" w:sz="0" w:space="0" w:color="auto"/>
      </w:divBdr>
    </w:div>
    <w:div w:id="671447487">
      <w:bodyDiv w:val="1"/>
      <w:marLeft w:val="0"/>
      <w:marRight w:val="0"/>
      <w:marTop w:val="0"/>
      <w:marBottom w:val="0"/>
      <w:divBdr>
        <w:top w:val="none" w:sz="0" w:space="0" w:color="auto"/>
        <w:left w:val="none" w:sz="0" w:space="0" w:color="auto"/>
        <w:bottom w:val="none" w:sz="0" w:space="0" w:color="auto"/>
        <w:right w:val="none" w:sz="0" w:space="0" w:color="auto"/>
      </w:divBdr>
    </w:div>
    <w:div w:id="681323738">
      <w:bodyDiv w:val="1"/>
      <w:marLeft w:val="0"/>
      <w:marRight w:val="0"/>
      <w:marTop w:val="0"/>
      <w:marBottom w:val="0"/>
      <w:divBdr>
        <w:top w:val="none" w:sz="0" w:space="0" w:color="auto"/>
        <w:left w:val="none" w:sz="0" w:space="0" w:color="auto"/>
        <w:bottom w:val="none" w:sz="0" w:space="0" w:color="auto"/>
        <w:right w:val="none" w:sz="0" w:space="0" w:color="auto"/>
      </w:divBdr>
      <w:divsChild>
        <w:div w:id="431560036">
          <w:marLeft w:val="0"/>
          <w:marRight w:val="0"/>
          <w:marTop w:val="0"/>
          <w:marBottom w:val="0"/>
          <w:divBdr>
            <w:top w:val="none" w:sz="0" w:space="0" w:color="auto"/>
            <w:left w:val="none" w:sz="0" w:space="0" w:color="auto"/>
            <w:bottom w:val="none" w:sz="0" w:space="0" w:color="auto"/>
            <w:right w:val="none" w:sz="0" w:space="0" w:color="auto"/>
          </w:divBdr>
          <w:divsChild>
            <w:div w:id="904265855">
              <w:marLeft w:val="0"/>
              <w:marRight w:val="0"/>
              <w:marTop w:val="0"/>
              <w:marBottom w:val="0"/>
              <w:divBdr>
                <w:top w:val="none" w:sz="0" w:space="0" w:color="auto"/>
                <w:left w:val="none" w:sz="0" w:space="0" w:color="auto"/>
                <w:bottom w:val="none" w:sz="0" w:space="0" w:color="auto"/>
                <w:right w:val="none" w:sz="0" w:space="0" w:color="auto"/>
              </w:divBdr>
              <w:divsChild>
                <w:div w:id="821656319">
                  <w:marLeft w:val="0"/>
                  <w:marRight w:val="0"/>
                  <w:marTop w:val="0"/>
                  <w:marBottom w:val="0"/>
                  <w:divBdr>
                    <w:top w:val="none" w:sz="0" w:space="0" w:color="auto"/>
                    <w:left w:val="none" w:sz="0" w:space="0" w:color="auto"/>
                    <w:bottom w:val="none" w:sz="0" w:space="0" w:color="auto"/>
                    <w:right w:val="none" w:sz="0" w:space="0" w:color="auto"/>
                  </w:divBdr>
                  <w:divsChild>
                    <w:div w:id="1858277655">
                      <w:marLeft w:val="0"/>
                      <w:marRight w:val="0"/>
                      <w:marTop w:val="0"/>
                      <w:marBottom w:val="0"/>
                      <w:divBdr>
                        <w:top w:val="none" w:sz="0" w:space="0" w:color="auto"/>
                        <w:left w:val="none" w:sz="0" w:space="0" w:color="auto"/>
                        <w:bottom w:val="none" w:sz="0" w:space="0" w:color="auto"/>
                        <w:right w:val="none" w:sz="0" w:space="0" w:color="auto"/>
                      </w:divBdr>
                      <w:divsChild>
                        <w:div w:id="295646445">
                          <w:marLeft w:val="0"/>
                          <w:marRight w:val="0"/>
                          <w:marTop w:val="0"/>
                          <w:marBottom w:val="0"/>
                          <w:divBdr>
                            <w:top w:val="none" w:sz="0" w:space="0" w:color="auto"/>
                            <w:left w:val="none" w:sz="0" w:space="0" w:color="auto"/>
                            <w:bottom w:val="none" w:sz="0" w:space="0" w:color="auto"/>
                            <w:right w:val="none" w:sz="0" w:space="0" w:color="auto"/>
                          </w:divBdr>
                          <w:divsChild>
                            <w:div w:id="1712414453">
                              <w:marLeft w:val="0"/>
                              <w:marRight w:val="0"/>
                              <w:marTop w:val="0"/>
                              <w:marBottom w:val="0"/>
                              <w:divBdr>
                                <w:top w:val="none" w:sz="0" w:space="0" w:color="auto"/>
                                <w:left w:val="none" w:sz="0" w:space="0" w:color="auto"/>
                                <w:bottom w:val="none" w:sz="0" w:space="0" w:color="auto"/>
                                <w:right w:val="none" w:sz="0" w:space="0" w:color="auto"/>
                              </w:divBdr>
                              <w:divsChild>
                                <w:div w:id="1786725694">
                                  <w:marLeft w:val="0"/>
                                  <w:marRight w:val="0"/>
                                  <w:marTop w:val="0"/>
                                  <w:marBottom w:val="0"/>
                                  <w:divBdr>
                                    <w:top w:val="none" w:sz="0" w:space="0" w:color="auto"/>
                                    <w:left w:val="none" w:sz="0" w:space="0" w:color="auto"/>
                                    <w:bottom w:val="none" w:sz="0" w:space="0" w:color="auto"/>
                                    <w:right w:val="none" w:sz="0" w:space="0" w:color="auto"/>
                                  </w:divBdr>
                                  <w:divsChild>
                                    <w:div w:id="74468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4889806">
      <w:bodyDiv w:val="1"/>
      <w:marLeft w:val="0"/>
      <w:marRight w:val="0"/>
      <w:marTop w:val="0"/>
      <w:marBottom w:val="0"/>
      <w:divBdr>
        <w:top w:val="none" w:sz="0" w:space="0" w:color="auto"/>
        <w:left w:val="none" w:sz="0" w:space="0" w:color="auto"/>
        <w:bottom w:val="none" w:sz="0" w:space="0" w:color="auto"/>
        <w:right w:val="none" w:sz="0" w:space="0" w:color="auto"/>
      </w:divBdr>
    </w:div>
    <w:div w:id="716128145">
      <w:bodyDiv w:val="1"/>
      <w:marLeft w:val="0"/>
      <w:marRight w:val="0"/>
      <w:marTop w:val="0"/>
      <w:marBottom w:val="0"/>
      <w:divBdr>
        <w:top w:val="none" w:sz="0" w:space="0" w:color="auto"/>
        <w:left w:val="none" w:sz="0" w:space="0" w:color="auto"/>
        <w:bottom w:val="none" w:sz="0" w:space="0" w:color="auto"/>
        <w:right w:val="none" w:sz="0" w:space="0" w:color="auto"/>
      </w:divBdr>
    </w:div>
    <w:div w:id="840201677">
      <w:bodyDiv w:val="1"/>
      <w:marLeft w:val="0"/>
      <w:marRight w:val="0"/>
      <w:marTop w:val="0"/>
      <w:marBottom w:val="0"/>
      <w:divBdr>
        <w:top w:val="none" w:sz="0" w:space="0" w:color="auto"/>
        <w:left w:val="none" w:sz="0" w:space="0" w:color="auto"/>
        <w:bottom w:val="none" w:sz="0" w:space="0" w:color="auto"/>
        <w:right w:val="none" w:sz="0" w:space="0" w:color="auto"/>
      </w:divBdr>
    </w:div>
    <w:div w:id="890964899">
      <w:bodyDiv w:val="1"/>
      <w:marLeft w:val="0"/>
      <w:marRight w:val="0"/>
      <w:marTop w:val="0"/>
      <w:marBottom w:val="0"/>
      <w:divBdr>
        <w:top w:val="none" w:sz="0" w:space="0" w:color="auto"/>
        <w:left w:val="none" w:sz="0" w:space="0" w:color="auto"/>
        <w:bottom w:val="none" w:sz="0" w:space="0" w:color="auto"/>
        <w:right w:val="none" w:sz="0" w:space="0" w:color="auto"/>
      </w:divBdr>
      <w:divsChild>
        <w:div w:id="717899985">
          <w:marLeft w:val="0"/>
          <w:marRight w:val="0"/>
          <w:marTop w:val="0"/>
          <w:marBottom w:val="0"/>
          <w:divBdr>
            <w:top w:val="none" w:sz="0" w:space="0" w:color="auto"/>
            <w:left w:val="none" w:sz="0" w:space="0" w:color="auto"/>
            <w:bottom w:val="none" w:sz="0" w:space="0" w:color="auto"/>
            <w:right w:val="none" w:sz="0" w:space="0" w:color="auto"/>
          </w:divBdr>
          <w:divsChild>
            <w:div w:id="464735085">
              <w:marLeft w:val="0"/>
              <w:marRight w:val="0"/>
              <w:marTop w:val="0"/>
              <w:marBottom w:val="0"/>
              <w:divBdr>
                <w:top w:val="none" w:sz="0" w:space="0" w:color="auto"/>
                <w:left w:val="none" w:sz="0" w:space="0" w:color="auto"/>
                <w:bottom w:val="none" w:sz="0" w:space="0" w:color="auto"/>
                <w:right w:val="none" w:sz="0" w:space="0" w:color="auto"/>
              </w:divBdr>
              <w:divsChild>
                <w:div w:id="9913876">
                  <w:marLeft w:val="0"/>
                  <w:marRight w:val="0"/>
                  <w:marTop w:val="0"/>
                  <w:marBottom w:val="0"/>
                  <w:divBdr>
                    <w:top w:val="none" w:sz="0" w:space="0" w:color="auto"/>
                    <w:left w:val="none" w:sz="0" w:space="0" w:color="auto"/>
                    <w:bottom w:val="none" w:sz="0" w:space="0" w:color="auto"/>
                    <w:right w:val="none" w:sz="0" w:space="0" w:color="auto"/>
                  </w:divBdr>
                  <w:divsChild>
                    <w:div w:id="420030390">
                      <w:marLeft w:val="0"/>
                      <w:marRight w:val="0"/>
                      <w:marTop w:val="0"/>
                      <w:marBottom w:val="0"/>
                      <w:divBdr>
                        <w:top w:val="none" w:sz="0" w:space="0" w:color="auto"/>
                        <w:left w:val="none" w:sz="0" w:space="0" w:color="auto"/>
                        <w:bottom w:val="none" w:sz="0" w:space="0" w:color="auto"/>
                        <w:right w:val="none" w:sz="0" w:space="0" w:color="auto"/>
                      </w:divBdr>
                      <w:divsChild>
                        <w:div w:id="1179926990">
                          <w:marLeft w:val="0"/>
                          <w:marRight w:val="0"/>
                          <w:marTop w:val="0"/>
                          <w:marBottom w:val="0"/>
                          <w:divBdr>
                            <w:top w:val="none" w:sz="0" w:space="0" w:color="auto"/>
                            <w:left w:val="none" w:sz="0" w:space="0" w:color="auto"/>
                            <w:bottom w:val="none" w:sz="0" w:space="0" w:color="auto"/>
                            <w:right w:val="none" w:sz="0" w:space="0" w:color="auto"/>
                          </w:divBdr>
                          <w:divsChild>
                            <w:div w:id="2143692331">
                              <w:marLeft w:val="0"/>
                              <w:marRight w:val="0"/>
                              <w:marTop w:val="0"/>
                              <w:marBottom w:val="0"/>
                              <w:divBdr>
                                <w:top w:val="none" w:sz="0" w:space="0" w:color="auto"/>
                                <w:left w:val="none" w:sz="0" w:space="0" w:color="auto"/>
                                <w:bottom w:val="none" w:sz="0" w:space="0" w:color="auto"/>
                                <w:right w:val="none" w:sz="0" w:space="0" w:color="auto"/>
                              </w:divBdr>
                              <w:divsChild>
                                <w:div w:id="1323848670">
                                  <w:marLeft w:val="0"/>
                                  <w:marRight w:val="0"/>
                                  <w:marTop w:val="0"/>
                                  <w:marBottom w:val="0"/>
                                  <w:divBdr>
                                    <w:top w:val="none" w:sz="0" w:space="0" w:color="auto"/>
                                    <w:left w:val="none" w:sz="0" w:space="0" w:color="auto"/>
                                    <w:bottom w:val="none" w:sz="0" w:space="0" w:color="auto"/>
                                    <w:right w:val="none" w:sz="0" w:space="0" w:color="auto"/>
                                  </w:divBdr>
                                  <w:divsChild>
                                    <w:div w:id="832988402">
                                      <w:marLeft w:val="0"/>
                                      <w:marRight w:val="0"/>
                                      <w:marTop w:val="0"/>
                                      <w:marBottom w:val="0"/>
                                      <w:divBdr>
                                        <w:top w:val="none" w:sz="0" w:space="0" w:color="auto"/>
                                        <w:left w:val="none" w:sz="0" w:space="0" w:color="auto"/>
                                        <w:bottom w:val="none" w:sz="0" w:space="0" w:color="auto"/>
                                        <w:right w:val="none" w:sz="0" w:space="0" w:color="auto"/>
                                      </w:divBdr>
                                      <w:divsChild>
                                        <w:div w:id="380138125">
                                          <w:marLeft w:val="0"/>
                                          <w:marRight w:val="0"/>
                                          <w:marTop w:val="0"/>
                                          <w:marBottom w:val="0"/>
                                          <w:divBdr>
                                            <w:top w:val="none" w:sz="0" w:space="0" w:color="auto"/>
                                            <w:left w:val="none" w:sz="0" w:space="0" w:color="auto"/>
                                            <w:bottom w:val="none" w:sz="0" w:space="0" w:color="auto"/>
                                            <w:right w:val="none" w:sz="0" w:space="0" w:color="auto"/>
                                          </w:divBdr>
                                          <w:divsChild>
                                            <w:div w:id="1856453073">
                                              <w:marLeft w:val="0"/>
                                              <w:marRight w:val="0"/>
                                              <w:marTop w:val="0"/>
                                              <w:marBottom w:val="0"/>
                                              <w:divBdr>
                                                <w:top w:val="none" w:sz="0" w:space="0" w:color="auto"/>
                                                <w:left w:val="none" w:sz="0" w:space="0" w:color="auto"/>
                                                <w:bottom w:val="none" w:sz="0" w:space="0" w:color="auto"/>
                                                <w:right w:val="none" w:sz="0" w:space="0" w:color="auto"/>
                                              </w:divBdr>
                                              <w:divsChild>
                                                <w:div w:id="21517828">
                                                  <w:marLeft w:val="0"/>
                                                  <w:marRight w:val="0"/>
                                                  <w:marTop w:val="0"/>
                                                  <w:marBottom w:val="0"/>
                                                  <w:divBdr>
                                                    <w:top w:val="none" w:sz="0" w:space="0" w:color="auto"/>
                                                    <w:left w:val="none" w:sz="0" w:space="0" w:color="auto"/>
                                                    <w:bottom w:val="none" w:sz="0" w:space="0" w:color="auto"/>
                                                    <w:right w:val="none" w:sz="0" w:space="0" w:color="auto"/>
                                                  </w:divBdr>
                                                  <w:divsChild>
                                                    <w:div w:id="125332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2862138">
          <w:marLeft w:val="0"/>
          <w:marRight w:val="0"/>
          <w:marTop w:val="0"/>
          <w:marBottom w:val="0"/>
          <w:divBdr>
            <w:top w:val="none" w:sz="0" w:space="0" w:color="auto"/>
            <w:left w:val="none" w:sz="0" w:space="0" w:color="auto"/>
            <w:bottom w:val="none" w:sz="0" w:space="0" w:color="auto"/>
            <w:right w:val="none" w:sz="0" w:space="0" w:color="auto"/>
          </w:divBdr>
          <w:divsChild>
            <w:div w:id="551233644">
              <w:marLeft w:val="0"/>
              <w:marRight w:val="0"/>
              <w:marTop w:val="0"/>
              <w:marBottom w:val="0"/>
              <w:divBdr>
                <w:top w:val="none" w:sz="0" w:space="0" w:color="auto"/>
                <w:left w:val="none" w:sz="0" w:space="0" w:color="auto"/>
                <w:bottom w:val="none" w:sz="0" w:space="0" w:color="auto"/>
                <w:right w:val="none" w:sz="0" w:space="0" w:color="auto"/>
              </w:divBdr>
              <w:divsChild>
                <w:div w:id="1416245125">
                  <w:marLeft w:val="0"/>
                  <w:marRight w:val="0"/>
                  <w:marTop w:val="0"/>
                  <w:marBottom w:val="0"/>
                  <w:divBdr>
                    <w:top w:val="none" w:sz="0" w:space="0" w:color="auto"/>
                    <w:left w:val="none" w:sz="0" w:space="0" w:color="auto"/>
                    <w:bottom w:val="none" w:sz="0" w:space="0" w:color="auto"/>
                    <w:right w:val="none" w:sz="0" w:space="0" w:color="auto"/>
                  </w:divBdr>
                  <w:divsChild>
                    <w:div w:id="1070734003">
                      <w:marLeft w:val="0"/>
                      <w:marRight w:val="0"/>
                      <w:marTop w:val="0"/>
                      <w:marBottom w:val="0"/>
                      <w:divBdr>
                        <w:top w:val="none" w:sz="0" w:space="0" w:color="auto"/>
                        <w:left w:val="none" w:sz="0" w:space="0" w:color="auto"/>
                        <w:bottom w:val="none" w:sz="0" w:space="0" w:color="auto"/>
                        <w:right w:val="none" w:sz="0" w:space="0" w:color="auto"/>
                      </w:divBdr>
                      <w:divsChild>
                        <w:div w:id="63115463">
                          <w:marLeft w:val="0"/>
                          <w:marRight w:val="0"/>
                          <w:marTop w:val="0"/>
                          <w:marBottom w:val="0"/>
                          <w:divBdr>
                            <w:top w:val="none" w:sz="0" w:space="0" w:color="auto"/>
                            <w:left w:val="none" w:sz="0" w:space="0" w:color="auto"/>
                            <w:bottom w:val="none" w:sz="0" w:space="0" w:color="auto"/>
                            <w:right w:val="none" w:sz="0" w:space="0" w:color="auto"/>
                          </w:divBdr>
                          <w:divsChild>
                            <w:div w:id="1341086256">
                              <w:marLeft w:val="0"/>
                              <w:marRight w:val="0"/>
                              <w:marTop w:val="0"/>
                              <w:marBottom w:val="0"/>
                              <w:divBdr>
                                <w:top w:val="none" w:sz="0" w:space="0" w:color="auto"/>
                                <w:left w:val="none" w:sz="0" w:space="0" w:color="auto"/>
                                <w:bottom w:val="none" w:sz="0" w:space="0" w:color="auto"/>
                                <w:right w:val="none" w:sz="0" w:space="0" w:color="auto"/>
                              </w:divBdr>
                              <w:divsChild>
                                <w:div w:id="780609220">
                                  <w:marLeft w:val="0"/>
                                  <w:marRight w:val="0"/>
                                  <w:marTop w:val="0"/>
                                  <w:marBottom w:val="0"/>
                                  <w:divBdr>
                                    <w:top w:val="none" w:sz="0" w:space="0" w:color="auto"/>
                                    <w:left w:val="none" w:sz="0" w:space="0" w:color="auto"/>
                                    <w:bottom w:val="none" w:sz="0" w:space="0" w:color="auto"/>
                                    <w:right w:val="none" w:sz="0" w:space="0" w:color="auto"/>
                                  </w:divBdr>
                                  <w:divsChild>
                                    <w:div w:id="1885681003">
                                      <w:marLeft w:val="0"/>
                                      <w:marRight w:val="0"/>
                                      <w:marTop w:val="0"/>
                                      <w:marBottom w:val="0"/>
                                      <w:divBdr>
                                        <w:top w:val="none" w:sz="0" w:space="0" w:color="auto"/>
                                        <w:left w:val="none" w:sz="0" w:space="0" w:color="auto"/>
                                        <w:bottom w:val="none" w:sz="0" w:space="0" w:color="auto"/>
                                        <w:right w:val="none" w:sz="0" w:space="0" w:color="auto"/>
                                      </w:divBdr>
                                      <w:divsChild>
                                        <w:div w:id="384069329">
                                          <w:marLeft w:val="0"/>
                                          <w:marRight w:val="0"/>
                                          <w:marTop w:val="0"/>
                                          <w:marBottom w:val="0"/>
                                          <w:divBdr>
                                            <w:top w:val="none" w:sz="0" w:space="0" w:color="auto"/>
                                            <w:left w:val="none" w:sz="0" w:space="0" w:color="auto"/>
                                            <w:bottom w:val="none" w:sz="0" w:space="0" w:color="auto"/>
                                            <w:right w:val="none" w:sz="0" w:space="0" w:color="auto"/>
                                          </w:divBdr>
                                          <w:divsChild>
                                            <w:div w:id="290598386">
                                              <w:marLeft w:val="0"/>
                                              <w:marRight w:val="0"/>
                                              <w:marTop w:val="0"/>
                                              <w:marBottom w:val="0"/>
                                              <w:divBdr>
                                                <w:top w:val="none" w:sz="0" w:space="0" w:color="auto"/>
                                                <w:left w:val="none" w:sz="0" w:space="0" w:color="auto"/>
                                                <w:bottom w:val="none" w:sz="0" w:space="0" w:color="auto"/>
                                                <w:right w:val="none" w:sz="0" w:space="0" w:color="auto"/>
                                              </w:divBdr>
                                              <w:divsChild>
                                                <w:div w:id="1531916178">
                                                  <w:marLeft w:val="0"/>
                                                  <w:marRight w:val="0"/>
                                                  <w:marTop w:val="0"/>
                                                  <w:marBottom w:val="0"/>
                                                  <w:divBdr>
                                                    <w:top w:val="none" w:sz="0" w:space="0" w:color="auto"/>
                                                    <w:left w:val="none" w:sz="0" w:space="0" w:color="auto"/>
                                                    <w:bottom w:val="none" w:sz="0" w:space="0" w:color="auto"/>
                                                    <w:right w:val="none" w:sz="0" w:space="0" w:color="auto"/>
                                                  </w:divBdr>
                                                  <w:divsChild>
                                                    <w:div w:id="60877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6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828338">
                                      <w:marLeft w:val="0"/>
                                      <w:marRight w:val="0"/>
                                      <w:marTop w:val="0"/>
                                      <w:marBottom w:val="0"/>
                                      <w:divBdr>
                                        <w:top w:val="none" w:sz="0" w:space="0" w:color="auto"/>
                                        <w:left w:val="none" w:sz="0" w:space="0" w:color="auto"/>
                                        <w:bottom w:val="none" w:sz="0" w:space="0" w:color="auto"/>
                                        <w:right w:val="none" w:sz="0" w:space="0" w:color="auto"/>
                                      </w:divBdr>
                                      <w:divsChild>
                                        <w:div w:id="1309363845">
                                          <w:marLeft w:val="0"/>
                                          <w:marRight w:val="0"/>
                                          <w:marTop w:val="0"/>
                                          <w:marBottom w:val="0"/>
                                          <w:divBdr>
                                            <w:top w:val="none" w:sz="0" w:space="0" w:color="auto"/>
                                            <w:left w:val="none" w:sz="0" w:space="0" w:color="auto"/>
                                            <w:bottom w:val="none" w:sz="0" w:space="0" w:color="auto"/>
                                            <w:right w:val="none" w:sz="0" w:space="0" w:color="auto"/>
                                          </w:divBdr>
                                          <w:divsChild>
                                            <w:div w:id="585111953">
                                              <w:marLeft w:val="0"/>
                                              <w:marRight w:val="0"/>
                                              <w:marTop w:val="0"/>
                                              <w:marBottom w:val="0"/>
                                              <w:divBdr>
                                                <w:top w:val="none" w:sz="0" w:space="0" w:color="auto"/>
                                                <w:left w:val="none" w:sz="0" w:space="0" w:color="auto"/>
                                                <w:bottom w:val="none" w:sz="0" w:space="0" w:color="auto"/>
                                                <w:right w:val="none" w:sz="0" w:space="0" w:color="auto"/>
                                              </w:divBdr>
                                              <w:divsChild>
                                                <w:div w:id="1115095174">
                                                  <w:marLeft w:val="0"/>
                                                  <w:marRight w:val="0"/>
                                                  <w:marTop w:val="0"/>
                                                  <w:marBottom w:val="0"/>
                                                  <w:divBdr>
                                                    <w:top w:val="none" w:sz="0" w:space="0" w:color="auto"/>
                                                    <w:left w:val="none" w:sz="0" w:space="0" w:color="auto"/>
                                                    <w:bottom w:val="none" w:sz="0" w:space="0" w:color="auto"/>
                                                    <w:right w:val="none" w:sz="0" w:space="0" w:color="auto"/>
                                                  </w:divBdr>
                                                  <w:divsChild>
                                                    <w:div w:id="183456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8899129">
      <w:bodyDiv w:val="1"/>
      <w:marLeft w:val="0"/>
      <w:marRight w:val="0"/>
      <w:marTop w:val="0"/>
      <w:marBottom w:val="0"/>
      <w:divBdr>
        <w:top w:val="none" w:sz="0" w:space="0" w:color="auto"/>
        <w:left w:val="none" w:sz="0" w:space="0" w:color="auto"/>
        <w:bottom w:val="none" w:sz="0" w:space="0" w:color="auto"/>
        <w:right w:val="none" w:sz="0" w:space="0" w:color="auto"/>
      </w:divBdr>
    </w:div>
    <w:div w:id="900557367">
      <w:bodyDiv w:val="1"/>
      <w:marLeft w:val="0"/>
      <w:marRight w:val="0"/>
      <w:marTop w:val="0"/>
      <w:marBottom w:val="0"/>
      <w:divBdr>
        <w:top w:val="none" w:sz="0" w:space="0" w:color="auto"/>
        <w:left w:val="none" w:sz="0" w:space="0" w:color="auto"/>
        <w:bottom w:val="none" w:sz="0" w:space="0" w:color="auto"/>
        <w:right w:val="none" w:sz="0" w:space="0" w:color="auto"/>
      </w:divBdr>
    </w:div>
    <w:div w:id="909122766">
      <w:bodyDiv w:val="1"/>
      <w:marLeft w:val="0"/>
      <w:marRight w:val="0"/>
      <w:marTop w:val="0"/>
      <w:marBottom w:val="0"/>
      <w:divBdr>
        <w:top w:val="none" w:sz="0" w:space="0" w:color="auto"/>
        <w:left w:val="none" w:sz="0" w:space="0" w:color="auto"/>
        <w:bottom w:val="none" w:sz="0" w:space="0" w:color="auto"/>
        <w:right w:val="none" w:sz="0" w:space="0" w:color="auto"/>
      </w:divBdr>
      <w:divsChild>
        <w:div w:id="585115889">
          <w:marLeft w:val="0"/>
          <w:marRight w:val="0"/>
          <w:marTop w:val="0"/>
          <w:marBottom w:val="0"/>
          <w:divBdr>
            <w:top w:val="none" w:sz="0" w:space="0" w:color="auto"/>
            <w:left w:val="none" w:sz="0" w:space="0" w:color="auto"/>
            <w:bottom w:val="none" w:sz="0" w:space="0" w:color="auto"/>
            <w:right w:val="none" w:sz="0" w:space="0" w:color="auto"/>
          </w:divBdr>
          <w:divsChild>
            <w:div w:id="2017539884">
              <w:marLeft w:val="0"/>
              <w:marRight w:val="0"/>
              <w:marTop w:val="0"/>
              <w:marBottom w:val="0"/>
              <w:divBdr>
                <w:top w:val="none" w:sz="0" w:space="0" w:color="auto"/>
                <w:left w:val="none" w:sz="0" w:space="0" w:color="auto"/>
                <w:bottom w:val="none" w:sz="0" w:space="0" w:color="auto"/>
                <w:right w:val="none" w:sz="0" w:space="0" w:color="auto"/>
              </w:divBdr>
              <w:divsChild>
                <w:div w:id="963272570">
                  <w:marLeft w:val="0"/>
                  <w:marRight w:val="0"/>
                  <w:marTop w:val="0"/>
                  <w:marBottom w:val="0"/>
                  <w:divBdr>
                    <w:top w:val="none" w:sz="0" w:space="0" w:color="auto"/>
                    <w:left w:val="none" w:sz="0" w:space="0" w:color="auto"/>
                    <w:bottom w:val="none" w:sz="0" w:space="0" w:color="auto"/>
                    <w:right w:val="none" w:sz="0" w:space="0" w:color="auto"/>
                  </w:divBdr>
                  <w:divsChild>
                    <w:div w:id="712121551">
                      <w:marLeft w:val="0"/>
                      <w:marRight w:val="0"/>
                      <w:marTop w:val="0"/>
                      <w:marBottom w:val="0"/>
                      <w:divBdr>
                        <w:top w:val="none" w:sz="0" w:space="0" w:color="auto"/>
                        <w:left w:val="none" w:sz="0" w:space="0" w:color="auto"/>
                        <w:bottom w:val="none" w:sz="0" w:space="0" w:color="auto"/>
                        <w:right w:val="none" w:sz="0" w:space="0" w:color="auto"/>
                      </w:divBdr>
                      <w:divsChild>
                        <w:div w:id="1523933202">
                          <w:marLeft w:val="0"/>
                          <w:marRight w:val="0"/>
                          <w:marTop w:val="0"/>
                          <w:marBottom w:val="0"/>
                          <w:divBdr>
                            <w:top w:val="none" w:sz="0" w:space="0" w:color="auto"/>
                            <w:left w:val="none" w:sz="0" w:space="0" w:color="auto"/>
                            <w:bottom w:val="none" w:sz="0" w:space="0" w:color="auto"/>
                            <w:right w:val="none" w:sz="0" w:space="0" w:color="auto"/>
                          </w:divBdr>
                          <w:divsChild>
                            <w:div w:id="861935974">
                              <w:marLeft w:val="0"/>
                              <w:marRight w:val="0"/>
                              <w:marTop w:val="0"/>
                              <w:marBottom w:val="0"/>
                              <w:divBdr>
                                <w:top w:val="none" w:sz="0" w:space="0" w:color="auto"/>
                                <w:left w:val="none" w:sz="0" w:space="0" w:color="auto"/>
                                <w:bottom w:val="none" w:sz="0" w:space="0" w:color="auto"/>
                                <w:right w:val="none" w:sz="0" w:space="0" w:color="auto"/>
                              </w:divBdr>
                              <w:divsChild>
                                <w:div w:id="824012946">
                                  <w:marLeft w:val="0"/>
                                  <w:marRight w:val="0"/>
                                  <w:marTop w:val="0"/>
                                  <w:marBottom w:val="0"/>
                                  <w:divBdr>
                                    <w:top w:val="none" w:sz="0" w:space="0" w:color="auto"/>
                                    <w:left w:val="none" w:sz="0" w:space="0" w:color="auto"/>
                                    <w:bottom w:val="none" w:sz="0" w:space="0" w:color="auto"/>
                                    <w:right w:val="none" w:sz="0" w:space="0" w:color="auto"/>
                                  </w:divBdr>
                                  <w:divsChild>
                                    <w:div w:id="160873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9778653">
      <w:bodyDiv w:val="1"/>
      <w:marLeft w:val="0"/>
      <w:marRight w:val="0"/>
      <w:marTop w:val="0"/>
      <w:marBottom w:val="0"/>
      <w:divBdr>
        <w:top w:val="none" w:sz="0" w:space="0" w:color="auto"/>
        <w:left w:val="none" w:sz="0" w:space="0" w:color="auto"/>
        <w:bottom w:val="none" w:sz="0" w:space="0" w:color="auto"/>
        <w:right w:val="none" w:sz="0" w:space="0" w:color="auto"/>
      </w:divBdr>
    </w:div>
    <w:div w:id="982198509">
      <w:bodyDiv w:val="1"/>
      <w:marLeft w:val="0"/>
      <w:marRight w:val="0"/>
      <w:marTop w:val="0"/>
      <w:marBottom w:val="0"/>
      <w:divBdr>
        <w:top w:val="none" w:sz="0" w:space="0" w:color="auto"/>
        <w:left w:val="none" w:sz="0" w:space="0" w:color="auto"/>
        <w:bottom w:val="none" w:sz="0" w:space="0" w:color="auto"/>
        <w:right w:val="none" w:sz="0" w:space="0" w:color="auto"/>
      </w:divBdr>
    </w:div>
    <w:div w:id="1006136354">
      <w:bodyDiv w:val="1"/>
      <w:marLeft w:val="0"/>
      <w:marRight w:val="0"/>
      <w:marTop w:val="0"/>
      <w:marBottom w:val="0"/>
      <w:divBdr>
        <w:top w:val="none" w:sz="0" w:space="0" w:color="auto"/>
        <w:left w:val="none" w:sz="0" w:space="0" w:color="auto"/>
        <w:bottom w:val="none" w:sz="0" w:space="0" w:color="auto"/>
        <w:right w:val="none" w:sz="0" w:space="0" w:color="auto"/>
      </w:divBdr>
    </w:div>
    <w:div w:id="1011837687">
      <w:bodyDiv w:val="1"/>
      <w:marLeft w:val="0"/>
      <w:marRight w:val="0"/>
      <w:marTop w:val="0"/>
      <w:marBottom w:val="0"/>
      <w:divBdr>
        <w:top w:val="none" w:sz="0" w:space="0" w:color="auto"/>
        <w:left w:val="none" w:sz="0" w:space="0" w:color="auto"/>
        <w:bottom w:val="none" w:sz="0" w:space="0" w:color="auto"/>
        <w:right w:val="none" w:sz="0" w:space="0" w:color="auto"/>
      </w:divBdr>
    </w:div>
    <w:div w:id="1101024898">
      <w:bodyDiv w:val="1"/>
      <w:marLeft w:val="0"/>
      <w:marRight w:val="0"/>
      <w:marTop w:val="0"/>
      <w:marBottom w:val="0"/>
      <w:divBdr>
        <w:top w:val="none" w:sz="0" w:space="0" w:color="auto"/>
        <w:left w:val="none" w:sz="0" w:space="0" w:color="auto"/>
        <w:bottom w:val="none" w:sz="0" w:space="0" w:color="auto"/>
        <w:right w:val="none" w:sz="0" w:space="0" w:color="auto"/>
      </w:divBdr>
    </w:div>
    <w:div w:id="1113474061">
      <w:bodyDiv w:val="1"/>
      <w:marLeft w:val="0"/>
      <w:marRight w:val="0"/>
      <w:marTop w:val="0"/>
      <w:marBottom w:val="0"/>
      <w:divBdr>
        <w:top w:val="none" w:sz="0" w:space="0" w:color="auto"/>
        <w:left w:val="none" w:sz="0" w:space="0" w:color="auto"/>
        <w:bottom w:val="none" w:sz="0" w:space="0" w:color="auto"/>
        <w:right w:val="none" w:sz="0" w:space="0" w:color="auto"/>
      </w:divBdr>
    </w:div>
    <w:div w:id="1121218846">
      <w:bodyDiv w:val="1"/>
      <w:marLeft w:val="0"/>
      <w:marRight w:val="0"/>
      <w:marTop w:val="0"/>
      <w:marBottom w:val="0"/>
      <w:divBdr>
        <w:top w:val="none" w:sz="0" w:space="0" w:color="auto"/>
        <w:left w:val="none" w:sz="0" w:space="0" w:color="auto"/>
        <w:bottom w:val="none" w:sz="0" w:space="0" w:color="auto"/>
        <w:right w:val="none" w:sz="0" w:space="0" w:color="auto"/>
      </w:divBdr>
    </w:div>
    <w:div w:id="1151598887">
      <w:bodyDiv w:val="1"/>
      <w:marLeft w:val="0"/>
      <w:marRight w:val="0"/>
      <w:marTop w:val="0"/>
      <w:marBottom w:val="0"/>
      <w:divBdr>
        <w:top w:val="none" w:sz="0" w:space="0" w:color="auto"/>
        <w:left w:val="none" w:sz="0" w:space="0" w:color="auto"/>
        <w:bottom w:val="none" w:sz="0" w:space="0" w:color="auto"/>
        <w:right w:val="none" w:sz="0" w:space="0" w:color="auto"/>
      </w:divBdr>
      <w:divsChild>
        <w:div w:id="1861044269">
          <w:marLeft w:val="0"/>
          <w:marRight w:val="0"/>
          <w:marTop w:val="0"/>
          <w:marBottom w:val="0"/>
          <w:divBdr>
            <w:top w:val="none" w:sz="0" w:space="0" w:color="auto"/>
            <w:left w:val="none" w:sz="0" w:space="0" w:color="auto"/>
            <w:bottom w:val="none" w:sz="0" w:space="0" w:color="auto"/>
            <w:right w:val="none" w:sz="0" w:space="0" w:color="auto"/>
          </w:divBdr>
          <w:divsChild>
            <w:div w:id="1451313573">
              <w:marLeft w:val="0"/>
              <w:marRight w:val="0"/>
              <w:marTop w:val="0"/>
              <w:marBottom w:val="0"/>
              <w:divBdr>
                <w:top w:val="none" w:sz="0" w:space="0" w:color="auto"/>
                <w:left w:val="none" w:sz="0" w:space="0" w:color="auto"/>
                <w:bottom w:val="none" w:sz="0" w:space="0" w:color="auto"/>
                <w:right w:val="none" w:sz="0" w:space="0" w:color="auto"/>
              </w:divBdr>
            </w:div>
          </w:divsChild>
        </w:div>
        <w:div w:id="1846245897">
          <w:marLeft w:val="0"/>
          <w:marRight w:val="0"/>
          <w:marTop w:val="0"/>
          <w:marBottom w:val="0"/>
          <w:divBdr>
            <w:top w:val="none" w:sz="0" w:space="0" w:color="auto"/>
            <w:left w:val="none" w:sz="0" w:space="0" w:color="auto"/>
            <w:bottom w:val="none" w:sz="0" w:space="0" w:color="auto"/>
            <w:right w:val="none" w:sz="0" w:space="0" w:color="auto"/>
          </w:divBdr>
          <w:divsChild>
            <w:div w:id="1010447436">
              <w:marLeft w:val="0"/>
              <w:marRight w:val="0"/>
              <w:marTop w:val="0"/>
              <w:marBottom w:val="0"/>
              <w:divBdr>
                <w:top w:val="none" w:sz="0" w:space="0" w:color="auto"/>
                <w:left w:val="none" w:sz="0" w:space="0" w:color="auto"/>
                <w:bottom w:val="none" w:sz="0" w:space="0" w:color="auto"/>
                <w:right w:val="none" w:sz="0" w:space="0" w:color="auto"/>
              </w:divBdr>
            </w:div>
          </w:divsChild>
        </w:div>
        <w:div w:id="460804881">
          <w:marLeft w:val="0"/>
          <w:marRight w:val="0"/>
          <w:marTop w:val="0"/>
          <w:marBottom w:val="0"/>
          <w:divBdr>
            <w:top w:val="none" w:sz="0" w:space="0" w:color="auto"/>
            <w:left w:val="none" w:sz="0" w:space="0" w:color="auto"/>
            <w:bottom w:val="none" w:sz="0" w:space="0" w:color="auto"/>
            <w:right w:val="none" w:sz="0" w:space="0" w:color="auto"/>
          </w:divBdr>
          <w:divsChild>
            <w:div w:id="3811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678011">
      <w:bodyDiv w:val="1"/>
      <w:marLeft w:val="0"/>
      <w:marRight w:val="0"/>
      <w:marTop w:val="0"/>
      <w:marBottom w:val="0"/>
      <w:divBdr>
        <w:top w:val="none" w:sz="0" w:space="0" w:color="auto"/>
        <w:left w:val="none" w:sz="0" w:space="0" w:color="auto"/>
        <w:bottom w:val="none" w:sz="0" w:space="0" w:color="auto"/>
        <w:right w:val="none" w:sz="0" w:space="0" w:color="auto"/>
      </w:divBdr>
    </w:div>
    <w:div w:id="1288704495">
      <w:bodyDiv w:val="1"/>
      <w:marLeft w:val="0"/>
      <w:marRight w:val="0"/>
      <w:marTop w:val="0"/>
      <w:marBottom w:val="0"/>
      <w:divBdr>
        <w:top w:val="none" w:sz="0" w:space="0" w:color="auto"/>
        <w:left w:val="none" w:sz="0" w:space="0" w:color="auto"/>
        <w:bottom w:val="none" w:sz="0" w:space="0" w:color="auto"/>
        <w:right w:val="none" w:sz="0" w:space="0" w:color="auto"/>
      </w:divBdr>
      <w:divsChild>
        <w:div w:id="285746511">
          <w:marLeft w:val="0"/>
          <w:marRight w:val="0"/>
          <w:marTop w:val="0"/>
          <w:marBottom w:val="0"/>
          <w:divBdr>
            <w:top w:val="none" w:sz="0" w:space="0" w:color="auto"/>
            <w:left w:val="none" w:sz="0" w:space="0" w:color="auto"/>
            <w:bottom w:val="none" w:sz="0" w:space="0" w:color="auto"/>
            <w:right w:val="none" w:sz="0" w:space="0" w:color="auto"/>
          </w:divBdr>
          <w:divsChild>
            <w:div w:id="130188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598811">
      <w:bodyDiv w:val="1"/>
      <w:marLeft w:val="0"/>
      <w:marRight w:val="0"/>
      <w:marTop w:val="0"/>
      <w:marBottom w:val="0"/>
      <w:divBdr>
        <w:top w:val="none" w:sz="0" w:space="0" w:color="auto"/>
        <w:left w:val="none" w:sz="0" w:space="0" w:color="auto"/>
        <w:bottom w:val="none" w:sz="0" w:space="0" w:color="auto"/>
        <w:right w:val="none" w:sz="0" w:space="0" w:color="auto"/>
      </w:divBdr>
    </w:div>
    <w:div w:id="1320157873">
      <w:bodyDiv w:val="1"/>
      <w:marLeft w:val="0"/>
      <w:marRight w:val="0"/>
      <w:marTop w:val="0"/>
      <w:marBottom w:val="0"/>
      <w:divBdr>
        <w:top w:val="none" w:sz="0" w:space="0" w:color="auto"/>
        <w:left w:val="none" w:sz="0" w:space="0" w:color="auto"/>
        <w:bottom w:val="none" w:sz="0" w:space="0" w:color="auto"/>
        <w:right w:val="none" w:sz="0" w:space="0" w:color="auto"/>
      </w:divBdr>
    </w:div>
    <w:div w:id="1337686121">
      <w:bodyDiv w:val="1"/>
      <w:marLeft w:val="0"/>
      <w:marRight w:val="0"/>
      <w:marTop w:val="0"/>
      <w:marBottom w:val="0"/>
      <w:divBdr>
        <w:top w:val="none" w:sz="0" w:space="0" w:color="auto"/>
        <w:left w:val="none" w:sz="0" w:space="0" w:color="auto"/>
        <w:bottom w:val="none" w:sz="0" w:space="0" w:color="auto"/>
        <w:right w:val="none" w:sz="0" w:space="0" w:color="auto"/>
      </w:divBdr>
    </w:div>
    <w:div w:id="1350764635">
      <w:bodyDiv w:val="1"/>
      <w:marLeft w:val="0"/>
      <w:marRight w:val="0"/>
      <w:marTop w:val="0"/>
      <w:marBottom w:val="0"/>
      <w:divBdr>
        <w:top w:val="none" w:sz="0" w:space="0" w:color="auto"/>
        <w:left w:val="none" w:sz="0" w:space="0" w:color="auto"/>
        <w:bottom w:val="none" w:sz="0" w:space="0" w:color="auto"/>
        <w:right w:val="none" w:sz="0" w:space="0" w:color="auto"/>
      </w:divBdr>
    </w:div>
    <w:div w:id="1381440388">
      <w:bodyDiv w:val="1"/>
      <w:marLeft w:val="0"/>
      <w:marRight w:val="0"/>
      <w:marTop w:val="0"/>
      <w:marBottom w:val="0"/>
      <w:divBdr>
        <w:top w:val="none" w:sz="0" w:space="0" w:color="auto"/>
        <w:left w:val="none" w:sz="0" w:space="0" w:color="auto"/>
        <w:bottom w:val="none" w:sz="0" w:space="0" w:color="auto"/>
        <w:right w:val="none" w:sz="0" w:space="0" w:color="auto"/>
      </w:divBdr>
      <w:divsChild>
        <w:div w:id="1229346377">
          <w:marLeft w:val="0"/>
          <w:marRight w:val="0"/>
          <w:marTop w:val="0"/>
          <w:marBottom w:val="0"/>
          <w:divBdr>
            <w:top w:val="none" w:sz="0" w:space="0" w:color="auto"/>
            <w:left w:val="none" w:sz="0" w:space="0" w:color="auto"/>
            <w:bottom w:val="none" w:sz="0" w:space="0" w:color="auto"/>
            <w:right w:val="none" w:sz="0" w:space="0" w:color="auto"/>
          </w:divBdr>
          <w:divsChild>
            <w:div w:id="1274750774">
              <w:marLeft w:val="0"/>
              <w:marRight w:val="0"/>
              <w:marTop w:val="0"/>
              <w:marBottom w:val="0"/>
              <w:divBdr>
                <w:top w:val="none" w:sz="0" w:space="0" w:color="auto"/>
                <w:left w:val="none" w:sz="0" w:space="0" w:color="auto"/>
                <w:bottom w:val="none" w:sz="0" w:space="0" w:color="auto"/>
                <w:right w:val="none" w:sz="0" w:space="0" w:color="auto"/>
              </w:divBdr>
              <w:divsChild>
                <w:div w:id="1795756986">
                  <w:marLeft w:val="0"/>
                  <w:marRight w:val="0"/>
                  <w:marTop w:val="0"/>
                  <w:marBottom w:val="0"/>
                  <w:divBdr>
                    <w:top w:val="none" w:sz="0" w:space="0" w:color="auto"/>
                    <w:left w:val="none" w:sz="0" w:space="0" w:color="auto"/>
                    <w:bottom w:val="none" w:sz="0" w:space="0" w:color="auto"/>
                    <w:right w:val="none" w:sz="0" w:space="0" w:color="auto"/>
                  </w:divBdr>
                  <w:divsChild>
                    <w:div w:id="1108037800">
                      <w:marLeft w:val="0"/>
                      <w:marRight w:val="0"/>
                      <w:marTop w:val="0"/>
                      <w:marBottom w:val="0"/>
                      <w:divBdr>
                        <w:top w:val="none" w:sz="0" w:space="0" w:color="auto"/>
                        <w:left w:val="none" w:sz="0" w:space="0" w:color="auto"/>
                        <w:bottom w:val="none" w:sz="0" w:space="0" w:color="auto"/>
                        <w:right w:val="none" w:sz="0" w:space="0" w:color="auto"/>
                      </w:divBdr>
                      <w:divsChild>
                        <w:div w:id="1996764949">
                          <w:marLeft w:val="0"/>
                          <w:marRight w:val="0"/>
                          <w:marTop w:val="0"/>
                          <w:marBottom w:val="0"/>
                          <w:divBdr>
                            <w:top w:val="none" w:sz="0" w:space="0" w:color="auto"/>
                            <w:left w:val="none" w:sz="0" w:space="0" w:color="auto"/>
                            <w:bottom w:val="none" w:sz="0" w:space="0" w:color="auto"/>
                            <w:right w:val="none" w:sz="0" w:space="0" w:color="auto"/>
                          </w:divBdr>
                          <w:divsChild>
                            <w:div w:id="223414632">
                              <w:marLeft w:val="0"/>
                              <w:marRight w:val="0"/>
                              <w:marTop w:val="0"/>
                              <w:marBottom w:val="0"/>
                              <w:divBdr>
                                <w:top w:val="none" w:sz="0" w:space="0" w:color="auto"/>
                                <w:left w:val="none" w:sz="0" w:space="0" w:color="auto"/>
                                <w:bottom w:val="none" w:sz="0" w:space="0" w:color="auto"/>
                                <w:right w:val="none" w:sz="0" w:space="0" w:color="auto"/>
                              </w:divBdr>
                              <w:divsChild>
                                <w:div w:id="1383553744">
                                  <w:marLeft w:val="0"/>
                                  <w:marRight w:val="0"/>
                                  <w:marTop w:val="0"/>
                                  <w:marBottom w:val="0"/>
                                  <w:divBdr>
                                    <w:top w:val="none" w:sz="0" w:space="0" w:color="auto"/>
                                    <w:left w:val="none" w:sz="0" w:space="0" w:color="auto"/>
                                    <w:bottom w:val="none" w:sz="0" w:space="0" w:color="auto"/>
                                    <w:right w:val="none" w:sz="0" w:space="0" w:color="auto"/>
                                  </w:divBdr>
                                  <w:divsChild>
                                    <w:div w:id="4353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6873314">
      <w:bodyDiv w:val="1"/>
      <w:marLeft w:val="0"/>
      <w:marRight w:val="0"/>
      <w:marTop w:val="0"/>
      <w:marBottom w:val="0"/>
      <w:divBdr>
        <w:top w:val="none" w:sz="0" w:space="0" w:color="auto"/>
        <w:left w:val="none" w:sz="0" w:space="0" w:color="auto"/>
        <w:bottom w:val="none" w:sz="0" w:space="0" w:color="auto"/>
        <w:right w:val="none" w:sz="0" w:space="0" w:color="auto"/>
      </w:divBdr>
    </w:div>
    <w:div w:id="1392313125">
      <w:bodyDiv w:val="1"/>
      <w:marLeft w:val="0"/>
      <w:marRight w:val="0"/>
      <w:marTop w:val="0"/>
      <w:marBottom w:val="0"/>
      <w:divBdr>
        <w:top w:val="none" w:sz="0" w:space="0" w:color="auto"/>
        <w:left w:val="none" w:sz="0" w:space="0" w:color="auto"/>
        <w:bottom w:val="none" w:sz="0" w:space="0" w:color="auto"/>
        <w:right w:val="none" w:sz="0" w:space="0" w:color="auto"/>
      </w:divBdr>
    </w:div>
    <w:div w:id="1405373495">
      <w:bodyDiv w:val="1"/>
      <w:marLeft w:val="0"/>
      <w:marRight w:val="0"/>
      <w:marTop w:val="0"/>
      <w:marBottom w:val="0"/>
      <w:divBdr>
        <w:top w:val="none" w:sz="0" w:space="0" w:color="auto"/>
        <w:left w:val="none" w:sz="0" w:space="0" w:color="auto"/>
        <w:bottom w:val="none" w:sz="0" w:space="0" w:color="auto"/>
        <w:right w:val="none" w:sz="0" w:space="0" w:color="auto"/>
      </w:divBdr>
    </w:div>
    <w:div w:id="1415322140">
      <w:bodyDiv w:val="1"/>
      <w:marLeft w:val="0"/>
      <w:marRight w:val="0"/>
      <w:marTop w:val="0"/>
      <w:marBottom w:val="0"/>
      <w:divBdr>
        <w:top w:val="none" w:sz="0" w:space="0" w:color="auto"/>
        <w:left w:val="none" w:sz="0" w:space="0" w:color="auto"/>
        <w:bottom w:val="none" w:sz="0" w:space="0" w:color="auto"/>
        <w:right w:val="none" w:sz="0" w:space="0" w:color="auto"/>
      </w:divBdr>
    </w:div>
    <w:div w:id="1435713427">
      <w:bodyDiv w:val="1"/>
      <w:marLeft w:val="0"/>
      <w:marRight w:val="0"/>
      <w:marTop w:val="0"/>
      <w:marBottom w:val="0"/>
      <w:divBdr>
        <w:top w:val="none" w:sz="0" w:space="0" w:color="auto"/>
        <w:left w:val="none" w:sz="0" w:space="0" w:color="auto"/>
        <w:bottom w:val="none" w:sz="0" w:space="0" w:color="auto"/>
        <w:right w:val="none" w:sz="0" w:space="0" w:color="auto"/>
      </w:divBdr>
    </w:div>
    <w:div w:id="1523057321">
      <w:bodyDiv w:val="1"/>
      <w:marLeft w:val="0"/>
      <w:marRight w:val="0"/>
      <w:marTop w:val="0"/>
      <w:marBottom w:val="0"/>
      <w:divBdr>
        <w:top w:val="none" w:sz="0" w:space="0" w:color="auto"/>
        <w:left w:val="none" w:sz="0" w:space="0" w:color="auto"/>
        <w:bottom w:val="none" w:sz="0" w:space="0" w:color="auto"/>
        <w:right w:val="none" w:sz="0" w:space="0" w:color="auto"/>
      </w:divBdr>
    </w:div>
    <w:div w:id="1558589999">
      <w:bodyDiv w:val="1"/>
      <w:marLeft w:val="0"/>
      <w:marRight w:val="0"/>
      <w:marTop w:val="0"/>
      <w:marBottom w:val="0"/>
      <w:divBdr>
        <w:top w:val="none" w:sz="0" w:space="0" w:color="auto"/>
        <w:left w:val="none" w:sz="0" w:space="0" w:color="auto"/>
        <w:bottom w:val="none" w:sz="0" w:space="0" w:color="auto"/>
        <w:right w:val="none" w:sz="0" w:space="0" w:color="auto"/>
      </w:divBdr>
    </w:div>
    <w:div w:id="1596400742">
      <w:bodyDiv w:val="1"/>
      <w:marLeft w:val="0"/>
      <w:marRight w:val="0"/>
      <w:marTop w:val="0"/>
      <w:marBottom w:val="0"/>
      <w:divBdr>
        <w:top w:val="none" w:sz="0" w:space="0" w:color="auto"/>
        <w:left w:val="none" w:sz="0" w:space="0" w:color="auto"/>
        <w:bottom w:val="none" w:sz="0" w:space="0" w:color="auto"/>
        <w:right w:val="none" w:sz="0" w:space="0" w:color="auto"/>
      </w:divBdr>
    </w:div>
    <w:div w:id="1657683402">
      <w:bodyDiv w:val="1"/>
      <w:marLeft w:val="0"/>
      <w:marRight w:val="0"/>
      <w:marTop w:val="0"/>
      <w:marBottom w:val="0"/>
      <w:divBdr>
        <w:top w:val="none" w:sz="0" w:space="0" w:color="auto"/>
        <w:left w:val="none" w:sz="0" w:space="0" w:color="auto"/>
        <w:bottom w:val="none" w:sz="0" w:space="0" w:color="auto"/>
        <w:right w:val="none" w:sz="0" w:space="0" w:color="auto"/>
      </w:divBdr>
    </w:div>
    <w:div w:id="1684937783">
      <w:bodyDiv w:val="1"/>
      <w:marLeft w:val="0"/>
      <w:marRight w:val="0"/>
      <w:marTop w:val="0"/>
      <w:marBottom w:val="0"/>
      <w:divBdr>
        <w:top w:val="none" w:sz="0" w:space="0" w:color="auto"/>
        <w:left w:val="none" w:sz="0" w:space="0" w:color="auto"/>
        <w:bottom w:val="none" w:sz="0" w:space="0" w:color="auto"/>
        <w:right w:val="none" w:sz="0" w:space="0" w:color="auto"/>
      </w:divBdr>
      <w:divsChild>
        <w:div w:id="1468234329">
          <w:marLeft w:val="0"/>
          <w:marRight w:val="0"/>
          <w:marTop w:val="0"/>
          <w:marBottom w:val="0"/>
          <w:divBdr>
            <w:top w:val="none" w:sz="0" w:space="0" w:color="auto"/>
            <w:left w:val="none" w:sz="0" w:space="0" w:color="auto"/>
            <w:bottom w:val="none" w:sz="0" w:space="0" w:color="auto"/>
            <w:right w:val="none" w:sz="0" w:space="0" w:color="auto"/>
          </w:divBdr>
          <w:divsChild>
            <w:div w:id="135765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86958">
      <w:bodyDiv w:val="1"/>
      <w:marLeft w:val="0"/>
      <w:marRight w:val="0"/>
      <w:marTop w:val="0"/>
      <w:marBottom w:val="0"/>
      <w:divBdr>
        <w:top w:val="none" w:sz="0" w:space="0" w:color="auto"/>
        <w:left w:val="none" w:sz="0" w:space="0" w:color="auto"/>
        <w:bottom w:val="none" w:sz="0" w:space="0" w:color="auto"/>
        <w:right w:val="none" w:sz="0" w:space="0" w:color="auto"/>
      </w:divBdr>
      <w:divsChild>
        <w:div w:id="895240730">
          <w:marLeft w:val="0"/>
          <w:marRight w:val="0"/>
          <w:marTop w:val="0"/>
          <w:marBottom w:val="0"/>
          <w:divBdr>
            <w:top w:val="none" w:sz="0" w:space="0" w:color="auto"/>
            <w:left w:val="none" w:sz="0" w:space="0" w:color="auto"/>
            <w:bottom w:val="none" w:sz="0" w:space="0" w:color="auto"/>
            <w:right w:val="none" w:sz="0" w:space="0" w:color="auto"/>
          </w:divBdr>
          <w:divsChild>
            <w:div w:id="6645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495448">
      <w:bodyDiv w:val="1"/>
      <w:marLeft w:val="0"/>
      <w:marRight w:val="0"/>
      <w:marTop w:val="0"/>
      <w:marBottom w:val="0"/>
      <w:divBdr>
        <w:top w:val="none" w:sz="0" w:space="0" w:color="auto"/>
        <w:left w:val="none" w:sz="0" w:space="0" w:color="auto"/>
        <w:bottom w:val="none" w:sz="0" w:space="0" w:color="auto"/>
        <w:right w:val="none" w:sz="0" w:space="0" w:color="auto"/>
      </w:divBdr>
    </w:div>
    <w:div w:id="1818034967">
      <w:bodyDiv w:val="1"/>
      <w:marLeft w:val="0"/>
      <w:marRight w:val="0"/>
      <w:marTop w:val="0"/>
      <w:marBottom w:val="0"/>
      <w:divBdr>
        <w:top w:val="none" w:sz="0" w:space="0" w:color="auto"/>
        <w:left w:val="none" w:sz="0" w:space="0" w:color="auto"/>
        <w:bottom w:val="none" w:sz="0" w:space="0" w:color="auto"/>
        <w:right w:val="none" w:sz="0" w:space="0" w:color="auto"/>
      </w:divBdr>
    </w:div>
    <w:div w:id="1829319297">
      <w:bodyDiv w:val="1"/>
      <w:marLeft w:val="0"/>
      <w:marRight w:val="0"/>
      <w:marTop w:val="0"/>
      <w:marBottom w:val="0"/>
      <w:divBdr>
        <w:top w:val="none" w:sz="0" w:space="0" w:color="auto"/>
        <w:left w:val="none" w:sz="0" w:space="0" w:color="auto"/>
        <w:bottom w:val="none" w:sz="0" w:space="0" w:color="auto"/>
        <w:right w:val="none" w:sz="0" w:space="0" w:color="auto"/>
      </w:divBdr>
    </w:div>
    <w:div w:id="1848863306">
      <w:bodyDiv w:val="1"/>
      <w:marLeft w:val="0"/>
      <w:marRight w:val="0"/>
      <w:marTop w:val="0"/>
      <w:marBottom w:val="0"/>
      <w:divBdr>
        <w:top w:val="none" w:sz="0" w:space="0" w:color="auto"/>
        <w:left w:val="none" w:sz="0" w:space="0" w:color="auto"/>
        <w:bottom w:val="none" w:sz="0" w:space="0" w:color="auto"/>
        <w:right w:val="none" w:sz="0" w:space="0" w:color="auto"/>
      </w:divBdr>
    </w:div>
    <w:div w:id="1960641618">
      <w:bodyDiv w:val="1"/>
      <w:marLeft w:val="0"/>
      <w:marRight w:val="0"/>
      <w:marTop w:val="0"/>
      <w:marBottom w:val="0"/>
      <w:divBdr>
        <w:top w:val="none" w:sz="0" w:space="0" w:color="auto"/>
        <w:left w:val="none" w:sz="0" w:space="0" w:color="auto"/>
        <w:bottom w:val="none" w:sz="0" w:space="0" w:color="auto"/>
        <w:right w:val="none" w:sz="0" w:space="0" w:color="auto"/>
      </w:divBdr>
    </w:div>
    <w:div w:id="1975671812">
      <w:bodyDiv w:val="1"/>
      <w:marLeft w:val="0"/>
      <w:marRight w:val="0"/>
      <w:marTop w:val="0"/>
      <w:marBottom w:val="0"/>
      <w:divBdr>
        <w:top w:val="none" w:sz="0" w:space="0" w:color="auto"/>
        <w:left w:val="none" w:sz="0" w:space="0" w:color="auto"/>
        <w:bottom w:val="none" w:sz="0" w:space="0" w:color="auto"/>
        <w:right w:val="none" w:sz="0" w:space="0" w:color="auto"/>
      </w:divBdr>
    </w:div>
    <w:div w:id="1987397181">
      <w:bodyDiv w:val="1"/>
      <w:marLeft w:val="0"/>
      <w:marRight w:val="0"/>
      <w:marTop w:val="0"/>
      <w:marBottom w:val="0"/>
      <w:divBdr>
        <w:top w:val="none" w:sz="0" w:space="0" w:color="auto"/>
        <w:left w:val="none" w:sz="0" w:space="0" w:color="auto"/>
        <w:bottom w:val="none" w:sz="0" w:space="0" w:color="auto"/>
        <w:right w:val="none" w:sz="0" w:space="0" w:color="auto"/>
      </w:divBdr>
    </w:div>
    <w:div w:id="2069037899">
      <w:bodyDiv w:val="1"/>
      <w:marLeft w:val="0"/>
      <w:marRight w:val="0"/>
      <w:marTop w:val="0"/>
      <w:marBottom w:val="0"/>
      <w:divBdr>
        <w:top w:val="none" w:sz="0" w:space="0" w:color="auto"/>
        <w:left w:val="none" w:sz="0" w:space="0" w:color="auto"/>
        <w:bottom w:val="none" w:sz="0" w:space="0" w:color="auto"/>
        <w:right w:val="none" w:sz="0" w:space="0" w:color="auto"/>
      </w:divBdr>
    </w:div>
    <w:div w:id="2073386502">
      <w:bodyDiv w:val="1"/>
      <w:marLeft w:val="0"/>
      <w:marRight w:val="0"/>
      <w:marTop w:val="0"/>
      <w:marBottom w:val="0"/>
      <w:divBdr>
        <w:top w:val="none" w:sz="0" w:space="0" w:color="auto"/>
        <w:left w:val="none" w:sz="0" w:space="0" w:color="auto"/>
        <w:bottom w:val="none" w:sz="0" w:space="0" w:color="auto"/>
        <w:right w:val="none" w:sz="0" w:space="0" w:color="auto"/>
      </w:divBdr>
    </w:div>
    <w:div w:id="2081171753">
      <w:bodyDiv w:val="1"/>
      <w:marLeft w:val="0"/>
      <w:marRight w:val="0"/>
      <w:marTop w:val="0"/>
      <w:marBottom w:val="0"/>
      <w:divBdr>
        <w:top w:val="none" w:sz="0" w:space="0" w:color="auto"/>
        <w:left w:val="none" w:sz="0" w:space="0" w:color="auto"/>
        <w:bottom w:val="none" w:sz="0" w:space="0" w:color="auto"/>
        <w:right w:val="none" w:sz="0" w:space="0" w:color="auto"/>
      </w:divBdr>
    </w:div>
    <w:div w:id="2108884922">
      <w:bodyDiv w:val="1"/>
      <w:marLeft w:val="0"/>
      <w:marRight w:val="0"/>
      <w:marTop w:val="0"/>
      <w:marBottom w:val="0"/>
      <w:divBdr>
        <w:top w:val="none" w:sz="0" w:space="0" w:color="auto"/>
        <w:left w:val="none" w:sz="0" w:space="0" w:color="auto"/>
        <w:bottom w:val="none" w:sz="0" w:space="0" w:color="auto"/>
        <w:right w:val="none" w:sz="0" w:space="0" w:color="auto"/>
      </w:divBdr>
    </w:div>
    <w:div w:id="2115323360">
      <w:bodyDiv w:val="1"/>
      <w:marLeft w:val="0"/>
      <w:marRight w:val="0"/>
      <w:marTop w:val="0"/>
      <w:marBottom w:val="0"/>
      <w:divBdr>
        <w:top w:val="none" w:sz="0" w:space="0" w:color="auto"/>
        <w:left w:val="none" w:sz="0" w:space="0" w:color="auto"/>
        <w:bottom w:val="none" w:sz="0" w:space="0" w:color="auto"/>
        <w:right w:val="none" w:sz="0" w:space="0" w:color="auto"/>
      </w:divBdr>
    </w:div>
    <w:div w:id="212384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6F581-3C0A-4C4C-AB59-79BAFA849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2148</TotalTime>
  <Pages>16</Pages>
  <Words>5976</Words>
  <Characters>34068</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Glanville</dc:creator>
  <cp:lastModifiedBy>Tony Glanville</cp:lastModifiedBy>
  <cp:revision>3</cp:revision>
  <cp:lastPrinted>2025-07-10T22:07:00Z</cp:lastPrinted>
  <dcterms:created xsi:type="dcterms:W3CDTF">2025-10-16T08:51:00Z</dcterms:created>
  <dcterms:modified xsi:type="dcterms:W3CDTF">2025-10-17T20:38:00Z</dcterms:modified>
</cp:coreProperties>
</file>