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4" w14:textId="2C761EDF" w:rsidR="00EE7D6B" w:rsidRPr="00FC5624" w:rsidRDefault="00000000" w:rsidP="00FC5624">
      <w:pPr>
        <w:spacing w:before="240" w:after="240"/>
        <w:jc w:val="center"/>
        <w:rPr>
          <w:bCs/>
          <w:sz w:val="24"/>
          <w:szCs w:val="24"/>
        </w:rPr>
      </w:pPr>
      <w:r w:rsidRPr="00FC5624">
        <w:rPr>
          <w:bCs/>
          <w:sz w:val="24"/>
          <w:szCs w:val="24"/>
        </w:rPr>
        <w:br/>
        <w:t>A critical evaluation and the identification of next teaching and learning steps focusing on a case study of an individual learner or a group of learners, based on an observed critical incident.</w:t>
      </w:r>
    </w:p>
    <w:p w14:paraId="16C32B72" w14:textId="5A11940B" w:rsidR="00FC5624" w:rsidRPr="00FC5624" w:rsidRDefault="00FC5624" w:rsidP="00FC5624">
      <w:pPr>
        <w:spacing w:before="240" w:after="240"/>
        <w:jc w:val="center"/>
        <w:rPr>
          <w:bCs/>
          <w:sz w:val="24"/>
          <w:szCs w:val="24"/>
        </w:rPr>
      </w:pPr>
      <w:r w:rsidRPr="00FC5624">
        <w:rPr>
          <w:bCs/>
          <w:sz w:val="24"/>
          <w:szCs w:val="24"/>
        </w:rPr>
        <w:t>Word Count -</w:t>
      </w:r>
      <w:r>
        <w:rPr>
          <w:bCs/>
          <w:sz w:val="24"/>
          <w:szCs w:val="24"/>
        </w:rPr>
        <w:t xml:space="preserve"> 4146</w:t>
      </w:r>
    </w:p>
    <w:p w14:paraId="0456F37A" w14:textId="77777777" w:rsidR="00FC5624" w:rsidRDefault="00FC5624"/>
    <w:p w14:paraId="7693AFAF" w14:textId="77777777" w:rsidR="00FC5624" w:rsidRDefault="00FC5624"/>
    <w:p w14:paraId="79E30FD5" w14:textId="77777777" w:rsidR="00FC5624" w:rsidRDefault="00FC5624"/>
    <w:p w14:paraId="2BA1EC99" w14:textId="77777777" w:rsidR="00FC5624" w:rsidRDefault="00FC5624"/>
    <w:p w14:paraId="2760BF48" w14:textId="77777777" w:rsidR="00FC5624" w:rsidRDefault="00FC5624"/>
    <w:p w14:paraId="48DB3106" w14:textId="77777777" w:rsidR="00FC5624" w:rsidRDefault="00FC5624"/>
    <w:p w14:paraId="0E6E5A87" w14:textId="77777777" w:rsidR="00FC5624" w:rsidRDefault="00FC5624"/>
    <w:p w14:paraId="4E480B8E" w14:textId="77777777" w:rsidR="00FC5624" w:rsidRDefault="00FC5624"/>
    <w:p w14:paraId="632FC63C" w14:textId="77777777" w:rsidR="00FC5624" w:rsidRDefault="00FC5624"/>
    <w:p w14:paraId="106C875B" w14:textId="77777777" w:rsidR="00FC5624" w:rsidRDefault="00FC5624"/>
    <w:p w14:paraId="19C21D2B" w14:textId="77777777" w:rsidR="00FC5624" w:rsidRDefault="00FC5624"/>
    <w:p w14:paraId="77A1E0BB" w14:textId="77777777" w:rsidR="00FC5624" w:rsidRDefault="00FC5624"/>
    <w:p w14:paraId="1CEC45C7" w14:textId="77777777" w:rsidR="00FC5624" w:rsidRDefault="00FC5624"/>
    <w:p w14:paraId="6D8DBE88" w14:textId="77777777" w:rsidR="00FC5624" w:rsidRDefault="00FC5624"/>
    <w:p w14:paraId="53A29B38" w14:textId="77777777" w:rsidR="00FC5624" w:rsidRDefault="00FC5624"/>
    <w:p w14:paraId="73FAA2AD" w14:textId="77777777" w:rsidR="00FC5624" w:rsidRDefault="00FC5624"/>
    <w:p w14:paraId="35376151" w14:textId="77777777" w:rsidR="00FC5624" w:rsidRDefault="00FC5624"/>
    <w:p w14:paraId="32CB54A2" w14:textId="77777777" w:rsidR="00FC5624" w:rsidRDefault="00FC5624"/>
    <w:p w14:paraId="2637DE86" w14:textId="77777777" w:rsidR="00FC5624" w:rsidRDefault="00FC5624"/>
    <w:p w14:paraId="3B205025" w14:textId="77777777" w:rsidR="00FC5624" w:rsidRDefault="00FC5624"/>
    <w:p w14:paraId="23B19724" w14:textId="77777777" w:rsidR="00FC5624" w:rsidRDefault="00FC5624"/>
    <w:p w14:paraId="6DB08EED" w14:textId="77777777" w:rsidR="00FC5624" w:rsidRDefault="00FC5624"/>
    <w:p w14:paraId="176FE89F" w14:textId="77777777" w:rsidR="00FC5624" w:rsidRDefault="00FC5624"/>
    <w:p w14:paraId="037E26D3" w14:textId="77777777" w:rsidR="00FC5624" w:rsidRDefault="00FC5624"/>
    <w:p w14:paraId="46ED551E" w14:textId="77777777" w:rsidR="00FC5624" w:rsidRDefault="00FC5624"/>
    <w:p w14:paraId="597058DF" w14:textId="77777777" w:rsidR="00FC5624" w:rsidRDefault="00FC5624"/>
    <w:p w14:paraId="2B66A730" w14:textId="77777777" w:rsidR="00FC5624" w:rsidRDefault="00FC5624"/>
    <w:p w14:paraId="5E8CCE7E" w14:textId="77777777" w:rsidR="00FC5624" w:rsidRDefault="00FC5624"/>
    <w:p w14:paraId="1097C89D" w14:textId="77777777" w:rsidR="00FC5624" w:rsidRDefault="00FC5624"/>
    <w:p w14:paraId="24AE394A" w14:textId="77777777" w:rsidR="00FC5624" w:rsidRDefault="00FC5624"/>
    <w:p w14:paraId="743ADD4C" w14:textId="77777777" w:rsidR="00FC5624" w:rsidRDefault="00FC5624"/>
    <w:p w14:paraId="2D148E22" w14:textId="77777777" w:rsidR="00FC5624" w:rsidRDefault="00FC5624"/>
    <w:p w14:paraId="1E873116" w14:textId="77777777" w:rsidR="00FC5624" w:rsidRDefault="00FC5624"/>
    <w:p w14:paraId="29EF1D2B" w14:textId="77777777" w:rsidR="00FC5624" w:rsidRDefault="00FC5624"/>
    <w:p w14:paraId="7E927F31" w14:textId="77777777" w:rsidR="00FC5624" w:rsidRDefault="00FC5624"/>
    <w:p w14:paraId="00000005" w14:textId="4090657F" w:rsidR="00EE7D6B" w:rsidRDefault="00000000">
      <w:r>
        <w:lastRenderedPageBreak/>
        <w:t xml:space="preserve">This assignment will provide an insight into a critical incident witnessed within a classroom. Gathering insight through theories to develop an understanding of the impact the incident can have both either positively or negatively, and how it can affect a learner or group of learners - through the means of a case study. Critically analysing an incident will allow constant amendments and improvements to be made upon one’s pedagogical philosophy, assessing the theory that has been suggested (Gil and Johnson, 2002 and Kolb, 1975 and 1984). </w:t>
      </w:r>
    </w:p>
    <w:p w14:paraId="00000006" w14:textId="77777777" w:rsidR="00EE7D6B" w:rsidRDefault="00EE7D6B"/>
    <w:p w14:paraId="00000007" w14:textId="77777777" w:rsidR="00EE7D6B" w:rsidRDefault="00000000">
      <w:r>
        <w:t xml:space="preserve">For this, the incident will be critically analysed through the guidance of Tripp’s (1993) reflective learning model. Tripp (1993) explains how a critical incident is a moment which can change the parameters of a person, </w:t>
      </w:r>
      <w:proofErr w:type="gramStart"/>
      <w:r>
        <w:t>organisation</w:t>
      </w:r>
      <w:proofErr w:type="gramEnd"/>
      <w:r>
        <w:t xml:space="preserve"> or social norms. Tripp (1993) also identifies incidents through observation within the classroom through 6 stages and explains how critical incidents do not just exist, but are formed, and all rely upon how somebody, </w:t>
      </w:r>
      <w:proofErr w:type="spellStart"/>
      <w:r>
        <w:t>i.e</w:t>
      </w:r>
      <w:proofErr w:type="spellEnd"/>
      <w:r>
        <w:t xml:space="preserve"> practitioner, views the scenario - which correlates to how Gil and Johnson (2002) understand that observing is feeling the entire situation and not just watching. Being within the situation which is being investigated adds to the validity of observation and allows one to gain understanding directly (Zikmund, 2000)</w:t>
      </w:r>
    </w:p>
    <w:p w14:paraId="00000008" w14:textId="77777777" w:rsidR="00EE7D6B" w:rsidRDefault="00EE7D6B"/>
    <w:p w14:paraId="00000009" w14:textId="77777777" w:rsidR="00EE7D6B" w:rsidRDefault="00000000">
      <w:pPr>
        <w:rPr>
          <w:u w:val="single"/>
          <w:shd w:val="clear" w:color="auto" w:fill="EA9999"/>
        </w:rPr>
      </w:pPr>
      <w:r>
        <w:t xml:space="preserve">The pieces to follow will </w:t>
      </w:r>
      <w:proofErr w:type="gramStart"/>
      <w:r>
        <w:t>look into</w:t>
      </w:r>
      <w:proofErr w:type="gramEnd"/>
      <w:r>
        <w:t xml:space="preserve"> theorists' ideologies surrounding the critical incident in question and how it can affect the learner or group of learners whilst analysing the level of validity surrounding such ideas.</w:t>
      </w:r>
    </w:p>
    <w:p w14:paraId="0000000A" w14:textId="77777777" w:rsidR="00EE7D6B" w:rsidRDefault="00EE7D6B"/>
    <w:p w14:paraId="0000000B" w14:textId="77777777" w:rsidR="00EE7D6B" w:rsidRDefault="00000000">
      <w:r>
        <w:t>The school which was observed involved an English medium mixed 11-18 secondary school within the Local Authority of Cardiff with 1,721 pupils (including sixth form) as of the last Estyn inspection in 2017 (Estyn, 2017).</w:t>
      </w:r>
    </w:p>
    <w:p w14:paraId="0000000C" w14:textId="77777777" w:rsidR="00EE7D6B" w:rsidRDefault="00000000">
      <w:r>
        <w:t xml:space="preserve">The critical incident which I observed involved the entire class - both the teacher and a student teacher, one pupil and the others were also indirectly involved. Within this class there were 24 pupils, who all attended the same lessons throughout the day together, being in the same form. I followed this form all day in lessons and was in the assembly at the start of the day where the head of year pointed out that lateness was an issue the previous week, all day with this class this had not been an issue until the lesson after lunch. One student (Pupil A) had turned up to the Welsh lesson 5 minutes late, by this time the teacher (Teacher A) had already completed the register and made a start on her lesson. Pupil A entered the classroom before Teacher A asked them to wait outside. I had clocked it at then 8 minutes later before the student teacher had to remind Teacher A of Pupil A waiting outside. Teacher A had then finished her introduction to the lesson and gave the class a small discussion to complete whilst she spoke to Pupil A regarding their lateness. However whilst Teacher A was talking to Pupil A, the majority of the class were not discussing what was asked of them but instead were watching and trying to listen to what was being discussed between Teacher A and Pupil A. Pupil A then </w:t>
      </w:r>
      <w:proofErr w:type="spellStart"/>
      <w:r>
        <w:t>reentered</w:t>
      </w:r>
      <w:proofErr w:type="spellEnd"/>
      <w:r>
        <w:t xml:space="preserve"> the classroom, sat in their seat and was expected to follow on straight away with the lesson and was not caught up on what was missed by either teachers nor peers.</w:t>
      </w:r>
    </w:p>
    <w:p w14:paraId="00000010" w14:textId="77777777" w:rsidR="00EE7D6B" w:rsidRDefault="00EE7D6B"/>
    <w:p w14:paraId="368CC132" w14:textId="77777777" w:rsidR="00FC5624" w:rsidRDefault="00FC5624"/>
    <w:p w14:paraId="34C0B631" w14:textId="77777777" w:rsidR="00FC5624" w:rsidRDefault="00FC5624"/>
    <w:p w14:paraId="6A463114" w14:textId="77777777" w:rsidR="00FC5624" w:rsidRDefault="00FC5624"/>
    <w:p w14:paraId="1279DD5D" w14:textId="4AD40201" w:rsidR="00FC5624" w:rsidRPr="00FC5624" w:rsidRDefault="00FC5624" w:rsidP="00FC5624">
      <w:pPr>
        <w:jc w:val="center"/>
        <w:rPr>
          <w:b/>
          <w:bCs/>
          <w:u w:val="single"/>
        </w:rPr>
      </w:pPr>
      <w:r w:rsidRPr="00FC5624">
        <w:rPr>
          <w:b/>
          <w:bCs/>
          <w:u w:val="single"/>
        </w:rPr>
        <w:lastRenderedPageBreak/>
        <w:t>Review of Literature</w:t>
      </w:r>
    </w:p>
    <w:p w14:paraId="463207FA" w14:textId="77777777" w:rsidR="00FC5624" w:rsidRDefault="00FC5624"/>
    <w:p w14:paraId="00000011" w14:textId="682DF58D" w:rsidR="00EE7D6B" w:rsidRDefault="00000000">
      <w:r>
        <w:t>Through my research surrounding the critical incident observed, there are links between learning theories and the practice.</w:t>
      </w:r>
    </w:p>
    <w:p w14:paraId="00000012" w14:textId="77777777" w:rsidR="00EE7D6B" w:rsidRDefault="00EE7D6B"/>
    <w:p w14:paraId="00000013" w14:textId="77777777" w:rsidR="00EE7D6B" w:rsidRDefault="00000000">
      <w:pPr>
        <w:rPr>
          <w:color w:val="232323"/>
          <w:highlight w:val="white"/>
        </w:rPr>
      </w:pPr>
      <w:r>
        <w:t xml:space="preserve">Dewey believes that actions performed within the classroom should be related to real life experiences, with teachers using the pupils' actions as a tool for learning (Bates, 2019), showing that the pupil cannot be late for everything as it will have an impact upon their lifelong learning. This comes hand in hand with pupils having to take responsibility when it comes to their own learning with Dewey (1933) outlining how there are 3 attributes which define a reflective individual which are open-mindedness, </w:t>
      </w:r>
      <w:proofErr w:type="gramStart"/>
      <w:r>
        <w:t>responsibility</w:t>
      </w:r>
      <w:proofErr w:type="gramEnd"/>
      <w:r>
        <w:t xml:space="preserve"> and wholeheartedness. </w:t>
      </w:r>
      <w:r>
        <w:rPr>
          <w:color w:val="232323"/>
          <w:highlight w:val="white"/>
        </w:rPr>
        <w:t xml:space="preserve">A study by </w:t>
      </w:r>
      <w:r>
        <w:rPr>
          <w:color w:val="232323"/>
        </w:rPr>
        <w:t>Hammill Institute on Disabilities</w:t>
      </w:r>
      <w:r>
        <w:rPr>
          <w:color w:val="232323"/>
          <w:highlight w:val="white"/>
        </w:rPr>
        <w:t xml:space="preserve"> (Caldarella </w:t>
      </w:r>
      <w:r>
        <w:rPr>
          <w:i/>
          <w:color w:val="232323"/>
          <w:highlight w:val="white"/>
        </w:rPr>
        <w:t>et al</w:t>
      </w:r>
      <w:r>
        <w:rPr>
          <w:color w:val="232323"/>
          <w:highlight w:val="white"/>
        </w:rPr>
        <w:t xml:space="preserve">., 2011) attempted to lower the amount of pupils who arrived late to class through the means of praise notes composed by the teacher with researchers finding that those students who often arrived late would miss the introduction of lessons and not only can this affect the late learner but also the teacher and the other pupils who are already prepared for the lesson and disrupting the environment of the classroom, with Smith et al. (1996) outlining how the less time that a pupil spends within the classroom then the learning involved is restricted and impedes other learners. This also relates to Chang &amp; Wiener’s (2010) analysis of turning up late to school can not only affect the educational attainment of a pupil but also their relationships with their peers - causing an impact upon the students social and emotional wellbeing. Despite the claims of spending less time in lessons having an </w:t>
      </w:r>
      <w:proofErr w:type="spellStart"/>
      <w:r>
        <w:rPr>
          <w:color w:val="232323"/>
          <w:highlight w:val="white"/>
        </w:rPr>
        <w:t>affect</w:t>
      </w:r>
      <w:proofErr w:type="spellEnd"/>
      <w:r>
        <w:rPr>
          <w:color w:val="232323"/>
          <w:highlight w:val="white"/>
        </w:rPr>
        <w:t xml:space="preserve"> on their relationship with peers, in that moment within my critical incident of Pupil A being sent out of the class by Teacher A for arriving late, Pupil A was laughing as was other students within the class - in that moment Pupil A’s </w:t>
      </w:r>
      <w:proofErr w:type="spellStart"/>
      <w:r>
        <w:rPr>
          <w:color w:val="232323"/>
          <w:highlight w:val="white"/>
        </w:rPr>
        <w:t>self esteem</w:t>
      </w:r>
      <w:proofErr w:type="spellEnd"/>
      <w:r>
        <w:rPr>
          <w:color w:val="232323"/>
          <w:highlight w:val="white"/>
        </w:rPr>
        <w:t xml:space="preserve"> seemed to be high as they received approval from their classmates, which one might relate that to correlating with negative outcomes of achievement however some studies (Hughes and Zhang, 2007) have been made specifically correlating peer liking with reading achievement, however this is important to add this does not contain the reasoning/type of peer likeness.</w:t>
      </w:r>
    </w:p>
    <w:p w14:paraId="00000014" w14:textId="77777777" w:rsidR="00EE7D6B" w:rsidRDefault="00EE7D6B">
      <w:pPr>
        <w:rPr>
          <w:color w:val="232323"/>
          <w:highlight w:val="white"/>
        </w:rPr>
      </w:pPr>
    </w:p>
    <w:p w14:paraId="00000015" w14:textId="77777777" w:rsidR="00EE7D6B" w:rsidRDefault="00000000">
      <w:pPr>
        <w:rPr>
          <w:color w:val="232323"/>
          <w:highlight w:val="white"/>
        </w:rPr>
      </w:pPr>
      <w:r>
        <w:rPr>
          <w:color w:val="232323"/>
          <w:highlight w:val="white"/>
        </w:rPr>
        <w:t xml:space="preserve">Many believe that when it comes to turning up to lessons late, it can have a link to socio-economic factors with some linking lateness to “low-achieving secondary school students who use drugs or alcohol and who fail or drop out of school” (Cuellar, 1992; </w:t>
      </w:r>
      <w:proofErr w:type="spellStart"/>
      <w:r>
        <w:rPr>
          <w:color w:val="232323"/>
          <w:highlight w:val="white"/>
        </w:rPr>
        <w:t>Ligon</w:t>
      </w:r>
      <w:proofErr w:type="spellEnd"/>
      <w:r>
        <w:rPr>
          <w:color w:val="232323"/>
          <w:highlight w:val="white"/>
        </w:rPr>
        <w:t xml:space="preserve"> &amp; Jackson, 1988; Mizell, 1987, quoted in Caldarella </w:t>
      </w:r>
      <w:r>
        <w:rPr>
          <w:i/>
          <w:color w:val="232323"/>
          <w:highlight w:val="white"/>
        </w:rPr>
        <w:t>et al</w:t>
      </w:r>
      <w:r>
        <w:rPr>
          <w:color w:val="232323"/>
          <w:highlight w:val="white"/>
        </w:rPr>
        <w:t xml:space="preserve">., 2011, p. 105). Critiques of Dewey’s experiential learning (Dewey, 1938) claim that the theory has a huge cultural and socioeconomic bias, linking to Counts’ debate with Dewey </w:t>
      </w:r>
      <w:proofErr w:type="gramStart"/>
      <w:r>
        <w:rPr>
          <w:color w:val="232323"/>
          <w:highlight w:val="white"/>
        </w:rPr>
        <w:t>in regards to</w:t>
      </w:r>
      <w:proofErr w:type="gramEnd"/>
      <w:r>
        <w:rPr>
          <w:color w:val="232323"/>
          <w:highlight w:val="white"/>
        </w:rPr>
        <w:t xml:space="preserve"> training within education (Apple, 2013, cited in Apple 2019). Apple (2013) states how Counts is known for challenging figures within education (Dewey for one) as he requested more acknowledgement to be made for the roles in which social and political conflicts affect the formation and changes of educational policies (</w:t>
      </w:r>
      <w:proofErr w:type="spellStart"/>
      <w:r>
        <w:rPr>
          <w:color w:val="232323"/>
          <w:highlight w:val="white"/>
        </w:rPr>
        <w:t>Cremin</w:t>
      </w:r>
      <w:proofErr w:type="spellEnd"/>
      <w:r>
        <w:rPr>
          <w:color w:val="232323"/>
          <w:highlight w:val="white"/>
        </w:rPr>
        <w:t xml:space="preserve">, 1961, p.226 cited in Apple, 2013). </w:t>
      </w:r>
      <w:proofErr w:type="gramStart"/>
      <w:r>
        <w:rPr>
          <w:color w:val="232323"/>
          <w:highlight w:val="white"/>
        </w:rPr>
        <w:t>Therefore</w:t>
      </w:r>
      <w:proofErr w:type="gramEnd"/>
      <w:r>
        <w:rPr>
          <w:color w:val="232323"/>
          <w:highlight w:val="white"/>
        </w:rPr>
        <w:t xml:space="preserve"> reflecting upon those with differing cultural and socio-economic backgrounds, and requiring more recognition and awareness from the higher authorities, Gray and </w:t>
      </w:r>
      <w:proofErr w:type="spellStart"/>
      <w:r>
        <w:rPr>
          <w:color w:val="232323"/>
          <w:highlight w:val="white"/>
        </w:rPr>
        <w:t>MacBlain</w:t>
      </w:r>
      <w:proofErr w:type="spellEnd"/>
      <w:r>
        <w:rPr>
          <w:color w:val="232323"/>
          <w:highlight w:val="white"/>
        </w:rPr>
        <w:t xml:space="preserve"> (2015) explain how every person garners different experiences in their own individual way which links to those coming from different cultural and socio-economic backgrounds as “no two individuals will encounter an experience in exactly the same way. What will be beneficial for one person might be devastating for another” (Gray and </w:t>
      </w:r>
      <w:proofErr w:type="spellStart"/>
      <w:r>
        <w:rPr>
          <w:color w:val="232323"/>
          <w:highlight w:val="white"/>
        </w:rPr>
        <w:lastRenderedPageBreak/>
        <w:t>MacBlain</w:t>
      </w:r>
      <w:proofErr w:type="spellEnd"/>
      <w:r>
        <w:rPr>
          <w:color w:val="232323"/>
          <w:highlight w:val="white"/>
        </w:rPr>
        <w:t xml:space="preserve">, 2015, p.39). This is supported through Piaget who describes a child as a ‘lone scientist’ linking to his theory of ‘constructivism’, which allows humans to develop an understanding through synergy between their own individual experiences (Gray and </w:t>
      </w:r>
      <w:proofErr w:type="spellStart"/>
      <w:r>
        <w:rPr>
          <w:color w:val="232323"/>
          <w:highlight w:val="white"/>
        </w:rPr>
        <w:t>MacBlain</w:t>
      </w:r>
      <w:proofErr w:type="spellEnd"/>
      <w:r>
        <w:rPr>
          <w:color w:val="232323"/>
          <w:highlight w:val="white"/>
        </w:rPr>
        <w:t xml:space="preserve">, 2015). When linking socio-economic factors with the critical incident in question, it can show a direct link to lower academic success as coming from a lower socio-economic background has been proven to show lower academic achievement than those who come from a more ‘wealthier’ background before coming into education, </w:t>
      </w:r>
      <w:proofErr w:type="gramStart"/>
      <w:r>
        <w:rPr>
          <w:color w:val="232323"/>
          <w:highlight w:val="white"/>
        </w:rPr>
        <w:t>thus  also</w:t>
      </w:r>
      <w:proofErr w:type="gramEnd"/>
      <w:r>
        <w:rPr>
          <w:color w:val="232323"/>
          <w:highlight w:val="white"/>
        </w:rPr>
        <w:t xml:space="preserve"> leaving school at 16 with less qualifications (Cardiff Gov, 2013).</w:t>
      </w:r>
    </w:p>
    <w:p w14:paraId="00000016" w14:textId="77777777" w:rsidR="00EE7D6B" w:rsidRDefault="00EE7D6B">
      <w:pPr>
        <w:rPr>
          <w:color w:val="232323"/>
          <w:highlight w:val="white"/>
        </w:rPr>
      </w:pPr>
    </w:p>
    <w:p w14:paraId="00000017" w14:textId="77777777" w:rsidR="00EE7D6B" w:rsidRDefault="00000000">
      <w:pPr>
        <w:rPr>
          <w:color w:val="232323"/>
          <w:highlight w:val="white"/>
        </w:rPr>
      </w:pPr>
      <w:r>
        <w:rPr>
          <w:color w:val="232323"/>
          <w:highlight w:val="white"/>
        </w:rPr>
        <w:t xml:space="preserve">John Dewey’s experiential learning also relates to and can be supported by Kolb’s reflective model (1975 &amp; 1984). Kolb emphasised how reflective observation is a way to analyse and draw conclusions, believing being reflective begins with the Concrete Experience (experiencing something), moving to Reflective Observation (thinking about the experience), before starting the Abstract Conceptualisation (learning from the experience) and finishing with Active Experimentation (putting into practice what has been learnt). Kolb’s experiential learning theory is said to be one of the most influential in terms of management learning (Vince, 1988) however there has been criticisms of said theory through the reasons of both empirical (Freedman &amp; Stumpf, 1980, cited by </w:t>
      </w:r>
      <w:proofErr w:type="spellStart"/>
      <w:r>
        <w:rPr>
          <w:color w:val="232323"/>
          <w:highlight w:val="white"/>
        </w:rPr>
        <w:t>Kayes</w:t>
      </w:r>
      <w:proofErr w:type="spellEnd"/>
      <w:r>
        <w:rPr>
          <w:color w:val="232323"/>
          <w:highlight w:val="white"/>
        </w:rPr>
        <w:t xml:space="preserve">, 2002) and theoretical (Holman, Pavlica &amp; Thorpe, 1997, cited by </w:t>
      </w:r>
      <w:proofErr w:type="spellStart"/>
      <w:r>
        <w:rPr>
          <w:color w:val="232323"/>
          <w:highlight w:val="white"/>
        </w:rPr>
        <w:t>Kayes</w:t>
      </w:r>
      <w:proofErr w:type="spellEnd"/>
      <w:r>
        <w:rPr>
          <w:color w:val="232323"/>
          <w:highlight w:val="white"/>
        </w:rPr>
        <w:t xml:space="preserve">, 2002).  Its empirical flaws stem through the means of validity and reliability of measuring Kolb’s Experiential Learning Theory; this started in the 1970s however due to this, Kolb then redesigned his theory twice (1985 &amp; 1999). </w:t>
      </w:r>
      <w:proofErr w:type="gramStart"/>
      <w:r>
        <w:rPr>
          <w:color w:val="232323"/>
          <w:highlight w:val="white"/>
        </w:rPr>
        <w:t>In regards to</w:t>
      </w:r>
      <w:proofErr w:type="gramEnd"/>
      <w:r>
        <w:rPr>
          <w:color w:val="232323"/>
          <w:highlight w:val="white"/>
        </w:rPr>
        <w:t xml:space="preserve"> the theoretical concerns, it comes at a price of the aspects of learning, specifically the psychodynamic - understanding behaviour through intrapersonal activities (Greenberg &amp; Mitchell, 1983), social and institutional areas (Holman et al., 1997). </w:t>
      </w:r>
    </w:p>
    <w:p w14:paraId="00000018" w14:textId="77777777" w:rsidR="00EE7D6B" w:rsidRDefault="00EE7D6B">
      <w:pPr>
        <w:rPr>
          <w:color w:val="232323"/>
          <w:highlight w:val="white"/>
        </w:rPr>
      </w:pPr>
    </w:p>
    <w:p w14:paraId="00000019" w14:textId="77777777" w:rsidR="00EE7D6B" w:rsidRDefault="00000000">
      <w:pPr>
        <w:rPr>
          <w:color w:val="232323"/>
          <w:highlight w:val="white"/>
        </w:rPr>
      </w:pPr>
      <w:proofErr w:type="gramStart"/>
      <w:r>
        <w:rPr>
          <w:color w:val="232323"/>
          <w:highlight w:val="white"/>
        </w:rPr>
        <w:t>In regards to</w:t>
      </w:r>
      <w:proofErr w:type="gramEnd"/>
      <w:r>
        <w:rPr>
          <w:color w:val="232323"/>
          <w:highlight w:val="white"/>
        </w:rPr>
        <w:t xml:space="preserve"> the incident, Schön’s reflective model could have been used. In that moment in which the incident had occurred, a reaction was made in action. Teacher A acted within that moment to ensure Pupil A waited outside before then speaking with them. Completing Schön’s (1983) reflective model would be to then reflect upon what happened and how the situation could potentially be handled better with the use of new and improved information as well as theoretical points of view. This can also be linked to Brookfield’s model (1995) with the last lens of his model being reflecting upon theoretical literature. Schön believed that teachers learn within the </w:t>
      </w:r>
      <w:proofErr w:type="gramStart"/>
      <w:r>
        <w:rPr>
          <w:color w:val="232323"/>
          <w:highlight w:val="white"/>
        </w:rPr>
        <w:t>practice</w:t>
      </w:r>
      <w:proofErr w:type="gramEnd"/>
      <w:r>
        <w:rPr>
          <w:color w:val="232323"/>
          <w:highlight w:val="white"/>
        </w:rPr>
        <w:t xml:space="preserve"> and they then create their own links between what works for them and the theory (Bates, 2019). However, it is important to note that some believe that Schön’s model had too much focus upon individualistic approaches (</w:t>
      </w:r>
      <w:proofErr w:type="spellStart"/>
      <w:r>
        <w:rPr>
          <w:color w:val="232323"/>
          <w:highlight w:val="white"/>
        </w:rPr>
        <w:t>Kotzee</w:t>
      </w:r>
      <w:proofErr w:type="spellEnd"/>
      <w:r>
        <w:rPr>
          <w:color w:val="232323"/>
          <w:highlight w:val="white"/>
        </w:rPr>
        <w:t>, 2012).</w:t>
      </w:r>
    </w:p>
    <w:p w14:paraId="0000001A" w14:textId="77777777" w:rsidR="00EE7D6B" w:rsidRDefault="00EE7D6B">
      <w:pPr>
        <w:rPr>
          <w:color w:val="232323"/>
          <w:highlight w:val="white"/>
        </w:rPr>
      </w:pPr>
    </w:p>
    <w:p w14:paraId="0000001B" w14:textId="77777777" w:rsidR="00EE7D6B" w:rsidRDefault="00000000">
      <w:pPr>
        <w:rPr>
          <w:color w:val="232323"/>
          <w:highlight w:val="white"/>
        </w:rPr>
      </w:pPr>
      <w:r>
        <w:rPr>
          <w:color w:val="232323"/>
          <w:highlight w:val="white"/>
        </w:rPr>
        <w:t>An important approach to view is Vygotsky's Zone of Proximal Development (ZPD)</w:t>
      </w:r>
    </w:p>
    <w:p w14:paraId="0000001C" w14:textId="77777777" w:rsidR="00EE7D6B" w:rsidRDefault="00000000">
      <w:pPr>
        <w:rPr>
          <w:color w:val="232323"/>
          <w:highlight w:val="white"/>
        </w:rPr>
      </w:pPr>
      <w:r>
        <w:rPr>
          <w:color w:val="232323"/>
          <w:highlight w:val="white"/>
        </w:rPr>
        <w:t>Vygotsky’s ZPD is defined as:</w:t>
      </w:r>
    </w:p>
    <w:p w14:paraId="0000001D" w14:textId="77777777" w:rsidR="00EE7D6B" w:rsidRDefault="00EE7D6B">
      <w:pPr>
        <w:rPr>
          <w:color w:val="232323"/>
          <w:highlight w:val="white"/>
        </w:rPr>
      </w:pPr>
    </w:p>
    <w:p w14:paraId="0000001E" w14:textId="77777777" w:rsidR="00EE7D6B" w:rsidRDefault="00000000">
      <w:pPr>
        <w:ind w:firstLine="720"/>
        <w:rPr>
          <w:color w:val="232323"/>
          <w:highlight w:val="white"/>
        </w:rPr>
      </w:pPr>
      <w:r>
        <w:rPr>
          <w:color w:val="232323"/>
          <w:highlight w:val="white"/>
        </w:rPr>
        <w:t>“</w:t>
      </w:r>
      <w:proofErr w:type="gramStart"/>
      <w:r>
        <w:rPr>
          <w:color w:val="232323"/>
          <w:highlight w:val="white"/>
        </w:rPr>
        <w:t>the</w:t>
      </w:r>
      <w:proofErr w:type="gramEnd"/>
      <w:r>
        <w:rPr>
          <w:color w:val="232323"/>
          <w:highlight w:val="white"/>
        </w:rPr>
        <w:t xml:space="preserve"> distance between a child’s actual developmental level as determined by independent problem-solving and the level of potential development as determined through problem-solving under adult guidance or in collaboration with more capable peers” (Vygotsky, 1978, p.86)</w:t>
      </w:r>
    </w:p>
    <w:p w14:paraId="0000001F" w14:textId="77777777" w:rsidR="00EE7D6B" w:rsidRDefault="00EE7D6B">
      <w:pPr>
        <w:ind w:firstLine="720"/>
        <w:rPr>
          <w:color w:val="232323"/>
          <w:highlight w:val="white"/>
        </w:rPr>
      </w:pPr>
    </w:p>
    <w:p w14:paraId="00000020" w14:textId="77777777" w:rsidR="00EE7D6B" w:rsidRDefault="00000000">
      <w:pPr>
        <w:rPr>
          <w:color w:val="232323"/>
          <w:highlight w:val="white"/>
        </w:rPr>
      </w:pPr>
      <w:proofErr w:type="spellStart"/>
      <w:r>
        <w:rPr>
          <w:color w:val="232323"/>
          <w:highlight w:val="white"/>
        </w:rPr>
        <w:lastRenderedPageBreak/>
        <w:t>Wertsch</w:t>
      </w:r>
      <w:proofErr w:type="spellEnd"/>
      <w:r>
        <w:rPr>
          <w:color w:val="232323"/>
          <w:highlight w:val="white"/>
        </w:rPr>
        <w:t xml:space="preserve"> (2007) underlines how Vygotsky believed that the development of a child involves communication and mediated actions with both students and practitioners. Vygotsky’s ZPD (1978) links through to the critical incident which I observed. Specifically, the pupil who arrived late to the lesson and was asked to wait outside, can present a potential divide between the pupil and the rest of the class - </w:t>
      </w:r>
      <w:proofErr w:type="gramStart"/>
      <w:r>
        <w:rPr>
          <w:color w:val="232323"/>
          <w:highlight w:val="white"/>
        </w:rPr>
        <w:t>in regards to</w:t>
      </w:r>
      <w:proofErr w:type="gramEnd"/>
      <w:r>
        <w:rPr>
          <w:color w:val="232323"/>
          <w:highlight w:val="white"/>
        </w:rPr>
        <w:t xml:space="preserve"> how the learning is already taking place within the classroom whilst the late student is yet to even take off their coat/bag. As Pupil A was waiting outside, they missed the introduction to the lesson and thus far did not receive the aid which could have been imperative to their learning, this could have acted as scaffolding and connected any potential missed opportunities of learning.</w:t>
      </w:r>
    </w:p>
    <w:p w14:paraId="00000021" w14:textId="77777777" w:rsidR="00EE7D6B" w:rsidRDefault="00000000">
      <w:pPr>
        <w:rPr>
          <w:color w:val="232323"/>
          <w:highlight w:val="white"/>
        </w:rPr>
      </w:pPr>
      <w:r>
        <w:rPr>
          <w:color w:val="232323"/>
          <w:highlight w:val="white"/>
        </w:rPr>
        <w:t>Vygotsky’s theory also underlines how collaborative work is key to the development of a student in reaching their ZPD - therefore through the means of ZPD, this incident shows that the Teacher A did not make use of this and allow for peer support when Pupil A finally entered the classroom, as they were expected to follow along straight away with Teacher A’s next task. Vygotsky’s ZPD theory (1978) is supported through Bruner’s (1976) scaffolding of learning theory as well as the emphasis on social interaction, with the concept of scaffolding being formed through a study conducted by Bruner (</w:t>
      </w:r>
      <w:proofErr w:type="spellStart"/>
      <w:r>
        <w:rPr>
          <w:color w:val="232323"/>
          <w:highlight w:val="white"/>
        </w:rPr>
        <w:t>Verenika</w:t>
      </w:r>
      <w:proofErr w:type="spellEnd"/>
      <w:r>
        <w:rPr>
          <w:color w:val="232323"/>
          <w:highlight w:val="white"/>
        </w:rPr>
        <w:t xml:space="preserve">, 2003, cited in Margolis, 2020). Linking with Vygotsky’s ZPD (1978), that communication is key when it comes to the development of a student, beginning from the minute an individual is born, according to Bruner (Margolis, 2020) - therefore it is clear from the observation that Pupil A’s ZPD was not positively influenced in that incident where, as stated by Bates (2019), the scaffolding idea could have tested earlier understanding and comprehension, and that others could benefit through offering their input to the study of their peers - which is not a criticism of the students. Despite this it is important to remember although scaffolding would have been ideal for the late student, studies have been conducted emphasising the importance of supervision. </w:t>
      </w:r>
      <w:proofErr w:type="gramStart"/>
      <w:r>
        <w:rPr>
          <w:color w:val="232323"/>
          <w:highlight w:val="white"/>
        </w:rPr>
        <w:t>Therefore</w:t>
      </w:r>
      <w:proofErr w:type="gramEnd"/>
      <w:r>
        <w:rPr>
          <w:color w:val="232323"/>
          <w:highlight w:val="white"/>
        </w:rPr>
        <w:t xml:space="preserve"> in that instance, yes Pupil A would receive information for what has been missed, the others in the class may then receive a lack of supervision which could be detrimental to their learning experiences </w:t>
      </w:r>
      <w:r>
        <w:t xml:space="preserve">(Rahimi &amp; </w:t>
      </w:r>
      <w:proofErr w:type="spellStart"/>
      <w:r>
        <w:t>Yusri</w:t>
      </w:r>
      <w:proofErr w:type="spellEnd"/>
      <w:r>
        <w:t xml:space="preserve">, 2015, cited in Daud et al., 2018 and Skinner, n/a, cited in </w:t>
      </w:r>
      <w:proofErr w:type="spellStart"/>
      <w:r>
        <w:t>Perkinson</w:t>
      </w:r>
      <w:proofErr w:type="spellEnd"/>
      <w:r>
        <w:t>, 1984)</w:t>
      </w:r>
    </w:p>
    <w:p w14:paraId="00000022" w14:textId="77777777" w:rsidR="00EE7D6B" w:rsidRDefault="00000000">
      <w:pPr>
        <w:rPr>
          <w:color w:val="232323"/>
          <w:highlight w:val="white"/>
        </w:rPr>
      </w:pPr>
      <w:r>
        <w:rPr>
          <w:color w:val="232323"/>
          <w:highlight w:val="white"/>
        </w:rPr>
        <w:t xml:space="preserve">Vygotsky is said to have been hugely influenced by Piaget's cognitive development (Gray and </w:t>
      </w:r>
      <w:proofErr w:type="spellStart"/>
      <w:r>
        <w:rPr>
          <w:color w:val="232323"/>
          <w:highlight w:val="white"/>
        </w:rPr>
        <w:t>MacBlain</w:t>
      </w:r>
      <w:proofErr w:type="spellEnd"/>
      <w:r>
        <w:rPr>
          <w:color w:val="232323"/>
          <w:highlight w:val="white"/>
        </w:rPr>
        <w:t xml:space="preserve">, 2015), being that the knowledge of a child grows as they do (Piaget, 1957), linking in with Vygotsky’s ZPD (1978), which has </w:t>
      </w:r>
      <w:proofErr w:type="gramStart"/>
      <w:r>
        <w:rPr>
          <w:color w:val="232323"/>
          <w:highlight w:val="white"/>
        </w:rPr>
        <w:t>in itself been</w:t>
      </w:r>
      <w:proofErr w:type="gramEnd"/>
      <w:r>
        <w:rPr>
          <w:color w:val="232323"/>
          <w:highlight w:val="white"/>
        </w:rPr>
        <w:t xml:space="preserve"> described as a major component in the world of developmental steps (Flavell, 1996). </w:t>
      </w:r>
      <w:proofErr w:type="gramStart"/>
      <w:r>
        <w:rPr>
          <w:color w:val="232323"/>
          <w:highlight w:val="white"/>
        </w:rPr>
        <w:t>However</w:t>
      </w:r>
      <w:proofErr w:type="gramEnd"/>
      <w:r>
        <w:rPr>
          <w:color w:val="232323"/>
          <w:highlight w:val="white"/>
        </w:rPr>
        <w:t xml:space="preserve"> Piaget’s theory does have a flaw in the fact that it does not consider the differences of important attributes of an individual (Gray and </w:t>
      </w:r>
      <w:proofErr w:type="spellStart"/>
      <w:r>
        <w:rPr>
          <w:color w:val="232323"/>
          <w:highlight w:val="white"/>
        </w:rPr>
        <w:t>MacBlain</w:t>
      </w:r>
      <w:proofErr w:type="spellEnd"/>
      <w:r>
        <w:rPr>
          <w:color w:val="232323"/>
          <w:highlight w:val="white"/>
        </w:rPr>
        <w:t>, 2015). What one student might think can be different to not only their peers but to also what their teachers and parents believe (Maxwell, 2000)</w:t>
      </w:r>
    </w:p>
    <w:p w14:paraId="00000023" w14:textId="77777777" w:rsidR="00EE7D6B" w:rsidRDefault="00000000">
      <w:r>
        <w:rPr>
          <w:color w:val="232323"/>
          <w:highlight w:val="white"/>
        </w:rPr>
        <w:t>Resnick (</w:t>
      </w:r>
      <w:r>
        <w:rPr>
          <w:color w:val="232323"/>
        </w:rPr>
        <w:t>1996)</w:t>
      </w:r>
      <w:r>
        <w:rPr>
          <w:color w:val="232323"/>
          <w:highlight w:val="white"/>
        </w:rPr>
        <w:t xml:space="preserve"> outlines a criticism of Vygotsky being that instead of focusing on an individual themself, Vygotsky actually was more interested in society as a whole, with Vygotsky believing that experiences lived in (cultural and social) have positive impacts on the development of a child, whereas stated by Collette and </w:t>
      </w:r>
      <w:proofErr w:type="spellStart"/>
      <w:r>
        <w:rPr>
          <w:color w:val="232323"/>
          <w:highlight w:val="white"/>
        </w:rPr>
        <w:t>MacBlain</w:t>
      </w:r>
      <w:proofErr w:type="spellEnd"/>
      <w:r>
        <w:rPr>
          <w:color w:val="232323"/>
          <w:highlight w:val="white"/>
        </w:rPr>
        <w:t xml:space="preserve"> </w:t>
      </w:r>
      <w:r>
        <w:rPr>
          <w:color w:val="232323"/>
        </w:rPr>
        <w:t>(2012</w:t>
      </w:r>
      <w:r>
        <w:rPr>
          <w:color w:val="232323"/>
          <w:highlight w:val="white"/>
        </w:rPr>
        <w:t>), that is not the instance when you consider the case of Baby P, showing every child has unique upbringings. When linking this to my critical incident, it is important to note that in that case you are not to be fully aware if Pupil A has a different upbringing to those others in their class which can have a direct effect upon their social and emotional wellbeing and awareness. This can also be linked to Daniels (</w:t>
      </w:r>
      <w:r>
        <w:rPr>
          <w:color w:val="232323"/>
        </w:rPr>
        <w:t>2005</w:t>
      </w:r>
      <w:r>
        <w:rPr>
          <w:color w:val="232323"/>
          <w:highlight w:val="white"/>
        </w:rPr>
        <w:t xml:space="preserve">) as he expresses how Vygotsky’s theories are insufficient in evidence and lacking sophistication; </w:t>
      </w:r>
      <w:proofErr w:type="gramStart"/>
      <w:r>
        <w:rPr>
          <w:color w:val="232323"/>
          <w:highlight w:val="white"/>
        </w:rPr>
        <w:t>however</w:t>
      </w:r>
      <w:proofErr w:type="gramEnd"/>
      <w:r>
        <w:rPr>
          <w:color w:val="232323"/>
          <w:highlight w:val="white"/>
        </w:rPr>
        <w:t xml:space="preserve"> they also underline this could be due to his early death.</w:t>
      </w:r>
    </w:p>
    <w:p w14:paraId="00000028" w14:textId="77777777" w:rsidR="00EE7D6B" w:rsidRDefault="00EE7D6B"/>
    <w:p w14:paraId="64936408" w14:textId="5A5A72C7" w:rsidR="00FC5624" w:rsidRPr="00FC5624" w:rsidRDefault="00FC5624" w:rsidP="00FC5624">
      <w:pPr>
        <w:jc w:val="center"/>
        <w:rPr>
          <w:b/>
          <w:bCs/>
          <w:u w:val="single"/>
        </w:rPr>
      </w:pPr>
      <w:r w:rsidRPr="00FC5624">
        <w:rPr>
          <w:b/>
          <w:bCs/>
          <w:u w:val="single"/>
        </w:rPr>
        <w:t xml:space="preserve">Teaching and Learning </w:t>
      </w:r>
      <w:r>
        <w:rPr>
          <w:b/>
          <w:bCs/>
          <w:u w:val="single"/>
        </w:rPr>
        <w:t>M</w:t>
      </w:r>
      <w:r w:rsidRPr="00FC5624">
        <w:rPr>
          <w:b/>
          <w:bCs/>
          <w:u w:val="single"/>
        </w:rPr>
        <w:t>ethods</w:t>
      </w:r>
    </w:p>
    <w:p w14:paraId="6EBDD5D3" w14:textId="77777777" w:rsidR="00FC5624" w:rsidRDefault="00FC5624"/>
    <w:p w14:paraId="00000029" w14:textId="05718311" w:rsidR="00EE7D6B" w:rsidRDefault="00000000">
      <w:r>
        <w:t>Through the critical incident witnessed and the research provided, links can be made, as well as providing myself insight into the certain things I will and will not do within my teaching practice to ensure everybody gets the best out of their learning experience and ensure equity is shown across the board.</w:t>
      </w:r>
    </w:p>
    <w:p w14:paraId="0000002A" w14:textId="77777777" w:rsidR="00EE7D6B" w:rsidRDefault="00EE7D6B"/>
    <w:p w14:paraId="0000002B" w14:textId="77777777" w:rsidR="00EE7D6B" w:rsidRDefault="00000000">
      <w:pPr>
        <w:rPr>
          <w:color w:val="232323"/>
          <w:highlight w:val="white"/>
        </w:rPr>
      </w:pPr>
      <w:r>
        <w:t xml:space="preserve">There are many links to Vygotsky which can be made in an implementation of my own teaching if I were to be in the very same situation of the critical incident. When Teacher A </w:t>
      </w:r>
      <w:proofErr w:type="gramStart"/>
      <w:r>
        <w:t>asked</w:t>
      </w:r>
      <w:proofErr w:type="gramEnd"/>
      <w:r>
        <w:t xml:space="preserve"> Pupil A to wait outside when Pupil A entered the lesson late, I would introduce Vygotsky’s idea of the importance of social interaction (1978) in the classroom which would allow for a warm and welcoming environment for students when they arrive at class. Doing this would allow students to understand that my classroom will be a reachable and comfortable environment, making them wish to get to my class on time </w:t>
      </w:r>
      <w:proofErr w:type="gramStart"/>
      <w:r>
        <w:t>in order to</w:t>
      </w:r>
      <w:proofErr w:type="gramEnd"/>
      <w:r>
        <w:t xml:space="preserve"> continue enhancing on that relationship which can then be a positive upon their learning - as more time will be spent within the classroom. This can be linked back to </w:t>
      </w:r>
      <w:r>
        <w:rPr>
          <w:color w:val="232323"/>
          <w:highlight w:val="white"/>
        </w:rPr>
        <w:t xml:space="preserve">Smith et al. (1996) underlining the importance of the time spent within the classroom by students, that they learn more with the time spent in the classroom, removing potential risks of learning being restricted. This can have a positive impact upon the progression of the pupil as noted, the student will feel comfortable in that environment - allowing them to make mistakes and learn from said mistakes, which Skinner (n/a, cited in </w:t>
      </w:r>
      <w:proofErr w:type="spellStart"/>
      <w:r>
        <w:rPr>
          <w:color w:val="232323"/>
          <w:highlight w:val="white"/>
        </w:rPr>
        <w:t>Perkinson</w:t>
      </w:r>
      <w:proofErr w:type="spellEnd"/>
      <w:r>
        <w:rPr>
          <w:color w:val="232323"/>
          <w:highlight w:val="white"/>
        </w:rPr>
        <w:t xml:space="preserve">, 1984) highlights that learning translates into learning from mistakes, accepting those ‘mistakes’ as ‘trials’ (operant conditioning). It is important to note there is a negative when allowing your own classroom to be a warm and welcoming environment as it provides the outcome of students then becoming too comfortable within your classroom and within the </w:t>
      </w:r>
      <w:proofErr w:type="gramStart"/>
      <w:r>
        <w:rPr>
          <w:color w:val="232323"/>
          <w:highlight w:val="white"/>
        </w:rPr>
        <w:t>teachers</w:t>
      </w:r>
      <w:proofErr w:type="gramEnd"/>
      <w:r>
        <w:rPr>
          <w:color w:val="232323"/>
          <w:highlight w:val="white"/>
        </w:rPr>
        <w:t xml:space="preserve"> presence. Which in itself does not sound </w:t>
      </w:r>
      <w:proofErr w:type="gramStart"/>
      <w:r>
        <w:rPr>
          <w:color w:val="232323"/>
          <w:highlight w:val="white"/>
        </w:rPr>
        <w:t>bad</w:t>
      </w:r>
      <w:proofErr w:type="gramEnd"/>
      <w:r>
        <w:rPr>
          <w:color w:val="232323"/>
          <w:highlight w:val="white"/>
        </w:rPr>
        <w:t xml:space="preserve"> but this can then eventually lead to a boundary being crossed with then a lack of respect being shown by the student. Some believe what practitioners and parents may deem as a welcoming environment, students may disagree, thinking of it as not so welcoming (Maxwell, 2000).</w:t>
      </w:r>
    </w:p>
    <w:p w14:paraId="0000002C" w14:textId="77777777" w:rsidR="00EE7D6B" w:rsidRDefault="00EE7D6B">
      <w:pPr>
        <w:rPr>
          <w:color w:val="232323"/>
          <w:highlight w:val="white"/>
        </w:rPr>
      </w:pPr>
    </w:p>
    <w:p w14:paraId="0000002D" w14:textId="77777777" w:rsidR="00EE7D6B" w:rsidRDefault="00000000">
      <w:pPr>
        <w:rPr>
          <w:color w:val="232323"/>
          <w:highlight w:val="white"/>
        </w:rPr>
      </w:pPr>
      <w:r>
        <w:rPr>
          <w:color w:val="232323"/>
          <w:highlight w:val="white"/>
        </w:rPr>
        <w:t xml:space="preserve">Vygotsky, </w:t>
      </w:r>
      <w:proofErr w:type="gramStart"/>
      <w:r>
        <w:rPr>
          <w:color w:val="232323"/>
          <w:highlight w:val="white"/>
        </w:rPr>
        <w:t>and also</w:t>
      </w:r>
      <w:proofErr w:type="gramEnd"/>
      <w:r>
        <w:rPr>
          <w:color w:val="232323"/>
          <w:highlight w:val="white"/>
        </w:rPr>
        <w:t xml:space="preserve"> linking in with Bruner (1976), understand the importance of scaffolding within the classroom. </w:t>
      </w:r>
      <w:proofErr w:type="gramStart"/>
      <w:r>
        <w:rPr>
          <w:color w:val="232323"/>
          <w:highlight w:val="white"/>
        </w:rPr>
        <w:t>So</w:t>
      </w:r>
      <w:proofErr w:type="gramEnd"/>
      <w:r>
        <w:rPr>
          <w:color w:val="232323"/>
          <w:highlight w:val="white"/>
        </w:rPr>
        <w:t xml:space="preserve"> whereas in my incident, Teacher A appears to expect Pupil A to get involved with the lesson immediately and follow on without any introduction, a simple one to one catch up can be accomplished to ensure the student does not feel confused or left out of what has already been taught. A one to one explaining what has been taught, as well as a quick reminder of the previous lesson can help the student on a social level as they can now get involved with any class discussions and can also aid the student in an emotional sense. As the student arrived late there is a </w:t>
      </w:r>
      <w:proofErr w:type="gramStart"/>
      <w:r>
        <w:rPr>
          <w:color w:val="232323"/>
          <w:highlight w:val="white"/>
        </w:rPr>
        <w:t>chance</w:t>
      </w:r>
      <w:proofErr w:type="gramEnd"/>
      <w:r>
        <w:rPr>
          <w:color w:val="232323"/>
          <w:highlight w:val="white"/>
        </w:rPr>
        <w:t xml:space="preserve"> they may feel worried about peers' thoughts on them being late and, of course, worried about the work already complete and are struggling to catch up. Chang &amp; Wiener (2010) support the idea that tardiness can have a negative effect on both the academic performance of a pupil but as well as their relationships with other students, linking to a potential negative effect on a student’s social and emotional health. </w:t>
      </w:r>
      <w:proofErr w:type="gramStart"/>
      <w:r>
        <w:rPr>
          <w:color w:val="232323"/>
          <w:highlight w:val="white"/>
        </w:rPr>
        <w:t>Also</w:t>
      </w:r>
      <w:proofErr w:type="gramEnd"/>
      <w:r>
        <w:rPr>
          <w:color w:val="232323"/>
          <w:highlight w:val="white"/>
        </w:rPr>
        <w:t xml:space="preserve"> within this moment of one to one work, although beneficial to the singular pupil who will then be at the same stage of the lesson as their peers, can be disadvantageous towards the rest of the class. The others </w:t>
      </w:r>
      <w:r>
        <w:rPr>
          <w:color w:val="232323"/>
          <w:highlight w:val="white"/>
        </w:rPr>
        <w:lastRenderedPageBreak/>
        <w:t xml:space="preserve">could then fall off task without supervision and constant instruction which can lead to other conversations taking place, thus forgetting what the task is. </w:t>
      </w:r>
      <w:r>
        <w:t xml:space="preserve">(Rahimi &amp; </w:t>
      </w:r>
      <w:proofErr w:type="spellStart"/>
      <w:r>
        <w:t>Yusri</w:t>
      </w:r>
      <w:proofErr w:type="spellEnd"/>
      <w:r>
        <w:t xml:space="preserve">, 2015, cited in Daud et al., 2018 and Skinner, n/a, cited in </w:t>
      </w:r>
      <w:proofErr w:type="spellStart"/>
      <w:r>
        <w:t>Perkinson</w:t>
      </w:r>
      <w:proofErr w:type="spellEnd"/>
      <w:r>
        <w:t>, 1984)</w:t>
      </w:r>
    </w:p>
    <w:p w14:paraId="0000002E" w14:textId="77777777" w:rsidR="00EE7D6B" w:rsidRDefault="00EE7D6B">
      <w:pPr>
        <w:rPr>
          <w:color w:val="232323"/>
          <w:highlight w:val="white"/>
        </w:rPr>
      </w:pPr>
    </w:p>
    <w:p w14:paraId="0000002F" w14:textId="77777777" w:rsidR="00EE7D6B" w:rsidRDefault="00000000">
      <w:pPr>
        <w:rPr>
          <w:color w:val="232323"/>
          <w:highlight w:val="white"/>
        </w:rPr>
      </w:pPr>
      <w:r>
        <w:rPr>
          <w:color w:val="232323"/>
          <w:highlight w:val="white"/>
        </w:rPr>
        <w:t xml:space="preserve">Additionally, another link to Vygotsky’s ZPD which can have a positive effect upon the teaching style and the students' learning experience, and in this case, their wellbeing, is through the form of peer assistance. Within the critical incident, although it was possible for peers to help Pupil A catch up and just quickly run through what they might have missed, Teacher A did not make this known to said peers, thus moving on with the lesson, which would make the other students believe they could not assist their peer. This is supported through Vygotsky’s ZPD (1978) as he believed that the development of a child is enhanced through collaboration between peers or through the guidance of someone with a higher level of knowledge (teacher). This is why this can be a useful and effective strategy within my practice to allow the opportunity for peers to work together and support one another. This is supported through </w:t>
      </w:r>
      <w:proofErr w:type="spellStart"/>
      <w:r>
        <w:rPr>
          <w:color w:val="232323"/>
          <w:highlight w:val="white"/>
        </w:rPr>
        <w:t>Werstch</w:t>
      </w:r>
      <w:proofErr w:type="spellEnd"/>
      <w:r>
        <w:rPr>
          <w:color w:val="232323"/>
          <w:highlight w:val="white"/>
        </w:rPr>
        <w:t xml:space="preserve"> (2007) who understands that development of children involves both communication and mediated actions of pupils and teachers. As previously </w:t>
      </w:r>
      <w:proofErr w:type="gramStart"/>
      <w:r>
        <w:rPr>
          <w:color w:val="232323"/>
          <w:highlight w:val="white"/>
        </w:rPr>
        <w:t>mentioned</w:t>
      </w:r>
      <w:proofErr w:type="gramEnd"/>
      <w:r>
        <w:rPr>
          <w:color w:val="232323"/>
          <w:highlight w:val="white"/>
        </w:rPr>
        <w:t xml:space="preserve"> students can have a tendency to go off task and that can be a limitation within this method (Rahimi &amp; </w:t>
      </w:r>
      <w:proofErr w:type="spellStart"/>
      <w:r>
        <w:rPr>
          <w:color w:val="232323"/>
          <w:highlight w:val="white"/>
        </w:rPr>
        <w:t>Yusri</w:t>
      </w:r>
      <w:proofErr w:type="spellEnd"/>
      <w:r>
        <w:rPr>
          <w:color w:val="232323"/>
          <w:highlight w:val="white"/>
        </w:rPr>
        <w:t xml:space="preserve">, 2015, cited in Daud et al. 2018). If one student is given the task of helping the late student catch up with what has been missed there </w:t>
      </w:r>
      <w:proofErr w:type="gramStart"/>
      <w:r>
        <w:rPr>
          <w:color w:val="232323"/>
          <w:highlight w:val="white"/>
        </w:rPr>
        <w:t>is</w:t>
      </w:r>
      <w:proofErr w:type="gramEnd"/>
      <w:r>
        <w:rPr>
          <w:color w:val="232323"/>
          <w:highlight w:val="white"/>
        </w:rPr>
        <w:t xml:space="preserve"> then a chance for two students to now be behind on the task. Not only this but also the chance of the late student not being ready for the lesson and forcing conversation to go off task. It aids the late pupil hugely as not only does this provide the opportunity for the student to catch up on what was missed and be on the same task as the rest of the </w:t>
      </w:r>
      <w:proofErr w:type="gramStart"/>
      <w:r>
        <w:rPr>
          <w:color w:val="232323"/>
          <w:highlight w:val="white"/>
        </w:rPr>
        <w:t>class</w:t>
      </w:r>
      <w:proofErr w:type="gramEnd"/>
      <w:r>
        <w:rPr>
          <w:color w:val="232323"/>
          <w:highlight w:val="white"/>
        </w:rPr>
        <w:t xml:space="preserve"> but this can help with their social wellbeing as some students may feel more comfortable to receive assistance from peers rather than their teacher. </w:t>
      </w:r>
      <w:proofErr w:type="gramStart"/>
      <w:r>
        <w:rPr>
          <w:color w:val="232323"/>
          <w:highlight w:val="white"/>
        </w:rPr>
        <w:t>In spite of</w:t>
      </w:r>
      <w:proofErr w:type="gramEnd"/>
      <w:r>
        <w:rPr>
          <w:color w:val="232323"/>
          <w:highlight w:val="white"/>
        </w:rPr>
        <w:t xml:space="preserve"> this it is important to remember this can still cause an adverse effect on the helper student as this interaction can cause them to now fall behind on the given task. </w:t>
      </w:r>
    </w:p>
    <w:p w14:paraId="00000030" w14:textId="77777777" w:rsidR="00EE7D6B" w:rsidRDefault="00EE7D6B"/>
    <w:p w14:paraId="00000033" w14:textId="014EF143" w:rsidR="00EE7D6B" w:rsidRPr="00FC5624" w:rsidRDefault="00FC5624" w:rsidP="00FC5624">
      <w:pPr>
        <w:jc w:val="center"/>
        <w:rPr>
          <w:b/>
          <w:u w:val="single"/>
        </w:rPr>
      </w:pPr>
      <w:r w:rsidRPr="00FC5624">
        <w:rPr>
          <w:b/>
          <w:u w:val="single"/>
        </w:rPr>
        <w:t>Discussion</w:t>
      </w:r>
    </w:p>
    <w:p w14:paraId="34E5E095" w14:textId="77777777" w:rsidR="00FC5624" w:rsidRDefault="00FC5624"/>
    <w:p w14:paraId="00000034" w14:textId="77777777" w:rsidR="00EE7D6B" w:rsidRDefault="00000000">
      <w:r>
        <w:t xml:space="preserve">Within the critical incident observed, Pupil A arrived late and was then made to wait even longer before being allowed into the classroom. Through my research this shows it can have a negative effect on many different factors surrounding the student. Pupil A missed out on the key introduction to the lesson which sets the precedent for the rest of the lesson. Being made to wait outside the classroom even longer presents a lack of warmth or welcoming from Teacher A, going against Vygotsky’s ZPD (1978). I strongly believe in ensuring every student feels comfortable and accepted within my classroom so in this incident I would have implemented a warm welcome (Vygotsky, 1978) to the late student to make them feel comfortable and not like an outcast. The ambition with this being that from then onwards the student (and others) would have the desire to get to the classroom on time and thus spending more time within the walls of the classroom and therefore enhancing upon their learning experience which is supported through Smith et al. (1996), children achieve more in school through the amount of time actually spent in their lessons, which includes being surrounded by their peers as well as the strong relationship with the practitioner. Even though previously before this research, the desire to have a welcoming classroom to all students (and teachers) was always high, as it is supported </w:t>
      </w:r>
      <w:r>
        <w:lastRenderedPageBreak/>
        <w:t xml:space="preserve">through theorists such as Vygotsky it allows me the comfort that it is a positive method of teaching. I however understand the criticisms of Vygotsky’s focus on </w:t>
      </w:r>
      <w:proofErr w:type="gramStart"/>
      <w:r>
        <w:t>society as a whole</w:t>
      </w:r>
      <w:proofErr w:type="gramEnd"/>
      <w:r>
        <w:t xml:space="preserve"> (Resnick, 1996), it is important to understand the uniqueness of every child (Collette and </w:t>
      </w:r>
      <w:proofErr w:type="spellStart"/>
      <w:r>
        <w:t>MacBlain</w:t>
      </w:r>
      <w:proofErr w:type="spellEnd"/>
      <w:r>
        <w:t xml:space="preserve">, 2012) and ensuring every child within my classroom is treated through equity. </w:t>
      </w:r>
    </w:p>
    <w:p w14:paraId="00000035" w14:textId="77777777" w:rsidR="00EE7D6B" w:rsidRDefault="00EE7D6B"/>
    <w:p w14:paraId="00000036" w14:textId="77777777" w:rsidR="00EE7D6B" w:rsidRDefault="00000000">
      <w:r>
        <w:t xml:space="preserve">Improving upon the incident in question is through the means of scaffolding, which is </w:t>
      </w:r>
      <w:proofErr w:type="gramStart"/>
      <w:r>
        <w:t>really beneficial</w:t>
      </w:r>
      <w:proofErr w:type="gramEnd"/>
      <w:r>
        <w:t xml:space="preserve"> for the late student. This, being Bruner’s (1976) theoretical approach, also links to Vygotsky (1978). Allowing a short burst of </w:t>
      </w:r>
      <w:proofErr w:type="gramStart"/>
      <w:r>
        <w:t>one to one</w:t>
      </w:r>
      <w:proofErr w:type="gramEnd"/>
      <w:r>
        <w:t xml:space="preserve"> teaching, allowing the late student to be up to speed can allow the student to be involved with any discussion which may follow and improve upon their learning experiences. Creating a warm environment and providing this alternative approach of scaffolding can provide an enhancement on the students’ social and emotional wellbeing as well as their educational attainment which can also provide a bridge to the relationship with their peers and teacher (Chang &amp; Wiener, 2010). As previously mentioned, scaffolding is extremely beneficial to the child, however it can be negative towards the rest of the class as they can easily go off track due to the lack of supervision, which is key to ensuring students continue with their learning in the appropriate manner, allowing the concept of teaching becoming more effective (Rahimi &amp; </w:t>
      </w:r>
      <w:proofErr w:type="spellStart"/>
      <w:r>
        <w:t>Yusri</w:t>
      </w:r>
      <w:proofErr w:type="spellEnd"/>
      <w:r>
        <w:t>, 2015, cited in Daud et al., 2018).</w:t>
      </w:r>
    </w:p>
    <w:p w14:paraId="00000037" w14:textId="77777777" w:rsidR="00EE7D6B" w:rsidRDefault="00EE7D6B"/>
    <w:p w14:paraId="00000038" w14:textId="77777777" w:rsidR="00EE7D6B" w:rsidRDefault="00000000">
      <w:r>
        <w:t>From what I witnessed within the case study and the use of Tripp’s reflective learning model (1993), it presented me with alternative approaches to transition this situation into a more productive manner to ensure both the late student and the rest of the class are still interacting with the lesson and everyone feels welcomed. It has provided me with the opportunity to understand and reflect that there are multiple ways to go about certain pedagogical approaches to reach the most effective learning outcome and the best philosophy for myself.</w:t>
      </w:r>
    </w:p>
    <w:p w14:paraId="00000039" w14:textId="77777777" w:rsidR="00EE7D6B" w:rsidRDefault="00EE7D6B"/>
    <w:p w14:paraId="0000003A" w14:textId="77777777" w:rsidR="00EE7D6B" w:rsidRDefault="00EE7D6B"/>
    <w:p w14:paraId="0000003C" w14:textId="0EDDC2A2" w:rsidR="00EE7D6B" w:rsidRPr="00FC5624" w:rsidRDefault="00FC5624" w:rsidP="00FC5624">
      <w:pPr>
        <w:jc w:val="center"/>
        <w:rPr>
          <w:i/>
          <w:sz w:val="11"/>
          <w:szCs w:val="11"/>
          <w:u w:val="single"/>
        </w:rPr>
      </w:pPr>
      <w:r w:rsidRPr="00FC5624">
        <w:rPr>
          <w:b/>
          <w:sz w:val="21"/>
          <w:szCs w:val="21"/>
          <w:u w:val="single"/>
        </w:rPr>
        <w:t>Conclusion</w:t>
      </w:r>
    </w:p>
    <w:p w14:paraId="0000003D" w14:textId="77777777" w:rsidR="00EE7D6B" w:rsidRDefault="00EE7D6B"/>
    <w:p w14:paraId="0000003E" w14:textId="77777777" w:rsidR="00EE7D6B" w:rsidRDefault="00000000">
      <w:pPr>
        <w:rPr>
          <w:color w:val="232323"/>
          <w:highlight w:val="white"/>
        </w:rPr>
      </w:pPr>
      <w:r>
        <w:t>Using Tripp’s reflective model (1993), a critical incident was observed and recorded for further analysis to be made surrounding it. The use of Dewey’s (1933) model of reflective thinking was put into place, ensuring the student understood their actions have consequences, however this model can be interpreted as being outdated and the change that can be made is through the means of a warm and welcoming environment through key social interaction (Vygotsky, 1978) for the late student with the ambition that they would from then on no longer turn up late and have ambition to turn up on time and spending as much time within the classroom to ensure their learning experience is not hampered (</w:t>
      </w:r>
      <w:r>
        <w:rPr>
          <w:color w:val="232323"/>
          <w:highlight w:val="white"/>
        </w:rPr>
        <w:t>Smith et al., 1996). There are also recommendations and links towards other significant figures in this field to come towards a conclusion of the correct use of teaching and learning methods such as Piaget (1957 &amp; 1970), Schön (1983), Bruner (1976) and Kolb (1975 &amp; 1984).</w:t>
      </w:r>
    </w:p>
    <w:p w14:paraId="0000003F" w14:textId="77777777" w:rsidR="00EE7D6B" w:rsidRDefault="00000000">
      <w:pPr>
        <w:rPr>
          <w:color w:val="232323"/>
          <w:highlight w:val="white"/>
        </w:rPr>
      </w:pPr>
      <w:r>
        <w:rPr>
          <w:color w:val="232323"/>
          <w:highlight w:val="white"/>
        </w:rPr>
        <w:t xml:space="preserve">The critical incident was investigated whilst including studies and theoretical approaches from literature highlighting different methods of teaching to improve upon the observation and </w:t>
      </w:r>
      <w:proofErr w:type="gramStart"/>
      <w:r>
        <w:rPr>
          <w:color w:val="232323"/>
          <w:highlight w:val="white"/>
        </w:rPr>
        <w:t>taking into account</w:t>
      </w:r>
      <w:proofErr w:type="gramEnd"/>
      <w:r>
        <w:rPr>
          <w:color w:val="232323"/>
          <w:highlight w:val="white"/>
        </w:rPr>
        <w:t xml:space="preserve"> the potential criticisms involved and how they can be conducted appropriately. Through the means of a warm and welcoming environment as well as support from the outset could help both in the short term at that very moment and to potentially prevent future issues </w:t>
      </w:r>
      <w:r>
        <w:rPr>
          <w:color w:val="232323"/>
          <w:highlight w:val="white"/>
        </w:rPr>
        <w:lastRenderedPageBreak/>
        <w:t xml:space="preserve">regarding what caused the incident. </w:t>
      </w:r>
      <w:r>
        <w:t xml:space="preserve">Through means of important social interaction and means of learning methods, such as scaffolding or peer assistance, it perfectly meets the Welsh Government's professional standards (2019) of pedagogy, collaboration, leadership, </w:t>
      </w:r>
      <w:proofErr w:type="gramStart"/>
      <w:r>
        <w:t>innovation</w:t>
      </w:r>
      <w:proofErr w:type="gramEnd"/>
      <w:r>
        <w:t xml:space="preserve"> and professional learning. Including these methods within my classroom can allow me to not only reach the best potential of the students but also for my own teaching practice.</w:t>
      </w:r>
    </w:p>
    <w:p w14:paraId="00000040" w14:textId="77777777" w:rsidR="00EE7D6B" w:rsidRDefault="00EE7D6B"/>
    <w:p w14:paraId="00000041" w14:textId="77777777" w:rsidR="00EE7D6B" w:rsidRDefault="00EE7D6B"/>
    <w:p w14:paraId="1FD8C2E0" w14:textId="77777777" w:rsidR="00FC5624" w:rsidRDefault="00FC5624"/>
    <w:p w14:paraId="20F9F1CC" w14:textId="77777777" w:rsidR="00FC5624" w:rsidRDefault="00FC5624"/>
    <w:p w14:paraId="24EAA0A0" w14:textId="77777777" w:rsidR="00FC5624" w:rsidRDefault="00FC5624"/>
    <w:p w14:paraId="00733C7B" w14:textId="77777777" w:rsidR="00FC5624" w:rsidRDefault="00FC5624"/>
    <w:p w14:paraId="44124524" w14:textId="77777777" w:rsidR="00FC5624" w:rsidRDefault="00FC5624"/>
    <w:p w14:paraId="0E903017" w14:textId="77777777" w:rsidR="00FC5624" w:rsidRDefault="00FC5624"/>
    <w:p w14:paraId="0BD9D3C4" w14:textId="77777777" w:rsidR="00FC5624" w:rsidRDefault="00FC5624"/>
    <w:p w14:paraId="431D0311" w14:textId="77777777" w:rsidR="00FC5624" w:rsidRDefault="00FC5624"/>
    <w:p w14:paraId="10918D9B" w14:textId="77777777" w:rsidR="00FC5624" w:rsidRDefault="00FC5624"/>
    <w:p w14:paraId="77A414BB" w14:textId="77777777" w:rsidR="00FC5624" w:rsidRDefault="00FC5624"/>
    <w:p w14:paraId="0CD4254B" w14:textId="77777777" w:rsidR="00FC5624" w:rsidRDefault="00FC5624"/>
    <w:p w14:paraId="4CF54C89" w14:textId="77777777" w:rsidR="00FC5624" w:rsidRDefault="00FC5624"/>
    <w:p w14:paraId="238A64EA" w14:textId="77777777" w:rsidR="00FC5624" w:rsidRDefault="00FC5624"/>
    <w:p w14:paraId="4771E0A4" w14:textId="77777777" w:rsidR="00FC5624" w:rsidRDefault="00FC5624"/>
    <w:p w14:paraId="0C4AAEAC" w14:textId="77777777" w:rsidR="000342A8" w:rsidRDefault="000342A8"/>
    <w:p w14:paraId="483D4D6B" w14:textId="77777777" w:rsidR="000342A8" w:rsidRDefault="000342A8"/>
    <w:p w14:paraId="2DB64990" w14:textId="77777777" w:rsidR="000342A8" w:rsidRDefault="000342A8"/>
    <w:p w14:paraId="004383FC" w14:textId="77777777" w:rsidR="000342A8" w:rsidRDefault="000342A8"/>
    <w:p w14:paraId="431F155B" w14:textId="77777777" w:rsidR="000342A8" w:rsidRDefault="000342A8"/>
    <w:p w14:paraId="30C8ED21" w14:textId="77777777" w:rsidR="000342A8" w:rsidRDefault="000342A8"/>
    <w:p w14:paraId="08A956EC" w14:textId="77777777" w:rsidR="000342A8" w:rsidRDefault="000342A8"/>
    <w:p w14:paraId="17F12E66" w14:textId="77777777" w:rsidR="000342A8" w:rsidRDefault="000342A8"/>
    <w:p w14:paraId="492F1B44" w14:textId="77777777" w:rsidR="000342A8" w:rsidRDefault="000342A8"/>
    <w:p w14:paraId="42B05B18" w14:textId="77777777" w:rsidR="000342A8" w:rsidRDefault="000342A8"/>
    <w:p w14:paraId="57ADC59A" w14:textId="77777777" w:rsidR="000342A8" w:rsidRDefault="000342A8"/>
    <w:p w14:paraId="6883567D" w14:textId="77777777" w:rsidR="000342A8" w:rsidRDefault="000342A8"/>
    <w:p w14:paraId="559D6C2C" w14:textId="77777777" w:rsidR="000342A8" w:rsidRDefault="000342A8"/>
    <w:p w14:paraId="589D71BB" w14:textId="77777777" w:rsidR="000342A8" w:rsidRDefault="000342A8"/>
    <w:p w14:paraId="28FD1B8B" w14:textId="77777777" w:rsidR="000342A8" w:rsidRDefault="000342A8"/>
    <w:p w14:paraId="2485D86E" w14:textId="77777777" w:rsidR="000342A8" w:rsidRDefault="000342A8"/>
    <w:p w14:paraId="6F4EA4B6" w14:textId="77777777" w:rsidR="000342A8" w:rsidRDefault="000342A8"/>
    <w:p w14:paraId="3FC991F4" w14:textId="77777777" w:rsidR="000342A8" w:rsidRDefault="000342A8"/>
    <w:p w14:paraId="63755A01" w14:textId="77777777" w:rsidR="000342A8" w:rsidRDefault="000342A8"/>
    <w:p w14:paraId="3FF588F2" w14:textId="77777777" w:rsidR="000342A8" w:rsidRDefault="000342A8"/>
    <w:p w14:paraId="3DBB150D" w14:textId="77777777" w:rsidR="000342A8" w:rsidRDefault="000342A8"/>
    <w:p w14:paraId="60F2F8B8" w14:textId="77777777" w:rsidR="000342A8" w:rsidRDefault="000342A8"/>
    <w:p w14:paraId="071B935F" w14:textId="77777777" w:rsidR="000342A8" w:rsidRDefault="000342A8"/>
    <w:p w14:paraId="28448B72" w14:textId="77777777" w:rsidR="000342A8" w:rsidRDefault="000342A8" w:rsidP="000342A8">
      <w:pPr>
        <w:rPr>
          <w:u w:val="single"/>
        </w:rPr>
      </w:pPr>
      <w:r>
        <w:rPr>
          <w:u w:val="single"/>
        </w:rPr>
        <w:lastRenderedPageBreak/>
        <w:t>Reference List</w:t>
      </w:r>
    </w:p>
    <w:p w14:paraId="68A64B1C" w14:textId="77777777" w:rsidR="000342A8" w:rsidRDefault="000342A8" w:rsidP="000342A8">
      <w:pPr>
        <w:rPr>
          <w:color w:val="111111"/>
          <w:highlight w:val="white"/>
        </w:rPr>
      </w:pPr>
    </w:p>
    <w:p w14:paraId="4E9C61F0" w14:textId="77777777" w:rsidR="000342A8" w:rsidRDefault="000342A8" w:rsidP="000342A8">
      <w:pPr>
        <w:rPr>
          <w:color w:val="232323"/>
          <w:highlight w:val="white"/>
        </w:rPr>
      </w:pPr>
      <w:r>
        <w:rPr>
          <w:color w:val="232323"/>
          <w:highlight w:val="white"/>
        </w:rPr>
        <w:t xml:space="preserve">Apple, M. W. (2013). </w:t>
      </w:r>
      <w:r>
        <w:rPr>
          <w:i/>
          <w:color w:val="232323"/>
          <w:highlight w:val="white"/>
        </w:rPr>
        <w:t>Can education change society?</w:t>
      </w:r>
      <w:r>
        <w:rPr>
          <w:color w:val="232323"/>
          <w:highlight w:val="white"/>
        </w:rPr>
        <w:t xml:space="preserve"> New York, NY: Routledge.</w:t>
      </w:r>
    </w:p>
    <w:p w14:paraId="60661C30" w14:textId="77777777" w:rsidR="000342A8" w:rsidRDefault="000342A8" w:rsidP="000342A8">
      <w:pPr>
        <w:rPr>
          <w:color w:val="232323"/>
          <w:highlight w:val="white"/>
        </w:rPr>
      </w:pPr>
    </w:p>
    <w:p w14:paraId="48543BC6" w14:textId="77777777" w:rsidR="000342A8" w:rsidRDefault="000342A8" w:rsidP="000342A8">
      <w:pPr>
        <w:rPr>
          <w:color w:val="232323"/>
          <w:highlight w:val="white"/>
        </w:rPr>
      </w:pPr>
      <w:r>
        <w:rPr>
          <w:color w:val="232323"/>
          <w:highlight w:val="white"/>
        </w:rPr>
        <w:t>Apple, M. W., (2019) ‘</w:t>
      </w:r>
      <w:r>
        <w:rPr>
          <w:i/>
          <w:color w:val="232323"/>
          <w:highlight w:val="white"/>
        </w:rPr>
        <w:t>Critical Education, Critical Theory, and the Critical Scholar/Activist’</w:t>
      </w:r>
      <w:r>
        <w:rPr>
          <w:color w:val="232323"/>
          <w:highlight w:val="white"/>
        </w:rPr>
        <w:t xml:space="preserve">, 33 (November) Issue 7. P 1171-1179. Available at: </w:t>
      </w:r>
      <w:hyperlink r:id="rId4">
        <w:r>
          <w:rPr>
            <w:color w:val="1155CC"/>
            <w:highlight w:val="white"/>
            <w:u w:val="single"/>
          </w:rPr>
          <w:t>https://journals-sagepub-com.ezproxy.uwtsd.ac.uk/doi/epub/10.1177/0895904818810529</w:t>
        </w:r>
      </w:hyperlink>
      <w:r>
        <w:rPr>
          <w:color w:val="232323"/>
          <w:highlight w:val="white"/>
        </w:rPr>
        <w:t>.</w:t>
      </w:r>
    </w:p>
    <w:p w14:paraId="6285E8B4" w14:textId="77777777" w:rsidR="000342A8" w:rsidRDefault="000342A8" w:rsidP="000342A8"/>
    <w:p w14:paraId="463D300F" w14:textId="77777777" w:rsidR="000342A8" w:rsidRDefault="000342A8" w:rsidP="000342A8">
      <w:r>
        <w:t>Bates, B. (2019) Learning Theories Simplified: ...and how to apply them to teaching. Los Angeles: SAGE.</w:t>
      </w:r>
    </w:p>
    <w:p w14:paraId="34699427" w14:textId="77777777" w:rsidR="000342A8" w:rsidRDefault="000342A8" w:rsidP="000342A8">
      <w:pPr>
        <w:rPr>
          <w:color w:val="202124"/>
          <w:highlight w:val="white"/>
        </w:rPr>
      </w:pPr>
    </w:p>
    <w:p w14:paraId="51657ACD" w14:textId="77777777" w:rsidR="000342A8" w:rsidRDefault="000342A8" w:rsidP="000342A8">
      <w:pPr>
        <w:rPr>
          <w:color w:val="202124"/>
          <w:highlight w:val="white"/>
        </w:rPr>
      </w:pPr>
      <w:r>
        <w:rPr>
          <w:color w:val="202124"/>
          <w:highlight w:val="white"/>
        </w:rPr>
        <w:t xml:space="preserve">Brookfield, S. (1995) </w:t>
      </w:r>
      <w:r>
        <w:rPr>
          <w:i/>
          <w:color w:val="202124"/>
          <w:highlight w:val="white"/>
        </w:rPr>
        <w:t>Becoming a Critically Reflective Teacher</w:t>
      </w:r>
      <w:r>
        <w:rPr>
          <w:color w:val="202124"/>
          <w:highlight w:val="white"/>
        </w:rPr>
        <w:t>. San-Francisco: Jossey-Bass.</w:t>
      </w:r>
    </w:p>
    <w:p w14:paraId="3D24F41F" w14:textId="77777777" w:rsidR="000342A8" w:rsidRDefault="000342A8" w:rsidP="000342A8">
      <w:pPr>
        <w:rPr>
          <w:color w:val="232323"/>
          <w:highlight w:val="white"/>
        </w:rPr>
      </w:pPr>
    </w:p>
    <w:p w14:paraId="4DB62772" w14:textId="77777777" w:rsidR="000342A8" w:rsidRDefault="000342A8" w:rsidP="000342A8">
      <w:pPr>
        <w:rPr>
          <w:color w:val="232323"/>
          <w:highlight w:val="white"/>
        </w:rPr>
      </w:pPr>
      <w:r>
        <w:rPr>
          <w:color w:val="232323"/>
          <w:highlight w:val="white"/>
        </w:rPr>
        <w:t xml:space="preserve">Caldarella, P., Christensen, L., Young, K. R., &amp; </w:t>
      </w:r>
      <w:proofErr w:type="spellStart"/>
      <w:r>
        <w:rPr>
          <w:color w:val="232323"/>
          <w:highlight w:val="white"/>
        </w:rPr>
        <w:t>Densley</w:t>
      </w:r>
      <w:proofErr w:type="spellEnd"/>
      <w:r>
        <w:rPr>
          <w:color w:val="232323"/>
          <w:highlight w:val="white"/>
        </w:rPr>
        <w:t xml:space="preserve">, C. (2011). Decreasing tardiness in elementary school students using teacher-written praise notes. </w:t>
      </w:r>
      <w:r>
        <w:rPr>
          <w:i/>
          <w:color w:val="232323"/>
        </w:rPr>
        <w:t>Intervention in School and Clinic</w:t>
      </w:r>
      <w:r>
        <w:rPr>
          <w:color w:val="232323"/>
          <w:highlight w:val="white"/>
        </w:rPr>
        <w:t>, 1053451211414186.</w:t>
      </w:r>
    </w:p>
    <w:p w14:paraId="6014269D" w14:textId="77777777" w:rsidR="000342A8" w:rsidRDefault="000342A8" w:rsidP="000342A8">
      <w:pPr>
        <w:rPr>
          <w:color w:val="232323"/>
          <w:highlight w:val="white"/>
        </w:rPr>
      </w:pPr>
    </w:p>
    <w:p w14:paraId="001A4BF3" w14:textId="77777777" w:rsidR="000342A8" w:rsidRDefault="000342A8" w:rsidP="000342A8">
      <w:pPr>
        <w:rPr>
          <w:color w:val="232323"/>
          <w:highlight w:val="white"/>
        </w:rPr>
      </w:pPr>
      <w:proofErr w:type="spellStart"/>
      <w:r>
        <w:rPr>
          <w:color w:val="232323"/>
          <w:highlight w:val="white"/>
        </w:rPr>
        <w:t>Cremin</w:t>
      </w:r>
      <w:proofErr w:type="spellEnd"/>
      <w:r>
        <w:rPr>
          <w:color w:val="232323"/>
          <w:highlight w:val="white"/>
        </w:rPr>
        <w:t xml:space="preserve">, L. (1961) </w:t>
      </w:r>
      <w:r>
        <w:rPr>
          <w:i/>
          <w:color w:val="232323"/>
          <w:highlight w:val="white"/>
        </w:rPr>
        <w:t>The transformation of the school: Progressivism in American education 1876–1957</w:t>
      </w:r>
      <w:r>
        <w:rPr>
          <w:color w:val="232323"/>
          <w:highlight w:val="white"/>
        </w:rPr>
        <w:t xml:space="preserve">. New </w:t>
      </w:r>
      <w:proofErr w:type="gramStart"/>
      <w:r>
        <w:rPr>
          <w:color w:val="232323"/>
          <w:highlight w:val="white"/>
        </w:rPr>
        <w:t>York :Knopf</w:t>
      </w:r>
      <w:proofErr w:type="gramEnd"/>
      <w:r>
        <w:rPr>
          <w:color w:val="232323"/>
          <w:highlight w:val="white"/>
        </w:rPr>
        <w:t>.</w:t>
      </w:r>
    </w:p>
    <w:p w14:paraId="0BE066DF" w14:textId="77777777" w:rsidR="000342A8" w:rsidRDefault="000342A8" w:rsidP="000342A8">
      <w:pPr>
        <w:rPr>
          <w:color w:val="232323"/>
          <w:highlight w:val="white"/>
        </w:rPr>
      </w:pPr>
    </w:p>
    <w:p w14:paraId="3AD73854" w14:textId="77777777" w:rsidR="000342A8" w:rsidRPr="008A0C2A" w:rsidRDefault="000342A8" w:rsidP="000342A8">
      <w:pPr>
        <w:rPr>
          <w:color w:val="232323"/>
          <w:highlight w:val="white"/>
        </w:rPr>
      </w:pPr>
      <w:r>
        <w:rPr>
          <w:color w:val="202124"/>
          <w:highlight w:val="white"/>
        </w:rPr>
        <w:t xml:space="preserve">Daniels, H. (2005) </w:t>
      </w:r>
      <w:r>
        <w:rPr>
          <w:i/>
          <w:color w:val="202124"/>
          <w:highlight w:val="white"/>
        </w:rPr>
        <w:t>An Introduction to Vygotsky</w:t>
      </w:r>
      <w:r>
        <w:rPr>
          <w:color w:val="202124"/>
          <w:highlight w:val="white"/>
        </w:rPr>
        <w:t>. London: Routledge.</w:t>
      </w:r>
    </w:p>
    <w:p w14:paraId="6D98C306" w14:textId="77777777" w:rsidR="000342A8" w:rsidRDefault="000342A8" w:rsidP="000342A8">
      <w:pPr>
        <w:rPr>
          <w:color w:val="202124"/>
          <w:highlight w:val="white"/>
        </w:rPr>
      </w:pPr>
    </w:p>
    <w:p w14:paraId="187EA9E7" w14:textId="77777777" w:rsidR="000342A8" w:rsidRDefault="000342A8" w:rsidP="000342A8">
      <w:pPr>
        <w:rPr>
          <w:color w:val="202124"/>
          <w:highlight w:val="white"/>
        </w:rPr>
      </w:pPr>
      <w:r>
        <w:rPr>
          <w:color w:val="202124"/>
          <w:highlight w:val="white"/>
        </w:rPr>
        <w:t xml:space="preserve">Daud, Y. et al. (2018) ‘Teaching and Learning Supervision, Teachers’ Attitude towards Classroom Supervision and Students’ Participation’, </w:t>
      </w:r>
      <w:r>
        <w:rPr>
          <w:i/>
          <w:color w:val="202124"/>
          <w:highlight w:val="white"/>
        </w:rPr>
        <w:t>International journal of instruction</w:t>
      </w:r>
      <w:r>
        <w:rPr>
          <w:color w:val="202124"/>
          <w:highlight w:val="white"/>
        </w:rPr>
        <w:t xml:space="preserve">, 11(4), pp. 513–526. Available at: </w:t>
      </w:r>
      <w:hyperlink r:id="rId5">
        <w:r>
          <w:rPr>
            <w:color w:val="1155CC"/>
            <w:highlight w:val="white"/>
            <w:u w:val="single"/>
          </w:rPr>
          <w:t>https://doi.org/10.12973/iji.2018.11432a</w:t>
        </w:r>
      </w:hyperlink>
      <w:r>
        <w:rPr>
          <w:color w:val="202124"/>
          <w:highlight w:val="white"/>
        </w:rPr>
        <w:t>.</w:t>
      </w:r>
    </w:p>
    <w:p w14:paraId="4E48CBF9" w14:textId="77777777" w:rsidR="000342A8" w:rsidRDefault="000342A8" w:rsidP="000342A8">
      <w:pPr>
        <w:rPr>
          <w:color w:val="202124"/>
          <w:highlight w:val="white"/>
        </w:rPr>
      </w:pPr>
    </w:p>
    <w:p w14:paraId="59C5ED1E" w14:textId="77777777" w:rsidR="000342A8" w:rsidRDefault="000342A8" w:rsidP="000342A8">
      <w:pPr>
        <w:rPr>
          <w:color w:val="202124"/>
          <w:highlight w:val="white"/>
        </w:rPr>
      </w:pPr>
      <w:r>
        <w:rPr>
          <w:color w:val="202124"/>
          <w:highlight w:val="white"/>
        </w:rPr>
        <w:t xml:space="preserve">Dewey, J. (1933). </w:t>
      </w:r>
      <w:r>
        <w:rPr>
          <w:i/>
          <w:color w:val="040C28"/>
          <w:highlight w:val="white"/>
        </w:rPr>
        <w:t>How We Think: A Restatement of the Relation of Reflective Thinking to the Educative Process</w:t>
      </w:r>
      <w:r>
        <w:rPr>
          <w:color w:val="202124"/>
          <w:highlight w:val="white"/>
        </w:rPr>
        <w:t>. Boston, MA: D.C. Heath &amp; Co Publishers.</w:t>
      </w:r>
    </w:p>
    <w:p w14:paraId="192673B0" w14:textId="77777777" w:rsidR="000342A8" w:rsidRDefault="000342A8" w:rsidP="000342A8"/>
    <w:p w14:paraId="7330EDF7" w14:textId="77777777" w:rsidR="000342A8" w:rsidRDefault="000342A8" w:rsidP="000342A8">
      <w:r>
        <w:t xml:space="preserve">Estyn (2017) </w:t>
      </w:r>
      <w:r>
        <w:rPr>
          <w:i/>
        </w:rPr>
        <w:t xml:space="preserve">A report on </w:t>
      </w:r>
      <w:proofErr w:type="spellStart"/>
      <w:r>
        <w:rPr>
          <w:i/>
        </w:rPr>
        <w:t>Fitzalan</w:t>
      </w:r>
      <w:proofErr w:type="spellEnd"/>
      <w:r>
        <w:rPr>
          <w:i/>
        </w:rPr>
        <w:t xml:space="preserve"> High School</w:t>
      </w:r>
      <w:r>
        <w:t xml:space="preserve">. Available at: </w:t>
      </w:r>
      <w:hyperlink r:id="rId6">
        <w:r>
          <w:rPr>
            <w:color w:val="1155CC"/>
            <w:u w:val="single"/>
          </w:rPr>
          <w:t>https://www.estyn.gov.wales/provider/6814042</w:t>
        </w:r>
      </w:hyperlink>
      <w:r>
        <w:t xml:space="preserve"> (Accessed: 14 October 2023).</w:t>
      </w:r>
    </w:p>
    <w:p w14:paraId="3726246D" w14:textId="77777777" w:rsidR="000342A8" w:rsidRDefault="000342A8" w:rsidP="000342A8">
      <w:pPr>
        <w:rPr>
          <w:color w:val="202124"/>
          <w:highlight w:val="white"/>
        </w:rPr>
      </w:pPr>
    </w:p>
    <w:p w14:paraId="4D5041A3" w14:textId="77777777" w:rsidR="000342A8" w:rsidRDefault="000342A8" w:rsidP="000342A8">
      <w:pPr>
        <w:rPr>
          <w:color w:val="202124"/>
          <w:highlight w:val="white"/>
        </w:rPr>
      </w:pPr>
      <w:r>
        <w:rPr>
          <w:color w:val="202124"/>
          <w:highlight w:val="white"/>
        </w:rPr>
        <w:t xml:space="preserve">Flavell, J.H. (1996) ‘Piaget’s Legacy’, </w:t>
      </w:r>
      <w:r>
        <w:rPr>
          <w:i/>
          <w:color w:val="202124"/>
          <w:highlight w:val="white"/>
        </w:rPr>
        <w:t>Psychological science</w:t>
      </w:r>
      <w:r>
        <w:rPr>
          <w:color w:val="202124"/>
          <w:highlight w:val="white"/>
        </w:rPr>
        <w:t xml:space="preserve">, 7(4), pp. 200–203. Available at: </w:t>
      </w:r>
      <w:hyperlink r:id="rId7">
        <w:r>
          <w:rPr>
            <w:color w:val="1155CC"/>
            <w:highlight w:val="white"/>
            <w:u w:val="single"/>
          </w:rPr>
          <w:t>https://doi.org/10.1111/j.1467-9280.1996.tb00359.x</w:t>
        </w:r>
      </w:hyperlink>
      <w:r>
        <w:rPr>
          <w:color w:val="202124"/>
          <w:highlight w:val="white"/>
        </w:rPr>
        <w:t>.</w:t>
      </w:r>
    </w:p>
    <w:p w14:paraId="1AF2F477" w14:textId="77777777" w:rsidR="000342A8" w:rsidRDefault="000342A8" w:rsidP="000342A8">
      <w:pPr>
        <w:rPr>
          <w:color w:val="202124"/>
          <w:highlight w:val="white"/>
        </w:rPr>
      </w:pPr>
    </w:p>
    <w:p w14:paraId="7599426F" w14:textId="77777777" w:rsidR="000342A8" w:rsidRDefault="000342A8" w:rsidP="000342A8">
      <w:pPr>
        <w:rPr>
          <w:color w:val="202124"/>
          <w:highlight w:val="white"/>
        </w:rPr>
      </w:pPr>
      <w:r>
        <w:rPr>
          <w:color w:val="202124"/>
          <w:highlight w:val="white"/>
        </w:rPr>
        <w:t xml:space="preserve">Freedman, R. D., and Stumpf, S. A. (1980). ‘Learning Style Theory: Less than meets the eye.’ </w:t>
      </w:r>
      <w:r>
        <w:rPr>
          <w:i/>
          <w:color w:val="202124"/>
          <w:highlight w:val="white"/>
        </w:rPr>
        <w:t>Academy of Management Review</w:t>
      </w:r>
      <w:r>
        <w:rPr>
          <w:color w:val="202124"/>
          <w:highlight w:val="white"/>
        </w:rPr>
        <w:t>, 5, 445-447.</w:t>
      </w:r>
    </w:p>
    <w:p w14:paraId="139687ED" w14:textId="77777777" w:rsidR="000342A8" w:rsidRDefault="000342A8" w:rsidP="000342A8"/>
    <w:p w14:paraId="10E93C48" w14:textId="77777777" w:rsidR="000342A8" w:rsidRDefault="000342A8" w:rsidP="000342A8">
      <w:r>
        <w:t xml:space="preserve">Gill, J. and Johnson, P. (2002). </w:t>
      </w:r>
      <w:r>
        <w:rPr>
          <w:i/>
        </w:rPr>
        <w:t xml:space="preserve">Research Methods </w:t>
      </w:r>
      <w:proofErr w:type="gramStart"/>
      <w:r>
        <w:rPr>
          <w:i/>
        </w:rPr>
        <w:t>For</w:t>
      </w:r>
      <w:proofErr w:type="gramEnd"/>
      <w:r>
        <w:rPr>
          <w:i/>
        </w:rPr>
        <w:t xml:space="preserve"> Managers</w:t>
      </w:r>
      <w:r>
        <w:t>. New York: SAGE.</w:t>
      </w:r>
    </w:p>
    <w:p w14:paraId="5EBA5DF0" w14:textId="77777777" w:rsidR="000342A8" w:rsidRDefault="000342A8" w:rsidP="000342A8">
      <w:pPr>
        <w:rPr>
          <w:color w:val="202124"/>
          <w:highlight w:val="white"/>
        </w:rPr>
      </w:pPr>
    </w:p>
    <w:p w14:paraId="2EB29A7A" w14:textId="77777777" w:rsidR="000342A8" w:rsidRDefault="000342A8" w:rsidP="000342A8">
      <w:pPr>
        <w:rPr>
          <w:color w:val="202124"/>
          <w:highlight w:val="white"/>
        </w:rPr>
      </w:pPr>
      <w:r>
        <w:rPr>
          <w:color w:val="202124"/>
          <w:highlight w:val="white"/>
        </w:rPr>
        <w:t xml:space="preserve">Gray, C. &amp; </w:t>
      </w:r>
      <w:proofErr w:type="spellStart"/>
      <w:r>
        <w:rPr>
          <w:color w:val="202124"/>
          <w:highlight w:val="white"/>
        </w:rPr>
        <w:t>MacBlain</w:t>
      </w:r>
      <w:proofErr w:type="spellEnd"/>
      <w:r>
        <w:rPr>
          <w:color w:val="202124"/>
          <w:highlight w:val="white"/>
        </w:rPr>
        <w:t xml:space="preserve">, S. (2012) </w:t>
      </w:r>
      <w:r>
        <w:rPr>
          <w:i/>
          <w:color w:val="202124"/>
          <w:highlight w:val="white"/>
        </w:rPr>
        <w:t>Learning Theories in Childhood</w:t>
      </w:r>
      <w:r>
        <w:rPr>
          <w:color w:val="202124"/>
          <w:highlight w:val="white"/>
        </w:rPr>
        <w:t>. London: SAGE.</w:t>
      </w:r>
    </w:p>
    <w:p w14:paraId="14DD0F71" w14:textId="77777777" w:rsidR="000342A8" w:rsidRDefault="000342A8" w:rsidP="000342A8">
      <w:pPr>
        <w:rPr>
          <w:color w:val="232323"/>
          <w:highlight w:val="white"/>
        </w:rPr>
      </w:pPr>
    </w:p>
    <w:p w14:paraId="7FA622B6" w14:textId="77777777" w:rsidR="000342A8" w:rsidRDefault="000342A8" w:rsidP="000342A8">
      <w:pPr>
        <w:rPr>
          <w:color w:val="232323"/>
          <w:highlight w:val="white"/>
        </w:rPr>
      </w:pPr>
      <w:r>
        <w:rPr>
          <w:color w:val="232323"/>
          <w:highlight w:val="white"/>
        </w:rPr>
        <w:t xml:space="preserve">Gray, C. &amp; </w:t>
      </w:r>
      <w:proofErr w:type="spellStart"/>
      <w:r>
        <w:rPr>
          <w:color w:val="232323"/>
          <w:highlight w:val="white"/>
        </w:rPr>
        <w:t>MacBlain</w:t>
      </w:r>
      <w:proofErr w:type="spellEnd"/>
      <w:r>
        <w:rPr>
          <w:color w:val="232323"/>
          <w:highlight w:val="white"/>
        </w:rPr>
        <w:t xml:space="preserve">, S. (2015) </w:t>
      </w:r>
      <w:r>
        <w:rPr>
          <w:i/>
          <w:color w:val="232323"/>
          <w:highlight w:val="white"/>
        </w:rPr>
        <w:t>Learning Theories in Childhood</w:t>
      </w:r>
      <w:r>
        <w:rPr>
          <w:color w:val="232323"/>
          <w:highlight w:val="white"/>
        </w:rPr>
        <w:t>. London: SAGE.</w:t>
      </w:r>
    </w:p>
    <w:p w14:paraId="238E96F5" w14:textId="77777777" w:rsidR="000342A8" w:rsidRPr="008A0C2A" w:rsidRDefault="000342A8" w:rsidP="000342A8">
      <w:pPr>
        <w:rPr>
          <w:color w:val="232323"/>
          <w:highlight w:val="white"/>
        </w:rPr>
      </w:pPr>
      <w:r>
        <w:rPr>
          <w:color w:val="202124"/>
          <w:highlight w:val="white"/>
        </w:rPr>
        <w:lastRenderedPageBreak/>
        <w:t xml:space="preserve">Greenberg, J.R., &amp; Mitchell, S.A. (1983). </w:t>
      </w:r>
      <w:r>
        <w:rPr>
          <w:i/>
          <w:color w:val="202124"/>
          <w:highlight w:val="white"/>
        </w:rPr>
        <w:t>Object relations in psychoanalytic theory</w:t>
      </w:r>
      <w:r>
        <w:rPr>
          <w:color w:val="202124"/>
          <w:highlight w:val="white"/>
        </w:rPr>
        <w:t>. Cambridge, MA: Harvard University Press.</w:t>
      </w:r>
    </w:p>
    <w:p w14:paraId="3041EBC7" w14:textId="77777777" w:rsidR="000342A8" w:rsidRDefault="000342A8" w:rsidP="000342A8">
      <w:pPr>
        <w:rPr>
          <w:color w:val="202124"/>
          <w:highlight w:val="white"/>
        </w:rPr>
      </w:pPr>
    </w:p>
    <w:p w14:paraId="6BFF02AA" w14:textId="77777777" w:rsidR="000342A8" w:rsidRDefault="000342A8" w:rsidP="000342A8">
      <w:pPr>
        <w:rPr>
          <w:color w:val="202124"/>
          <w:highlight w:val="white"/>
        </w:rPr>
      </w:pPr>
      <w:r>
        <w:rPr>
          <w:color w:val="202124"/>
          <w:highlight w:val="white"/>
        </w:rPr>
        <w:t xml:space="preserve">Holman, D., Pavlica, K., and Thorpe, R. (1997) ‘Rethinking Kolb’s theory of experiential learning: The contribution of social constructivism and activity theory.’ </w:t>
      </w:r>
      <w:r>
        <w:rPr>
          <w:i/>
          <w:color w:val="202124"/>
          <w:highlight w:val="white"/>
        </w:rPr>
        <w:t>Management Learning</w:t>
      </w:r>
      <w:r>
        <w:rPr>
          <w:color w:val="202124"/>
          <w:highlight w:val="white"/>
        </w:rPr>
        <w:t>, 28, 135-148.</w:t>
      </w:r>
    </w:p>
    <w:p w14:paraId="311617A3" w14:textId="77777777" w:rsidR="000342A8" w:rsidRDefault="000342A8" w:rsidP="000342A8">
      <w:pPr>
        <w:rPr>
          <w:color w:val="232323"/>
          <w:highlight w:val="white"/>
        </w:rPr>
      </w:pPr>
      <w:hyperlink r:id="rId8">
        <w:r>
          <w:rPr>
            <w:color w:val="1155CC"/>
            <w:highlight w:val="white"/>
            <w:u w:val="single"/>
          </w:rPr>
          <w:t>http://dx.doi.org/10.1111/j.1469-7610.1976.tb00381.x</w:t>
        </w:r>
      </w:hyperlink>
      <w:r>
        <w:rPr>
          <w:color w:val="232323"/>
          <w:highlight w:val="white"/>
        </w:rPr>
        <w:t>.</w:t>
      </w:r>
    </w:p>
    <w:p w14:paraId="3795A700" w14:textId="77777777" w:rsidR="000342A8" w:rsidRDefault="000342A8" w:rsidP="000342A8">
      <w:pPr>
        <w:rPr>
          <w:color w:val="202124"/>
          <w:highlight w:val="white"/>
        </w:rPr>
      </w:pPr>
    </w:p>
    <w:p w14:paraId="03347C3A" w14:textId="77777777" w:rsidR="000342A8" w:rsidRDefault="000342A8" w:rsidP="000342A8">
      <w:pPr>
        <w:rPr>
          <w:color w:val="202124"/>
          <w:highlight w:val="white"/>
        </w:rPr>
      </w:pPr>
      <w:r>
        <w:rPr>
          <w:color w:val="202124"/>
          <w:highlight w:val="white"/>
        </w:rPr>
        <w:t xml:space="preserve">Hughes, J. N, and Zhang, D. (2007) ‘Effects of the structure of classmates’ perceptions of peers’ academic abilities on children’s perceived cognitive competence, peer acceptance, and engagement’. </w:t>
      </w:r>
      <w:r>
        <w:rPr>
          <w:i/>
          <w:color w:val="202124"/>
          <w:highlight w:val="white"/>
        </w:rPr>
        <w:t>Contemporary Educational Psychology</w:t>
      </w:r>
      <w:r>
        <w:rPr>
          <w:color w:val="202124"/>
          <w:highlight w:val="white"/>
        </w:rPr>
        <w:t xml:space="preserve">, 32(3), 400-419. Available at: </w:t>
      </w:r>
      <w:hyperlink r:id="rId9">
        <w:r>
          <w:rPr>
            <w:color w:val="1155CC"/>
            <w:highlight w:val="white"/>
            <w:u w:val="single"/>
          </w:rPr>
          <w:t>https://www.ncbi.nlm.nih.gov/pmc/articles/PMC2373264/</w:t>
        </w:r>
      </w:hyperlink>
      <w:r>
        <w:rPr>
          <w:color w:val="202124"/>
          <w:highlight w:val="white"/>
        </w:rPr>
        <w:t>.</w:t>
      </w:r>
    </w:p>
    <w:p w14:paraId="0F8E6CA7" w14:textId="77777777" w:rsidR="000342A8" w:rsidRDefault="000342A8" w:rsidP="000342A8">
      <w:pPr>
        <w:rPr>
          <w:color w:val="202124"/>
          <w:highlight w:val="white"/>
        </w:rPr>
      </w:pPr>
    </w:p>
    <w:p w14:paraId="65EB0342" w14:textId="77777777" w:rsidR="000342A8" w:rsidRDefault="000342A8" w:rsidP="000342A8">
      <w:pPr>
        <w:rPr>
          <w:color w:val="202124"/>
          <w:highlight w:val="white"/>
        </w:rPr>
      </w:pPr>
      <w:proofErr w:type="spellStart"/>
      <w:r>
        <w:rPr>
          <w:color w:val="202124"/>
          <w:highlight w:val="white"/>
        </w:rPr>
        <w:t>Kayes</w:t>
      </w:r>
      <w:proofErr w:type="spellEnd"/>
      <w:r>
        <w:rPr>
          <w:color w:val="202124"/>
          <w:highlight w:val="white"/>
        </w:rPr>
        <w:t xml:space="preserve">, C. (2017) ‘Experiential Learning and Its Critics: Preserving the Role of Experience in Management Learning and Education’. </w:t>
      </w:r>
      <w:r>
        <w:rPr>
          <w:i/>
          <w:color w:val="202124"/>
          <w:highlight w:val="white"/>
        </w:rPr>
        <w:t>Academy of Management Learning and Education</w:t>
      </w:r>
      <w:r>
        <w:rPr>
          <w:color w:val="202124"/>
          <w:highlight w:val="white"/>
        </w:rPr>
        <w:t>, 1, 2, 137-149.</w:t>
      </w:r>
    </w:p>
    <w:p w14:paraId="03E8DB7D" w14:textId="77777777" w:rsidR="000342A8" w:rsidRDefault="000342A8" w:rsidP="000342A8">
      <w:pPr>
        <w:rPr>
          <w:color w:val="040C28"/>
          <w:highlight w:val="white"/>
        </w:rPr>
      </w:pPr>
    </w:p>
    <w:p w14:paraId="1738FC17" w14:textId="77777777" w:rsidR="000342A8" w:rsidRDefault="000342A8" w:rsidP="000342A8">
      <w:pPr>
        <w:rPr>
          <w:color w:val="111111"/>
          <w:highlight w:val="white"/>
        </w:rPr>
      </w:pPr>
      <w:r>
        <w:rPr>
          <w:color w:val="111111"/>
          <w:highlight w:val="white"/>
        </w:rPr>
        <w:t xml:space="preserve">Kolb. D. A. and Fry, R. (1975) ‘Toward an applied theory of experiential </w:t>
      </w:r>
      <w:proofErr w:type="gramStart"/>
      <w:r>
        <w:rPr>
          <w:color w:val="111111"/>
          <w:highlight w:val="white"/>
        </w:rPr>
        <w:t>learning;,</w:t>
      </w:r>
      <w:proofErr w:type="gramEnd"/>
      <w:r>
        <w:rPr>
          <w:color w:val="111111"/>
          <w:highlight w:val="white"/>
        </w:rPr>
        <w:t xml:space="preserve"> in C. Cooper (ed.) </w:t>
      </w:r>
      <w:r>
        <w:rPr>
          <w:i/>
          <w:color w:val="111111"/>
          <w:highlight w:val="white"/>
        </w:rPr>
        <w:t>Theories of Group Process</w:t>
      </w:r>
      <w:r>
        <w:rPr>
          <w:color w:val="111111"/>
          <w:highlight w:val="white"/>
        </w:rPr>
        <w:t>, London: John Wiley.</w:t>
      </w:r>
    </w:p>
    <w:p w14:paraId="002BC23F" w14:textId="77777777" w:rsidR="000342A8" w:rsidRDefault="000342A8" w:rsidP="000342A8">
      <w:pPr>
        <w:rPr>
          <w:color w:val="040C28"/>
          <w:highlight w:val="white"/>
        </w:rPr>
      </w:pPr>
    </w:p>
    <w:p w14:paraId="29C78DBB" w14:textId="77777777" w:rsidR="000342A8" w:rsidRPr="008A0C2A" w:rsidRDefault="000342A8" w:rsidP="000342A8">
      <w:pPr>
        <w:rPr>
          <w:color w:val="202124"/>
          <w:highlight w:val="white"/>
        </w:rPr>
      </w:pPr>
      <w:r>
        <w:rPr>
          <w:color w:val="040C28"/>
          <w:highlight w:val="white"/>
        </w:rPr>
        <w:t>Kolb, D. A. (1984)</w:t>
      </w:r>
      <w:r>
        <w:rPr>
          <w:color w:val="202124"/>
          <w:highlight w:val="white"/>
        </w:rPr>
        <w:t xml:space="preserve">. </w:t>
      </w:r>
      <w:r>
        <w:rPr>
          <w:i/>
          <w:color w:val="202124"/>
          <w:highlight w:val="white"/>
        </w:rPr>
        <w:t>Experiential learning: experience as the source of learning and development</w:t>
      </w:r>
      <w:r>
        <w:rPr>
          <w:color w:val="202124"/>
          <w:highlight w:val="white"/>
        </w:rPr>
        <w:t>. Englewood Cliffs, NJ: Prentice Hall.</w:t>
      </w:r>
    </w:p>
    <w:p w14:paraId="6795042B" w14:textId="77777777" w:rsidR="000342A8" w:rsidRDefault="000342A8" w:rsidP="000342A8">
      <w:pPr>
        <w:rPr>
          <w:color w:val="202124"/>
          <w:highlight w:val="white"/>
        </w:rPr>
      </w:pPr>
    </w:p>
    <w:p w14:paraId="5ACDC78D" w14:textId="77777777" w:rsidR="000342A8" w:rsidRDefault="000342A8" w:rsidP="000342A8">
      <w:pPr>
        <w:rPr>
          <w:color w:val="202124"/>
          <w:highlight w:val="white"/>
        </w:rPr>
      </w:pPr>
      <w:proofErr w:type="spellStart"/>
      <w:r>
        <w:rPr>
          <w:color w:val="202124"/>
          <w:highlight w:val="white"/>
        </w:rPr>
        <w:t>Kotzee</w:t>
      </w:r>
      <w:proofErr w:type="spellEnd"/>
      <w:r>
        <w:rPr>
          <w:color w:val="202124"/>
          <w:highlight w:val="white"/>
        </w:rPr>
        <w:t xml:space="preserve">, B. (2012) ‘Private practice: exploring the missing social dimension in “reflective practice”’, </w:t>
      </w:r>
      <w:r>
        <w:rPr>
          <w:i/>
          <w:color w:val="202124"/>
          <w:highlight w:val="white"/>
        </w:rPr>
        <w:t>Studies in continuing education</w:t>
      </w:r>
      <w:r>
        <w:rPr>
          <w:color w:val="202124"/>
          <w:highlight w:val="white"/>
        </w:rPr>
        <w:t xml:space="preserve">, 34(1), pp. 5–16. Available at: </w:t>
      </w:r>
      <w:hyperlink r:id="rId10">
        <w:r>
          <w:rPr>
            <w:color w:val="1155CC"/>
            <w:highlight w:val="white"/>
            <w:u w:val="single"/>
          </w:rPr>
          <w:t>https://doi.org/10.1080/0158037X.2012.660521</w:t>
        </w:r>
      </w:hyperlink>
      <w:r>
        <w:rPr>
          <w:color w:val="202124"/>
          <w:highlight w:val="white"/>
        </w:rPr>
        <w:t>.</w:t>
      </w:r>
    </w:p>
    <w:p w14:paraId="236D5593" w14:textId="77777777" w:rsidR="000342A8" w:rsidRDefault="000342A8" w:rsidP="000342A8">
      <w:pPr>
        <w:rPr>
          <w:color w:val="202124"/>
          <w:highlight w:val="white"/>
        </w:rPr>
      </w:pPr>
    </w:p>
    <w:p w14:paraId="3478AAB7" w14:textId="77777777" w:rsidR="000342A8" w:rsidRDefault="000342A8" w:rsidP="000342A8">
      <w:pPr>
        <w:rPr>
          <w:color w:val="202124"/>
          <w:highlight w:val="white"/>
        </w:rPr>
      </w:pPr>
      <w:r>
        <w:rPr>
          <w:color w:val="202124"/>
          <w:highlight w:val="white"/>
        </w:rPr>
        <w:t xml:space="preserve">Margolis A.A. (2020) ‘Zone of Proximal Development, Scaffolding and Teaching Practice’, </w:t>
      </w:r>
      <w:proofErr w:type="spellStart"/>
      <w:r>
        <w:rPr>
          <w:i/>
          <w:color w:val="202124"/>
          <w:highlight w:val="white"/>
        </w:rPr>
        <w:t>Kulʹturno-istoricheskai</w:t>
      </w:r>
      <w:proofErr w:type="spellEnd"/>
      <w:r>
        <w:rPr>
          <w:i/>
          <w:color w:val="202124"/>
          <w:highlight w:val="white"/>
        </w:rPr>
        <w:t xml:space="preserve">͡ a︡ </w:t>
      </w:r>
      <w:proofErr w:type="spellStart"/>
      <w:r>
        <w:rPr>
          <w:i/>
          <w:color w:val="202124"/>
          <w:highlight w:val="white"/>
        </w:rPr>
        <w:t>psikhologii</w:t>
      </w:r>
      <w:proofErr w:type="spellEnd"/>
      <w:r>
        <w:rPr>
          <w:i/>
          <w:color w:val="202124"/>
          <w:highlight w:val="white"/>
        </w:rPr>
        <w:t>͡ a</w:t>
      </w:r>
      <w:r>
        <w:rPr>
          <w:color w:val="202124"/>
          <w:highlight w:val="white"/>
        </w:rPr>
        <w:t xml:space="preserve">, 16(3), pp. 15–26. Available at: </w:t>
      </w:r>
      <w:hyperlink r:id="rId11">
        <w:r>
          <w:rPr>
            <w:color w:val="1155CC"/>
            <w:highlight w:val="white"/>
            <w:u w:val="single"/>
          </w:rPr>
          <w:t>https://doi.org/10.17759/chp.2020160303</w:t>
        </w:r>
      </w:hyperlink>
      <w:r>
        <w:rPr>
          <w:color w:val="202124"/>
          <w:highlight w:val="white"/>
        </w:rPr>
        <w:t>.</w:t>
      </w:r>
    </w:p>
    <w:p w14:paraId="1439FECE" w14:textId="77777777" w:rsidR="000342A8" w:rsidRDefault="000342A8" w:rsidP="000342A8">
      <w:pPr>
        <w:rPr>
          <w:color w:val="111111"/>
          <w:highlight w:val="white"/>
        </w:rPr>
      </w:pPr>
    </w:p>
    <w:p w14:paraId="0FF0F3E3" w14:textId="77777777" w:rsidR="000342A8" w:rsidRDefault="000342A8" w:rsidP="000342A8">
      <w:pPr>
        <w:rPr>
          <w:color w:val="111111"/>
          <w:highlight w:val="white"/>
        </w:rPr>
      </w:pPr>
      <w:r>
        <w:rPr>
          <w:color w:val="111111"/>
          <w:highlight w:val="white"/>
        </w:rPr>
        <w:t xml:space="preserve">Maxwell, L.E. (2000) ‘A SAFE AND WELCOMING SCHOOL: WHAT STUDENTS, TEACHERS, AND PARENTS THINK’, </w:t>
      </w:r>
      <w:r>
        <w:rPr>
          <w:i/>
          <w:color w:val="111111"/>
          <w:highlight w:val="white"/>
        </w:rPr>
        <w:t>Journal of architectural and planning research</w:t>
      </w:r>
      <w:r>
        <w:rPr>
          <w:color w:val="111111"/>
          <w:highlight w:val="white"/>
        </w:rPr>
        <w:t>, 17(4), pp. 271–282.</w:t>
      </w:r>
    </w:p>
    <w:p w14:paraId="29C91725" w14:textId="77777777" w:rsidR="000342A8" w:rsidRDefault="000342A8" w:rsidP="000342A8">
      <w:pPr>
        <w:rPr>
          <w:color w:val="202124"/>
          <w:highlight w:val="white"/>
        </w:rPr>
      </w:pPr>
    </w:p>
    <w:p w14:paraId="2289AB74" w14:textId="77777777" w:rsidR="000342A8" w:rsidRDefault="000342A8" w:rsidP="000342A8">
      <w:pPr>
        <w:rPr>
          <w:color w:val="202124"/>
          <w:highlight w:val="white"/>
        </w:rPr>
      </w:pPr>
      <w:r>
        <w:rPr>
          <w:color w:val="202124"/>
          <w:highlight w:val="white"/>
        </w:rPr>
        <w:t xml:space="preserve">Merriam-Webster (2023) </w:t>
      </w:r>
      <w:r>
        <w:rPr>
          <w:i/>
          <w:color w:val="202124"/>
          <w:highlight w:val="white"/>
        </w:rPr>
        <w:t>Definition of ‘Case Study’</w:t>
      </w:r>
      <w:r>
        <w:rPr>
          <w:color w:val="202124"/>
          <w:highlight w:val="white"/>
        </w:rPr>
        <w:t xml:space="preserve">. Available from: </w:t>
      </w:r>
      <w:hyperlink r:id="rId12">
        <w:r>
          <w:rPr>
            <w:color w:val="1155CC"/>
            <w:highlight w:val="white"/>
            <w:u w:val="single"/>
          </w:rPr>
          <w:t>https://www.merriam-webster.com/dictionary/case%20study</w:t>
        </w:r>
      </w:hyperlink>
      <w:r>
        <w:rPr>
          <w:color w:val="202124"/>
          <w:highlight w:val="white"/>
        </w:rPr>
        <w:t xml:space="preserve"> (Accessed 28th October 2023).</w:t>
      </w:r>
    </w:p>
    <w:p w14:paraId="16833FC9" w14:textId="77777777" w:rsidR="000342A8" w:rsidRDefault="000342A8" w:rsidP="000342A8">
      <w:pPr>
        <w:rPr>
          <w:color w:val="111111"/>
          <w:highlight w:val="white"/>
        </w:rPr>
      </w:pPr>
    </w:p>
    <w:p w14:paraId="4432AFCD" w14:textId="77777777" w:rsidR="000342A8" w:rsidRDefault="000342A8" w:rsidP="000342A8">
      <w:pPr>
        <w:rPr>
          <w:color w:val="111111"/>
          <w:highlight w:val="white"/>
        </w:rPr>
      </w:pPr>
      <w:proofErr w:type="spellStart"/>
      <w:r>
        <w:rPr>
          <w:color w:val="111111"/>
          <w:highlight w:val="white"/>
        </w:rPr>
        <w:t>Perkinson</w:t>
      </w:r>
      <w:proofErr w:type="spellEnd"/>
      <w:r>
        <w:rPr>
          <w:color w:val="111111"/>
          <w:highlight w:val="white"/>
        </w:rPr>
        <w:t xml:space="preserve">, H. J. (1984) </w:t>
      </w:r>
      <w:r>
        <w:rPr>
          <w:i/>
          <w:color w:val="111111"/>
          <w:highlight w:val="white"/>
        </w:rPr>
        <w:t>Learning from our mistakes</w:t>
      </w:r>
      <w:r>
        <w:rPr>
          <w:color w:val="111111"/>
          <w:highlight w:val="white"/>
        </w:rPr>
        <w:t xml:space="preserve">. Westport </w:t>
      </w:r>
      <w:proofErr w:type="spellStart"/>
      <w:r>
        <w:rPr>
          <w:color w:val="111111"/>
          <w:highlight w:val="white"/>
        </w:rPr>
        <w:t>Conneticut</w:t>
      </w:r>
      <w:proofErr w:type="spellEnd"/>
      <w:r>
        <w:rPr>
          <w:color w:val="111111"/>
          <w:highlight w:val="white"/>
        </w:rPr>
        <w:t>: Greenwood Press.</w:t>
      </w:r>
    </w:p>
    <w:p w14:paraId="678F24A3" w14:textId="77777777" w:rsidR="000342A8" w:rsidRDefault="000342A8" w:rsidP="000342A8">
      <w:pPr>
        <w:rPr>
          <w:color w:val="202124"/>
          <w:highlight w:val="white"/>
        </w:rPr>
      </w:pPr>
    </w:p>
    <w:p w14:paraId="797D60E5" w14:textId="77777777" w:rsidR="000342A8" w:rsidRDefault="000342A8" w:rsidP="000342A8">
      <w:pPr>
        <w:rPr>
          <w:color w:val="202124"/>
          <w:highlight w:val="white"/>
        </w:rPr>
      </w:pPr>
      <w:r>
        <w:rPr>
          <w:color w:val="202124"/>
          <w:highlight w:val="white"/>
        </w:rPr>
        <w:t xml:space="preserve">Piaget, J. (1957) </w:t>
      </w:r>
      <w:r>
        <w:rPr>
          <w:i/>
          <w:color w:val="202124"/>
          <w:highlight w:val="white"/>
        </w:rPr>
        <w:t>Construction of Reality in the Child.</w:t>
      </w:r>
      <w:r>
        <w:rPr>
          <w:color w:val="202124"/>
          <w:highlight w:val="white"/>
        </w:rPr>
        <w:t xml:space="preserve"> London: Routledge &amp; Kagan Paul.</w:t>
      </w:r>
    </w:p>
    <w:p w14:paraId="59FB2FAB" w14:textId="77777777" w:rsidR="000342A8" w:rsidRDefault="000342A8" w:rsidP="000342A8">
      <w:pPr>
        <w:rPr>
          <w:color w:val="202124"/>
          <w:highlight w:val="white"/>
        </w:rPr>
      </w:pPr>
    </w:p>
    <w:p w14:paraId="1460A457" w14:textId="77777777" w:rsidR="000342A8" w:rsidRDefault="000342A8" w:rsidP="000342A8">
      <w:pPr>
        <w:rPr>
          <w:color w:val="202124"/>
          <w:highlight w:val="white"/>
        </w:rPr>
      </w:pPr>
      <w:r>
        <w:rPr>
          <w:color w:val="202124"/>
          <w:highlight w:val="white"/>
        </w:rPr>
        <w:t xml:space="preserve">Piaget, J. (1970) </w:t>
      </w:r>
      <w:r>
        <w:rPr>
          <w:i/>
          <w:color w:val="202124"/>
          <w:highlight w:val="white"/>
        </w:rPr>
        <w:t xml:space="preserve">Genetic Epistemology. </w:t>
      </w:r>
      <w:r>
        <w:rPr>
          <w:color w:val="202124"/>
          <w:highlight w:val="white"/>
        </w:rPr>
        <w:t>New York: Columbia University Press.</w:t>
      </w:r>
    </w:p>
    <w:p w14:paraId="5A8D62B0" w14:textId="77777777" w:rsidR="000342A8" w:rsidRDefault="000342A8" w:rsidP="000342A8">
      <w:pPr>
        <w:rPr>
          <w:color w:val="232323"/>
          <w:highlight w:val="white"/>
        </w:rPr>
      </w:pPr>
    </w:p>
    <w:p w14:paraId="7D0FE5E8" w14:textId="77777777" w:rsidR="000342A8" w:rsidRDefault="000342A8" w:rsidP="000342A8">
      <w:pPr>
        <w:rPr>
          <w:color w:val="232323"/>
          <w:highlight w:val="white"/>
        </w:rPr>
      </w:pPr>
      <w:r>
        <w:rPr>
          <w:color w:val="232323"/>
          <w:highlight w:val="white"/>
        </w:rPr>
        <w:lastRenderedPageBreak/>
        <w:t xml:space="preserve">Rahimi, M. Y. &amp; </w:t>
      </w:r>
      <w:proofErr w:type="spellStart"/>
      <w:r>
        <w:rPr>
          <w:color w:val="232323"/>
          <w:highlight w:val="white"/>
        </w:rPr>
        <w:t>Yusri</w:t>
      </w:r>
      <w:proofErr w:type="spellEnd"/>
      <w:r>
        <w:rPr>
          <w:color w:val="232323"/>
          <w:highlight w:val="white"/>
        </w:rPr>
        <w:t>, M. (2015). ‘</w:t>
      </w:r>
      <w:proofErr w:type="spellStart"/>
      <w:r>
        <w:rPr>
          <w:color w:val="232323"/>
          <w:highlight w:val="white"/>
        </w:rPr>
        <w:t>Sumbangan</w:t>
      </w:r>
      <w:proofErr w:type="spellEnd"/>
      <w:r>
        <w:rPr>
          <w:color w:val="232323"/>
          <w:highlight w:val="white"/>
        </w:rPr>
        <w:t xml:space="preserve"> </w:t>
      </w:r>
      <w:proofErr w:type="spellStart"/>
      <w:r>
        <w:rPr>
          <w:color w:val="232323"/>
          <w:highlight w:val="white"/>
        </w:rPr>
        <w:t>instruksional</w:t>
      </w:r>
      <w:proofErr w:type="spellEnd"/>
      <w:r>
        <w:rPr>
          <w:color w:val="232323"/>
          <w:highlight w:val="white"/>
        </w:rPr>
        <w:t xml:space="preserve"> maya </w:t>
      </w:r>
      <w:proofErr w:type="spellStart"/>
      <w:r>
        <w:rPr>
          <w:color w:val="232323"/>
          <w:highlight w:val="white"/>
        </w:rPr>
        <w:t>terhadap</w:t>
      </w:r>
      <w:proofErr w:type="spellEnd"/>
      <w:r>
        <w:rPr>
          <w:color w:val="232323"/>
          <w:highlight w:val="white"/>
        </w:rPr>
        <w:t xml:space="preserve"> </w:t>
      </w:r>
      <w:proofErr w:type="spellStart"/>
      <w:r>
        <w:rPr>
          <w:color w:val="232323"/>
          <w:highlight w:val="white"/>
        </w:rPr>
        <w:t>kompetensi</w:t>
      </w:r>
      <w:proofErr w:type="spellEnd"/>
      <w:r>
        <w:rPr>
          <w:color w:val="232323"/>
          <w:highlight w:val="white"/>
        </w:rPr>
        <w:t xml:space="preserve"> </w:t>
      </w:r>
      <w:proofErr w:type="spellStart"/>
      <w:r>
        <w:rPr>
          <w:color w:val="232323"/>
          <w:highlight w:val="white"/>
        </w:rPr>
        <w:t>pengajaran</w:t>
      </w:r>
      <w:proofErr w:type="spellEnd"/>
      <w:r>
        <w:rPr>
          <w:color w:val="232323"/>
          <w:highlight w:val="white"/>
        </w:rPr>
        <w:t xml:space="preserve"> guru’. </w:t>
      </w:r>
      <w:r>
        <w:rPr>
          <w:i/>
          <w:color w:val="232323"/>
          <w:highlight w:val="white"/>
        </w:rPr>
        <w:t xml:space="preserve">E-Proceeding of the </w:t>
      </w:r>
      <w:proofErr w:type="spellStart"/>
      <w:r>
        <w:rPr>
          <w:i/>
          <w:color w:val="232323"/>
          <w:highlight w:val="white"/>
        </w:rPr>
        <w:t>Intenational</w:t>
      </w:r>
      <w:proofErr w:type="spellEnd"/>
      <w:r>
        <w:rPr>
          <w:i/>
          <w:color w:val="232323"/>
          <w:highlight w:val="white"/>
        </w:rPr>
        <w:t xml:space="preserve"> Conference on Social </w:t>
      </w:r>
      <w:proofErr w:type="spellStart"/>
      <w:r>
        <w:rPr>
          <w:i/>
          <w:color w:val="232323"/>
          <w:highlight w:val="white"/>
        </w:rPr>
        <w:t>Scince</w:t>
      </w:r>
      <w:proofErr w:type="spellEnd"/>
      <w:r>
        <w:rPr>
          <w:i/>
          <w:color w:val="232323"/>
          <w:highlight w:val="white"/>
        </w:rPr>
        <w:t xml:space="preserve"> Research</w:t>
      </w:r>
      <w:r>
        <w:rPr>
          <w:color w:val="232323"/>
          <w:highlight w:val="white"/>
        </w:rPr>
        <w:t>, ICSSR 2015.</w:t>
      </w:r>
    </w:p>
    <w:p w14:paraId="65F3EBAA" w14:textId="77777777" w:rsidR="000342A8" w:rsidRDefault="000342A8" w:rsidP="000342A8">
      <w:pPr>
        <w:spacing w:before="240" w:after="240"/>
        <w:rPr>
          <w:color w:val="202124"/>
          <w:highlight w:val="white"/>
        </w:rPr>
      </w:pPr>
      <w:r>
        <w:rPr>
          <w:color w:val="202124"/>
          <w:highlight w:val="white"/>
        </w:rPr>
        <w:t xml:space="preserve">Resnick, L. (1996). Situated learning. In E. De Corte and F. E. Weinert (Eds) </w:t>
      </w:r>
      <w:r>
        <w:rPr>
          <w:i/>
          <w:color w:val="202124"/>
          <w:highlight w:val="white"/>
        </w:rPr>
        <w:t>International Encyclopaedia of Developmental and Instructional Psychology</w:t>
      </w:r>
      <w:r>
        <w:rPr>
          <w:color w:val="202124"/>
          <w:highlight w:val="white"/>
        </w:rPr>
        <w:t>, pp. 341-347. Pergamon Press.</w:t>
      </w:r>
    </w:p>
    <w:p w14:paraId="59A4D8A9" w14:textId="77777777" w:rsidR="000342A8" w:rsidRDefault="000342A8" w:rsidP="000342A8">
      <w:pPr>
        <w:rPr>
          <w:color w:val="202124"/>
          <w:highlight w:val="white"/>
        </w:rPr>
      </w:pPr>
      <w:r>
        <w:rPr>
          <w:color w:val="333333"/>
          <w:highlight w:val="white"/>
        </w:rPr>
        <w:t xml:space="preserve">Schön D. (1983). </w:t>
      </w:r>
      <w:r>
        <w:rPr>
          <w:i/>
          <w:color w:val="333333"/>
          <w:highlight w:val="white"/>
        </w:rPr>
        <w:t>The reflective practitioner</w:t>
      </w:r>
      <w:r>
        <w:rPr>
          <w:color w:val="333333"/>
          <w:highlight w:val="white"/>
        </w:rPr>
        <w:t>. London, England: Temple Smith.</w:t>
      </w:r>
    </w:p>
    <w:p w14:paraId="2418A78F" w14:textId="77777777" w:rsidR="000342A8" w:rsidRDefault="000342A8" w:rsidP="000342A8">
      <w:pPr>
        <w:rPr>
          <w:color w:val="111111"/>
          <w:highlight w:val="white"/>
        </w:rPr>
      </w:pPr>
    </w:p>
    <w:p w14:paraId="60E0DC75" w14:textId="77777777" w:rsidR="000342A8" w:rsidRDefault="000342A8" w:rsidP="000342A8">
      <w:pPr>
        <w:rPr>
          <w:color w:val="111111"/>
          <w:highlight w:val="white"/>
        </w:rPr>
      </w:pPr>
      <w:r>
        <w:rPr>
          <w:color w:val="111111"/>
          <w:highlight w:val="white"/>
        </w:rPr>
        <w:t xml:space="preserve">Skinner, B. F. (1953) </w:t>
      </w:r>
      <w:r>
        <w:rPr>
          <w:i/>
          <w:color w:val="111111"/>
          <w:highlight w:val="white"/>
        </w:rPr>
        <w:t>Science and Human Behaviour.</w:t>
      </w:r>
      <w:r>
        <w:rPr>
          <w:color w:val="111111"/>
          <w:highlight w:val="white"/>
        </w:rPr>
        <w:t xml:space="preserve"> New York: Free Press.</w:t>
      </w:r>
    </w:p>
    <w:p w14:paraId="2D766798" w14:textId="77777777" w:rsidR="000342A8" w:rsidRDefault="000342A8" w:rsidP="000342A8">
      <w:pPr>
        <w:spacing w:before="240" w:after="240"/>
        <w:rPr>
          <w:color w:val="232323"/>
          <w:highlight w:val="white"/>
        </w:rPr>
      </w:pPr>
      <w:r>
        <w:rPr>
          <w:color w:val="232323"/>
          <w:highlight w:val="white"/>
        </w:rPr>
        <w:t xml:space="preserve">Smith, T. M., </w:t>
      </w:r>
      <w:proofErr w:type="spellStart"/>
      <w:r>
        <w:rPr>
          <w:color w:val="232323"/>
          <w:highlight w:val="white"/>
        </w:rPr>
        <w:t>Aronstamm</w:t>
      </w:r>
      <w:proofErr w:type="spellEnd"/>
      <w:r>
        <w:rPr>
          <w:color w:val="232323"/>
          <w:highlight w:val="white"/>
        </w:rPr>
        <w:t xml:space="preserve"> Young, B. A., Choy, S. P., </w:t>
      </w:r>
      <w:proofErr w:type="spellStart"/>
      <w:r>
        <w:rPr>
          <w:color w:val="232323"/>
          <w:highlight w:val="white"/>
        </w:rPr>
        <w:t>Perie</w:t>
      </w:r>
      <w:proofErr w:type="spellEnd"/>
      <w:r>
        <w:rPr>
          <w:color w:val="232323"/>
          <w:highlight w:val="white"/>
        </w:rPr>
        <w:t xml:space="preserve">, M., </w:t>
      </w:r>
      <w:proofErr w:type="spellStart"/>
      <w:r>
        <w:rPr>
          <w:color w:val="232323"/>
          <w:highlight w:val="white"/>
        </w:rPr>
        <w:t>Alsalam</w:t>
      </w:r>
      <w:proofErr w:type="spellEnd"/>
      <w:r>
        <w:rPr>
          <w:color w:val="232323"/>
          <w:highlight w:val="white"/>
        </w:rPr>
        <w:t xml:space="preserve">, N., </w:t>
      </w:r>
      <w:proofErr w:type="spellStart"/>
      <w:r>
        <w:rPr>
          <w:color w:val="232323"/>
          <w:highlight w:val="white"/>
        </w:rPr>
        <w:t>Rollesfson</w:t>
      </w:r>
      <w:proofErr w:type="spellEnd"/>
      <w:r>
        <w:rPr>
          <w:color w:val="232323"/>
          <w:highlight w:val="white"/>
        </w:rPr>
        <w:t xml:space="preserve">, M. R., &amp; Bae, Y. (1996). </w:t>
      </w:r>
      <w:r>
        <w:rPr>
          <w:i/>
          <w:color w:val="232323"/>
          <w:highlight w:val="white"/>
        </w:rPr>
        <w:t xml:space="preserve">The condition of education 1996 </w:t>
      </w:r>
      <w:r>
        <w:rPr>
          <w:color w:val="232323"/>
          <w:highlight w:val="white"/>
        </w:rPr>
        <w:t xml:space="preserve">(NCES 96-304). Washington, DC: National </w:t>
      </w:r>
      <w:proofErr w:type="spellStart"/>
      <w:r>
        <w:rPr>
          <w:color w:val="232323"/>
          <w:highlight w:val="white"/>
        </w:rPr>
        <w:t>Center</w:t>
      </w:r>
      <w:proofErr w:type="spellEnd"/>
      <w:r>
        <w:rPr>
          <w:color w:val="232323"/>
          <w:highlight w:val="white"/>
        </w:rPr>
        <w:t xml:space="preserve"> for Education Statistics, Office of Educational Research and Improvement, U.S. Department of Education.</w:t>
      </w:r>
    </w:p>
    <w:p w14:paraId="32710C0F" w14:textId="77777777" w:rsidR="000342A8" w:rsidRDefault="000342A8" w:rsidP="000342A8">
      <w:r>
        <w:t xml:space="preserve">Tripp, D. (1993). </w:t>
      </w:r>
      <w:r>
        <w:rPr>
          <w:i/>
        </w:rPr>
        <w:t>Critical incidents in teaching</w:t>
      </w:r>
      <w:r>
        <w:t>. London: Routledge.</w:t>
      </w:r>
    </w:p>
    <w:p w14:paraId="35E86D1F" w14:textId="77777777" w:rsidR="000342A8" w:rsidRDefault="000342A8" w:rsidP="000342A8">
      <w:pPr>
        <w:rPr>
          <w:color w:val="202124"/>
          <w:highlight w:val="white"/>
        </w:rPr>
      </w:pPr>
    </w:p>
    <w:p w14:paraId="30AF17A7" w14:textId="77777777" w:rsidR="000342A8" w:rsidRDefault="000342A8" w:rsidP="000342A8">
      <w:pPr>
        <w:rPr>
          <w:color w:val="202124"/>
          <w:highlight w:val="white"/>
        </w:rPr>
      </w:pPr>
      <w:proofErr w:type="spellStart"/>
      <w:r>
        <w:rPr>
          <w:color w:val="202124"/>
          <w:highlight w:val="white"/>
        </w:rPr>
        <w:t>Verenikina</w:t>
      </w:r>
      <w:proofErr w:type="spellEnd"/>
      <w:r>
        <w:rPr>
          <w:color w:val="202124"/>
          <w:highlight w:val="white"/>
        </w:rPr>
        <w:t xml:space="preserve">, I. (2003) </w:t>
      </w:r>
      <w:r>
        <w:rPr>
          <w:i/>
          <w:color w:val="202124"/>
          <w:highlight w:val="white"/>
        </w:rPr>
        <w:t>Understanding scaffolding and the ZPD in educational research</w:t>
      </w:r>
      <w:r>
        <w:rPr>
          <w:color w:val="202124"/>
          <w:highlight w:val="white"/>
        </w:rPr>
        <w:t>. New Zealand.</w:t>
      </w:r>
    </w:p>
    <w:p w14:paraId="482B2FE5" w14:textId="77777777" w:rsidR="000342A8" w:rsidRDefault="000342A8" w:rsidP="000342A8">
      <w:pPr>
        <w:rPr>
          <w:color w:val="333333"/>
          <w:shd w:val="clear" w:color="auto" w:fill="FCFCFC"/>
        </w:rPr>
      </w:pPr>
    </w:p>
    <w:p w14:paraId="3BD92FF2" w14:textId="77777777" w:rsidR="000342A8" w:rsidRDefault="000342A8" w:rsidP="000342A8">
      <w:pPr>
        <w:rPr>
          <w:color w:val="232323"/>
          <w:highlight w:val="white"/>
        </w:rPr>
      </w:pPr>
      <w:r>
        <w:rPr>
          <w:color w:val="333333"/>
          <w:shd w:val="clear" w:color="auto" w:fill="FCFCFC"/>
        </w:rPr>
        <w:t xml:space="preserve">Vygotsky, L. S. (1978). </w:t>
      </w:r>
      <w:r>
        <w:rPr>
          <w:i/>
          <w:color w:val="333333"/>
          <w:highlight w:val="white"/>
        </w:rPr>
        <w:t>Mind in society</w:t>
      </w:r>
      <w:r>
        <w:rPr>
          <w:color w:val="333333"/>
          <w:shd w:val="clear" w:color="auto" w:fill="FCFCFC"/>
        </w:rPr>
        <w:t>. Cambridge, MA: MIT Press.</w:t>
      </w:r>
    </w:p>
    <w:p w14:paraId="161122E5" w14:textId="77777777" w:rsidR="000342A8" w:rsidRDefault="000342A8" w:rsidP="000342A8">
      <w:pPr>
        <w:rPr>
          <w:color w:val="111111"/>
          <w:highlight w:val="white"/>
        </w:rPr>
      </w:pPr>
    </w:p>
    <w:p w14:paraId="2A7465B6" w14:textId="77777777" w:rsidR="000342A8" w:rsidRDefault="000342A8" w:rsidP="000342A8">
      <w:pPr>
        <w:rPr>
          <w:color w:val="111111"/>
          <w:highlight w:val="white"/>
        </w:rPr>
      </w:pPr>
      <w:r>
        <w:rPr>
          <w:color w:val="111111"/>
          <w:highlight w:val="white"/>
        </w:rPr>
        <w:t xml:space="preserve">Welsh Government (2019) </w:t>
      </w:r>
      <w:r>
        <w:rPr>
          <w:i/>
          <w:color w:val="111111"/>
          <w:highlight w:val="white"/>
        </w:rPr>
        <w:t>Professional standards for teaching and leadership</w:t>
      </w:r>
      <w:r>
        <w:rPr>
          <w:color w:val="111111"/>
          <w:highlight w:val="white"/>
        </w:rPr>
        <w:t xml:space="preserve">. Available at: </w:t>
      </w:r>
      <w:hyperlink r:id="rId13" w:anchor=":~:text=Professional%20standards%20describe%20the%20skills,practitioners%20assisting%20teaching%20in%20schools.">
        <w:r>
          <w:rPr>
            <w:color w:val="1155CC"/>
            <w:highlight w:val="white"/>
            <w:u w:val="single"/>
          </w:rPr>
          <w:t>https://hwb.gov.wales/professional-learning/identifying-professional-learning-needs/professional-standards#:~:text=Professional%20standards%20describe%20the%20skills,practitioners%20assisting%20teaching%20in%20schools.</w:t>
        </w:r>
      </w:hyperlink>
      <w:r>
        <w:rPr>
          <w:color w:val="111111"/>
          <w:highlight w:val="white"/>
        </w:rPr>
        <w:t xml:space="preserve"> (Accessed 3 November 2023).</w:t>
      </w:r>
    </w:p>
    <w:p w14:paraId="4E6ECBA3" w14:textId="77777777" w:rsidR="000342A8" w:rsidRDefault="000342A8" w:rsidP="000342A8">
      <w:pPr>
        <w:rPr>
          <w:color w:val="202124"/>
          <w:highlight w:val="white"/>
        </w:rPr>
      </w:pPr>
    </w:p>
    <w:p w14:paraId="0B8701DD" w14:textId="77777777" w:rsidR="000342A8" w:rsidRDefault="000342A8" w:rsidP="000342A8">
      <w:pPr>
        <w:rPr>
          <w:color w:val="202124"/>
          <w:highlight w:val="white"/>
        </w:rPr>
      </w:pPr>
      <w:proofErr w:type="spellStart"/>
      <w:r>
        <w:rPr>
          <w:color w:val="202124"/>
          <w:highlight w:val="white"/>
        </w:rPr>
        <w:t>Wertsch</w:t>
      </w:r>
      <w:proofErr w:type="spellEnd"/>
      <w:r>
        <w:rPr>
          <w:color w:val="202124"/>
          <w:highlight w:val="white"/>
        </w:rPr>
        <w:t xml:space="preserve">, J. V. (2007) ‘Mediation’, in </w:t>
      </w:r>
      <w:proofErr w:type="spellStart"/>
      <w:proofErr w:type="gramStart"/>
      <w:r>
        <w:rPr>
          <w:color w:val="202124"/>
          <w:highlight w:val="white"/>
        </w:rPr>
        <w:t>H.Daniels</w:t>
      </w:r>
      <w:proofErr w:type="spellEnd"/>
      <w:proofErr w:type="gramEnd"/>
      <w:r>
        <w:rPr>
          <w:color w:val="202124"/>
          <w:highlight w:val="white"/>
        </w:rPr>
        <w:t xml:space="preserve">, M. Cole and J. </w:t>
      </w:r>
      <w:proofErr w:type="spellStart"/>
      <w:r>
        <w:rPr>
          <w:color w:val="202124"/>
          <w:highlight w:val="white"/>
        </w:rPr>
        <w:t>Wertsch</w:t>
      </w:r>
      <w:proofErr w:type="spellEnd"/>
      <w:r>
        <w:rPr>
          <w:color w:val="202124"/>
          <w:highlight w:val="white"/>
        </w:rPr>
        <w:t xml:space="preserve"> (eds) </w:t>
      </w:r>
      <w:r>
        <w:rPr>
          <w:i/>
          <w:color w:val="202124"/>
          <w:highlight w:val="white"/>
        </w:rPr>
        <w:t>The Cambridge Companion to Vygotsky</w:t>
      </w:r>
      <w:r>
        <w:rPr>
          <w:color w:val="202124"/>
          <w:highlight w:val="white"/>
        </w:rPr>
        <w:t>. New York: Cambridge University Press.</w:t>
      </w:r>
    </w:p>
    <w:p w14:paraId="555F2000" w14:textId="77777777" w:rsidR="000342A8" w:rsidRDefault="000342A8" w:rsidP="000342A8">
      <w:pPr>
        <w:rPr>
          <w:color w:val="232323"/>
          <w:highlight w:val="white"/>
        </w:rPr>
      </w:pPr>
    </w:p>
    <w:p w14:paraId="3D5B79FD" w14:textId="77777777" w:rsidR="000342A8" w:rsidRDefault="000342A8" w:rsidP="000342A8">
      <w:pPr>
        <w:rPr>
          <w:color w:val="232323"/>
          <w:highlight w:val="white"/>
        </w:rPr>
      </w:pPr>
      <w:r>
        <w:rPr>
          <w:color w:val="232323"/>
          <w:highlight w:val="white"/>
        </w:rPr>
        <w:t xml:space="preserve">Wood, D. J., Bruner, J. S., &amp; Ross, G. (1976). ‘The Role of Tutoring in Problem Solving’. </w:t>
      </w:r>
      <w:r>
        <w:rPr>
          <w:i/>
          <w:color w:val="232323"/>
          <w:highlight w:val="white"/>
        </w:rPr>
        <w:t>Journal of Child Psychiatry and Psychology</w:t>
      </w:r>
      <w:r>
        <w:rPr>
          <w:color w:val="232323"/>
          <w:highlight w:val="white"/>
        </w:rPr>
        <w:t xml:space="preserve">, 17, 89-100. </w:t>
      </w:r>
    </w:p>
    <w:p w14:paraId="7963BE84" w14:textId="77777777" w:rsidR="000342A8" w:rsidRDefault="000342A8" w:rsidP="000342A8"/>
    <w:p w14:paraId="0290C578" w14:textId="77777777" w:rsidR="000342A8" w:rsidRDefault="000342A8" w:rsidP="000342A8">
      <w:r>
        <w:t xml:space="preserve">Zikmund, W.G. (2000) </w:t>
      </w:r>
      <w:r>
        <w:rPr>
          <w:i/>
        </w:rPr>
        <w:t>Business Research Methods</w:t>
      </w:r>
      <w:r>
        <w:t xml:space="preserve">. 6th </w:t>
      </w:r>
      <w:proofErr w:type="spellStart"/>
      <w:r>
        <w:t>edn</w:t>
      </w:r>
      <w:proofErr w:type="spellEnd"/>
      <w:r>
        <w:t>. Fort Worth: The Dryden Press.</w:t>
      </w:r>
    </w:p>
    <w:p w14:paraId="0E3BD543" w14:textId="77777777" w:rsidR="000342A8" w:rsidRDefault="000342A8"/>
    <w:sectPr w:rsidR="000342A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7D6B"/>
    <w:rsid w:val="000342A8"/>
    <w:rsid w:val="00EE7D6B"/>
    <w:rsid w:val="00F10BFE"/>
    <w:rsid w:val="00FC5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290996"/>
  <w15:docId w15:val="{5BC0FD32-BDA4-F049-B419-965676092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dx.doi.org/10.1111/j.1469-7610.1976.tb00381.x" TargetMode="External"/><Relationship Id="rId13" Type="http://schemas.openxmlformats.org/officeDocument/2006/relationships/hyperlink" Target="https://hwb.gov.wales/professional-learning/identifying-professional-learning-needs/professional-standards" TargetMode="External"/><Relationship Id="rId3" Type="http://schemas.openxmlformats.org/officeDocument/2006/relationships/webSettings" Target="webSettings.xml"/><Relationship Id="rId7" Type="http://schemas.openxmlformats.org/officeDocument/2006/relationships/hyperlink" Target="https://doi.org/10.1111/j.1467-9280.1996.tb00359.x" TargetMode="External"/><Relationship Id="rId12" Type="http://schemas.openxmlformats.org/officeDocument/2006/relationships/hyperlink" Target="https://www.merriam-webster.com/dictionary/case%20stud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provider/6814042" TargetMode="External"/><Relationship Id="rId11" Type="http://schemas.openxmlformats.org/officeDocument/2006/relationships/hyperlink" Target="https://doi.org/10.17759/chp.2020160303" TargetMode="External"/><Relationship Id="rId5" Type="http://schemas.openxmlformats.org/officeDocument/2006/relationships/hyperlink" Target="https://doi.org/10.12973/iji.2018.11432a" TargetMode="External"/><Relationship Id="rId15" Type="http://schemas.openxmlformats.org/officeDocument/2006/relationships/theme" Target="theme/theme1.xml"/><Relationship Id="rId10" Type="http://schemas.openxmlformats.org/officeDocument/2006/relationships/hyperlink" Target="https://doi.org/10.1080/0158037X.2012.660521" TargetMode="External"/><Relationship Id="rId4" Type="http://schemas.openxmlformats.org/officeDocument/2006/relationships/hyperlink" Target="https://journals-sagepub-com.ezproxy.uwtsd.ac.uk/doi/epub/10.1177/0895904818810529" TargetMode="External"/><Relationship Id="rId9" Type="http://schemas.openxmlformats.org/officeDocument/2006/relationships/hyperlink" Target="https://www.ncbi.nlm.nih.gov/pmc/articles/PMC237326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4849</Words>
  <Characters>27643</Characters>
  <Application>Microsoft Office Word</Application>
  <DocSecurity>0</DocSecurity>
  <Lines>230</Lines>
  <Paragraphs>64</Paragraphs>
  <ScaleCrop>false</ScaleCrop>
  <Company/>
  <LinksUpToDate>false</LinksUpToDate>
  <CharactersWithSpaces>32428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Jamie Davies (2317126)</cp:lastModifiedBy>
  <cp:revision>2</cp:revision>
  <dcterms:created xsi:type="dcterms:W3CDTF">2023-11-04T13:25:00Z</dcterms:created>
  <dcterms:modified xsi:type="dcterms:W3CDTF">2023-11-04T13:25:00Z</dcterms:modified>
</cp:coreProperties>
</file>