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61011865"/>
        <w:docPartObj>
          <w:docPartGallery w:val="Cover Pages"/>
          <w:docPartUnique/>
        </w:docPartObj>
      </w:sdtPr>
      <w:sdtEndPr/>
      <w:sdtContent>
        <w:p w14:paraId="7167EC93" w14:textId="77777777" w:rsidR="004A004F" w:rsidRPr="00B7519C" w:rsidRDefault="004A004F" w:rsidP="004A004F">
          <w:pPr>
            <w:spacing w:line="256" w:lineRule="auto"/>
          </w:pPr>
        </w:p>
        <w:p w14:paraId="3AEBAC9A" w14:textId="77777777" w:rsidR="004A004F" w:rsidRPr="00B7519C" w:rsidRDefault="004A004F" w:rsidP="004A004F">
          <w:pPr>
            <w:spacing w:line="256" w:lineRule="auto"/>
          </w:pPr>
          <w:r w:rsidRPr="00B7519C">
            <w:rPr>
              <w:noProof/>
            </w:rPr>
            <mc:AlternateContent>
              <mc:Choice Requires="wps">
                <w:drawing>
                  <wp:anchor distT="0" distB="0" distL="114300" distR="114300" simplePos="0" relativeHeight="251664384" behindDoc="0" locked="0" layoutInCell="1" allowOverlap="1" wp14:anchorId="5D6031EB" wp14:editId="4E67EACC">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6614160" cy="1104900"/>
                    <wp:effectExtent l="0" t="0" r="0" b="0"/>
                    <wp:wrapSquare wrapText="bothSides"/>
                    <wp:docPr id="129" name="Text Box 8"/>
                    <wp:cNvGraphicFramePr/>
                    <a:graphic xmlns:a="http://schemas.openxmlformats.org/drawingml/2006/main">
                      <a:graphicData uri="http://schemas.microsoft.com/office/word/2010/wordprocessingShape">
                        <wps:wsp>
                          <wps:cNvSpPr txBox="1"/>
                          <wps:spPr>
                            <a:xfrm>
                              <a:off x="0" y="0"/>
                              <a:ext cx="6614160" cy="1104900"/>
                            </a:xfrm>
                            <a:prstGeom prst="rect">
                              <a:avLst/>
                            </a:prstGeom>
                            <a:noFill/>
                            <a:ln w="6350">
                              <a:noFill/>
                            </a:ln>
                            <a:effectLst/>
                          </wps:spPr>
                          <wps:txbx>
                            <w:txbxContent>
                              <w:p w14:paraId="27D71B01" w14:textId="76502394" w:rsidR="004A004F" w:rsidRPr="00AF5923" w:rsidRDefault="004A004F" w:rsidP="004A004F">
                                <w:pPr>
                                  <w:pStyle w:val="NoSpacing"/>
                                  <w:spacing w:before="40" w:after="40"/>
                                  <w:ind w:left="-142" w:right="-135"/>
                                  <w:rPr>
                                    <w:caps/>
                                    <w:sz w:val="28"/>
                                    <w:szCs w:val="28"/>
                                  </w:rPr>
                                </w:pPr>
                                <w:r>
                                  <w:rPr>
                                    <w:caps/>
                                    <w:sz w:val="28"/>
                                    <w:szCs w:val="28"/>
                                  </w:rPr>
                                  <w:t xml:space="preserve">Lv.5 Advanced CHEMISTY – </w:t>
                                </w:r>
                                <w:r w:rsidRPr="00B7519C">
                                  <w:rPr>
                                    <w:bCs/>
                                    <w:caps/>
                                    <w:sz w:val="28"/>
                                    <w:szCs w:val="28"/>
                                  </w:rPr>
                                  <w:t>ACDA</w:t>
                                </w:r>
                                <w:r>
                                  <w:rPr>
                                    <w:bCs/>
                                    <w:caps/>
                                    <w:sz w:val="28"/>
                                    <w:szCs w:val="28"/>
                                  </w:rPr>
                                  <w:t>6020, PRESENTATION</w:t>
                                </w:r>
                              </w:p>
                              <w:p w14:paraId="0233BCD9" w14:textId="77777777" w:rsidR="004A004F" w:rsidRPr="00AF5923" w:rsidRDefault="004A004F" w:rsidP="004A004F">
                                <w:pPr>
                                  <w:pStyle w:val="NoSpacing"/>
                                  <w:spacing w:before="40" w:after="40"/>
                                  <w:ind w:left="-142" w:right="-135"/>
                                  <w:rPr>
                                    <w:caps/>
                                    <w:sz w:val="28"/>
                                    <w:szCs w:val="28"/>
                                  </w:rPr>
                                </w:pPr>
                                <w:r w:rsidRPr="00AF5923">
                                  <w:rPr>
                                    <w:caps/>
                                    <w:sz w:val="28"/>
                                    <w:szCs w:val="28"/>
                                  </w:rPr>
                                  <w:t>BEN LLOYD - 2219811</w:t>
                                </w:r>
                              </w:p>
                              <w:p w14:paraId="15E08F40" w14:textId="77777777" w:rsidR="004A004F" w:rsidRDefault="004A004F" w:rsidP="004A004F">
                                <w:pPr>
                                  <w:pStyle w:val="NoSpacing"/>
                                  <w:spacing w:before="40" w:after="40"/>
                                  <w:rPr>
                                    <w:caps/>
                                    <w:color w:val="A02B93" w:themeColor="accent5"/>
                                    <w:sz w:val="24"/>
                                    <w:szCs w:val="24"/>
                                  </w:rPr>
                                </w:pPr>
                              </w:p>
                            </w:txbxContent>
                          </wps:txbx>
                          <wps:bodyPr rot="0" spcFirstLastPara="0" vertOverflow="clip" horzOverflow="clip" vert="horz" wrap="square" lIns="914400" tIns="0" rIns="109728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6031EB" id="_x0000_t202" coordsize="21600,21600" o:spt="202" path="m,l,21600r21600,l21600,xe">
                    <v:stroke joinstyle="miter"/>
                    <v:path gradientshapeok="t" o:connecttype="rect"/>
                  </v:shapetype>
                  <v:shape id="Text Box 8" o:spid="_x0000_s1026" type="#_x0000_t202" style="position:absolute;margin-left:0;margin-top:0;width:520.8pt;height:87pt;z-index:251664384;visibility:visible;mso-wrap-style:square;mso-width-percent:0;mso-height-percent:0;mso-top-percent:790;mso-wrap-distance-left:9pt;mso-wrap-distance-top:0;mso-wrap-distance-right:9pt;mso-wrap-distance-bottom:0;mso-position-horizontal:center;mso-position-horizontal-relative:page;mso-position-vertical-relative:page;mso-width-percent:0;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" filled="f" stroked="f" strokeweight=".5pt">
                    <v:textbox inset="1in,0,86.4pt,0">
                      <w:txbxContent>
                        <w:p w14:paraId="27D71B01" w14:textId="76502394" w:rsidR="004A004F" w:rsidRPr="00AF5923" w:rsidRDefault="004A004F" w:rsidP="004A004F">
                          <w:pPr>
                            <w:pStyle w:val="NoSpacing"/>
                            <w:spacing w:before="40" w:after="40"/>
                            <w:ind w:left="-142" w:right="-135"/>
                            <w:rPr>
                              <w:caps/>
                              <w:sz w:val="28"/>
                              <w:szCs w:val="28"/>
                            </w:rPr>
                          </w:pPr>
                          <w:r>
                            <w:rPr>
                              <w:caps/>
                              <w:sz w:val="28"/>
                              <w:szCs w:val="28"/>
                            </w:rPr>
                            <w:t xml:space="preserve">Lv.5 Advanced CHEMISTY – </w:t>
                          </w:r>
                          <w:r w:rsidRPr="00B7519C">
                            <w:rPr>
                              <w:bCs/>
                              <w:caps/>
                              <w:sz w:val="28"/>
                              <w:szCs w:val="28"/>
                            </w:rPr>
                            <w:t>ACDA</w:t>
                          </w:r>
                          <w:r>
                            <w:rPr>
                              <w:bCs/>
                              <w:caps/>
                              <w:sz w:val="28"/>
                              <w:szCs w:val="28"/>
                            </w:rPr>
                            <w:t>6020, PRESENTATION</w:t>
                          </w:r>
                        </w:p>
                        <w:p w14:paraId="0233BCD9" w14:textId="77777777" w:rsidR="004A004F" w:rsidRPr="00AF5923" w:rsidRDefault="004A004F" w:rsidP="004A004F">
                          <w:pPr>
                            <w:pStyle w:val="NoSpacing"/>
                            <w:spacing w:before="40" w:after="40"/>
                            <w:ind w:left="-142" w:right="-135"/>
                            <w:rPr>
                              <w:caps/>
                              <w:sz w:val="28"/>
                              <w:szCs w:val="28"/>
                            </w:rPr>
                          </w:pPr>
                          <w:r w:rsidRPr="00AF5923">
                            <w:rPr>
                              <w:caps/>
                              <w:sz w:val="28"/>
                              <w:szCs w:val="28"/>
                            </w:rPr>
                            <w:t>BEN LLOYD - 2219811</w:t>
                          </w:r>
                        </w:p>
                        <w:p w14:paraId="15E08F40" w14:textId="77777777" w:rsidR="004A004F" w:rsidRDefault="004A004F" w:rsidP="004A004F">
                          <w:pPr>
                            <w:pStyle w:val="NoSpacing"/>
                            <w:spacing w:before="40" w:after="40"/>
                            <w:rPr>
                              <w:caps/>
                              <w:color w:val="A02B93" w:themeColor="accent5"/>
                              <w:sz w:val="24"/>
                              <w:szCs w:val="24"/>
                            </w:rPr>
                          </w:pPr>
                        </w:p>
                      </w:txbxContent>
                    </v:textbox>
                    <w10:wrap type="square" anchorx="page" anchory="page"/>
                  </v:shape>
                </w:pict>
              </mc:Fallback>
            </mc:AlternateContent>
          </w:r>
          <w:r w:rsidRPr="00B7519C">
            <w:rPr>
              <w:noProof/>
            </w:rPr>
            <mc:AlternateContent>
              <mc:Choice Requires="wpg">
                <w:drawing>
                  <wp:anchor distT="0" distB="0" distL="114300" distR="114300" simplePos="0" relativeHeight="251662336" behindDoc="1" locked="0" layoutInCell="1" allowOverlap="1" wp14:anchorId="03A77991" wp14:editId="4AEF60E7">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753225" cy="7068185"/>
                    <wp:effectExtent l="0" t="0" r="0" b="0"/>
                    <wp:wrapNone/>
                    <wp:docPr id="125" name="Group 7"/>
                    <wp:cNvGraphicFramePr/>
                    <a:graphic xmlns:a="http://schemas.openxmlformats.org/drawingml/2006/main">
                      <a:graphicData uri="http://schemas.microsoft.com/office/word/2010/wordprocessingGroup">
                        <wpg:wgp>
                          <wpg:cNvGrpSpPr/>
                          <wpg:grpSpPr>
                            <a:xfrm>
                              <a:off x="0" y="0"/>
                              <a:ext cx="6614160" cy="7163435"/>
                              <a:chOff x="0" y="0"/>
                              <a:chExt cx="5561330" cy="5404485"/>
                            </a:xfrm>
                          </wpg:grpSpPr>
                          <wps:wsp>
                            <wps:cNvPr id="1253419619"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gradFill rotWithShape="1">
                                <a:gsLst>
                                  <a:gs pos="0">
                                    <a:srgbClr val="0E2841">
                                      <a:tint val="93000"/>
                                      <a:satMod val="150000"/>
                                      <a:shade val="98000"/>
                                      <a:lumMod val="102000"/>
                                    </a:srgbClr>
                                  </a:gs>
                                  <a:gs pos="50000">
                                    <a:srgbClr val="0E2841">
                                      <a:tint val="98000"/>
                                      <a:satMod val="130000"/>
                                      <a:shade val="90000"/>
                                      <a:lumMod val="103000"/>
                                    </a:srgbClr>
                                  </a:gs>
                                  <a:gs pos="100000">
                                    <a:srgbClr val="0E2841">
                                      <a:shade val="63000"/>
                                      <a:satMod val="120000"/>
                                    </a:srgbClr>
                                  </a:gs>
                                </a:gsLst>
                                <a:lin ang="5400000" scaled="0"/>
                              </a:gradFill>
                              <a:ln>
                                <a:noFill/>
                              </a:ln>
                              <a:effectLst/>
                            </wps:spPr>
                            <wps:txbx>
                              <w:txbxContent>
                                <w:p w14:paraId="6AE43CF0" w14:textId="765ED7B7" w:rsidR="004A004F" w:rsidRPr="00883B0E" w:rsidRDefault="004A004F" w:rsidP="004A004F">
                                  <w:pPr>
                                    <w:jc w:val="center"/>
                                    <w:rPr>
                                      <w:color w:val="FFFFFF" w:themeColor="background1"/>
                                      <w:sz w:val="56"/>
                                      <w:szCs w:val="56"/>
                                      <w:lang w:val="en-US"/>
                                    </w:rPr>
                                  </w:pPr>
                                  <w:r>
                                    <w:rPr>
                                      <w:color w:val="FFFFFF" w:themeColor="background1"/>
                                      <w:sz w:val="52"/>
                                      <w:szCs w:val="52"/>
                                      <w:lang w:val="en-US"/>
                                    </w:rPr>
                                    <w:t>AGEING OF POLYMER BONDED EXPLOSIVES (PBXs)</w:t>
                                  </w:r>
                                </w:p>
                              </w:txbxContent>
                            </wps:txbx>
                            <wps:bodyPr rot="0" vert="horz" wrap="square" lIns="914400" tIns="1097280" rIns="1097280" bIns="1097280" anchor="b" anchorCtr="0" upright="1">
                              <a:noAutofit/>
                            </wps:bodyPr>
                          </wps:wsp>
                          <wps:wsp>
                            <wps:cNvPr id="1516673008"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ysClr val="window" lastClr="FFFFFF">
                                  <a:alpha val="30000"/>
                                </a:sys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0</wp14:pctWidth>
                    </wp14:sizeRelH>
                    <wp14:sizeRelV relativeFrom="page">
                      <wp14:pctHeight>0</wp14:pctHeight>
                    </wp14:sizeRelV>
                  </wp:anchor>
                </w:drawing>
              </mc:Choice>
              <mc:Fallback>
                <w:pict>
                  <v:group w14:anchorId="03A77991" id="Group 7" o:spid="_x0000_s1027" style="position:absolute;margin-left:0;margin-top:0;width:531.75pt;height:556.55pt;z-index:-251654144;mso-top-percent:45;mso-position-horizontal:center;mso-position-horizontal-relative:margin;mso-position-vertical-relative:page;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">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" adj="-11796480,,5400" path="m,c,644,,644,,644v23,6,62,14,113,21c250,685,476,700,720,644v,-27,,-27,,-27c720,,720,,720,,,,,,,e" fillcolor="#495467" stroked="f">
                      <v:fill color2="#051f37"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6AE43CF0" w14:textId="765ED7B7" w:rsidR="004A004F" w:rsidRPr="00883B0E" w:rsidRDefault="004A004F" w:rsidP="004A004F">
                            <w:pPr>
                              <w:jc w:val="center"/>
                              <w:rPr>
                                <w:color w:val="FFFFFF" w:themeColor="background1"/>
                                <w:sz w:val="56"/>
                                <w:szCs w:val="56"/>
                                <w:lang w:val="en-US"/>
                              </w:rPr>
                            </w:pPr>
                            <w:r>
                              <w:rPr>
                                <w:color w:val="FFFFFF" w:themeColor="background1"/>
                                <w:sz w:val="52"/>
                                <w:szCs w:val="52"/>
                                <w:lang w:val="en-US"/>
                              </w:rPr>
                              <w:t>AGEING OF POLYMER BONDED EXPLOSIVES (PBXs)</w:t>
                            </w:r>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" path="m607,c450,44,300,57,176,57,109,57,49,53,,48,66,58,152,66,251,66,358,66,480,56,607,27,607,,607,,607,e" fillcolor="window" stroked="f">
                      <v:fill opacity="19789f"/>
                      <v:path arrowok="t" o:connecttype="custom" o:connectlocs="4685030,0;1358427,440373;0,370840;1937302,509905;4685030,208598;4685030,0" o:connectangles="0,0,0,0,0,0"/>
                    </v:shape>
                    <w10:wrap anchorx="margin" anchory="page"/>
                  </v:group>
                </w:pict>
              </mc:Fallback>
            </mc:AlternateContent>
          </w:r>
          <w:r w:rsidRPr="00B7519C">
            <w:br w:type="page"/>
          </w:r>
        </w:p>
      </w:sdtContent>
    </w:sdt>
    <w:p w14:paraId="7E496AAE" w14:textId="77777777" w:rsidR="004A004F" w:rsidRDefault="004A004F" w:rsidP="004A004F">
      <w:pPr>
        <w:numPr>
          <w:ilvl w:val="0"/>
          <w:numId w:val="2"/>
        </w:numPr>
        <w:spacing w:line="256" w:lineRule="auto"/>
        <w:ind w:left="567" w:hanging="567"/>
        <w:contextualSpacing/>
        <w:rPr>
          <w:rFonts w:cs="Arial"/>
          <w:b/>
          <w:bCs/>
          <w:sz w:val="24"/>
          <w:szCs w:val="24"/>
          <w:u w:val="single"/>
        </w:rPr>
      </w:pPr>
      <w:r w:rsidRPr="00B7519C">
        <w:rPr>
          <w:rFonts w:cs="Arial"/>
          <w:b/>
          <w:bCs/>
          <w:sz w:val="24"/>
          <w:szCs w:val="24"/>
          <w:u w:val="single"/>
        </w:rPr>
        <w:lastRenderedPageBreak/>
        <w:t>Abstract</w:t>
      </w:r>
    </w:p>
    <w:p w14:paraId="618E9423" w14:textId="77777777" w:rsidR="004A004F" w:rsidRDefault="004A004F" w:rsidP="004A004F">
      <w:pPr>
        <w:spacing w:line="256" w:lineRule="auto"/>
        <w:ind w:left="567"/>
        <w:contextualSpacing/>
        <w:rPr>
          <w:rFonts w:cs="Arial"/>
          <w:b/>
          <w:bCs/>
          <w:sz w:val="24"/>
          <w:szCs w:val="24"/>
          <w:u w:val="single"/>
        </w:rPr>
      </w:pPr>
    </w:p>
    <w:p w14:paraId="3DA28984" w14:textId="760FD763" w:rsidR="004A004F" w:rsidRPr="00B92442" w:rsidRDefault="00567718" w:rsidP="00072BDA">
      <w:pPr>
        <w:spacing w:line="256" w:lineRule="auto"/>
        <w:ind w:left="567"/>
        <w:contextualSpacing/>
        <w:rPr>
          <w:rFonts w:cs="Arial"/>
          <w:sz w:val="24"/>
          <w:szCs w:val="24"/>
        </w:rPr>
      </w:pPr>
      <w:r>
        <w:rPr>
          <w:rFonts w:cs="Arial"/>
          <w:sz w:val="24"/>
          <w:szCs w:val="24"/>
        </w:rPr>
        <w:t>Polymer Bonded Explosives (PBXs) are extremely common in OME</w:t>
      </w:r>
      <w:r w:rsidR="00770F2F">
        <w:rPr>
          <w:rFonts w:cs="Arial"/>
          <w:sz w:val="24"/>
          <w:szCs w:val="24"/>
        </w:rPr>
        <w:t xml:space="preserve"> for a variety of reasons</w:t>
      </w:r>
      <w:r w:rsidR="00FB1B49">
        <w:rPr>
          <w:rFonts w:cs="Arial"/>
          <w:sz w:val="24"/>
          <w:szCs w:val="24"/>
        </w:rPr>
        <w:t>; they</w:t>
      </w:r>
      <w:r w:rsidR="001A54CB">
        <w:rPr>
          <w:rFonts w:cs="Arial"/>
          <w:sz w:val="24"/>
          <w:szCs w:val="24"/>
        </w:rPr>
        <w:t xml:space="preserve"> show excellent resistance to physical shock, </w:t>
      </w:r>
      <w:r w:rsidR="000840AB">
        <w:rPr>
          <w:rFonts w:cs="Arial"/>
          <w:sz w:val="24"/>
          <w:szCs w:val="24"/>
        </w:rPr>
        <w:t>Electro-Static Discharge (ESD)</w:t>
      </w:r>
      <w:r w:rsidR="00AF4F91">
        <w:rPr>
          <w:rFonts w:cs="Arial"/>
          <w:sz w:val="24"/>
          <w:szCs w:val="24"/>
        </w:rPr>
        <w:t xml:space="preserve">, </w:t>
      </w:r>
      <w:r w:rsidR="004D30A5">
        <w:rPr>
          <w:rFonts w:cs="Arial"/>
          <w:sz w:val="24"/>
          <w:szCs w:val="24"/>
        </w:rPr>
        <w:t>friction</w:t>
      </w:r>
      <w:r w:rsidR="00AF4F91">
        <w:rPr>
          <w:rFonts w:cs="Arial"/>
          <w:sz w:val="24"/>
          <w:szCs w:val="24"/>
        </w:rPr>
        <w:t xml:space="preserve"> and can remain functional after decades of </w:t>
      </w:r>
      <w:r w:rsidR="00672C41">
        <w:rPr>
          <w:rFonts w:cs="Arial"/>
          <w:sz w:val="24"/>
          <w:szCs w:val="24"/>
        </w:rPr>
        <w:t>long-term storage</w:t>
      </w:r>
      <w:r w:rsidR="004D30A5">
        <w:rPr>
          <w:rFonts w:cs="Arial"/>
          <w:sz w:val="24"/>
          <w:szCs w:val="24"/>
        </w:rPr>
        <w:t>.</w:t>
      </w:r>
      <w:r w:rsidR="00672C41">
        <w:rPr>
          <w:rFonts w:cs="Arial"/>
          <w:sz w:val="24"/>
          <w:szCs w:val="24"/>
        </w:rPr>
        <w:t xml:space="preserve"> </w:t>
      </w:r>
      <w:r w:rsidR="00F7221E">
        <w:rPr>
          <w:rFonts w:cs="Arial"/>
          <w:sz w:val="24"/>
          <w:szCs w:val="24"/>
        </w:rPr>
        <w:t>However, this</w:t>
      </w:r>
      <w:r w:rsidR="00672C41">
        <w:rPr>
          <w:rFonts w:cs="Arial"/>
          <w:sz w:val="24"/>
          <w:szCs w:val="24"/>
        </w:rPr>
        <w:t xml:space="preserve"> does not mean they are immune to the passage of time;</w:t>
      </w:r>
      <w:r w:rsidR="0026621C">
        <w:rPr>
          <w:rFonts w:cs="Arial"/>
          <w:sz w:val="24"/>
          <w:szCs w:val="24"/>
        </w:rPr>
        <w:t xml:space="preserve"> they are</w:t>
      </w:r>
      <w:r w:rsidR="00F7221E">
        <w:rPr>
          <w:rFonts w:cs="Arial"/>
          <w:sz w:val="24"/>
          <w:szCs w:val="24"/>
        </w:rPr>
        <w:t xml:space="preserve"> still</w:t>
      </w:r>
      <w:r w:rsidR="0026621C">
        <w:rPr>
          <w:rFonts w:cs="Arial"/>
          <w:sz w:val="24"/>
          <w:szCs w:val="24"/>
        </w:rPr>
        <w:t xml:space="preserve"> subject to ageing throughout their lifecycle</w:t>
      </w:r>
      <w:r w:rsidR="002700F3">
        <w:rPr>
          <w:rFonts w:cs="Arial"/>
          <w:sz w:val="24"/>
          <w:szCs w:val="24"/>
        </w:rPr>
        <w:t xml:space="preserve"> like another explosive</w:t>
      </w:r>
      <w:r w:rsidR="00B61763">
        <w:rPr>
          <w:rFonts w:cs="Arial"/>
          <w:sz w:val="24"/>
          <w:szCs w:val="24"/>
        </w:rPr>
        <w:t>. Older PBX</w:t>
      </w:r>
      <w:r w:rsidR="00F7221E">
        <w:rPr>
          <w:rFonts w:cs="Arial"/>
          <w:sz w:val="24"/>
          <w:szCs w:val="24"/>
        </w:rPr>
        <w:t>s</w:t>
      </w:r>
      <w:r w:rsidR="00B61763">
        <w:rPr>
          <w:rFonts w:cs="Arial"/>
          <w:sz w:val="24"/>
          <w:szCs w:val="24"/>
        </w:rPr>
        <w:t xml:space="preserve"> can suffer a </w:t>
      </w:r>
      <w:r w:rsidR="00417C28">
        <w:rPr>
          <w:rFonts w:cs="Arial"/>
          <w:sz w:val="24"/>
          <w:szCs w:val="24"/>
        </w:rPr>
        <w:t>multitude</w:t>
      </w:r>
      <w:r w:rsidR="00B61763">
        <w:rPr>
          <w:rFonts w:cs="Arial"/>
          <w:sz w:val="24"/>
          <w:szCs w:val="24"/>
        </w:rPr>
        <w:t xml:space="preserve"> of F</w:t>
      </w:r>
      <w:r w:rsidR="005224D4">
        <w:rPr>
          <w:rFonts w:cs="Arial"/>
          <w:sz w:val="24"/>
          <w:szCs w:val="24"/>
        </w:rPr>
        <w:t>unctional Failure</w:t>
      </w:r>
      <w:r w:rsidR="00722BD8">
        <w:rPr>
          <w:rFonts w:cs="Arial"/>
          <w:sz w:val="24"/>
          <w:szCs w:val="24"/>
        </w:rPr>
        <w:t xml:space="preserve"> Modes (FFM</w:t>
      </w:r>
      <w:r w:rsidR="00C03E5B">
        <w:rPr>
          <w:rFonts w:cs="Arial"/>
          <w:sz w:val="24"/>
          <w:szCs w:val="24"/>
        </w:rPr>
        <w:t>s</w:t>
      </w:r>
      <w:r w:rsidR="00722BD8">
        <w:rPr>
          <w:rFonts w:cs="Arial"/>
          <w:sz w:val="24"/>
          <w:szCs w:val="24"/>
        </w:rPr>
        <w:t>)</w:t>
      </w:r>
      <w:r w:rsidR="00BA1752">
        <w:rPr>
          <w:rFonts w:cs="Arial"/>
          <w:sz w:val="24"/>
          <w:szCs w:val="24"/>
        </w:rPr>
        <w:t>,</w:t>
      </w:r>
      <w:r w:rsidR="003C631D">
        <w:rPr>
          <w:rFonts w:cs="Arial"/>
          <w:sz w:val="24"/>
          <w:szCs w:val="24"/>
        </w:rPr>
        <w:t xml:space="preserve"> </w:t>
      </w:r>
      <w:r w:rsidR="00417C28">
        <w:rPr>
          <w:rFonts w:cs="Arial"/>
          <w:sz w:val="24"/>
          <w:szCs w:val="24"/>
        </w:rPr>
        <w:t xml:space="preserve">which are Mitigated </w:t>
      </w:r>
      <w:r w:rsidR="002B7F21">
        <w:rPr>
          <w:rFonts w:cs="Arial"/>
          <w:sz w:val="24"/>
          <w:szCs w:val="24"/>
        </w:rPr>
        <w:t>by the inclusion of certain ingredients within a PBX mixture</w:t>
      </w:r>
      <w:r w:rsidR="00072BDA">
        <w:rPr>
          <w:rFonts w:cs="Arial"/>
          <w:sz w:val="24"/>
          <w:szCs w:val="24"/>
        </w:rPr>
        <w:t xml:space="preserve">. This data, along with which Tests may be performed </w:t>
      </w:r>
      <w:r w:rsidR="00174F58">
        <w:rPr>
          <w:rFonts w:cs="Arial"/>
          <w:sz w:val="24"/>
          <w:szCs w:val="24"/>
        </w:rPr>
        <w:t>to monitor the integrity of the Energetic Material (EM)</w:t>
      </w:r>
      <w:r w:rsidR="00EB068F">
        <w:rPr>
          <w:rFonts w:cs="Arial"/>
          <w:sz w:val="24"/>
          <w:szCs w:val="24"/>
        </w:rPr>
        <w:t xml:space="preserve">, was identified </w:t>
      </w:r>
      <w:r w:rsidR="00FB1B49">
        <w:rPr>
          <w:rFonts w:cs="Arial"/>
          <w:sz w:val="24"/>
          <w:szCs w:val="24"/>
        </w:rPr>
        <w:t>and presented to an audience.</w:t>
      </w:r>
      <w:r w:rsidR="007F52C8">
        <w:rPr>
          <w:rFonts w:cs="Arial"/>
          <w:sz w:val="24"/>
          <w:szCs w:val="24"/>
        </w:rPr>
        <w:t xml:space="preserve"> This report serves as a summary of </w:t>
      </w:r>
      <w:r w:rsidR="00FB1B49">
        <w:rPr>
          <w:rFonts w:cs="Arial"/>
          <w:sz w:val="24"/>
          <w:szCs w:val="24"/>
        </w:rPr>
        <w:t>this learning</w:t>
      </w:r>
      <w:r w:rsidR="00A1489B">
        <w:rPr>
          <w:rFonts w:cs="Arial"/>
          <w:sz w:val="24"/>
          <w:szCs w:val="24"/>
        </w:rPr>
        <w:t xml:space="preserve"> and shows</w:t>
      </w:r>
      <w:r w:rsidR="00326E01">
        <w:rPr>
          <w:rFonts w:cs="Arial"/>
          <w:sz w:val="24"/>
          <w:szCs w:val="24"/>
        </w:rPr>
        <w:t xml:space="preserve"> how understanding the </w:t>
      </w:r>
      <w:r w:rsidR="00492FE9">
        <w:rPr>
          <w:rFonts w:cs="Arial"/>
          <w:sz w:val="24"/>
          <w:szCs w:val="24"/>
        </w:rPr>
        <w:t>ageing of</w:t>
      </w:r>
      <w:r w:rsidR="00326E01">
        <w:rPr>
          <w:rFonts w:cs="Arial"/>
          <w:sz w:val="24"/>
          <w:szCs w:val="24"/>
        </w:rPr>
        <w:t xml:space="preserve"> PBXs</w:t>
      </w:r>
      <w:r w:rsidR="00492FE9">
        <w:rPr>
          <w:rFonts w:cs="Arial"/>
          <w:sz w:val="24"/>
          <w:szCs w:val="24"/>
        </w:rPr>
        <w:t xml:space="preserve"> </w:t>
      </w:r>
      <w:r w:rsidR="00B50E79">
        <w:rPr>
          <w:rFonts w:cs="Arial"/>
          <w:sz w:val="24"/>
          <w:szCs w:val="24"/>
        </w:rPr>
        <w:t>contributes to</w:t>
      </w:r>
      <w:r w:rsidR="00FB1B49">
        <w:rPr>
          <w:rFonts w:cs="Arial"/>
          <w:sz w:val="24"/>
          <w:szCs w:val="24"/>
        </w:rPr>
        <w:t xml:space="preserve"> the wider</w:t>
      </w:r>
      <w:r w:rsidR="00B50E79">
        <w:rPr>
          <w:rFonts w:cs="Arial"/>
          <w:sz w:val="24"/>
          <w:szCs w:val="24"/>
        </w:rPr>
        <w:t xml:space="preserve"> </w:t>
      </w:r>
      <w:r w:rsidR="00A1489B">
        <w:rPr>
          <w:rFonts w:cs="Arial"/>
          <w:sz w:val="24"/>
          <w:szCs w:val="24"/>
        </w:rPr>
        <w:t xml:space="preserve">context </w:t>
      </w:r>
      <w:r w:rsidR="00FB1B49">
        <w:rPr>
          <w:rFonts w:cs="Arial"/>
          <w:sz w:val="24"/>
          <w:szCs w:val="24"/>
        </w:rPr>
        <w:t xml:space="preserve">of </w:t>
      </w:r>
      <w:r w:rsidR="009E6770">
        <w:rPr>
          <w:rFonts w:cs="Arial"/>
          <w:sz w:val="24"/>
          <w:szCs w:val="24"/>
        </w:rPr>
        <w:t>OME</w:t>
      </w:r>
      <w:r w:rsidR="00B50E79">
        <w:rPr>
          <w:rFonts w:cs="Arial"/>
          <w:sz w:val="24"/>
          <w:szCs w:val="24"/>
        </w:rPr>
        <w:t xml:space="preserve"> </w:t>
      </w:r>
      <w:r w:rsidR="009E6770">
        <w:rPr>
          <w:rFonts w:cs="Arial"/>
          <w:sz w:val="24"/>
          <w:szCs w:val="24"/>
        </w:rPr>
        <w:t>Safety</w:t>
      </w:r>
      <w:r w:rsidR="00B50E79">
        <w:rPr>
          <w:rFonts w:cs="Arial"/>
          <w:sz w:val="24"/>
          <w:szCs w:val="24"/>
        </w:rPr>
        <w:t xml:space="preserve"> </w:t>
      </w:r>
      <w:r w:rsidR="00FB1B49">
        <w:rPr>
          <w:rFonts w:cs="Arial"/>
          <w:sz w:val="24"/>
          <w:szCs w:val="24"/>
        </w:rPr>
        <w:t>M</w:t>
      </w:r>
      <w:r w:rsidR="00B50E79">
        <w:rPr>
          <w:rFonts w:cs="Arial"/>
          <w:sz w:val="24"/>
          <w:szCs w:val="24"/>
        </w:rPr>
        <w:t>anagement</w:t>
      </w:r>
      <w:r w:rsidR="009E6770">
        <w:rPr>
          <w:rFonts w:cs="Arial"/>
          <w:sz w:val="24"/>
          <w:szCs w:val="24"/>
        </w:rPr>
        <w:t>.</w:t>
      </w:r>
    </w:p>
    <w:p w14:paraId="6C85D6B3" w14:textId="77777777" w:rsidR="004A004F" w:rsidRPr="00B7519C" w:rsidRDefault="004A004F" w:rsidP="004A004F">
      <w:pPr>
        <w:spacing w:line="256" w:lineRule="auto"/>
        <w:rPr>
          <w:sz w:val="24"/>
          <w:szCs w:val="24"/>
        </w:rPr>
      </w:pPr>
    </w:p>
    <w:p w14:paraId="658A7701" w14:textId="77777777" w:rsidR="004A004F" w:rsidRPr="00B7519C" w:rsidRDefault="004A004F" w:rsidP="004A004F">
      <w:pPr>
        <w:spacing w:line="256" w:lineRule="auto"/>
        <w:rPr>
          <w:rFonts w:cs="Arial"/>
          <w:b/>
          <w:bCs/>
          <w:sz w:val="24"/>
          <w:szCs w:val="24"/>
          <w:u w:val="single"/>
        </w:rPr>
      </w:pPr>
      <w:r w:rsidRPr="00B7519C">
        <w:rPr>
          <w:rFonts w:cs="Arial"/>
          <w:b/>
          <w:bCs/>
          <w:sz w:val="24"/>
          <w:szCs w:val="24"/>
          <w:u w:val="single"/>
        </w:rPr>
        <w:t>Table Of Contents</w:t>
      </w:r>
    </w:p>
    <w:p w14:paraId="0C044373" w14:textId="7A48C2C1" w:rsidR="004A004F" w:rsidRPr="004B2477" w:rsidRDefault="004A004F" w:rsidP="004A004F">
      <w:pPr>
        <w:numPr>
          <w:ilvl w:val="0"/>
          <w:numId w:val="1"/>
        </w:numPr>
        <w:spacing w:line="256" w:lineRule="auto"/>
        <w:ind w:left="567" w:hanging="567"/>
        <w:contextualSpacing/>
        <w:rPr>
          <w:rFonts w:cs="Arial"/>
          <w:sz w:val="24"/>
          <w:szCs w:val="24"/>
        </w:rPr>
      </w:pPr>
      <w:r w:rsidRPr="004B2477">
        <w:rPr>
          <w:rFonts w:cs="Arial"/>
          <w:sz w:val="24"/>
          <w:szCs w:val="24"/>
        </w:rPr>
        <w:t>Abstract</w:t>
      </w:r>
      <w:r>
        <w:rPr>
          <w:rFonts w:cs="Arial"/>
          <w:sz w:val="24"/>
          <w:szCs w:val="24"/>
        </w:rPr>
        <w:t xml:space="preserve"> </w:t>
      </w:r>
      <w:r w:rsidRPr="001947ED">
        <w:rPr>
          <w:rFonts w:cs="Arial"/>
          <w:i/>
          <w:iCs/>
          <w:sz w:val="18"/>
          <w:szCs w:val="18"/>
        </w:rPr>
        <w:t xml:space="preserve">(Page </w:t>
      </w:r>
      <w:r w:rsidR="009E6770" w:rsidRPr="001947ED">
        <w:rPr>
          <w:rFonts w:cs="Arial"/>
          <w:i/>
          <w:iCs/>
          <w:sz w:val="18"/>
          <w:szCs w:val="18"/>
        </w:rPr>
        <w:t>1</w:t>
      </w:r>
      <w:r w:rsidRPr="001947ED">
        <w:rPr>
          <w:rFonts w:cs="Arial"/>
          <w:i/>
          <w:iCs/>
          <w:sz w:val="18"/>
          <w:szCs w:val="18"/>
        </w:rPr>
        <w:t>)</w:t>
      </w:r>
    </w:p>
    <w:p w14:paraId="1A9C3D57" w14:textId="2609DD53" w:rsidR="004A004F" w:rsidRPr="00AA497C" w:rsidRDefault="004A004F" w:rsidP="004A004F">
      <w:pPr>
        <w:numPr>
          <w:ilvl w:val="0"/>
          <w:numId w:val="1"/>
        </w:numPr>
        <w:spacing w:line="256" w:lineRule="auto"/>
        <w:ind w:left="567" w:hanging="567"/>
        <w:contextualSpacing/>
        <w:rPr>
          <w:rFonts w:cs="Arial"/>
          <w:sz w:val="24"/>
          <w:szCs w:val="24"/>
        </w:rPr>
      </w:pPr>
      <w:r w:rsidRPr="004B2477">
        <w:rPr>
          <w:rFonts w:cs="Arial"/>
          <w:sz w:val="24"/>
          <w:szCs w:val="24"/>
        </w:rPr>
        <w:t>Introduction</w:t>
      </w:r>
      <w:r>
        <w:rPr>
          <w:rFonts w:cs="Arial"/>
          <w:sz w:val="24"/>
          <w:szCs w:val="24"/>
        </w:rPr>
        <w:t xml:space="preserve"> </w:t>
      </w:r>
      <w:r w:rsidRPr="001947ED">
        <w:rPr>
          <w:rFonts w:cs="Arial"/>
          <w:i/>
          <w:iCs/>
          <w:sz w:val="18"/>
          <w:szCs w:val="18"/>
        </w:rPr>
        <w:t xml:space="preserve">(Page </w:t>
      </w:r>
      <w:r w:rsidR="009E6770" w:rsidRPr="001947ED">
        <w:rPr>
          <w:rFonts w:cs="Arial"/>
          <w:i/>
          <w:iCs/>
          <w:sz w:val="18"/>
          <w:szCs w:val="18"/>
        </w:rPr>
        <w:t xml:space="preserve">1 </w:t>
      </w:r>
      <w:r w:rsidRPr="001947ED">
        <w:rPr>
          <w:rFonts w:cs="Arial"/>
          <w:i/>
          <w:iCs/>
          <w:sz w:val="18"/>
          <w:szCs w:val="18"/>
        </w:rPr>
        <w:t xml:space="preserve"> – Page </w:t>
      </w:r>
      <w:r w:rsidR="001947ED" w:rsidRPr="001947ED">
        <w:rPr>
          <w:rFonts w:cs="Arial"/>
          <w:i/>
          <w:iCs/>
          <w:sz w:val="18"/>
          <w:szCs w:val="18"/>
        </w:rPr>
        <w:t>2</w:t>
      </w:r>
      <w:r w:rsidRPr="001947ED">
        <w:rPr>
          <w:rFonts w:cs="Arial"/>
          <w:i/>
          <w:iCs/>
          <w:sz w:val="18"/>
          <w:szCs w:val="18"/>
        </w:rPr>
        <w:t>)</w:t>
      </w:r>
    </w:p>
    <w:p w14:paraId="2F551565" w14:textId="609D6E31" w:rsidR="0061647C" w:rsidRDefault="0061647C" w:rsidP="00E6245A">
      <w:pPr>
        <w:numPr>
          <w:ilvl w:val="0"/>
          <w:numId w:val="1"/>
        </w:numPr>
        <w:spacing w:line="256" w:lineRule="auto"/>
        <w:ind w:left="567" w:hanging="567"/>
        <w:contextualSpacing/>
        <w:rPr>
          <w:rFonts w:cs="Arial"/>
          <w:sz w:val="24"/>
          <w:szCs w:val="24"/>
        </w:rPr>
      </w:pPr>
      <w:r>
        <w:rPr>
          <w:rFonts w:cs="Arial"/>
          <w:sz w:val="24"/>
          <w:szCs w:val="24"/>
        </w:rPr>
        <w:t>Researched Topics – Functional Failure Modes</w:t>
      </w:r>
      <w:r w:rsidR="001314E1">
        <w:rPr>
          <w:rFonts w:cs="Arial"/>
          <w:sz w:val="24"/>
          <w:szCs w:val="24"/>
        </w:rPr>
        <w:t xml:space="preserve"> </w:t>
      </w:r>
      <w:r w:rsidR="001314E1" w:rsidRPr="001947ED">
        <w:rPr>
          <w:rFonts w:cs="Arial"/>
          <w:i/>
          <w:iCs/>
          <w:sz w:val="18"/>
          <w:szCs w:val="18"/>
        </w:rPr>
        <w:t>(Page</w:t>
      </w:r>
      <w:r w:rsidR="001947ED" w:rsidRPr="001947ED">
        <w:rPr>
          <w:rFonts w:cs="Arial"/>
          <w:i/>
          <w:iCs/>
          <w:sz w:val="18"/>
          <w:szCs w:val="18"/>
        </w:rPr>
        <w:t xml:space="preserve"> 2</w:t>
      </w:r>
      <w:r w:rsidR="001314E1" w:rsidRPr="001947ED">
        <w:rPr>
          <w:rFonts w:cs="Arial"/>
          <w:i/>
          <w:iCs/>
          <w:sz w:val="18"/>
          <w:szCs w:val="18"/>
        </w:rPr>
        <w:t xml:space="preserve"> – Page</w:t>
      </w:r>
      <w:r w:rsidR="001947ED" w:rsidRPr="001947ED">
        <w:rPr>
          <w:rFonts w:cs="Arial"/>
          <w:i/>
          <w:iCs/>
          <w:sz w:val="18"/>
          <w:szCs w:val="18"/>
        </w:rPr>
        <w:t xml:space="preserve"> 3</w:t>
      </w:r>
      <w:r w:rsidR="001314E1" w:rsidRPr="001947ED">
        <w:rPr>
          <w:rFonts w:cs="Arial"/>
          <w:i/>
          <w:iCs/>
          <w:sz w:val="18"/>
          <w:szCs w:val="18"/>
        </w:rPr>
        <w:t>)</w:t>
      </w:r>
    </w:p>
    <w:p w14:paraId="5D4A29E1" w14:textId="34CC73FE" w:rsidR="0061647C" w:rsidRPr="001947ED" w:rsidRDefault="0061647C" w:rsidP="00E6245A">
      <w:pPr>
        <w:numPr>
          <w:ilvl w:val="0"/>
          <w:numId w:val="1"/>
        </w:numPr>
        <w:spacing w:line="256" w:lineRule="auto"/>
        <w:ind w:left="567" w:hanging="567"/>
        <w:contextualSpacing/>
        <w:rPr>
          <w:rFonts w:cs="Arial"/>
          <w:i/>
          <w:iCs/>
          <w:sz w:val="18"/>
          <w:szCs w:val="18"/>
        </w:rPr>
      </w:pPr>
      <w:r>
        <w:rPr>
          <w:rFonts w:cs="Arial"/>
          <w:sz w:val="24"/>
          <w:szCs w:val="24"/>
        </w:rPr>
        <w:t xml:space="preserve">Researched Topics – Tests </w:t>
      </w:r>
      <w:r w:rsidR="001314E1" w:rsidRPr="001947ED">
        <w:rPr>
          <w:rFonts w:cs="Arial"/>
          <w:i/>
          <w:iCs/>
          <w:sz w:val="18"/>
          <w:szCs w:val="18"/>
        </w:rPr>
        <w:t xml:space="preserve">(Page </w:t>
      </w:r>
      <w:r w:rsidR="001947ED" w:rsidRPr="001947ED">
        <w:rPr>
          <w:rFonts w:cs="Arial"/>
          <w:i/>
          <w:iCs/>
          <w:sz w:val="18"/>
          <w:szCs w:val="18"/>
        </w:rPr>
        <w:t xml:space="preserve">3 </w:t>
      </w:r>
      <w:r w:rsidR="001314E1" w:rsidRPr="001947ED">
        <w:rPr>
          <w:rFonts w:cs="Arial"/>
          <w:i/>
          <w:iCs/>
          <w:sz w:val="18"/>
          <w:szCs w:val="18"/>
        </w:rPr>
        <w:t>– Page</w:t>
      </w:r>
      <w:r w:rsidR="001947ED" w:rsidRPr="001947ED">
        <w:rPr>
          <w:rFonts w:cs="Arial"/>
          <w:i/>
          <w:iCs/>
          <w:sz w:val="18"/>
          <w:szCs w:val="18"/>
        </w:rPr>
        <w:t xml:space="preserve"> 4</w:t>
      </w:r>
      <w:r w:rsidR="001314E1" w:rsidRPr="001947ED">
        <w:rPr>
          <w:rFonts w:cs="Arial"/>
          <w:i/>
          <w:iCs/>
          <w:sz w:val="18"/>
          <w:szCs w:val="18"/>
        </w:rPr>
        <w:t>)</w:t>
      </w:r>
    </w:p>
    <w:p w14:paraId="4A799AEE" w14:textId="0EDF9E77" w:rsidR="0082722E" w:rsidRPr="001947ED" w:rsidRDefault="0082722E" w:rsidP="0082722E">
      <w:pPr>
        <w:numPr>
          <w:ilvl w:val="1"/>
          <w:numId w:val="1"/>
        </w:numPr>
        <w:spacing w:line="256" w:lineRule="auto"/>
        <w:ind w:left="1134" w:right="946" w:hanging="567"/>
        <w:contextualSpacing/>
        <w:rPr>
          <w:rFonts w:cs="Arial"/>
          <w:i/>
          <w:iCs/>
          <w:sz w:val="18"/>
          <w:szCs w:val="18"/>
        </w:rPr>
      </w:pPr>
      <w:r w:rsidRPr="001947ED">
        <w:rPr>
          <w:rFonts w:cs="Arial"/>
          <w:i/>
          <w:iCs/>
          <w:sz w:val="18"/>
          <w:szCs w:val="18"/>
        </w:rPr>
        <w:t xml:space="preserve">Figure 1 </w:t>
      </w:r>
      <w:r w:rsidRPr="001947ED">
        <w:rPr>
          <w:rFonts w:cs="Arial"/>
          <w:i/>
          <w:iCs/>
          <w:sz w:val="18"/>
          <w:szCs w:val="18"/>
        </w:rPr>
        <w:t>–</w:t>
      </w:r>
      <w:r w:rsidRPr="001947ED">
        <w:rPr>
          <w:rFonts w:cs="Arial"/>
          <w:i/>
          <w:iCs/>
          <w:sz w:val="18"/>
          <w:szCs w:val="18"/>
        </w:rPr>
        <w:t xml:space="preserve"> </w:t>
      </w:r>
      <w:r w:rsidRPr="001947ED">
        <w:rPr>
          <w:rFonts w:cs="Arial"/>
          <w:i/>
          <w:iCs/>
          <w:sz w:val="18"/>
          <w:szCs w:val="18"/>
        </w:rPr>
        <w:t>Arrhenius Equation</w:t>
      </w:r>
    </w:p>
    <w:p w14:paraId="260F7399" w14:textId="0792D779" w:rsidR="004A004F" w:rsidRPr="004B2477" w:rsidRDefault="004A004F" w:rsidP="004A004F">
      <w:pPr>
        <w:numPr>
          <w:ilvl w:val="0"/>
          <w:numId w:val="1"/>
        </w:numPr>
        <w:spacing w:line="256" w:lineRule="auto"/>
        <w:ind w:left="567" w:hanging="567"/>
        <w:contextualSpacing/>
        <w:rPr>
          <w:rFonts w:cs="Arial"/>
          <w:sz w:val="24"/>
          <w:szCs w:val="24"/>
        </w:rPr>
      </w:pPr>
      <w:r w:rsidRPr="004B2477">
        <w:rPr>
          <w:rFonts w:cs="Arial"/>
          <w:sz w:val="24"/>
          <w:szCs w:val="24"/>
        </w:rPr>
        <w:t>Conclusion</w:t>
      </w:r>
      <w:r>
        <w:rPr>
          <w:rFonts w:cs="Arial"/>
          <w:sz w:val="24"/>
          <w:szCs w:val="24"/>
        </w:rPr>
        <w:t xml:space="preserve"> </w:t>
      </w:r>
      <w:r w:rsidRPr="001947ED">
        <w:rPr>
          <w:rFonts w:cs="Arial"/>
          <w:i/>
          <w:iCs/>
          <w:sz w:val="18"/>
          <w:szCs w:val="18"/>
        </w:rPr>
        <w:t xml:space="preserve">(Page </w:t>
      </w:r>
      <w:r w:rsidR="001947ED" w:rsidRPr="001947ED">
        <w:rPr>
          <w:rFonts w:cs="Arial"/>
          <w:i/>
          <w:iCs/>
          <w:sz w:val="18"/>
          <w:szCs w:val="18"/>
        </w:rPr>
        <w:t xml:space="preserve">4 </w:t>
      </w:r>
      <w:r w:rsidRPr="001947ED">
        <w:rPr>
          <w:rFonts w:cs="Arial"/>
          <w:i/>
          <w:iCs/>
          <w:sz w:val="18"/>
          <w:szCs w:val="18"/>
        </w:rPr>
        <w:t xml:space="preserve">– Page </w:t>
      </w:r>
      <w:r w:rsidR="001947ED" w:rsidRPr="001947ED">
        <w:rPr>
          <w:rFonts w:cs="Arial"/>
          <w:i/>
          <w:iCs/>
          <w:sz w:val="18"/>
          <w:szCs w:val="18"/>
        </w:rPr>
        <w:t>5</w:t>
      </w:r>
      <w:r w:rsidRPr="001947ED">
        <w:rPr>
          <w:rFonts w:cs="Arial"/>
          <w:i/>
          <w:iCs/>
          <w:sz w:val="18"/>
          <w:szCs w:val="18"/>
        </w:rPr>
        <w:t>)</w:t>
      </w:r>
    </w:p>
    <w:p w14:paraId="39D27519" w14:textId="1DE41676" w:rsidR="004A004F" w:rsidRPr="00DC52DE" w:rsidRDefault="004A004F" w:rsidP="004A004F">
      <w:pPr>
        <w:numPr>
          <w:ilvl w:val="0"/>
          <w:numId w:val="1"/>
        </w:numPr>
        <w:spacing w:line="256" w:lineRule="auto"/>
        <w:ind w:left="567" w:hanging="567"/>
        <w:contextualSpacing/>
        <w:rPr>
          <w:rFonts w:cs="Arial"/>
          <w:i/>
          <w:iCs/>
          <w:sz w:val="20"/>
          <w:szCs w:val="20"/>
        </w:rPr>
      </w:pPr>
      <w:r w:rsidRPr="004B2477">
        <w:rPr>
          <w:rFonts w:cs="Arial"/>
          <w:sz w:val="24"/>
          <w:szCs w:val="24"/>
        </w:rPr>
        <w:t>References &amp; Appendices</w:t>
      </w:r>
      <w:r>
        <w:rPr>
          <w:rFonts w:cs="Arial"/>
          <w:sz w:val="24"/>
          <w:szCs w:val="24"/>
        </w:rPr>
        <w:t xml:space="preserve"> </w:t>
      </w:r>
      <w:r w:rsidRPr="002762D5">
        <w:rPr>
          <w:rFonts w:cs="Arial"/>
          <w:i/>
          <w:iCs/>
          <w:sz w:val="18"/>
          <w:szCs w:val="18"/>
        </w:rPr>
        <w:t>(Page 7</w:t>
      </w:r>
      <w:r w:rsidR="001947ED" w:rsidRPr="002762D5">
        <w:rPr>
          <w:rFonts w:cs="Arial"/>
          <w:i/>
          <w:iCs/>
          <w:sz w:val="18"/>
          <w:szCs w:val="18"/>
        </w:rPr>
        <w:t xml:space="preserve"> -</w:t>
      </w:r>
      <w:r w:rsidR="002762D5" w:rsidRPr="002762D5">
        <w:rPr>
          <w:rFonts w:cs="Arial"/>
          <w:i/>
          <w:iCs/>
          <w:sz w:val="18"/>
          <w:szCs w:val="18"/>
        </w:rPr>
        <w:t xml:space="preserve"> Page</w:t>
      </w:r>
      <w:r w:rsidR="001947ED" w:rsidRPr="002762D5">
        <w:rPr>
          <w:rFonts w:cs="Arial"/>
          <w:i/>
          <w:iCs/>
          <w:sz w:val="18"/>
          <w:szCs w:val="18"/>
        </w:rPr>
        <w:t xml:space="preserve"> </w:t>
      </w:r>
      <w:r w:rsidR="002762D5" w:rsidRPr="002762D5">
        <w:rPr>
          <w:rFonts w:cs="Arial"/>
          <w:i/>
          <w:iCs/>
          <w:sz w:val="18"/>
          <w:szCs w:val="18"/>
        </w:rPr>
        <w:t>16</w:t>
      </w:r>
      <w:r w:rsidRPr="002762D5">
        <w:rPr>
          <w:rFonts w:cs="Arial"/>
          <w:i/>
          <w:iCs/>
          <w:sz w:val="18"/>
          <w:szCs w:val="18"/>
        </w:rPr>
        <w:t>)</w:t>
      </w:r>
    </w:p>
    <w:p w14:paraId="59E3029E" w14:textId="77777777" w:rsidR="004A004F" w:rsidRPr="004B2477" w:rsidRDefault="004A004F" w:rsidP="004A004F">
      <w:pPr>
        <w:spacing w:line="256" w:lineRule="auto"/>
        <w:rPr>
          <w:rFonts w:cs="Arial"/>
          <w:sz w:val="28"/>
          <w:szCs w:val="28"/>
        </w:rPr>
      </w:pPr>
    </w:p>
    <w:p w14:paraId="74E84CA0" w14:textId="77777777" w:rsidR="004A004F" w:rsidRDefault="004A004F" w:rsidP="004A004F">
      <w:pPr>
        <w:numPr>
          <w:ilvl w:val="0"/>
          <w:numId w:val="2"/>
        </w:numPr>
        <w:spacing w:line="256" w:lineRule="auto"/>
        <w:ind w:left="567" w:hanging="567"/>
        <w:contextualSpacing/>
        <w:rPr>
          <w:rFonts w:cs="Arial"/>
          <w:b/>
          <w:bCs/>
          <w:sz w:val="24"/>
          <w:szCs w:val="24"/>
          <w:u w:val="single"/>
        </w:rPr>
      </w:pPr>
      <w:r w:rsidRPr="00B7519C">
        <w:rPr>
          <w:rFonts w:cs="Arial"/>
          <w:b/>
          <w:bCs/>
          <w:sz w:val="24"/>
          <w:szCs w:val="24"/>
          <w:u w:val="single"/>
        </w:rPr>
        <w:t>Introduction</w:t>
      </w:r>
    </w:p>
    <w:p w14:paraId="0ED07F2E" w14:textId="77777777" w:rsidR="004A004F" w:rsidRDefault="004A004F" w:rsidP="004A004F">
      <w:pPr>
        <w:spacing w:line="256" w:lineRule="auto"/>
        <w:ind w:left="1134" w:hanging="567"/>
        <w:contextualSpacing/>
        <w:rPr>
          <w:sz w:val="24"/>
          <w:szCs w:val="24"/>
        </w:rPr>
      </w:pPr>
    </w:p>
    <w:p w14:paraId="627513B9" w14:textId="244FD862" w:rsidR="00BA1752" w:rsidRDefault="000110A0" w:rsidP="00F24D72">
      <w:pPr>
        <w:spacing w:line="256" w:lineRule="auto"/>
        <w:ind w:left="567"/>
        <w:contextualSpacing/>
        <w:rPr>
          <w:sz w:val="24"/>
          <w:szCs w:val="24"/>
        </w:rPr>
      </w:pPr>
      <w:r>
        <w:rPr>
          <w:sz w:val="24"/>
          <w:szCs w:val="24"/>
        </w:rPr>
        <w:t xml:space="preserve">PBXs </w:t>
      </w:r>
      <w:r w:rsidR="00613E9E">
        <w:rPr>
          <w:sz w:val="24"/>
          <w:szCs w:val="24"/>
        </w:rPr>
        <w:t xml:space="preserve">are popular </w:t>
      </w:r>
      <w:r>
        <w:rPr>
          <w:sz w:val="24"/>
          <w:szCs w:val="24"/>
        </w:rPr>
        <w:t>for EM fillings in modern munitions</w:t>
      </w:r>
      <w:r w:rsidR="009E7835">
        <w:rPr>
          <w:sz w:val="24"/>
          <w:szCs w:val="24"/>
        </w:rPr>
        <w:t xml:space="preserve"> for the aforementioned reasons listed in Para </w:t>
      </w:r>
      <w:proofErr w:type="spellStart"/>
      <w:r w:rsidR="00853117">
        <w:rPr>
          <w:sz w:val="24"/>
          <w:szCs w:val="24"/>
        </w:rPr>
        <w:t>i</w:t>
      </w:r>
      <w:proofErr w:type="spellEnd"/>
      <w:r w:rsidR="00613E9E">
        <w:rPr>
          <w:sz w:val="24"/>
          <w:szCs w:val="24"/>
        </w:rPr>
        <w:t>, it is</w:t>
      </w:r>
      <w:r w:rsidR="00782F90">
        <w:rPr>
          <w:sz w:val="24"/>
          <w:szCs w:val="24"/>
        </w:rPr>
        <w:t xml:space="preserve"> therefore</w:t>
      </w:r>
      <w:r w:rsidR="00613E9E">
        <w:rPr>
          <w:sz w:val="24"/>
          <w:szCs w:val="24"/>
        </w:rPr>
        <w:t xml:space="preserve"> unsurpr</w:t>
      </w:r>
      <w:r w:rsidR="00782F90">
        <w:rPr>
          <w:sz w:val="24"/>
          <w:szCs w:val="24"/>
        </w:rPr>
        <w:t xml:space="preserve">ising that their use has become the defacto standard </w:t>
      </w:r>
      <w:r w:rsidR="005B6C6D">
        <w:rPr>
          <w:sz w:val="24"/>
          <w:szCs w:val="24"/>
        </w:rPr>
        <w:t xml:space="preserve">across NATO nations. </w:t>
      </w:r>
      <w:r w:rsidR="00853117">
        <w:rPr>
          <w:sz w:val="24"/>
          <w:szCs w:val="24"/>
        </w:rPr>
        <w:t>In basic terms, a PBX consists of two components; the EM and a Binder</w:t>
      </w:r>
      <w:r w:rsidR="00F24D72">
        <w:rPr>
          <w:sz w:val="24"/>
          <w:szCs w:val="24"/>
        </w:rPr>
        <w:t>, the EM is the “raw” explosive content of the PBX</w:t>
      </w:r>
      <w:r w:rsidR="00087F54">
        <w:rPr>
          <w:sz w:val="24"/>
          <w:szCs w:val="24"/>
        </w:rPr>
        <w:t xml:space="preserve"> and is usually a high-energy Secondary explosive such as RDX or HMX due to</w:t>
      </w:r>
      <w:r w:rsidR="008C5BFA">
        <w:rPr>
          <w:sz w:val="24"/>
          <w:szCs w:val="24"/>
        </w:rPr>
        <w:t xml:space="preserve"> strong compatibility with Binders and relative low cost</w:t>
      </w:r>
      <w:r w:rsidR="00DE7E0C">
        <w:rPr>
          <w:sz w:val="24"/>
          <w:szCs w:val="24"/>
        </w:rPr>
        <w:t xml:space="preserve">. </w:t>
      </w:r>
      <w:r w:rsidR="00A56C38">
        <w:rPr>
          <w:sz w:val="24"/>
          <w:szCs w:val="24"/>
        </w:rPr>
        <w:t xml:space="preserve">Binders are long-chain Hydrocarbons </w:t>
      </w:r>
      <w:r w:rsidR="00420D5B">
        <w:rPr>
          <w:sz w:val="24"/>
          <w:szCs w:val="24"/>
        </w:rPr>
        <w:t xml:space="preserve">that envelop the </w:t>
      </w:r>
      <w:r w:rsidR="001A1580">
        <w:rPr>
          <w:sz w:val="24"/>
          <w:szCs w:val="24"/>
        </w:rPr>
        <w:t>explosive, acting as a barrier between it and outside stimuli that may lead to inadvertent detonation</w:t>
      </w:r>
      <w:r w:rsidR="00C47799">
        <w:rPr>
          <w:sz w:val="24"/>
          <w:szCs w:val="24"/>
        </w:rPr>
        <w:t>. The example chosen in Appendix C</w:t>
      </w:r>
      <w:r w:rsidR="00D12044">
        <w:rPr>
          <w:sz w:val="24"/>
          <w:szCs w:val="24"/>
        </w:rPr>
        <w:t xml:space="preserve"> is </w:t>
      </w:r>
      <w:r w:rsidR="00E1112F" w:rsidRPr="00E1112F">
        <w:rPr>
          <w:sz w:val="24"/>
          <w:szCs w:val="24"/>
        </w:rPr>
        <w:t>Hydroxyl Terminated Polybutadiene (HTPB)</w:t>
      </w:r>
      <w:r w:rsidR="00EA43C8">
        <w:rPr>
          <w:sz w:val="24"/>
          <w:szCs w:val="24"/>
        </w:rPr>
        <w:t>,</w:t>
      </w:r>
      <w:r w:rsidR="00E1112F">
        <w:rPr>
          <w:sz w:val="24"/>
          <w:szCs w:val="24"/>
        </w:rPr>
        <w:t xml:space="preserve"> which is a popular choice for PBX blends </w:t>
      </w:r>
      <w:r w:rsidR="00110577">
        <w:rPr>
          <w:sz w:val="24"/>
          <w:szCs w:val="24"/>
        </w:rPr>
        <w:t xml:space="preserve">for </w:t>
      </w:r>
      <w:r w:rsidR="00D04077">
        <w:rPr>
          <w:sz w:val="24"/>
          <w:szCs w:val="24"/>
        </w:rPr>
        <w:t>its</w:t>
      </w:r>
      <w:r w:rsidR="00110577">
        <w:rPr>
          <w:sz w:val="24"/>
          <w:szCs w:val="24"/>
        </w:rPr>
        <w:t xml:space="preserve"> low cost</w:t>
      </w:r>
      <w:r w:rsidR="00D04077">
        <w:rPr>
          <w:sz w:val="24"/>
          <w:szCs w:val="24"/>
        </w:rPr>
        <w:t xml:space="preserve"> and ability to retain elastic behaviour even when fully cured</w:t>
      </w:r>
      <w:r w:rsidR="00DB4113">
        <w:rPr>
          <w:sz w:val="24"/>
          <w:szCs w:val="24"/>
        </w:rPr>
        <w:t xml:space="preserve">. This is useful </w:t>
      </w:r>
      <w:r w:rsidR="007F7421">
        <w:rPr>
          <w:sz w:val="24"/>
          <w:szCs w:val="24"/>
        </w:rPr>
        <w:t>as</w:t>
      </w:r>
      <w:r w:rsidR="00DB4113">
        <w:rPr>
          <w:sz w:val="24"/>
          <w:szCs w:val="24"/>
        </w:rPr>
        <w:t xml:space="preserve"> PBX blends </w:t>
      </w:r>
      <w:r w:rsidR="007F7421">
        <w:rPr>
          <w:sz w:val="24"/>
          <w:szCs w:val="24"/>
        </w:rPr>
        <w:t>that use</w:t>
      </w:r>
      <w:r w:rsidR="00DB4113">
        <w:rPr>
          <w:sz w:val="24"/>
          <w:szCs w:val="24"/>
        </w:rPr>
        <w:t xml:space="preserve"> HTPB </w:t>
      </w:r>
      <w:r w:rsidR="00086017">
        <w:rPr>
          <w:sz w:val="24"/>
          <w:szCs w:val="24"/>
        </w:rPr>
        <w:t>show excellent resistance to shock</w:t>
      </w:r>
      <w:r w:rsidR="00F01B6C">
        <w:rPr>
          <w:sz w:val="24"/>
          <w:szCs w:val="24"/>
        </w:rPr>
        <w:t xml:space="preserve"> as military EM is often subjected to harsh usage environments</w:t>
      </w:r>
      <w:r w:rsidR="000F5D86">
        <w:rPr>
          <w:sz w:val="24"/>
          <w:szCs w:val="24"/>
        </w:rPr>
        <w:t xml:space="preserve"> and this resistance </w:t>
      </w:r>
      <w:r w:rsidR="00672F47">
        <w:rPr>
          <w:sz w:val="24"/>
          <w:szCs w:val="24"/>
        </w:rPr>
        <w:t>enhances the insensitiveness of the EM [</w:t>
      </w:r>
      <w:r w:rsidR="005E3AFA">
        <w:rPr>
          <w:sz w:val="24"/>
          <w:szCs w:val="24"/>
        </w:rPr>
        <w:t>11]</w:t>
      </w:r>
      <w:r w:rsidR="00672F47">
        <w:rPr>
          <w:sz w:val="24"/>
          <w:szCs w:val="24"/>
        </w:rPr>
        <w:t xml:space="preserve">. </w:t>
      </w:r>
    </w:p>
    <w:p w14:paraId="6324367B" w14:textId="77777777" w:rsidR="002068CC" w:rsidRDefault="002068CC" w:rsidP="009E7835">
      <w:pPr>
        <w:spacing w:line="256" w:lineRule="auto"/>
        <w:ind w:left="567"/>
        <w:contextualSpacing/>
        <w:rPr>
          <w:sz w:val="24"/>
          <w:szCs w:val="24"/>
        </w:rPr>
      </w:pPr>
    </w:p>
    <w:p w14:paraId="2BCE2C1D" w14:textId="5F29E901" w:rsidR="00715CE7" w:rsidRDefault="008C5BFA" w:rsidP="008C5BFA">
      <w:pPr>
        <w:spacing w:line="256" w:lineRule="auto"/>
        <w:ind w:left="567"/>
        <w:contextualSpacing/>
        <w:rPr>
          <w:sz w:val="24"/>
          <w:szCs w:val="24"/>
        </w:rPr>
      </w:pPr>
      <w:r>
        <w:rPr>
          <w:sz w:val="24"/>
          <w:szCs w:val="24"/>
        </w:rPr>
        <w:t>To understand how PBXs age, the Ministry of Defence’s Standardisation Database (STANMIS) was consulted for information</w:t>
      </w:r>
      <w:r w:rsidR="00715CE7">
        <w:rPr>
          <w:sz w:val="24"/>
          <w:szCs w:val="24"/>
        </w:rPr>
        <w:t>,</w:t>
      </w:r>
      <w:r>
        <w:rPr>
          <w:sz w:val="24"/>
          <w:szCs w:val="24"/>
        </w:rPr>
        <w:t xml:space="preserve"> STANMIS highlighted a number of NATO Standardisation Agreements (STANAGs) that informs member nations on how to comply with NATO </w:t>
      </w:r>
      <w:r w:rsidR="00715CE7">
        <w:rPr>
          <w:sz w:val="24"/>
          <w:szCs w:val="24"/>
        </w:rPr>
        <w:t xml:space="preserve">Insensitive Munitions (IM) </w:t>
      </w:r>
      <w:r>
        <w:rPr>
          <w:sz w:val="24"/>
          <w:szCs w:val="24"/>
        </w:rPr>
        <w:t xml:space="preserve">policy, chief among these was </w:t>
      </w:r>
      <w:r>
        <w:rPr>
          <w:sz w:val="24"/>
          <w:szCs w:val="24"/>
        </w:rPr>
        <w:lastRenderedPageBreak/>
        <w:t>STANAG 4666 [25] which details methods to test the integrity of PBXs in service</w:t>
      </w:r>
      <w:r w:rsidR="00715CE7">
        <w:rPr>
          <w:sz w:val="24"/>
          <w:szCs w:val="24"/>
        </w:rPr>
        <w:t>.</w:t>
      </w:r>
      <w:r w:rsidR="00854C10">
        <w:rPr>
          <w:sz w:val="24"/>
          <w:szCs w:val="24"/>
        </w:rPr>
        <w:t xml:space="preserve"> </w:t>
      </w:r>
      <w:r w:rsidR="00590E57">
        <w:rPr>
          <w:sz w:val="24"/>
          <w:szCs w:val="24"/>
        </w:rPr>
        <w:t xml:space="preserve">The reference table found in STANAG 4666, as seen in Appendix M, </w:t>
      </w:r>
      <w:r w:rsidR="00BD39D4">
        <w:rPr>
          <w:sz w:val="24"/>
          <w:szCs w:val="24"/>
        </w:rPr>
        <w:t>listed</w:t>
      </w:r>
      <w:r w:rsidR="00B10F56">
        <w:rPr>
          <w:sz w:val="24"/>
          <w:szCs w:val="24"/>
        </w:rPr>
        <w:t xml:space="preserve"> potential</w:t>
      </w:r>
      <w:r w:rsidR="00BD39D4">
        <w:rPr>
          <w:sz w:val="24"/>
          <w:szCs w:val="24"/>
        </w:rPr>
        <w:t xml:space="preserve"> </w:t>
      </w:r>
      <w:r w:rsidR="00B10F56">
        <w:rPr>
          <w:sz w:val="24"/>
          <w:szCs w:val="24"/>
        </w:rPr>
        <w:t>FFMs that may be found within a PBX</w:t>
      </w:r>
      <w:r w:rsidR="00F13B9B">
        <w:rPr>
          <w:sz w:val="24"/>
          <w:szCs w:val="24"/>
        </w:rPr>
        <w:t>, how these manifest in real</w:t>
      </w:r>
      <w:r w:rsidR="00BE5EA4">
        <w:rPr>
          <w:sz w:val="24"/>
          <w:szCs w:val="24"/>
        </w:rPr>
        <w:t xml:space="preserve">ity and what tests may be carried out to monitor the condition of the tested PBX. </w:t>
      </w:r>
    </w:p>
    <w:p w14:paraId="6FD4053A" w14:textId="77777777" w:rsidR="00BD21AD" w:rsidRDefault="00BD21AD" w:rsidP="00C32EAB">
      <w:pPr>
        <w:spacing w:line="256" w:lineRule="auto"/>
        <w:ind w:left="567"/>
        <w:contextualSpacing/>
        <w:rPr>
          <w:sz w:val="24"/>
          <w:szCs w:val="24"/>
        </w:rPr>
      </w:pPr>
    </w:p>
    <w:p w14:paraId="68FCE6E8" w14:textId="7527FC65" w:rsidR="004A004F" w:rsidRDefault="00852F58" w:rsidP="004A004F">
      <w:pPr>
        <w:numPr>
          <w:ilvl w:val="0"/>
          <w:numId w:val="2"/>
        </w:numPr>
        <w:spacing w:line="256" w:lineRule="auto"/>
        <w:ind w:left="567" w:hanging="567"/>
        <w:contextualSpacing/>
        <w:rPr>
          <w:b/>
          <w:bCs/>
          <w:sz w:val="24"/>
          <w:szCs w:val="24"/>
          <w:u w:val="single"/>
        </w:rPr>
      </w:pPr>
      <w:r>
        <w:rPr>
          <w:b/>
          <w:bCs/>
          <w:sz w:val="24"/>
          <w:szCs w:val="24"/>
          <w:u w:val="single"/>
        </w:rPr>
        <w:t>Researched Topics</w:t>
      </w:r>
      <w:r w:rsidR="00D90BCE">
        <w:rPr>
          <w:b/>
          <w:bCs/>
          <w:sz w:val="24"/>
          <w:szCs w:val="24"/>
          <w:u w:val="single"/>
        </w:rPr>
        <w:t xml:space="preserve"> </w:t>
      </w:r>
      <w:r w:rsidR="00BD21AD">
        <w:rPr>
          <w:b/>
          <w:bCs/>
          <w:sz w:val="24"/>
          <w:szCs w:val="24"/>
          <w:u w:val="single"/>
        </w:rPr>
        <w:t>–</w:t>
      </w:r>
      <w:r w:rsidR="00D90BCE">
        <w:rPr>
          <w:b/>
          <w:bCs/>
          <w:sz w:val="24"/>
          <w:szCs w:val="24"/>
          <w:u w:val="single"/>
        </w:rPr>
        <w:t xml:space="preserve"> </w:t>
      </w:r>
      <w:r w:rsidR="005E3AFA">
        <w:rPr>
          <w:b/>
          <w:bCs/>
          <w:sz w:val="24"/>
          <w:szCs w:val="24"/>
          <w:u w:val="single"/>
        </w:rPr>
        <w:t>Functional Failure Modes</w:t>
      </w:r>
      <w:r w:rsidR="005E3AFA">
        <w:rPr>
          <w:b/>
          <w:bCs/>
          <w:sz w:val="24"/>
          <w:szCs w:val="24"/>
          <w:u w:val="single"/>
        </w:rPr>
        <w:t xml:space="preserve"> </w:t>
      </w:r>
    </w:p>
    <w:p w14:paraId="3BAE9E91" w14:textId="77777777" w:rsidR="00AE1813" w:rsidRDefault="00AE1813" w:rsidP="00AE1813">
      <w:pPr>
        <w:spacing w:line="256" w:lineRule="auto"/>
        <w:ind w:left="567"/>
        <w:contextualSpacing/>
        <w:rPr>
          <w:b/>
          <w:bCs/>
          <w:sz w:val="24"/>
          <w:szCs w:val="24"/>
          <w:u w:val="single"/>
        </w:rPr>
      </w:pPr>
    </w:p>
    <w:p w14:paraId="79734ABE" w14:textId="16A21CA0" w:rsidR="007E63E3" w:rsidRDefault="005E3AFA" w:rsidP="00AE1813">
      <w:pPr>
        <w:spacing w:line="256" w:lineRule="auto"/>
        <w:ind w:left="567"/>
        <w:contextualSpacing/>
        <w:rPr>
          <w:sz w:val="24"/>
          <w:szCs w:val="24"/>
        </w:rPr>
      </w:pPr>
      <w:r w:rsidRPr="005E3AFA">
        <w:rPr>
          <w:sz w:val="24"/>
          <w:szCs w:val="24"/>
        </w:rPr>
        <w:t>STANAG 4666</w:t>
      </w:r>
      <w:r>
        <w:rPr>
          <w:sz w:val="24"/>
          <w:szCs w:val="24"/>
        </w:rPr>
        <w:t xml:space="preserve"> </w:t>
      </w:r>
      <w:r w:rsidR="00180D7E">
        <w:rPr>
          <w:sz w:val="24"/>
          <w:szCs w:val="24"/>
        </w:rPr>
        <w:t>listed a number of detrimental effects that an EM may suffer</w:t>
      </w:r>
      <w:r w:rsidR="00C14E62">
        <w:rPr>
          <w:sz w:val="24"/>
          <w:szCs w:val="24"/>
        </w:rPr>
        <w:t xml:space="preserve">, </w:t>
      </w:r>
      <w:r w:rsidR="0098687E">
        <w:rPr>
          <w:sz w:val="24"/>
          <w:szCs w:val="24"/>
        </w:rPr>
        <w:t xml:space="preserve">the refence table in Appendix M notes four main mechanisms of damage within a PBX composition: </w:t>
      </w:r>
      <w:r>
        <w:rPr>
          <w:sz w:val="24"/>
          <w:szCs w:val="24"/>
        </w:rPr>
        <w:t>Dewetting</w:t>
      </w:r>
      <w:r w:rsidR="0098687E">
        <w:rPr>
          <w:sz w:val="24"/>
          <w:szCs w:val="24"/>
        </w:rPr>
        <w:t xml:space="preserve">, </w:t>
      </w:r>
      <w:r>
        <w:rPr>
          <w:sz w:val="24"/>
          <w:szCs w:val="24"/>
        </w:rPr>
        <w:t>Plasticiser Migration</w:t>
      </w:r>
      <w:r w:rsidR="0098687E">
        <w:rPr>
          <w:sz w:val="24"/>
          <w:szCs w:val="24"/>
        </w:rPr>
        <w:t xml:space="preserve">,  Oxidative </w:t>
      </w:r>
      <w:r w:rsidR="007E63E3">
        <w:rPr>
          <w:sz w:val="24"/>
          <w:szCs w:val="24"/>
        </w:rPr>
        <w:t>Cross-link</w:t>
      </w:r>
      <w:r w:rsidR="0098687E">
        <w:rPr>
          <w:sz w:val="24"/>
          <w:szCs w:val="24"/>
        </w:rPr>
        <w:t xml:space="preserve"> and C</w:t>
      </w:r>
      <w:r w:rsidR="007E63E3">
        <w:rPr>
          <w:sz w:val="24"/>
          <w:szCs w:val="24"/>
        </w:rPr>
        <w:t>hainscission</w:t>
      </w:r>
      <w:r w:rsidR="0098687E">
        <w:rPr>
          <w:sz w:val="24"/>
          <w:szCs w:val="24"/>
        </w:rPr>
        <w:t xml:space="preserve">. </w:t>
      </w:r>
    </w:p>
    <w:p w14:paraId="42AE13E2" w14:textId="77777777" w:rsidR="0098687E" w:rsidRDefault="0098687E" w:rsidP="00AE1813">
      <w:pPr>
        <w:spacing w:line="256" w:lineRule="auto"/>
        <w:ind w:left="567"/>
        <w:contextualSpacing/>
        <w:rPr>
          <w:sz w:val="24"/>
          <w:szCs w:val="24"/>
        </w:rPr>
      </w:pPr>
    </w:p>
    <w:p w14:paraId="7751E659" w14:textId="67826AE3" w:rsidR="0098687E" w:rsidRDefault="009C63C8" w:rsidP="00AE1813">
      <w:pPr>
        <w:spacing w:line="256" w:lineRule="auto"/>
        <w:ind w:left="567"/>
        <w:contextualSpacing/>
        <w:rPr>
          <w:sz w:val="24"/>
          <w:szCs w:val="24"/>
        </w:rPr>
      </w:pPr>
      <w:r>
        <w:rPr>
          <w:sz w:val="24"/>
          <w:szCs w:val="24"/>
        </w:rPr>
        <w:t>Dewetting occurs when</w:t>
      </w:r>
      <w:r w:rsidR="0089613C">
        <w:rPr>
          <w:sz w:val="24"/>
          <w:szCs w:val="24"/>
        </w:rPr>
        <w:t xml:space="preserve">, through absorption of moisture and excessive heat, the Binder detaches from the </w:t>
      </w:r>
      <w:r w:rsidR="00266FCE">
        <w:rPr>
          <w:sz w:val="24"/>
          <w:szCs w:val="24"/>
        </w:rPr>
        <w:t>explosive</w:t>
      </w:r>
      <w:r w:rsidR="001E3F5F">
        <w:rPr>
          <w:sz w:val="24"/>
          <w:szCs w:val="24"/>
        </w:rPr>
        <w:t xml:space="preserve">, leaving voids where the Binder used to </w:t>
      </w:r>
      <w:r w:rsidR="00D85BAE">
        <w:rPr>
          <w:sz w:val="24"/>
          <w:szCs w:val="24"/>
        </w:rPr>
        <w:t>be</w:t>
      </w:r>
      <w:r w:rsidR="000C562A">
        <w:rPr>
          <w:sz w:val="24"/>
          <w:szCs w:val="24"/>
        </w:rPr>
        <w:t xml:space="preserve"> as seen in Appendix P</w:t>
      </w:r>
      <w:r w:rsidR="00A3652A">
        <w:rPr>
          <w:sz w:val="24"/>
          <w:szCs w:val="24"/>
        </w:rPr>
        <w:t xml:space="preserve"> [19]</w:t>
      </w:r>
      <w:r w:rsidR="00D85BAE">
        <w:rPr>
          <w:sz w:val="24"/>
          <w:szCs w:val="24"/>
        </w:rPr>
        <w:t xml:space="preserve">. This is a severe problem as the EM has </w:t>
      </w:r>
      <w:r w:rsidR="008A0836">
        <w:rPr>
          <w:sz w:val="24"/>
          <w:szCs w:val="24"/>
        </w:rPr>
        <w:t xml:space="preserve">created </w:t>
      </w:r>
      <w:r w:rsidR="000C562A">
        <w:rPr>
          <w:sz w:val="24"/>
          <w:szCs w:val="24"/>
        </w:rPr>
        <w:t>its</w:t>
      </w:r>
      <w:r w:rsidR="008A0836">
        <w:rPr>
          <w:sz w:val="24"/>
          <w:szCs w:val="24"/>
        </w:rPr>
        <w:t xml:space="preserve"> own “Hot Spots”; areas in which </w:t>
      </w:r>
      <w:r w:rsidR="00535022">
        <w:rPr>
          <w:sz w:val="24"/>
          <w:szCs w:val="24"/>
        </w:rPr>
        <w:t xml:space="preserve">gas collects and can </w:t>
      </w:r>
      <w:r w:rsidR="000C562A">
        <w:rPr>
          <w:sz w:val="24"/>
          <w:szCs w:val="24"/>
        </w:rPr>
        <w:t xml:space="preserve">be subjected to </w:t>
      </w:r>
      <w:r w:rsidR="00C616B2">
        <w:rPr>
          <w:sz w:val="24"/>
          <w:szCs w:val="24"/>
        </w:rPr>
        <w:t xml:space="preserve">adiabatic heating when placed under shock. In practice, this manifests </w:t>
      </w:r>
      <w:r w:rsidR="006926BA">
        <w:rPr>
          <w:sz w:val="24"/>
          <w:szCs w:val="24"/>
        </w:rPr>
        <w:t>as a vast increase to the sensitivity to the EM</w:t>
      </w:r>
      <w:r w:rsidR="004B0324">
        <w:rPr>
          <w:sz w:val="24"/>
          <w:szCs w:val="24"/>
        </w:rPr>
        <w:t xml:space="preserve"> and should be avoided at all costs. It is for this reason that DSA.03 OME </w:t>
      </w:r>
      <w:r w:rsidR="008E5978">
        <w:rPr>
          <w:sz w:val="24"/>
          <w:szCs w:val="24"/>
        </w:rPr>
        <w:t xml:space="preserve">[21] places strong limits on the temperature and humidity that </w:t>
      </w:r>
      <w:r w:rsidR="00650121">
        <w:rPr>
          <w:sz w:val="24"/>
          <w:szCs w:val="24"/>
        </w:rPr>
        <w:t>an EM may be stored in</w:t>
      </w:r>
      <w:r w:rsidR="00C20FEF">
        <w:rPr>
          <w:sz w:val="24"/>
          <w:szCs w:val="24"/>
        </w:rPr>
        <w:t xml:space="preserve">. </w:t>
      </w:r>
    </w:p>
    <w:p w14:paraId="62690C6A" w14:textId="77777777" w:rsidR="009C63C8" w:rsidRDefault="009C63C8" w:rsidP="00AE1813">
      <w:pPr>
        <w:spacing w:line="256" w:lineRule="auto"/>
        <w:ind w:left="567"/>
        <w:contextualSpacing/>
        <w:rPr>
          <w:sz w:val="24"/>
          <w:szCs w:val="24"/>
        </w:rPr>
      </w:pPr>
    </w:p>
    <w:p w14:paraId="159E8021" w14:textId="5277F9B7" w:rsidR="00170F38" w:rsidRDefault="00170F38" w:rsidP="00AE1813">
      <w:pPr>
        <w:spacing w:line="256" w:lineRule="auto"/>
        <w:ind w:left="567"/>
        <w:contextualSpacing/>
        <w:rPr>
          <w:sz w:val="24"/>
          <w:szCs w:val="24"/>
        </w:rPr>
      </w:pPr>
      <w:r>
        <w:rPr>
          <w:sz w:val="24"/>
          <w:szCs w:val="24"/>
        </w:rPr>
        <w:t>Plasticisers are included within a PBX mixture</w:t>
      </w:r>
      <w:r w:rsidR="00170847">
        <w:rPr>
          <w:sz w:val="24"/>
          <w:szCs w:val="24"/>
        </w:rPr>
        <w:t xml:space="preserve"> to add an additional “layer” of protection to the explosive</w:t>
      </w:r>
      <w:r w:rsidR="00AA5A31">
        <w:rPr>
          <w:sz w:val="24"/>
          <w:szCs w:val="24"/>
        </w:rPr>
        <w:t xml:space="preserve"> and provide further improvement</w:t>
      </w:r>
      <w:r w:rsidR="00E94826">
        <w:rPr>
          <w:sz w:val="24"/>
          <w:szCs w:val="24"/>
        </w:rPr>
        <w:t xml:space="preserve"> to mechanical properties, such as granting an increased shock resistance and therefore provide greater insensitiveness </w:t>
      </w:r>
      <w:r w:rsidR="00C239F1">
        <w:rPr>
          <w:sz w:val="24"/>
          <w:szCs w:val="24"/>
        </w:rPr>
        <w:t>[9]</w:t>
      </w:r>
      <w:r w:rsidR="00E94826">
        <w:rPr>
          <w:sz w:val="24"/>
          <w:szCs w:val="24"/>
        </w:rPr>
        <w:t>.</w:t>
      </w:r>
    </w:p>
    <w:p w14:paraId="0DE6AD2C" w14:textId="77777777" w:rsidR="00170F38" w:rsidRDefault="00170F38" w:rsidP="00AE1813">
      <w:pPr>
        <w:spacing w:line="256" w:lineRule="auto"/>
        <w:ind w:left="567"/>
        <w:contextualSpacing/>
        <w:rPr>
          <w:sz w:val="24"/>
          <w:szCs w:val="24"/>
        </w:rPr>
      </w:pPr>
    </w:p>
    <w:p w14:paraId="01C29DBD" w14:textId="408F74EB" w:rsidR="009C63C8" w:rsidRDefault="00C20FEF" w:rsidP="00AE1813">
      <w:pPr>
        <w:spacing w:line="256" w:lineRule="auto"/>
        <w:ind w:left="567"/>
        <w:contextualSpacing/>
        <w:rPr>
          <w:sz w:val="24"/>
          <w:szCs w:val="24"/>
        </w:rPr>
      </w:pPr>
      <w:r>
        <w:rPr>
          <w:sz w:val="24"/>
          <w:szCs w:val="24"/>
        </w:rPr>
        <w:t xml:space="preserve">Excessive temperature can also result in </w:t>
      </w:r>
      <w:r w:rsidR="009C63C8">
        <w:rPr>
          <w:sz w:val="24"/>
          <w:szCs w:val="24"/>
        </w:rPr>
        <w:t>Plasticiser Migration</w:t>
      </w:r>
      <w:r>
        <w:rPr>
          <w:sz w:val="24"/>
          <w:szCs w:val="24"/>
        </w:rPr>
        <w:t xml:space="preserve">, as the name implies, it refers to the Plasticiser </w:t>
      </w:r>
      <w:r w:rsidR="00830C78">
        <w:rPr>
          <w:sz w:val="24"/>
          <w:szCs w:val="24"/>
        </w:rPr>
        <w:t>transitioning from being an element in a homogenous mix into a separate component of a heterogenous mix</w:t>
      </w:r>
      <w:r w:rsidR="004E6B6B">
        <w:rPr>
          <w:sz w:val="24"/>
          <w:szCs w:val="24"/>
        </w:rPr>
        <w:t xml:space="preserve"> </w:t>
      </w:r>
      <w:r w:rsidR="004E6B6B">
        <w:rPr>
          <w:sz w:val="24"/>
          <w:szCs w:val="24"/>
        </w:rPr>
        <w:t>[16]</w:t>
      </w:r>
      <w:r w:rsidR="00CF50E3">
        <w:rPr>
          <w:sz w:val="24"/>
          <w:szCs w:val="24"/>
        </w:rPr>
        <w:t xml:space="preserve"> as the Plasticiser gathers on the interior walls of the munition</w:t>
      </w:r>
      <w:r w:rsidR="004E6B6B">
        <w:rPr>
          <w:sz w:val="24"/>
          <w:szCs w:val="24"/>
        </w:rPr>
        <w:t>.</w:t>
      </w:r>
      <w:r w:rsidR="00830C78">
        <w:rPr>
          <w:sz w:val="24"/>
          <w:szCs w:val="24"/>
        </w:rPr>
        <w:t xml:space="preserve"> </w:t>
      </w:r>
      <w:r w:rsidR="00170F38">
        <w:rPr>
          <w:sz w:val="24"/>
          <w:szCs w:val="24"/>
        </w:rPr>
        <w:t xml:space="preserve">This is a problem as </w:t>
      </w:r>
      <w:r w:rsidR="004E6B6B">
        <w:rPr>
          <w:sz w:val="24"/>
          <w:szCs w:val="24"/>
        </w:rPr>
        <w:t xml:space="preserve">the EM is no longer receiving the benefit </w:t>
      </w:r>
      <w:r w:rsidR="00C07AC2">
        <w:rPr>
          <w:sz w:val="24"/>
          <w:szCs w:val="24"/>
        </w:rPr>
        <w:t>of the Plasticiser, resulting in higher sensitivity and thus, a greater chance of inadvertent detonation. As a counter to this, Plasticisers with a high Molecular Weight should be used</w:t>
      </w:r>
      <w:r w:rsidR="002D1C8D">
        <w:rPr>
          <w:sz w:val="24"/>
          <w:szCs w:val="24"/>
        </w:rPr>
        <w:t>.</w:t>
      </w:r>
      <w:r w:rsidR="00A17948">
        <w:rPr>
          <w:sz w:val="24"/>
          <w:szCs w:val="24"/>
        </w:rPr>
        <w:t xml:space="preserve"> </w:t>
      </w:r>
      <w:r w:rsidR="002D1C8D">
        <w:rPr>
          <w:sz w:val="24"/>
          <w:szCs w:val="24"/>
        </w:rPr>
        <w:t>T</w:t>
      </w:r>
      <w:r w:rsidR="00A17948">
        <w:rPr>
          <w:sz w:val="24"/>
          <w:szCs w:val="24"/>
        </w:rPr>
        <w:t xml:space="preserve">he larger molecules will be less able to travel </w:t>
      </w:r>
      <w:r w:rsidR="0011718F">
        <w:rPr>
          <w:sz w:val="24"/>
          <w:szCs w:val="24"/>
        </w:rPr>
        <w:t>the gaps between atoms</w:t>
      </w:r>
      <w:r w:rsidR="002D1C8D">
        <w:rPr>
          <w:sz w:val="24"/>
          <w:szCs w:val="24"/>
        </w:rPr>
        <w:t xml:space="preserve"> and thus slow down the rate of migration</w:t>
      </w:r>
      <w:r w:rsidR="0011718F">
        <w:rPr>
          <w:sz w:val="24"/>
          <w:szCs w:val="24"/>
        </w:rPr>
        <w:t xml:space="preserve"> [24]</w:t>
      </w:r>
      <w:r w:rsidR="002D1C8D">
        <w:rPr>
          <w:sz w:val="24"/>
          <w:szCs w:val="24"/>
        </w:rPr>
        <w:t>.</w:t>
      </w:r>
      <w:r w:rsidR="00A17948">
        <w:rPr>
          <w:sz w:val="24"/>
          <w:szCs w:val="24"/>
        </w:rPr>
        <w:t xml:space="preserve"> </w:t>
      </w:r>
    </w:p>
    <w:p w14:paraId="6333A97A" w14:textId="77777777" w:rsidR="009C63C8" w:rsidRDefault="009C63C8" w:rsidP="00AE1813">
      <w:pPr>
        <w:spacing w:line="256" w:lineRule="auto"/>
        <w:ind w:left="567"/>
        <w:contextualSpacing/>
        <w:rPr>
          <w:sz w:val="24"/>
          <w:szCs w:val="24"/>
        </w:rPr>
      </w:pPr>
    </w:p>
    <w:p w14:paraId="471D291C" w14:textId="77777777" w:rsidR="006A3470" w:rsidRDefault="00A000D0" w:rsidP="00AE1813">
      <w:pPr>
        <w:spacing w:line="256" w:lineRule="auto"/>
        <w:ind w:left="567"/>
        <w:contextualSpacing/>
        <w:rPr>
          <w:sz w:val="24"/>
          <w:szCs w:val="24"/>
        </w:rPr>
      </w:pPr>
      <w:r>
        <w:rPr>
          <w:sz w:val="24"/>
          <w:szCs w:val="24"/>
        </w:rPr>
        <w:t xml:space="preserve">Also listed in the reference chart is </w:t>
      </w:r>
      <w:r w:rsidR="009C63C8">
        <w:rPr>
          <w:sz w:val="24"/>
          <w:szCs w:val="24"/>
        </w:rPr>
        <w:t>Oxidative Cross-Link</w:t>
      </w:r>
      <w:r>
        <w:rPr>
          <w:sz w:val="24"/>
          <w:szCs w:val="24"/>
        </w:rPr>
        <w:t xml:space="preserve"> and </w:t>
      </w:r>
      <w:r w:rsidR="009C63C8">
        <w:rPr>
          <w:sz w:val="24"/>
          <w:szCs w:val="24"/>
        </w:rPr>
        <w:t>Chainscission</w:t>
      </w:r>
      <w:r w:rsidR="00F1425C">
        <w:rPr>
          <w:sz w:val="24"/>
          <w:szCs w:val="24"/>
        </w:rPr>
        <w:t>.</w:t>
      </w:r>
      <w:r>
        <w:rPr>
          <w:sz w:val="24"/>
          <w:szCs w:val="24"/>
        </w:rPr>
        <w:t xml:space="preserve"> </w:t>
      </w:r>
      <w:r w:rsidR="00F1425C">
        <w:rPr>
          <w:sz w:val="24"/>
          <w:szCs w:val="24"/>
        </w:rPr>
        <w:t>T</w:t>
      </w:r>
      <w:r>
        <w:rPr>
          <w:sz w:val="24"/>
          <w:szCs w:val="24"/>
        </w:rPr>
        <w:t xml:space="preserve">hese two </w:t>
      </w:r>
      <w:r w:rsidR="00F1425C">
        <w:rPr>
          <w:sz w:val="24"/>
          <w:szCs w:val="24"/>
        </w:rPr>
        <w:t>as the opposites of one another, Oxidative Cross-Link as shown in App</w:t>
      </w:r>
      <w:r w:rsidR="000206BD">
        <w:rPr>
          <w:sz w:val="24"/>
          <w:szCs w:val="24"/>
        </w:rPr>
        <w:t xml:space="preserve">endix F </w:t>
      </w:r>
      <w:r w:rsidR="003812B9">
        <w:rPr>
          <w:sz w:val="24"/>
          <w:szCs w:val="24"/>
        </w:rPr>
        <w:t>refers to unintended bonds being formed between molecules</w:t>
      </w:r>
      <w:r w:rsidR="00370EEF">
        <w:rPr>
          <w:sz w:val="24"/>
          <w:szCs w:val="24"/>
        </w:rPr>
        <w:t xml:space="preserve"> while Chainscission refers to bonds being broken apart. </w:t>
      </w:r>
    </w:p>
    <w:p w14:paraId="6AA9E359" w14:textId="77777777" w:rsidR="006A3470" w:rsidRDefault="006A3470" w:rsidP="00AE1813">
      <w:pPr>
        <w:spacing w:line="256" w:lineRule="auto"/>
        <w:ind w:left="567"/>
        <w:contextualSpacing/>
        <w:rPr>
          <w:sz w:val="24"/>
          <w:szCs w:val="24"/>
        </w:rPr>
      </w:pPr>
    </w:p>
    <w:p w14:paraId="5F1C33AB" w14:textId="7147DAAB" w:rsidR="009C63C8" w:rsidRDefault="00420636" w:rsidP="00AE1813">
      <w:pPr>
        <w:spacing w:line="256" w:lineRule="auto"/>
        <w:ind w:left="567"/>
        <w:contextualSpacing/>
        <w:rPr>
          <w:sz w:val="24"/>
          <w:szCs w:val="24"/>
        </w:rPr>
      </w:pPr>
      <w:r>
        <w:rPr>
          <w:sz w:val="24"/>
          <w:szCs w:val="24"/>
        </w:rPr>
        <w:t>Oxidative Cross-Link</w:t>
      </w:r>
      <w:r w:rsidR="006A3470">
        <w:rPr>
          <w:sz w:val="24"/>
          <w:szCs w:val="24"/>
        </w:rPr>
        <w:t xml:space="preserve"> occurs when the EM </w:t>
      </w:r>
      <w:r w:rsidR="00384998">
        <w:rPr>
          <w:sz w:val="24"/>
          <w:szCs w:val="24"/>
        </w:rPr>
        <w:t>is subjected to an overly hot and moist environment</w:t>
      </w:r>
      <w:r w:rsidR="00E56F07">
        <w:rPr>
          <w:sz w:val="24"/>
          <w:szCs w:val="24"/>
        </w:rPr>
        <w:t>.</w:t>
      </w:r>
      <w:r w:rsidR="00384998">
        <w:rPr>
          <w:sz w:val="24"/>
          <w:szCs w:val="24"/>
        </w:rPr>
        <w:t xml:space="preserve"> </w:t>
      </w:r>
      <w:r w:rsidR="00E56F07">
        <w:rPr>
          <w:sz w:val="24"/>
          <w:szCs w:val="24"/>
        </w:rPr>
        <w:t>T</w:t>
      </w:r>
      <w:r w:rsidR="00384998">
        <w:rPr>
          <w:sz w:val="24"/>
          <w:szCs w:val="24"/>
        </w:rPr>
        <w:t>his</w:t>
      </w:r>
      <w:r>
        <w:rPr>
          <w:sz w:val="24"/>
          <w:szCs w:val="24"/>
        </w:rPr>
        <w:t xml:space="preserve"> </w:t>
      </w:r>
      <w:r w:rsidR="004D3F81">
        <w:rPr>
          <w:sz w:val="24"/>
          <w:szCs w:val="24"/>
        </w:rPr>
        <w:t xml:space="preserve">results in the </w:t>
      </w:r>
      <w:r w:rsidR="00E56F07">
        <w:rPr>
          <w:sz w:val="24"/>
          <w:szCs w:val="24"/>
        </w:rPr>
        <w:t>Molecular</w:t>
      </w:r>
      <w:r w:rsidR="004D3F81">
        <w:rPr>
          <w:sz w:val="24"/>
          <w:szCs w:val="24"/>
        </w:rPr>
        <w:t xml:space="preserve"> Weight of the EM increasing,</w:t>
      </w:r>
      <w:r w:rsidR="00E56F07">
        <w:rPr>
          <w:sz w:val="24"/>
          <w:szCs w:val="24"/>
        </w:rPr>
        <w:t xml:space="preserve"> with the EM</w:t>
      </w:r>
      <w:r w:rsidR="004D3F81">
        <w:rPr>
          <w:sz w:val="24"/>
          <w:szCs w:val="24"/>
        </w:rPr>
        <w:t xml:space="preserve"> becoming harder in the process</w:t>
      </w:r>
      <w:r w:rsidR="00E56F07">
        <w:rPr>
          <w:sz w:val="24"/>
          <w:szCs w:val="24"/>
        </w:rPr>
        <w:t xml:space="preserve">, this is also to be avoided as </w:t>
      </w:r>
      <w:r w:rsidR="008162C4">
        <w:rPr>
          <w:sz w:val="24"/>
          <w:szCs w:val="24"/>
        </w:rPr>
        <w:t xml:space="preserve">the PBX </w:t>
      </w:r>
      <w:proofErr w:type="gramStart"/>
      <w:r w:rsidR="008162C4">
        <w:rPr>
          <w:sz w:val="24"/>
          <w:szCs w:val="24"/>
        </w:rPr>
        <w:t xml:space="preserve">has a </w:t>
      </w:r>
      <w:r w:rsidR="008162C4">
        <w:rPr>
          <w:sz w:val="24"/>
          <w:szCs w:val="24"/>
        </w:rPr>
        <w:lastRenderedPageBreak/>
        <w:t>tendency to</w:t>
      </w:r>
      <w:proofErr w:type="gramEnd"/>
      <w:r w:rsidR="008162C4">
        <w:rPr>
          <w:sz w:val="24"/>
          <w:szCs w:val="24"/>
        </w:rPr>
        <w:t xml:space="preserve"> </w:t>
      </w:r>
      <w:r w:rsidR="00BC0E1A">
        <w:rPr>
          <w:sz w:val="24"/>
          <w:szCs w:val="24"/>
        </w:rPr>
        <w:t xml:space="preserve">crack as seen in </w:t>
      </w:r>
      <w:r w:rsidR="008162C4">
        <w:rPr>
          <w:sz w:val="24"/>
          <w:szCs w:val="24"/>
        </w:rPr>
        <w:t>Appendix F</w:t>
      </w:r>
      <w:r w:rsidR="00BC0E1A">
        <w:rPr>
          <w:sz w:val="24"/>
          <w:szCs w:val="24"/>
        </w:rPr>
        <w:t xml:space="preserve">. This is of particular concern in Rocket Motors as </w:t>
      </w:r>
      <w:r w:rsidR="0043516A">
        <w:rPr>
          <w:sz w:val="24"/>
          <w:szCs w:val="24"/>
        </w:rPr>
        <w:t xml:space="preserve">the desired behaviour of consistent fuel burn </w:t>
      </w:r>
      <w:r w:rsidR="007F7E0B">
        <w:rPr>
          <w:sz w:val="24"/>
          <w:szCs w:val="24"/>
        </w:rPr>
        <w:t>can easily transition into a Detonation</w:t>
      </w:r>
      <w:r w:rsidR="003A6399">
        <w:rPr>
          <w:sz w:val="24"/>
          <w:szCs w:val="24"/>
        </w:rPr>
        <w:t xml:space="preserve">, potentially placing lives at risk if undetected. It is for this reason </w:t>
      </w:r>
      <w:proofErr w:type="gramStart"/>
      <w:r w:rsidR="003A6399">
        <w:rPr>
          <w:sz w:val="24"/>
          <w:szCs w:val="24"/>
        </w:rPr>
        <w:t>Anti-Oxidants</w:t>
      </w:r>
      <w:proofErr w:type="gramEnd"/>
      <w:r w:rsidR="003A6399">
        <w:rPr>
          <w:sz w:val="24"/>
          <w:szCs w:val="24"/>
        </w:rPr>
        <w:t xml:space="preserve"> are included within a PBX mix</w:t>
      </w:r>
      <w:r w:rsidR="00AE728B">
        <w:rPr>
          <w:sz w:val="24"/>
          <w:szCs w:val="24"/>
        </w:rPr>
        <w:t xml:space="preserve"> to prevent this from happening</w:t>
      </w:r>
      <w:r w:rsidR="00A61E91">
        <w:rPr>
          <w:sz w:val="24"/>
          <w:szCs w:val="24"/>
        </w:rPr>
        <w:t>.</w:t>
      </w:r>
      <w:r w:rsidR="00AE728B">
        <w:rPr>
          <w:sz w:val="24"/>
          <w:szCs w:val="24"/>
        </w:rPr>
        <w:t xml:space="preserve"> A02246 identified in Appendix F is a popular choice for PBX blends </w:t>
      </w:r>
      <w:r w:rsidR="00387766">
        <w:rPr>
          <w:sz w:val="24"/>
          <w:szCs w:val="24"/>
        </w:rPr>
        <w:t xml:space="preserve">for </w:t>
      </w:r>
      <w:proofErr w:type="gramStart"/>
      <w:r w:rsidR="00387766">
        <w:rPr>
          <w:sz w:val="24"/>
          <w:szCs w:val="24"/>
        </w:rPr>
        <w:t>it’s</w:t>
      </w:r>
      <w:proofErr w:type="gramEnd"/>
      <w:r w:rsidR="00387766">
        <w:rPr>
          <w:sz w:val="24"/>
          <w:szCs w:val="24"/>
        </w:rPr>
        <w:t xml:space="preserve"> low cost and ability to share an OH bond with HTPB</w:t>
      </w:r>
      <w:r w:rsidR="001F4BAF">
        <w:rPr>
          <w:sz w:val="24"/>
          <w:szCs w:val="24"/>
        </w:rPr>
        <w:t>, resulting in a better homogeneity within the EM [</w:t>
      </w:r>
      <w:r w:rsidR="0043352C">
        <w:rPr>
          <w:sz w:val="24"/>
          <w:szCs w:val="24"/>
        </w:rPr>
        <w:t>18].</w:t>
      </w:r>
      <w:r w:rsidR="00A61E91">
        <w:rPr>
          <w:sz w:val="24"/>
          <w:szCs w:val="24"/>
        </w:rPr>
        <w:t xml:space="preserve"> </w:t>
      </w:r>
    </w:p>
    <w:p w14:paraId="64447D08" w14:textId="77777777" w:rsidR="00A61E91" w:rsidRDefault="00A61E91" w:rsidP="00AE1813">
      <w:pPr>
        <w:spacing w:line="256" w:lineRule="auto"/>
        <w:ind w:left="567"/>
        <w:contextualSpacing/>
        <w:rPr>
          <w:sz w:val="24"/>
          <w:szCs w:val="24"/>
        </w:rPr>
      </w:pPr>
    </w:p>
    <w:p w14:paraId="149D4E87" w14:textId="77777777" w:rsidR="001B7D3E" w:rsidRDefault="00A61E91" w:rsidP="00AE1813">
      <w:pPr>
        <w:spacing w:line="256" w:lineRule="auto"/>
        <w:ind w:left="567"/>
        <w:contextualSpacing/>
        <w:rPr>
          <w:sz w:val="24"/>
          <w:szCs w:val="24"/>
        </w:rPr>
      </w:pPr>
      <w:r>
        <w:rPr>
          <w:sz w:val="24"/>
          <w:szCs w:val="24"/>
        </w:rPr>
        <w:t xml:space="preserve">Chainscission </w:t>
      </w:r>
      <w:r w:rsidR="00AD2498">
        <w:rPr>
          <w:sz w:val="24"/>
          <w:szCs w:val="24"/>
        </w:rPr>
        <w:t xml:space="preserve">can also </w:t>
      </w:r>
      <w:r>
        <w:rPr>
          <w:sz w:val="24"/>
          <w:szCs w:val="24"/>
        </w:rPr>
        <w:t>occur when the EM is incorrectly stored</w:t>
      </w:r>
      <w:r w:rsidR="0043352C">
        <w:rPr>
          <w:sz w:val="24"/>
          <w:szCs w:val="24"/>
        </w:rPr>
        <w:t xml:space="preserve">, </w:t>
      </w:r>
      <w:r w:rsidR="00AD2498">
        <w:rPr>
          <w:sz w:val="24"/>
          <w:szCs w:val="24"/>
        </w:rPr>
        <w:t>particularly in high-humidity conditions</w:t>
      </w:r>
      <w:r w:rsidR="001314E1">
        <w:rPr>
          <w:sz w:val="24"/>
          <w:szCs w:val="24"/>
        </w:rPr>
        <w:t xml:space="preserve">. As previously stated, </w:t>
      </w:r>
      <w:r w:rsidR="00697AEC">
        <w:rPr>
          <w:sz w:val="24"/>
          <w:szCs w:val="24"/>
        </w:rPr>
        <w:t xml:space="preserve">bonds between molecules are broken apart </w:t>
      </w:r>
      <w:r w:rsidR="00C55C0D">
        <w:rPr>
          <w:sz w:val="24"/>
          <w:szCs w:val="24"/>
        </w:rPr>
        <w:t xml:space="preserve">and this results in a drastically lower Molecular Weight. This manifests </w:t>
      </w:r>
      <w:r w:rsidR="004D38C8">
        <w:rPr>
          <w:sz w:val="24"/>
          <w:szCs w:val="24"/>
        </w:rPr>
        <w:t xml:space="preserve">as a softening of the EM, in extreme cases </w:t>
      </w:r>
      <w:r w:rsidR="00520EA8">
        <w:rPr>
          <w:sz w:val="24"/>
          <w:szCs w:val="24"/>
        </w:rPr>
        <w:t>this results in the PBX crumbling to a dust-like consistency in an effect known as Chalking [</w:t>
      </w:r>
      <w:r w:rsidR="001C56F0">
        <w:rPr>
          <w:sz w:val="24"/>
          <w:szCs w:val="24"/>
        </w:rPr>
        <w:t xml:space="preserve">6]. </w:t>
      </w:r>
      <w:r w:rsidR="00B67210">
        <w:rPr>
          <w:sz w:val="24"/>
          <w:szCs w:val="24"/>
        </w:rPr>
        <w:t>In such cases, the EM becomes completely unusable as consistent performance cannot be guaranteed</w:t>
      </w:r>
      <w:r w:rsidR="00A80261">
        <w:rPr>
          <w:sz w:val="24"/>
          <w:szCs w:val="24"/>
        </w:rPr>
        <w:t xml:space="preserve"> and </w:t>
      </w:r>
      <w:r w:rsidR="00DB271B">
        <w:rPr>
          <w:sz w:val="24"/>
          <w:szCs w:val="24"/>
        </w:rPr>
        <w:t>thus people may be unnecessarily placed in harm’s way</w:t>
      </w:r>
      <w:r w:rsidR="001B7D3E">
        <w:rPr>
          <w:sz w:val="24"/>
          <w:szCs w:val="24"/>
        </w:rPr>
        <w:t>, massively increasing the probability of an OME Accident.</w:t>
      </w:r>
    </w:p>
    <w:p w14:paraId="617FE613" w14:textId="77777777" w:rsidR="001B7D3E" w:rsidRDefault="001B7D3E" w:rsidP="00AE1813">
      <w:pPr>
        <w:spacing w:line="256" w:lineRule="auto"/>
        <w:ind w:left="567"/>
        <w:contextualSpacing/>
        <w:rPr>
          <w:sz w:val="24"/>
          <w:szCs w:val="24"/>
        </w:rPr>
      </w:pPr>
    </w:p>
    <w:p w14:paraId="1A5833FB" w14:textId="0B544600" w:rsidR="0026238E" w:rsidRDefault="001B7D3E" w:rsidP="00AE1813">
      <w:pPr>
        <w:spacing w:line="256" w:lineRule="auto"/>
        <w:ind w:left="567"/>
        <w:contextualSpacing/>
        <w:rPr>
          <w:b/>
          <w:bCs/>
          <w:sz w:val="24"/>
          <w:szCs w:val="24"/>
          <w:u w:val="single"/>
        </w:rPr>
      </w:pPr>
      <w:r>
        <w:rPr>
          <w:sz w:val="24"/>
          <w:szCs w:val="24"/>
        </w:rPr>
        <w:t>These damage mechanisms highlight</w:t>
      </w:r>
      <w:r w:rsidR="004A0C30">
        <w:rPr>
          <w:sz w:val="24"/>
          <w:szCs w:val="24"/>
        </w:rPr>
        <w:t>s</w:t>
      </w:r>
      <w:r>
        <w:rPr>
          <w:sz w:val="24"/>
          <w:szCs w:val="24"/>
        </w:rPr>
        <w:t xml:space="preserve"> just how crucial correct storage procedures </w:t>
      </w:r>
      <w:r w:rsidR="004A0C30">
        <w:rPr>
          <w:sz w:val="24"/>
          <w:szCs w:val="24"/>
        </w:rPr>
        <w:t xml:space="preserve">are to maintain </w:t>
      </w:r>
      <w:r w:rsidR="0070210C">
        <w:rPr>
          <w:sz w:val="24"/>
          <w:szCs w:val="24"/>
        </w:rPr>
        <w:t>the integrity of the PBX as allowing the temperature and / or humidity of an Explosive Storehouse (ES)</w:t>
      </w:r>
      <w:r w:rsidR="00EF6598">
        <w:rPr>
          <w:sz w:val="24"/>
          <w:szCs w:val="24"/>
        </w:rPr>
        <w:t xml:space="preserve"> to exceed the set limits of DSA.03 OME </w:t>
      </w:r>
      <w:r w:rsidR="001F55F9">
        <w:rPr>
          <w:sz w:val="24"/>
          <w:szCs w:val="24"/>
        </w:rPr>
        <w:t>increase</w:t>
      </w:r>
      <w:r w:rsidR="005D4B0A">
        <w:rPr>
          <w:sz w:val="24"/>
          <w:szCs w:val="24"/>
        </w:rPr>
        <w:t>s</w:t>
      </w:r>
      <w:r w:rsidR="001F55F9">
        <w:rPr>
          <w:sz w:val="24"/>
          <w:szCs w:val="24"/>
        </w:rPr>
        <w:t xml:space="preserve"> the risk of any of the FFMs to occur, thus increasing the sensitivity of the EM to unsafe levels</w:t>
      </w:r>
      <w:r w:rsidR="005D4B0A">
        <w:rPr>
          <w:sz w:val="24"/>
          <w:szCs w:val="24"/>
        </w:rPr>
        <w:t xml:space="preserve">, placing lives at an unnecessary level of Risk and in </w:t>
      </w:r>
      <w:r w:rsidR="00A82FDD">
        <w:rPr>
          <w:sz w:val="24"/>
          <w:szCs w:val="24"/>
        </w:rPr>
        <w:t>extreme cases, may cause lives to be lost</w:t>
      </w:r>
      <w:r w:rsidR="005D4B0A">
        <w:rPr>
          <w:sz w:val="24"/>
          <w:szCs w:val="24"/>
        </w:rPr>
        <w:t>.</w:t>
      </w:r>
    </w:p>
    <w:p w14:paraId="634386E5" w14:textId="77777777" w:rsidR="00AE1813" w:rsidRPr="00AE1813" w:rsidRDefault="00AE1813" w:rsidP="00AE1813">
      <w:pPr>
        <w:spacing w:line="256" w:lineRule="auto"/>
        <w:ind w:left="567"/>
        <w:contextualSpacing/>
        <w:rPr>
          <w:sz w:val="24"/>
          <w:szCs w:val="24"/>
        </w:rPr>
      </w:pPr>
    </w:p>
    <w:p w14:paraId="72860C2C" w14:textId="4D4D96C0" w:rsidR="00BD21AD" w:rsidRDefault="00BD21AD" w:rsidP="00BD21AD">
      <w:pPr>
        <w:numPr>
          <w:ilvl w:val="0"/>
          <w:numId w:val="2"/>
        </w:numPr>
        <w:spacing w:line="256" w:lineRule="auto"/>
        <w:ind w:left="567" w:hanging="567"/>
        <w:contextualSpacing/>
        <w:rPr>
          <w:b/>
          <w:bCs/>
          <w:sz w:val="24"/>
          <w:szCs w:val="24"/>
          <w:u w:val="single"/>
        </w:rPr>
      </w:pPr>
      <w:r>
        <w:rPr>
          <w:b/>
          <w:bCs/>
          <w:sz w:val="24"/>
          <w:szCs w:val="24"/>
          <w:u w:val="single"/>
        </w:rPr>
        <w:t>Researched Topics – Tests</w:t>
      </w:r>
    </w:p>
    <w:p w14:paraId="41A70102" w14:textId="77777777" w:rsidR="00AE1813" w:rsidRDefault="00AE1813" w:rsidP="00AE1813">
      <w:pPr>
        <w:spacing w:line="256" w:lineRule="auto"/>
        <w:ind w:left="567"/>
        <w:contextualSpacing/>
        <w:rPr>
          <w:b/>
          <w:bCs/>
          <w:sz w:val="24"/>
          <w:szCs w:val="24"/>
          <w:u w:val="single"/>
        </w:rPr>
      </w:pPr>
    </w:p>
    <w:p w14:paraId="7F414237" w14:textId="55D428AD" w:rsidR="001C18D2" w:rsidRDefault="00F264F1" w:rsidP="001C18D2">
      <w:pPr>
        <w:spacing w:line="256" w:lineRule="auto"/>
        <w:ind w:left="567"/>
        <w:contextualSpacing/>
        <w:rPr>
          <w:sz w:val="24"/>
          <w:szCs w:val="24"/>
        </w:rPr>
      </w:pPr>
      <w:r>
        <w:rPr>
          <w:sz w:val="24"/>
          <w:szCs w:val="24"/>
        </w:rPr>
        <w:t>While the previously mentioned FFMs are a serious threat to Safety</w:t>
      </w:r>
      <w:r w:rsidR="005547CE">
        <w:rPr>
          <w:sz w:val="24"/>
          <w:szCs w:val="24"/>
        </w:rPr>
        <w:t>, they may also be de</w:t>
      </w:r>
      <w:r w:rsidR="00FE1E82">
        <w:rPr>
          <w:sz w:val="24"/>
          <w:szCs w:val="24"/>
        </w:rPr>
        <w:t>liberately inducted</w:t>
      </w:r>
      <w:r w:rsidR="005547CE">
        <w:rPr>
          <w:sz w:val="24"/>
          <w:szCs w:val="24"/>
        </w:rPr>
        <w:t xml:space="preserve"> to </w:t>
      </w:r>
      <w:r w:rsidR="00FE1E82">
        <w:rPr>
          <w:sz w:val="24"/>
          <w:szCs w:val="24"/>
        </w:rPr>
        <w:t xml:space="preserve">understand how a PBX behaves </w:t>
      </w:r>
      <w:r w:rsidR="00732B18">
        <w:rPr>
          <w:sz w:val="24"/>
          <w:szCs w:val="24"/>
        </w:rPr>
        <w:t xml:space="preserve">over time in  a process called </w:t>
      </w:r>
      <w:r w:rsidR="00BA2D72">
        <w:rPr>
          <w:sz w:val="24"/>
          <w:szCs w:val="24"/>
        </w:rPr>
        <w:t xml:space="preserve">Accelerated </w:t>
      </w:r>
      <w:r w:rsidR="00732B18">
        <w:rPr>
          <w:sz w:val="24"/>
          <w:szCs w:val="24"/>
        </w:rPr>
        <w:t>A</w:t>
      </w:r>
      <w:r w:rsidR="00BA2D72">
        <w:rPr>
          <w:sz w:val="24"/>
          <w:szCs w:val="24"/>
        </w:rPr>
        <w:t>geing</w:t>
      </w:r>
      <w:r w:rsidR="00732B18">
        <w:rPr>
          <w:sz w:val="24"/>
          <w:szCs w:val="24"/>
        </w:rPr>
        <w:t xml:space="preserve">. </w:t>
      </w:r>
      <w:r w:rsidR="00CD7379">
        <w:rPr>
          <w:sz w:val="24"/>
          <w:szCs w:val="24"/>
        </w:rPr>
        <w:t>As stated in Appendix K, the EM is placed into an oven and “cooked”</w:t>
      </w:r>
      <w:r w:rsidR="00273939">
        <w:rPr>
          <w:sz w:val="24"/>
          <w:szCs w:val="24"/>
        </w:rPr>
        <w:t xml:space="preserve"> to simulate the passage of time</w:t>
      </w:r>
      <w:r w:rsidR="001C18D2">
        <w:rPr>
          <w:sz w:val="24"/>
          <w:szCs w:val="24"/>
        </w:rPr>
        <w:t xml:space="preserve">. </w:t>
      </w:r>
      <w:r w:rsidR="001C18D2">
        <w:rPr>
          <w:sz w:val="24"/>
          <w:szCs w:val="24"/>
        </w:rPr>
        <w:t xml:space="preserve">Understanding the behaviour of PBX ageing is critical for long-term OME Safety Management; recognising the effects of various FFMs as well as being able to test for these damage mechanisms allows governments to monitor the overall condition of the EM. This in turn provides trend data; governing authorities can make more accurate hypotheses on how the PBX will age over </w:t>
      </w:r>
      <w:r w:rsidR="00C64FC0">
        <w:rPr>
          <w:sz w:val="24"/>
          <w:szCs w:val="24"/>
        </w:rPr>
        <w:t>time;</w:t>
      </w:r>
      <w:r w:rsidR="001C18D2">
        <w:rPr>
          <w:sz w:val="24"/>
          <w:szCs w:val="24"/>
        </w:rPr>
        <w:t xml:space="preserve"> this is especially important as munitions are expected to have service lives multiple decades long.</w:t>
      </w:r>
    </w:p>
    <w:p w14:paraId="6911BF4F" w14:textId="05963484" w:rsidR="008502B8" w:rsidRDefault="008502B8" w:rsidP="009E6770">
      <w:pPr>
        <w:spacing w:line="256" w:lineRule="auto"/>
        <w:ind w:left="567"/>
        <w:contextualSpacing/>
        <w:rPr>
          <w:sz w:val="24"/>
          <w:szCs w:val="24"/>
        </w:rPr>
      </w:pPr>
    </w:p>
    <w:p w14:paraId="4E7E6626" w14:textId="737ADF3E" w:rsidR="002914A8" w:rsidRDefault="001C18D2" w:rsidP="009E6770">
      <w:pPr>
        <w:spacing w:line="256" w:lineRule="auto"/>
        <w:ind w:left="567"/>
        <w:contextualSpacing/>
        <w:rPr>
          <w:sz w:val="24"/>
          <w:szCs w:val="24"/>
        </w:rPr>
      </w:pPr>
      <w:r>
        <w:rPr>
          <w:sz w:val="24"/>
          <w:szCs w:val="24"/>
        </w:rPr>
        <w:t xml:space="preserve">However, this process is not perfect; </w:t>
      </w:r>
      <w:r w:rsidR="00C64FC0">
        <w:rPr>
          <w:sz w:val="24"/>
          <w:szCs w:val="24"/>
        </w:rPr>
        <w:t xml:space="preserve">as each ingredient within a PBX has </w:t>
      </w:r>
      <w:r w:rsidR="004C0F16">
        <w:rPr>
          <w:sz w:val="24"/>
          <w:szCs w:val="24"/>
        </w:rPr>
        <w:t xml:space="preserve">its own </w:t>
      </w:r>
      <w:proofErr w:type="spellStart"/>
      <w:r w:rsidR="004C0F16">
        <w:rPr>
          <w:sz w:val="24"/>
          <w:szCs w:val="24"/>
        </w:rPr>
        <w:t>Arrenhius</w:t>
      </w:r>
      <w:proofErr w:type="spellEnd"/>
      <w:r w:rsidR="004C0F16">
        <w:rPr>
          <w:sz w:val="24"/>
          <w:szCs w:val="24"/>
        </w:rPr>
        <w:t xml:space="preserve"> Constant value, </w:t>
      </w:r>
      <w:r w:rsidR="002914A8">
        <w:rPr>
          <w:sz w:val="24"/>
          <w:szCs w:val="24"/>
        </w:rPr>
        <w:t xml:space="preserve">denoted by A in Figure 1, it can be extremely difficult to create a definitive </w:t>
      </w:r>
      <w:r w:rsidR="00530E9F">
        <w:rPr>
          <w:sz w:val="24"/>
          <w:szCs w:val="24"/>
        </w:rPr>
        <w:t>K value for the entire PBX</w:t>
      </w:r>
      <w:r w:rsidR="00681471">
        <w:rPr>
          <w:sz w:val="24"/>
          <w:szCs w:val="24"/>
        </w:rPr>
        <w:t>, thus the answer obtained may not be accurate to reality</w:t>
      </w:r>
      <w:r w:rsidR="00D25264">
        <w:rPr>
          <w:sz w:val="24"/>
          <w:szCs w:val="24"/>
        </w:rPr>
        <w:t xml:space="preserve">. However, Accelerated Ageing </w:t>
      </w:r>
      <w:r w:rsidR="00681471">
        <w:rPr>
          <w:sz w:val="24"/>
          <w:szCs w:val="24"/>
        </w:rPr>
        <w:t xml:space="preserve">is still a useful tool </w:t>
      </w:r>
      <w:r w:rsidR="00D13389">
        <w:rPr>
          <w:sz w:val="24"/>
          <w:szCs w:val="24"/>
        </w:rPr>
        <w:t>to give a general overview of the EM’s ageing behaviour.</w:t>
      </w:r>
    </w:p>
    <w:p w14:paraId="40D060EE" w14:textId="77777777" w:rsidR="002914A8" w:rsidRDefault="002914A8" w:rsidP="009E6770">
      <w:pPr>
        <w:spacing w:line="256" w:lineRule="auto"/>
        <w:ind w:left="567"/>
        <w:contextualSpacing/>
        <w:rPr>
          <w:sz w:val="24"/>
          <w:szCs w:val="24"/>
        </w:rPr>
      </w:pPr>
    </w:p>
    <w:p w14:paraId="6E75C27D" w14:textId="34ED74D0" w:rsidR="001C18D2" w:rsidRDefault="00D13389" w:rsidP="009E6770">
      <w:pPr>
        <w:spacing w:line="256" w:lineRule="auto"/>
        <w:ind w:left="567"/>
        <w:contextualSpacing/>
        <w:rPr>
          <w:sz w:val="24"/>
          <w:szCs w:val="24"/>
        </w:rPr>
      </w:pPr>
      <w:r>
        <w:rPr>
          <w:noProof/>
          <w:sz w:val="24"/>
          <w:szCs w:val="24"/>
        </w:rPr>
        <w:lastRenderedPageBreak/>
        <w:drawing>
          <wp:anchor distT="0" distB="0" distL="114300" distR="114300" simplePos="0" relativeHeight="251659264" behindDoc="1" locked="0" layoutInCell="1" allowOverlap="1" wp14:anchorId="30BC2E04" wp14:editId="612C4728">
            <wp:simplePos x="0" y="0"/>
            <wp:positionH relativeFrom="margin">
              <wp:align>center</wp:align>
            </wp:positionH>
            <wp:positionV relativeFrom="paragraph">
              <wp:posOffset>386</wp:posOffset>
            </wp:positionV>
            <wp:extent cx="2409825" cy="1895475"/>
            <wp:effectExtent l="0" t="0" r="9525" b="9525"/>
            <wp:wrapTight wrapText="bothSides">
              <wp:wrapPolygon edited="0">
                <wp:start x="0" y="0"/>
                <wp:lineTo x="0" y="21491"/>
                <wp:lineTo x="21515" y="21491"/>
                <wp:lineTo x="21515" y="0"/>
                <wp:lineTo x="0" y="0"/>
              </wp:wrapPolygon>
            </wp:wrapTight>
            <wp:docPr id="29236309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09825" cy="1895475"/>
                    </a:xfrm>
                    <a:prstGeom prst="rect">
                      <a:avLst/>
                    </a:prstGeom>
                    <a:noFill/>
                  </pic:spPr>
                </pic:pic>
              </a:graphicData>
            </a:graphic>
            <wp14:sizeRelH relativeFrom="page">
              <wp14:pctWidth>0</wp14:pctWidth>
            </wp14:sizeRelH>
            <wp14:sizeRelV relativeFrom="page">
              <wp14:pctHeight>0</wp14:pctHeight>
            </wp14:sizeRelV>
          </wp:anchor>
        </w:drawing>
      </w:r>
    </w:p>
    <w:p w14:paraId="3D94E21E" w14:textId="78A614F4" w:rsidR="00BA2D72" w:rsidRDefault="00BA2D72" w:rsidP="009E6770">
      <w:pPr>
        <w:spacing w:line="256" w:lineRule="auto"/>
        <w:ind w:left="567"/>
        <w:contextualSpacing/>
        <w:rPr>
          <w:sz w:val="24"/>
          <w:szCs w:val="24"/>
        </w:rPr>
      </w:pPr>
    </w:p>
    <w:p w14:paraId="1C1016F9" w14:textId="54CC1925" w:rsidR="00667BA8" w:rsidRDefault="00667BA8" w:rsidP="009E6770">
      <w:pPr>
        <w:spacing w:line="256" w:lineRule="auto"/>
        <w:ind w:left="567"/>
        <w:contextualSpacing/>
        <w:rPr>
          <w:sz w:val="24"/>
          <w:szCs w:val="24"/>
        </w:rPr>
      </w:pPr>
    </w:p>
    <w:p w14:paraId="3FE2EF00" w14:textId="53D5C5D7" w:rsidR="00667BA8" w:rsidRDefault="00667BA8" w:rsidP="009E6770">
      <w:pPr>
        <w:spacing w:line="256" w:lineRule="auto"/>
        <w:ind w:left="567"/>
        <w:contextualSpacing/>
        <w:rPr>
          <w:sz w:val="24"/>
          <w:szCs w:val="24"/>
        </w:rPr>
      </w:pPr>
    </w:p>
    <w:p w14:paraId="59FC794E" w14:textId="77777777" w:rsidR="00667BA8" w:rsidRDefault="00667BA8" w:rsidP="009E6770">
      <w:pPr>
        <w:spacing w:line="256" w:lineRule="auto"/>
        <w:ind w:left="567"/>
        <w:contextualSpacing/>
        <w:rPr>
          <w:sz w:val="24"/>
          <w:szCs w:val="24"/>
        </w:rPr>
      </w:pPr>
    </w:p>
    <w:p w14:paraId="6C40250D" w14:textId="77777777" w:rsidR="00667BA8" w:rsidRDefault="00667BA8" w:rsidP="009E6770">
      <w:pPr>
        <w:spacing w:line="256" w:lineRule="auto"/>
        <w:ind w:left="567"/>
        <w:contextualSpacing/>
        <w:rPr>
          <w:sz w:val="24"/>
          <w:szCs w:val="24"/>
        </w:rPr>
      </w:pPr>
    </w:p>
    <w:p w14:paraId="18B1B575" w14:textId="77777777" w:rsidR="00667BA8" w:rsidRDefault="00667BA8" w:rsidP="009E6770">
      <w:pPr>
        <w:spacing w:line="256" w:lineRule="auto"/>
        <w:ind w:left="567"/>
        <w:contextualSpacing/>
        <w:rPr>
          <w:sz w:val="24"/>
          <w:szCs w:val="24"/>
        </w:rPr>
      </w:pPr>
    </w:p>
    <w:p w14:paraId="12884153" w14:textId="46EC2B71" w:rsidR="00667BA8" w:rsidRDefault="00667BA8" w:rsidP="009E6770">
      <w:pPr>
        <w:spacing w:line="256" w:lineRule="auto"/>
        <w:ind w:left="567"/>
        <w:contextualSpacing/>
        <w:rPr>
          <w:sz w:val="24"/>
          <w:szCs w:val="24"/>
        </w:rPr>
      </w:pPr>
    </w:p>
    <w:p w14:paraId="54819A5D" w14:textId="77777777" w:rsidR="00667BA8" w:rsidRDefault="00667BA8" w:rsidP="009E6770">
      <w:pPr>
        <w:spacing w:line="256" w:lineRule="auto"/>
        <w:ind w:left="567"/>
        <w:contextualSpacing/>
        <w:rPr>
          <w:sz w:val="24"/>
          <w:szCs w:val="24"/>
        </w:rPr>
      </w:pPr>
    </w:p>
    <w:p w14:paraId="294DA199" w14:textId="77777777" w:rsidR="00530E9F" w:rsidRDefault="00530E9F" w:rsidP="009E6770">
      <w:pPr>
        <w:spacing w:line="256" w:lineRule="auto"/>
        <w:ind w:left="567"/>
        <w:contextualSpacing/>
        <w:rPr>
          <w:sz w:val="24"/>
          <w:szCs w:val="24"/>
        </w:rPr>
      </w:pPr>
    </w:p>
    <w:p w14:paraId="5D716C0D" w14:textId="3F6BC7F5" w:rsidR="00667BA8" w:rsidRDefault="00D13389" w:rsidP="009E6770">
      <w:pPr>
        <w:spacing w:line="256" w:lineRule="auto"/>
        <w:ind w:left="567"/>
        <w:contextualSpacing/>
        <w:rPr>
          <w:sz w:val="24"/>
          <w:szCs w:val="24"/>
        </w:rPr>
      </w:pPr>
      <w:r>
        <w:rPr>
          <w:sz w:val="24"/>
          <w:szCs w:val="24"/>
        </w:rPr>
        <w:t xml:space="preserve">STANAG 4666 </w:t>
      </w:r>
      <w:r w:rsidR="00136155">
        <w:rPr>
          <w:sz w:val="24"/>
          <w:szCs w:val="24"/>
        </w:rPr>
        <w:t>contains a comprehensive testing regimen for PBXs in service</w:t>
      </w:r>
      <w:r w:rsidR="00A15930">
        <w:rPr>
          <w:sz w:val="24"/>
          <w:szCs w:val="24"/>
        </w:rPr>
        <w:t xml:space="preserve"> intended to address all of the FFMs outlined in Appendix M</w:t>
      </w:r>
      <w:r w:rsidR="00D2464F">
        <w:rPr>
          <w:sz w:val="24"/>
          <w:szCs w:val="24"/>
        </w:rPr>
        <w:t xml:space="preserve">, </w:t>
      </w:r>
      <w:r w:rsidR="00DD0E58">
        <w:rPr>
          <w:sz w:val="24"/>
          <w:szCs w:val="24"/>
        </w:rPr>
        <w:t xml:space="preserve">three of these were chosen as examples. The Compression test outlined in </w:t>
      </w:r>
      <w:r w:rsidR="00640532">
        <w:rPr>
          <w:sz w:val="24"/>
          <w:szCs w:val="24"/>
        </w:rPr>
        <w:t xml:space="preserve">Appendix N is used to determine if Chainscission or Oxidative Cross-Linking has </w:t>
      </w:r>
      <w:r w:rsidR="00911674">
        <w:rPr>
          <w:sz w:val="24"/>
          <w:szCs w:val="24"/>
        </w:rPr>
        <w:t xml:space="preserve">occurred; the sample is soaked </w:t>
      </w:r>
      <w:r w:rsidR="00DE58CB">
        <w:rPr>
          <w:sz w:val="24"/>
          <w:szCs w:val="24"/>
        </w:rPr>
        <w:t>in Toluene</w:t>
      </w:r>
      <w:r w:rsidR="00CC1B45">
        <w:rPr>
          <w:sz w:val="24"/>
          <w:szCs w:val="24"/>
        </w:rPr>
        <w:t xml:space="preserve"> to improve pliability</w:t>
      </w:r>
      <w:r w:rsidR="00DE58CB">
        <w:rPr>
          <w:sz w:val="24"/>
          <w:szCs w:val="24"/>
        </w:rPr>
        <w:t xml:space="preserve"> and placed under increasing increments of pressure. The level of material deflection is </w:t>
      </w:r>
      <w:r w:rsidR="00CC1B45">
        <w:rPr>
          <w:sz w:val="24"/>
          <w:szCs w:val="24"/>
        </w:rPr>
        <w:t>compared to the deflection of a fresh sample. This can show how the material has changed</w:t>
      </w:r>
      <w:r w:rsidR="00E72222">
        <w:rPr>
          <w:sz w:val="24"/>
          <w:szCs w:val="24"/>
        </w:rPr>
        <w:t>; less deflection than expected shows that Oxidative Cross-Linking has occurred</w:t>
      </w:r>
      <w:r w:rsidR="000C3B64">
        <w:rPr>
          <w:sz w:val="24"/>
          <w:szCs w:val="24"/>
        </w:rPr>
        <w:t xml:space="preserve"> as the EM has hardened, a large degree of deflection notes that the EM has softened, showing that </w:t>
      </w:r>
      <w:r w:rsidR="00CC1B45">
        <w:rPr>
          <w:sz w:val="24"/>
          <w:szCs w:val="24"/>
        </w:rPr>
        <w:t xml:space="preserve"> </w:t>
      </w:r>
      <w:r w:rsidR="000C3B64">
        <w:rPr>
          <w:sz w:val="24"/>
          <w:szCs w:val="24"/>
        </w:rPr>
        <w:t>Chainscission has taken place. The degree of deflection indicates how severe the damage is [22] [23].</w:t>
      </w:r>
    </w:p>
    <w:p w14:paraId="54D89CD7" w14:textId="77777777" w:rsidR="00667BA8" w:rsidRDefault="00667BA8" w:rsidP="009E6770">
      <w:pPr>
        <w:spacing w:line="256" w:lineRule="auto"/>
        <w:ind w:left="567"/>
        <w:contextualSpacing/>
        <w:rPr>
          <w:sz w:val="24"/>
          <w:szCs w:val="24"/>
        </w:rPr>
      </w:pPr>
    </w:p>
    <w:p w14:paraId="79906A21" w14:textId="11464274" w:rsidR="00A047CD" w:rsidRDefault="000C3B64" w:rsidP="009E6770">
      <w:pPr>
        <w:spacing w:line="256" w:lineRule="auto"/>
        <w:ind w:left="567"/>
        <w:contextualSpacing/>
        <w:rPr>
          <w:sz w:val="24"/>
          <w:szCs w:val="24"/>
        </w:rPr>
      </w:pPr>
      <w:r>
        <w:rPr>
          <w:sz w:val="24"/>
          <w:szCs w:val="24"/>
        </w:rPr>
        <w:t xml:space="preserve">To test for </w:t>
      </w:r>
      <w:r w:rsidR="0033608D">
        <w:rPr>
          <w:sz w:val="24"/>
          <w:szCs w:val="24"/>
        </w:rPr>
        <w:t xml:space="preserve">the integrity of the Plasticiser, </w:t>
      </w:r>
      <w:r w:rsidR="00A047CD">
        <w:rPr>
          <w:sz w:val="24"/>
          <w:szCs w:val="24"/>
        </w:rPr>
        <w:t xml:space="preserve">Gas Chromatography </w:t>
      </w:r>
      <w:r w:rsidR="0033608D">
        <w:rPr>
          <w:sz w:val="24"/>
          <w:szCs w:val="24"/>
        </w:rPr>
        <w:t xml:space="preserve">is used. </w:t>
      </w:r>
      <w:r w:rsidR="00CD6A2C">
        <w:rPr>
          <w:sz w:val="24"/>
          <w:szCs w:val="24"/>
        </w:rPr>
        <w:t xml:space="preserve">The sample is </w:t>
      </w:r>
      <w:r w:rsidR="00EA3343">
        <w:rPr>
          <w:sz w:val="24"/>
          <w:szCs w:val="24"/>
        </w:rPr>
        <w:t xml:space="preserve">dissolved in Acetone and vaporised. The </w:t>
      </w:r>
      <w:r w:rsidR="0045663C">
        <w:rPr>
          <w:sz w:val="24"/>
          <w:szCs w:val="24"/>
        </w:rPr>
        <w:t xml:space="preserve">Gas Chromatographer then separates the PBX into </w:t>
      </w:r>
      <w:r w:rsidR="003C5746">
        <w:rPr>
          <w:sz w:val="24"/>
          <w:szCs w:val="24"/>
        </w:rPr>
        <w:t>its</w:t>
      </w:r>
      <w:r w:rsidR="0045663C">
        <w:rPr>
          <w:sz w:val="24"/>
          <w:szCs w:val="24"/>
        </w:rPr>
        <w:t xml:space="preserve"> constituent ingredients</w:t>
      </w:r>
      <w:r w:rsidR="003C5746">
        <w:rPr>
          <w:sz w:val="24"/>
          <w:szCs w:val="24"/>
        </w:rPr>
        <w:t xml:space="preserve"> and the quantities of each are compared to a fresh sample</w:t>
      </w:r>
      <w:r w:rsidR="0045663C">
        <w:rPr>
          <w:sz w:val="24"/>
          <w:szCs w:val="24"/>
        </w:rPr>
        <w:t>. This is useful as</w:t>
      </w:r>
      <w:r w:rsidR="003C5746">
        <w:rPr>
          <w:sz w:val="24"/>
          <w:szCs w:val="24"/>
        </w:rPr>
        <w:t xml:space="preserve"> not only can the level of remaining plasticiser be </w:t>
      </w:r>
      <w:r w:rsidR="003009A4">
        <w:rPr>
          <w:sz w:val="24"/>
          <w:szCs w:val="24"/>
        </w:rPr>
        <w:t>obtained</w:t>
      </w:r>
      <w:r w:rsidR="0040064B">
        <w:rPr>
          <w:sz w:val="24"/>
          <w:szCs w:val="24"/>
        </w:rPr>
        <w:t>, but</w:t>
      </w:r>
      <w:r w:rsidR="003C5746">
        <w:rPr>
          <w:sz w:val="24"/>
          <w:szCs w:val="24"/>
        </w:rPr>
        <w:t xml:space="preserve"> performing multiple tests over an extended period of time </w:t>
      </w:r>
      <w:r w:rsidR="00DF31EA">
        <w:rPr>
          <w:sz w:val="24"/>
          <w:szCs w:val="24"/>
        </w:rPr>
        <w:t xml:space="preserve">can reveal the rate of Plasticiser depletion and </w:t>
      </w:r>
      <w:r w:rsidR="003009A4">
        <w:rPr>
          <w:sz w:val="24"/>
          <w:szCs w:val="24"/>
        </w:rPr>
        <w:t xml:space="preserve">quantities remaining </w:t>
      </w:r>
      <w:r w:rsidR="0040064B">
        <w:rPr>
          <w:sz w:val="24"/>
          <w:szCs w:val="24"/>
        </w:rPr>
        <w:t>in future can be extrapolated [22] [23].</w:t>
      </w:r>
    </w:p>
    <w:p w14:paraId="5C31B777" w14:textId="77777777" w:rsidR="00A047CD" w:rsidRDefault="00A047CD" w:rsidP="009E6770">
      <w:pPr>
        <w:spacing w:line="256" w:lineRule="auto"/>
        <w:ind w:left="567"/>
        <w:contextualSpacing/>
        <w:rPr>
          <w:sz w:val="24"/>
          <w:szCs w:val="24"/>
        </w:rPr>
      </w:pPr>
    </w:p>
    <w:p w14:paraId="260D46C9" w14:textId="7D96068C" w:rsidR="00A047CD" w:rsidRDefault="0033608D" w:rsidP="009E6770">
      <w:pPr>
        <w:spacing w:line="256" w:lineRule="auto"/>
        <w:ind w:left="567"/>
        <w:contextualSpacing/>
        <w:rPr>
          <w:sz w:val="24"/>
          <w:szCs w:val="24"/>
        </w:rPr>
      </w:pPr>
      <w:r>
        <w:rPr>
          <w:sz w:val="24"/>
          <w:szCs w:val="24"/>
        </w:rPr>
        <w:t xml:space="preserve">Dewetting is a major Hazard within PBX blends </w:t>
      </w:r>
      <w:r w:rsidR="0040064B">
        <w:rPr>
          <w:sz w:val="24"/>
          <w:szCs w:val="24"/>
        </w:rPr>
        <w:t xml:space="preserve">as already established, </w:t>
      </w:r>
      <w:r w:rsidR="00062FD8">
        <w:rPr>
          <w:sz w:val="24"/>
          <w:szCs w:val="24"/>
        </w:rPr>
        <w:t xml:space="preserve">testing for this FFM is comparatively simple; the sample can be </w:t>
      </w:r>
      <w:r w:rsidR="005D3BEB">
        <w:rPr>
          <w:sz w:val="24"/>
          <w:szCs w:val="24"/>
        </w:rPr>
        <w:t xml:space="preserve">inspected with a </w:t>
      </w:r>
      <w:r w:rsidR="00A047CD">
        <w:rPr>
          <w:sz w:val="24"/>
          <w:szCs w:val="24"/>
        </w:rPr>
        <w:t>S</w:t>
      </w:r>
      <w:r w:rsidR="007D73D8">
        <w:rPr>
          <w:sz w:val="24"/>
          <w:szCs w:val="24"/>
        </w:rPr>
        <w:t xml:space="preserve">canning </w:t>
      </w:r>
      <w:r w:rsidR="00A047CD">
        <w:rPr>
          <w:sz w:val="24"/>
          <w:szCs w:val="24"/>
        </w:rPr>
        <w:t>E</w:t>
      </w:r>
      <w:r w:rsidR="007D73D8">
        <w:rPr>
          <w:sz w:val="24"/>
          <w:szCs w:val="24"/>
        </w:rPr>
        <w:t xml:space="preserve">lectron </w:t>
      </w:r>
      <w:r w:rsidR="00A047CD">
        <w:rPr>
          <w:sz w:val="24"/>
          <w:szCs w:val="24"/>
        </w:rPr>
        <w:t>M</w:t>
      </w:r>
      <w:r w:rsidR="007D73D8">
        <w:rPr>
          <w:sz w:val="24"/>
          <w:szCs w:val="24"/>
        </w:rPr>
        <w:t>icroscope</w:t>
      </w:r>
      <w:r w:rsidR="001010D0">
        <w:rPr>
          <w:sz w:val="24"/>
          <w:szCs w:val="24"/>
        </w:rPr>
        <w:t>. Any voids left behind by Dewetting are immediately obvious as seen in Appendix P, however this only tests for surface-level defects</w:t>
      </w:r>
      <w:r w:rsidR="000370C3">
        <w:rPr>
          <w:sz w:val="24"/>
          <w:szCs w:val="24"/>
        </w:rPr>
        <w:t>. For a more comprehensive impression of the EM, a sample can be</w:t>
      </w:r>
      <w:r w:rsidR="009661F3">
        <w:rPr>
          <w:sz w:val="24"/>
          <w:szCs w:val="24"/>
        </w:rPr>
        <w:t xml:space="preserve"> subjected to </w:t>
      </w:r>
      <w:r w:rsidR="008E44DE">
        <w:rPr>
          <w:sz w:val="24"/>
          <w:szCs w:val="24"/>
        </w:rPr>
        <w:t>Computed Tomography, using</w:t>
      </w:r>
      <w:r w:rsidR="000370C3">
        <w:rPr>
          <w:sz w:val="24"/>
          <w:szCs w:val="24"/>
        </w:rPr>
        <w:t xml:space="preserve"> </w:t>
      </w:r>
      <w:r w:rsidR="00A047CD">
        <w:rPr>
          <w:sz w:val="24"/>
          <w:szCs w:val="24"/>
        </w:rPr>
        <w:t>X-</w:t>
      </w:r>
      <w:r w:rsidR="000370C3">
        <w:rPr>
          <w:sz w:val="24"/>
          <w:szCs w:val="24"/>
        </w:rPr>
        <w:t>R</w:t>
      </w:r>
      <w:r w:rsidR="00A047CD">
        <w:rPr>
          <w:sz w:val="24"/>
          <w:szCs w:val="24"/>
        </w:rPr>
        <w:t>ay</w:t>
      </w:r>
      <w:r w:rsidR="008E44DE">
        <w:rPr>
          <w:sz w:val="24"/>
          <w:szCs w:val="24"/>
        </w:rPr>
        <w:t xml:space="preserve">s to gain a three-dimensional view of the </w:t>
      </w:r>
      <w:r w:rsidR="003F7DCB">
        <w:rPr>
          <w:sz w:val="24"/>
          <w:szCs w:val="24"/>
        </w:rPr>
        <w:t>sample</w:t>
      </w:r>
      <w:r w:rsidR="001D3CA4">
        <w:rPr>
          <w:sz w:val="24"/>
          <w:szCs w:val="24"/>
        </w:rPr>
        <w:t xml:space="preserve"> and determine if any Dewetting has occurred beneath the surface [22] [23].</w:t>
      </w:r>
    </w:p>
    <w:p w14:paraId="60799C76" w14:textId="77777777" w:rsidR="004A004F" w:rsidRPr="00B92442" w:rsidRDefault="004A004F" w:rsidP="009E6770">
      <w:pPr>
        <w:spacing w:line="256" w:lineRule="auto"/>
        <w:ind w:left="567"/>
        <w:contextualSpacing/>
        <w:rPr>
          <w:sz w:val="20"/>
          <w:szCs w:val="20"/>
        </w:rPr>
      </w:pPr>
    </w:p>
    <w:p w14:paraId="4C7BF121" w14:textId="77777777" w:rsidR="004A004F" w:rsidRDefault="004A004F" w:rsidP="004A004F">
      <w:pPr>
        <w:numPr>
          <w:ilvl w:val="0"/>
          <w:numId w:val="2"/>
        </w:numPr>
        <w:spacing w:line="256" w:lineRule="auto"/>
        <w:ind w:left="567" w:hanging="567"/>
        <w:contextualSpacing/>
        <w:rPr>
          <w:b/>
          <w:bCs/>
          <w:sz w:val="24"/>
          <w:szCs w:val="24"/>
          <w:u w:val="single"/>
        </w:rPr>
      </w:pPr>
      <w:r w:rsidRPr="00D901AD">
        <w:rPr>
          <w:b/>
          <w:bCs/>
          <w:sz w:val="24"/>
          <w:szCs w:val="24"/>
          <w:u w:val="single"/>
        </w:rPr>
        <w:t>Conclusions</w:t>
      </w:r>
    </w:p>
    <w:p w14:paraId="49DE4DA0" w14:textId="77777777" w:rsidR="004A004F" w:rsidRDefault="004A004F" w:rsidP="004A004F">
      <w:pPr>
        <w:spacing w:line="256" w:lineRule="auto"/>
        <w:ind w:left="567"/>
        <w:contextualSpacing/>
        <w:rPr>
          <w:sz w:val="24"/>
          <w:szCs w:val="24"/>
        </w:rPr>
      </w:pPr>
    </w:p>
    <w:p w14:paraId="0F5E1B61" w14:textId="2B068958" w:rsidR="002043E1" w:rsidRDefault="001C18D2" w:rsidP="004A004F">
      <w:pPr>
        <w:spacing w:line="256" w:lineRule="auto"/>
        <w:ind w:left="567"/>
        <w:contextualSpacing/>
        <w:rPr>
          <w:sz w:val="24"/>
          <w:szCs w:val="24"/>
        </w:rPr>
      </w:pPr>
      <w:r>
        <w:rPr>
          <w:sz w:val="24"/>
          <w:szCs w:val="24"/>
        </w:rPr>
        <w:t>All of t</w:t>
      </w:r>
      <w:r w:rsidR="00BC0DC5">
        <w:rPr>
          <w:sz w:val="24"/>
          <w:szCs w:val="24"/>
        </w:rPr>
        <w:t>his data is critical to informing the EM’s Safety Argument</w:t>
      </w:r>
      <w:r w:rsidR="00C167CF">
        <w:rPr>
          <w:sz w:val="24"/>
          <w:szCs w:val="24"/>
        </w:rPr>
        <w:t xml:space="preserve">; the ability to predict </w:t>
      </w:r>
      <w:r w:rsidR="00BC0DC5">
        <w:rPr>
          <w:sz w:val="24"/>
          <w:szCs w:val="24"/>
        </w:rPr>
        <w:t xml:space="preserve">whether </w:t>
      </w:r>
      <w:r w:rsidR="00001E1C">
        <w:rPr>
          <w:sz w:val="24"/>
          <w:szCs w:val="24"/>
        </w:rPr>
        <w:t xml:space="preserve">or </w:t>
      </w:r>
      <w:r w:rsidR="00BC0DC5">
        <w:rPr>
          <w:sz w:val="24"/>
          <w:szCs w:val="24"/>
        </w:rPr>
        <w:t>not the EM will remain safe to use</w:t>
      </w:r>
      <w:r w:rsidR="00C167CF">
        <w:rPr>
          <w:sz w:val="24"/>
          <w:szCs w:val="24"/>
        </w:rPr>
        <w:t xml:space="preserve"> over the course of </w:t>
      </w:r>
      <w:proofErr w:type="gramStart"/>
      <w:r w:rsidR="00803B9C">
        <w:rPr>
          <w:sz w:val="24"/>
          <w:szCs w:val="24"/>
        </w:rPr>
        <w:t>it’s</w:t>
      </w:r>
      <w:proofErr w:type="gramEnd"/>
      <w:r w:rsidR="00803B9C">
        <w:rPr>
          <w:sz w:val="24"/>
          <w:szCs w:val="24"/>
        </w:rPr>
        <w:t xml:space="preserve"> service life </w:t>
      </w:r>
      <w:r w:rsidR="00001E1C">
        <w:rPr>
          <w:sz w:val="24"/>
          <w:szCs w:val="24"/>
        </w:rPr>
        <w:t xml:space="preserve">is critical as </w:t>
      </w:r>
      <w:r w:rsidR="00001E1C">
        <w:rPr>
          <w:sz w:val="24"/>
          <w:szCs w:val="24"/>
        </w:rPr>
        <w:t>changes in the EM can be predicted ahead of time, before the explosive becomes unsafe.</w:t>
      </w:r>
      <w:r w:rsidR="00001E1C">
        <w:rPr>
          <w:sz w:val="24"/>
          <w:szCs w:val="24"/>
        </w:rPr>
        <w:t xml:space="preserve"> Understanding </w:t>
      </w:r>
      <w:r w:rsidR="0031474C">
        <w:rPr>
          <w:sz w:val="24"/>
          <w:szCs w:val="24"/>
        </w:rPr>
        <w:t xml:space="preserve">when the EM becomes unusable also </w:t>
      </w:r>
      <w:r w:rsidR="0031474C">
        <w:rPr>
          <w:sz w:val="24"/>
          <w:szCs w:val="24"/>
        </w:rPr>
        <w:lastRenderedPageBreak/>
        <w:t xml:space="preserve">influences financial planning, </w:t>
      </w:r>
      <w:r w:rsidR="0087121D">
        <w:rPr>
          <w:sz w:val="24"/>
          <w:szCs w:val="24"/>
        </w:rPr>
        <w:t xml:space="preserve">explosives that become unsafe over a short period of time </w:t>
      </w:r>
      <w:r w:rsidR="00DC5F00">
        <w:rPr>
          <w:sz w:val="24"/>
          <w:szCs w:val="24"/>
        </w:rPr>
        <w:t>will be more expensive on a long-term basis</w:t>
      </w:r>
      <w:r w:rsidR="00D30823">
        <w:rPr>
          <w:sz w:val="24"/>
          <w:szCs w:val="24"/>
        </w:rPr>
        <w:t xml:space="preserve"> as constant replacement will be required</w:t>
      </w:r>
      <w:r w:rsidR="001E5364">
        <w:rPr>
          <w:sz w:val="24"/>
          <w:szCs w:val="24"/>
        </w:rPr>
        <w:t xml:space="preserve">. </w:t>
      </w:r>
      <w:r w:rsidR="00A72DBA">
        <w:rPr>
          <w:sz w:val="24"/>
          <w:szCs w:val="24"/>
        </w:rPr>
        <w:t xml:space="preserve">The opposite is true; EM that can survive for decades in long-term storage will </w:t>
      </w:r>
      <w:r w:rsidR="00B2609F">
        <w:rPr>
          <w:sz w:val="24"/>
          <w:szCs w:val="24"/>
        </w:rPr>
        <w:t xml:space="preserve">not need to be replaced as often and therefore will be cheaper throughout the Concept, Assessment, Demonstration, Manufacture, In-Service, </w:t>
      </w:r>
      <w:r w:rsidR="00E45A6D">
        <w:rPr>
          <w:sz w:val="24"/>
          <w:szCs w:val="24"/>
        </w:rPr>
        <w:t>Disposal (CADMID) cycle.</w:t>
      </w:r>
    </w:p>
    <w:p w14:paraId="66A3C7CF" w14:textId="77777777" w:rsidR="006926BA" w:rsidRDefault="006926BA" w:rsidP="004A004F">
      <w:pPr>
        <w:spacing w:line="256" w:lineRule="auto"/>
        <w:ind w:left="567"/>
        <w:contextualSpacing/>
        <w:rPr>
          <w:sz w:val="24"/>
          <w:szCs w:val="24"/>
        </w:rPr>
      </w:pPr>
    </w:p>
    <w:p w14:paraId="001B275C" w14:textId="77777777" w:rsidR="004A004F" w:rsidRDefault="004A004F" w:rsidP="004A004F">
      <w:pPr>
        <w:numPr>
          <w:ilvl w:val="0"/>
          <w:numId w:val="2"/>
        </w:numPr>
        <w:spacing w:line="256" w:lineRule="auto"/>
        <w:ind w:left="567" w:hanging="567"/>
        <w:contextualSpacing/>
        <w:rPr>
          <w:b/>
          <w:bCs/>
          <w:sz w:val="24"/>
          <w:szCs w:val="24"/>
          <w:u w:val="single"/>
        </w:rPr>
      </w:pPr>
      <w:r w:rsidRPr="000B3E60">
        <w:rPr>
          <w:b/>
          <w:bCs/>
          <w:sz w:val="24"/>
          <w:szCs w:val="24"/>
          <w:u w:val="single"/>
        </w:rPr>
        <w:t xml:space="preserve">References &amp; Appendices </w:t>
      </w:r>
    </w:p>
    <w:p w14:paraId="2528A78C" w14:textId="77777777" w:rsidR="006926BA" w:rsidRPr="000B3E60" w:rsidRDefault="006926BA" w:rsidP="006926BA">
      <w:pPr>
        <w:spacing w:line="256" w:lineRule="auto"/>
        <w:ind w:left="567"/>
        <w:contextualSpacing/>
        <w:rPr>
          <w:b/>
          <w:bCs/>
          <w:sz w:val="24"/>
          <w:szCs w:val="24"/>
          <w:u w:val="single"/>
        </w:rPr>
      </w:pPr>
    </w:p>
    <w:p w14:paraId="7DCD19F1" w14:textId="77777777" w:rsidR="00327490" w:rsidRPr="00327490" w:rsidRDefault="00327490" w:rsidP="00327490">
      <w:pPr>
        <w:ind w:left="567"/>
        <w:rPr>
          <w:sz w:val="24"/>
          <w:szCs w:val="24"/>
        </w:rPr>
      </w:pPr>
      <w:r w:rsidRPr="00327490">
        <w:rPr>
          <w:sz w:val="24"/>
          <w:szCs w:val="24"/>
        </w:rPr>
        <w:t xml:space="preserve">[1] – </w:t>
      </w:r>
      <w:proofErr w:type="spellStart"/>
      <w:r w:rsidRPr="00327490">
        <w:rPr>
          <w:sz w:val="24"/>
          <w:szCs w:val="24"/>
        </w:rPr>
        <w:t>C.Williams</w:t>
      </w:r>
      <w:proofErr w:type="spellEnd"/>
      <w:r w:rsidRPr="00327490">
        <w:rPr>
          <w:sz w:val="24"/>
          <w:szCs w:val="24"/>
        </w:rPr>
        <w:t xml:space="preserve">, 01 April 2015, Weapons Systems Division Defence Science and Technology Organisation Australia, </w:t>
      </w:r>
      <w:r w:rsidRPr="00327490">
        <w:rPr>
          <w:i/>
          <w:iCs/>
          <w:sz w:val="24"/>
          <w:szCs w:val="24"/>
        </w:rPr>
        <w:t xml:space="preserve">Investigation into the Interaction of </w:t>
      </w:r>
      <w:proofErr w:type="spellStart"/>
      <w:r w:rsidRPr="00327490">
        <w:rPr>
          <w:i/>
          <w:iCs/>
          <w:sz w:val="24"/>
          <w:szCs w:val="24"/>
        </w:rPr>
        <w:t>Dantocol</w:t>
      </w:r>
      <w:proofErr w:type="spellEnd"/>
      <w:r w:rsidRPr="00327490">
        <w:rPr>
          <w:i/>
          <w:iCs/>
          <w:sz w:val="24"/>
          <w:szCs w:val="24"/>
        </w:rPr>
        <w:t xml:space="preserve"> in Polymer Bonded Explosives and Bonding Agent Development,</w:t>
      </w:r>
      <w:r w:rsidRPr="00327490">
        <w:rPr>
          <w:sz w:val="24"/>
          <w:szCs w:val="24"/>
        </w:rPr>
        <w:t xml:space="preserve"> Accessed 09 January 2026, </w:t>
      </w:r>
      <w:hyperlink r:id="rId11" w:history="1">
        <w:r w:rsidRPr="00327490">
          <w:rPr>
            <w:rStyle w:val="Hyperlink"/>
            <w:sz w:val="24"/>
            <w:szCs w:val="24"/>
          </w:rPr>
          <w:t>https://flex.flinders.edu.au/file/7b760c25-12bc-4897-81d6-f841e5b3563b/1/ThesisWilliams2015.pdf</w:t>
        </w:r>
      </w:hyperlink>
      <w:r w:rsidRPr="00327490">
        <w:rPr>
          <w:sz w:val="24"/>
          <w:szCs w:val="24"/>
        </w:rPr>
        <w:t xml:space="preserve"> </w:t>
      </w:r>
    </w:p>
    <w:p w14:paraId="40692D6F" w14:textId="77777777" w:rsidR="00327490" w:rsidRPr="00327490" w:rsidRDefault="00327490" w:rsidP="00327490">
      <w:pPr>
        <w:ind w:left="567"/>
        <w:rPr>
          <w:sz w:val="24"/>
          <w:szCs w:val="24"/>
        </w:rPr>
      </w:pPr>
      <w:r w:rsidRPr="00327490">
        <w:rPr>
          <w:sz w:val="24"/>
          <w:szCs w:val="24"/>
        </w:rPr>
        <w:t xml:space="preserve">[2] – </w:t>
      </w:r>
      <w:proofErr w:type="spellStart"/>
      <w:r w:rsidRPr="00327490">
        <w:rPr>
          <w:sz w:val="24"/>
          <w:szCs w:val="24"/>
        </w:rPr>
        <w:t>J.Pietron</w:t>
      </w:r>
      <w:proofErr w:type="spellEnd"/>
      <w:r w:rsidRPr="00327490">
        <w:rPr>
          <w:sz w:val="24"/>
          <w:szCs w:val="24"/>
        </w:rPr>
        <w:t xml:space="preserve"> &amp; </w:t>
      </w:r>
      <w:proofErr w:type="spellStart"/>
      <w:r w:rsidRPr="00327490">
        <w:rPr>
          <w:sz w:val="24"/>
          <w:szCs w:val="24"/>
        </w:rPr>
        <w:t>P.Mirkarimi</w:t>
      </w:r>
      <w:proofErr w:type="spellEnd"/>
      <w:r w:rsidRPr="00327490">
        <w:rPr>
          <w:sz w:val="24"/>
          <w:szCs w:val="24"/>
        </w:rPr>
        <w:t xml:space="preserve">, 28 February 2022, Wiley-Verlag Chemie Publishing, </w:t>
      </w:r>
      <w:r w:rsidRPr="00327490">
        <w:rPr>
          <w:i/>
          <w:iCs/>
          <w:sz w:val="24"/>
          <w:szCs w:val="24"/>
        </w:rPr>
        <w:t>Review of the Effects of Polymer Binder Properties on Microstructure and Irreversible Volume Growth of Plastic Bonded Explosives Formulations,</w:t>
      </w:r>
      <w:r w:rsidRPr="00327490">
        <w:rPr>
          <w:sz w:val="24"/>
          <w:szCs w:val="24"/>
        </w:rPr>
        <w:t xml:space="preserve"> Accessed on 10 January 2026,  </w:t>
      </w:r>
      <w:hyperlink r:id="rId12" w:history="1">
        <w:r w:rsidRPr="00327490">
          <w:rPr>
            <w:rStyle w:val="Hyperlink"/>
            <w:sz w:val="24"/>
            <w:szCs w:val="24"/>
          </w:rPr>
          <w:t>https://d-nb.info/1258485303/34</w:t>
        </w:r>
      </w:hyperlink>
    </w:p>
    <w:p w14:paraId="1E00D0F8" w14:textId="77777777" w:rsidR="00327490" w:rsidRPr="00327490" w:rsidRDefault="00327490" w:rsidP="00327490">
      <w:pPr>
        <w:ind w:left="567"/>
        <w:rPr>
          <w:sz w:val="24"/>
          <w:szCs w:val="24"/>
        </w:rPr>
      </w:pPr>
      <w:r w:rsidRPr="00327490">
        <w:rPr>
          <w:sz w:val="24"/>
          <w:szCs w:val="24"/>
        </w:rPr>
        <w:t xml:space="preserve"> [3] – </w:t>
      </w:r>
      <w:proofErr w:type="spellStart"/>
      <w:r w:rsidRPr="00327490">
        <w:rPr>
          <w:sz w:val="24"/>
          <w:szCs w:val="24"/>
        </w:rPr>
        <w:t>K.Dongwoo</w:t>
      </w:r>
      <w:proofErr w:type="spellEnd"/>
      <w:r w:rsidRPr="00327490">
        <w:rPr>
          <w:sz w:val="24"/>
          <w:szCs w:val="24"/>
        </w:rPr>
        <w:t xml:space="preserve"> &amp; </w:t>
      </w:r>
      <w:proofErr w:type="spellStart"/>
      <w:r w:rsidRPr="00327490">
        <w:rPr>
          <w:sz w:val="24"/>
          <w:szCs w:val="24"/>
        </w:rPr>
        <w:t>K.Hyejoo</w:t>
      </w:r>
      <w:proofErr w:type="spellEnd"/>
      <w:r w:rsidRPr="00327490">
        <w:rPr>
          <w:sz w:val="24"/>
          <w:szCs w:val="24"/>
        </w:rPr>
        <w:t xml:space="preserve">, 25 November 2025, Journal of Industrial &amp; Chemical Engineering,  </w:t>
      </w:r>
      <w:r w:rsidRPr="00327490">
        <w:rPr>
          <w:i/>
          <w:iCs/>
          <w:sz w:val="24"/>
          <w:szCs w:val="24"/>
        </w:rPr>
        <w:t>Effect of a polymer binder on the extraction and crystallization-based recovery of HMX from polymer-bonded explosives,</w:t>
      </w:r>
      <w:r w:rsidRPr="00327490">
        <w:rPr>
          <w:sz w:val="24"/>
          <w:szCs w:val="24"/>
        </w:rPr>
        <w:t xml:space="preserve"> Accessed on 10 January 2026, </w:t>
      </w:r>
      <w:hyperlink r:id="rId13" w:history="1">
        <w:r w:rsidRPr="00327490">
          <w:rPr>
            <w:rStyle w:val="Hyperlink"/>
            <w:sz w:val="24"/>
            <w:szCs w:val="24"/>
          </w:rPr>
          <w:t>https://www.sciencedirect.com/science/article/abs/pii/S1226086X19303041</w:t>
        </w:r>
      </w:hyperlink>
    </w:p>
    <w:p w14:paraId="205D852D" w14:textId="77777777" w:rsidR="00327490" w:rsidRPr="00327490" w:rsidRDefault="00327490" w:rsidP="00327490">
      <w:pPr>
        <w:ind w:left="567"/>
        <w:rPr>
          <w:sz w:val="24"/>
          <w:szCs w:val="24"/>
        </w:rPr>
      </w:pPr>
      <w:r w:rsidRPr="00327490">
        <w:rPr>
          <w:sz w:val="24"/>
          <w:szCs w:val="24"/>
        </w:rPr>
        <w:t xml:space="preserve">[4] – </w:t>
      </w:r>
      <w:proofErr w:type="spellStart"/>
      <w:r w:rsidRPr="00327490">
        <w:rPr>
          <w:sz w:val="24"/>
          <w:szCs w:val="24"/>
        </w:rPr>
        <w:t>L.Haoying</w:t>
      </w:r>
      <w:proofErr w:type="spellEnd"/>
      <w:r w:rsidRPr="00327490">
        <w:rPr>
          <w:sz w:val="24"/>
          <w:szCs w:val="24"/>
        </w:rPr>
        <w:t xml:space="preserve"> &amp; </w:t>
      </w:r>
      <w:proofErr w:type="spellStart"/>
      <w:r w:rsidRPr="00327490">
        <w:rPr>
          <w:sz w:val="24"/>
          <w:szCs w:val="24"/>
        </w:rPr>
        <w:t>L.Hong</w:t>
      </w:r>
      <w:proofErr w:type="spellEnd"/>
      <w:r w:rsidRPr="00327490">
        <w:rPr>
          <w:sz w:val="24"/>
          <w:szCs w:val="24"/>
        </w:rPr>
        <w:t xml:space="preserve">, 16 January 2025, </w:t>
      </w:r>
      <w:proofErr w:type="spellStart"/>
      <w:r w:rsidRPr="00327490">
        <w:rPr>
          <w:sz w:val="24"/>
          <w:szCs w:val="24"/>
        </w:rPr>
        <w:t>Thermochemica</w:t>
      </w:r>
      <w:proofErr w:type="spellEnd"/>
      <w:r w:rsidRPr="00327490">
        <w:rPr>
          <w:sz w:val="24"/>
          <w:szCs w:val="24"/>
        </w:rPr>
        <w:t xml:space="preserve"> Acta Volume 749, University of Nanjing China, </w:t>
      </w:r>
      <w:r w:rsidRPr="00327490">
        <w:rPr>
          <w:i/>
          <w:iCs/>
          <w:sz w:val="24"/>
          <w:szCs w:val="24"/>
        </w:rPr>
        <w:t>The influence of temperature and humidity on the decomposition of HMX-HTPB polymer-bonded explosives,</w:t>
      </w:r>
      <w:r w:rsidRPr="00327490">
        <w:rPr>
          <w:sz w:val="24"/>
          <w:szCs w:val="24"/>
        </w:rPr>
        <w:t xml:space="preserve"> Accessed 10 January 2025, Accessed on 10 January 2026, </w:t>
      </w:r>
      <w:hyperlink r:id="rId14" w:anchor=":~:text=Highlights,Introduction" w:history="1">
        <w:r w:rsidRPr="00327490">
          <w:rPr>
            <w:rStyle w:val="Hyperlink"/>
            <w:sz w:val="24"/>
            <w:szCs w:val="24"/>
          </w:rPr>
          <w:t>https://www.sciencedirect.com/science/article/abs/pii/S0040603125000796#:~:text=Highlights,Introduction</w:t>
        </w:r>
      </w:hyperlink>
    </w:p>
    <w:p w14:paraId="3ECAC2F9" w14:textId="77777777" w:rsidR="00327490" w:rsidRPr="00327490" w:rsidRDefault="00327490" w:rsidP="00327490">
      <w:pPr>
        <w:ind w:left="567"/>
        <w:rPr>
          <w:sz w:val="24"/>
          <w:szCs w:val="24"/>
        </w:rPr>
      </w:pPr>
      <w:r w:rsidRPr="00327490">
        <w:rPr>
          <w:sz w:val="24"/>
          <w:szCs w:val="24"/>
        </w:rPr>
        <w:t xml:space="preserve">[5] – </w:t>
      </w:r>
      <w:proofErr w:type="spellStart"/>
      <w:r w:rsidRPr="00327490">
        <w:rPr>
          <w:sz w:val="24"/>
          <w:szCs w:val="24"/>
        </w:rPr>
        <w:t>R.Cammack</w:t>
      </w:r>
      <w:proofErr w:type="spellEnd"/>
      <w:r w:rsidRPr="00327490">
        <w:rPr>
          <w:sz w:val="24"/>
          <w:szCs w:val="24"/>
        </w:rPr>
        <w:t xml:space="preserve">, 1999, King’s College London, </w:t>
      </w:r>
      <w:r w:rsidRPr="00327490">
        <w:rPr>
          <w:i/>
          <w:iCs/>
          <w:sz w:val="24"/>
          <w:szCs w:val="24"/>
        </w:rPr>
        <w:t>Encyclopaedia of Spectroscopy &amp; Spectrometry</w:t>
      </w:r>
      <w:r w:rsidRPr="00327490">
        <w:rPr>
          <w:sz w:val="24"/>
          <w:szCs w:val="24"/>
        </w:rPr>
        <w:t xml:space="preserve">,  Accessed 10 January 2026,  </w:t>
      </w:r>
      <w:hyperlink r:id="rId15" w:history="1">
        <w:r w:rsidRPr="00327490">
          <w:rPr>
            <w:rStyle w:val="Hyperlink"/>
            <w:sz w:val="24"/>
            <w:szCs w:val="24"/>
          </w:rPr>
          <w:t>https://www.sciencedirect.com/topics/physics-and-astronomy/free-radical</w:t>
        </w:r>
      </w:hyperlink>
    </w:p>
    <w:p w14:paraId="03A6AA12" w14:textId="77777777" w:rsidR="00327490" w:rsidRPr="00327490" w:rsidRDefault="00327490" w:rsidP="00327490">
      <w:pPr>
        <w:ind w:left="567"/>
        <w:rPr>
          <w:sz w:val="24"/>
          <w:szCs w:val="24"/>
        </w:rPr>
      </w:pPr>
      <w:r w:rsidRPr="00327490">
        <w:rPr>
          <w:sz w:val="24"/>
          <w:szCs w:val="24"/>
        </w:rPr>
        <w:t xml:space="preserve">[6] – </w:t>
      </w:r>
      <w:proofErr w:type="spellStart"/>
      <w:r w:rsidRPr="00327490">
        <w:rPr>
          <w:sz w:val="24"/>
          <w:szCs w:val="24"/>
        </w:rPr>
        <w:t>M.Salazar</w:t>
      </w:r>
      <w:proofErr w:type="spellEnd"/>
      <w:r w:rsidRPr="00327490">
        <w:rPr>
          <w:sz w:val="24"/>
          <w:szCs w:val="24"/>
        </w:rPr>
        <w:t xml:space="preserve"> &amp; </w:t>
      </w:r>
      <w:proofErr w:type="spellStart"/>
      <w:r w:rsidRPr="00327490">
        <w:rPr>
          <w:sz w:val="24"/>
          <w:szCs w:val="24"/>
        </w:rPr>
        <w:t>J.Kress</w:t>
      </w:r>
      <w:proofErr w:type="spellEnd"/>
      <w:r w:rsidRPr="00327490">
        <w:rPr>
          <w:sz w:val="24"/>
          <w:szCs w:val="24"/>
        </w:rPr>
        <w:t xml:space="preserve">, December 2019, Polymer </w:t>
      </w:r>
      <w:proofErr w:type="spellStart"/>
      <w:r w:rsidRPr="00327490">
        <w:rPr>
          <w:sz w:val="24"/>
          <w:szCs w:val="24"/>
        </w:rPr>
        <w:t>Degredation</w:t>
      </w:r>
      <w:proofErr w:type="spellEnd"/>
      <w:r w:rsidRPr="00327490">
        <w:rPr>
          <w:sz w:val="24"/>
          <w:szCs w:val="24"/>
        </w:rPr>
        <w:t xml:space="preserve"> &amp; Stability, Los Alamos National Laboratory New Mexico, </w:t>
      </w:r>
      <w:r w:rsidRPr="00327490">
        <w:rPr>
          <w:i/>
          <w:iCs/>
          <w:sz w:val="24"/>
          <w:szCs w:val="24"/>
        </w:rPr>
        <w:t>Low-temperature oxidative degradation of PBX 9501 and its components determined via molecular weight analysis of the Poly[ester urethane] binder,</w:t>
      </w:r>
      <w:r w:rsidRPr="00327490">
        <w:rPr>
          <w:sz w:val="24"/>
          <w:szCs w:val="24"/>
        </w:rPr>
        <w:t xml:space="preserve"> Accessed 12 January 2026, </w:t>
      </w:r>
      <w:hyperlink r:id="rId16" w:anchor=":~:text=In%20these%20studies%2C%20the%20sorption,results%20are%20reported%20in%20Ref" w:history="1">
        <w:r w:rsidRPr="00327490">
          <w:rPr>
            <w:rStyle w:val="Hyperlink"/>
            <w:sz w:val="24"/>
            <w:szCs w:val="24"/>
          </w:rPr>
          <w:t>https://www.sciencedirect.com/science/article/abs/pii/S0141391009002845#:~:text=In%20these%20studies%2C%20the%20sorption,results%20are%20reported%20in%20Ref</w:t>
        </w:r>
      </w:hyperlink>
      <w:r w:rsidRPr="00327490">
        <w:rPr>
          <w:sz w:val="24"/>
          <w:szCs w:val="24"/>
        </w:rPr>
        <w:t>.</w:t>
      </w:r>
    </w:p>
    <w:p w14:paraId="2BD71F53" w14:textId="77777777" w:rsidR="00327490" w:rsidRPr="00327490" w:rsidRDefault="00327490" w:rsidP="00327490">
      <w:pPr>
        <w:ind w:left="567"/>
        <w:rPr>
          <w:sz w:val="24"/>
          <w:szCs w:val="24"/>
        </w:rPr>
      </w:pPr>
      <w:r w:rsidRPr="00327490">
        <w:rPr>
          <w:sz w:val="24"/>
          <w:szCs w:val="24"/>
        </w:rPr>
        <w:t xml:space="preserve">[7] – </w:t>
      </w:r>
      <w:proofErr w:type="spellStart"/>
      <w:r w:rsidRPr="00327490">
        <w:rPr>
          <w:sz w:val="24"/>
          <w:szCs w:val="24"/>
        </w:rPr>
        <w:t>M.Salazar</w:t>
      </w:r>
      <w:proofErr w:type="spellEnd"/>
      <w:r w:rsidRPr="00327490">
        <w:rPr>
          <w:sz w:val="24"/>
          <w:szCs w:val="24"/>
        </w:rPr>
        <w:t xml:space="preserve">, 13 September 2006, Fall American Chemical Society National Meeting San Francisco, </w:t>
      </w:r>
      <w:r w:rsidRPr="00327490">
        <w:rPr>
          <w:i/>
          <w:iCs/>
          <w:sz w:val="24"/>
          <w:szCs w:val="24"/>
        </w:rPr>
        <w:t>Aging of PBX 9501: Hydrolysis and Free-Radical Oxidation</w:t>
      </w:r>
      <w:r w:rsidRPr="00327490">
        <w:rPr>
          <w:sz w:val="24"/>
          <w:szCs w:val="24"/>
        </w:rPr>
        <w:t xml:space="preserve">, </w:t>
      </w:r>
      <w:r w:rsidRPr="00327490">
        <w:rPr>
          <w:sz w:val="24"/>
          <w:szCs w:val="24"/>
        </w:rPr>
        <w:lastRenderedPageBreak/>
        <w:t xml:space="preserve">Accessed 12 January 2026, </w:t>
      </w:r>
      <w:hyperlink r:id="rId17" w:history="1">
        <w:r w:rsidRPr="00327490">
          <w:rPr>
            <w:rStyle w:val="Hyperlink"/>
            <w:sz w:val="24"/>
            <w:szCs w:val="24"/>
          </w:rPr>
          <w:t>https://www.uu.edu/dept/chemistry/salazar/PMSEFallACS06.pdf</w:t>
        </w:r>
      </w:hyperlink>
    </w:p>
    <w:p w14:paraId="76D98220" w14:textId="77777777" w:rsidR="00327490" w:rsidRPr="00327490" w:rsidRDefault="00327490" w:rsidP="00327490">
      <w:pPr>
        <w:ind w:left="567"/>
        <w:rPr>
          <w:sz w:val="24"/>
          <w:szCs w:val="24"/>
        </w:rPr>
      </w:pPr>
      <w:r w:rsidRPr="00327490">
        <w:rPr>
          <w:sz w:val="24"/>
          <w:szCs w:val="24"/>
        </w:rPr>
        <w:t xml:space="preserve">[8] – </w:t>
      </w:r>
      <w:proofErr w:type="spellStart"/>
      <w:r w:rsidRPr="00327490">
        <w:rPr>
          <w:sz w:val="24"/>
          <w:szCs w:val="24"/>
        </w:rPr>
        <w:t>D.Wrobleski</w:t>
      </w:r>
      <w:proofErr w:type="spellEnd"/>
      <w:r w:rsidRPr="00327490">
        <w:rPr>
          <w:sz w:val="24"/>
          <w:szCs w:val="24"/>
        </w:rPr>
        <w:t xml:space="preserve"> &amp; </w:t>
      </w:r>
      <w:proofErr w:type="spellStart"/>
      <w:r w:rsidRPr="00327490">
        <w:rPr>
          <w:sz w:val="24"/>
          <w:szCs w:val="24"/>
        </w:rPr>
        <w:t>D.Langois</w:t>
      </w:r>
      <w:proofErr w:type="spellEnd"/>
      <w:r w:rsidRPr="00327490">
        <w:rPr>
          <w:sz w:val="24"/>
          <w:szCs w:val="24"/>
        </w:rPr>
        <w:t xml:space="preserve">, 01 January 2007,  The International Journal for the Science and Technology of Polymers Volume 48, </w:t>
      </w:r>
      <w:r w:rsidRPr="00327490">
        <w:rPr>
          <w:i/>
          <w:iCs/>
          <w:sz w:val="24"/>
          <w:szCs w:val="24"/>
        </w:rPr>
        <w:t>AGING OF THE BINDER IN PLASTIC-BONDED EXPLOSIVE PBX 9501 AND FREE-RADICAL OXIDATION</w:t>
      </w:r>
      <w:r w:rsidRPr="00327490">
        <w:rPr>
          <w:sz w:val="24"/>
          <w:szCs w:val="24"/>
        </w:rPr>
        <w:t xml:space="preserve">, Accessed 13 January 2026, </w:t>
      </w:r>
      <w:hyperlink r:id="rId18" w:history="1">
        <w:r w:rsidRPr="00327490">
          <w:rPr>
            <w:rStyle w:val="Hyperlink"/>
            <w:sz w:val="24"/>
            <w:szCs w:val="24"/>
          </w:rPr>
          <w:t>https://laro.lanl.gov/esploro/outputs/journalArticle/AGING-OF-THE-BINDER-IN-PLASTIC-BONDED/9916364070803761</w:t>
        </w:r>
      </w:hyperlink>
    </w:p>
    <w:p w14:paraId="1161F0B3" w14:textId="77777777" w:rsidR="00327490" w:rsidRPr="00327490" w:rsidRDefault="00327490" w:rsidP="00327490">
      <w:pPr>
        <w:ind w:left="567"/>
        <w:rPr>
          <w:sz w:val="24"/>
          <w:szCs w:val="24"/>
        </w:rPr>
      </w:pPr>
      <w:r w:rsidRPr="00327490">
        <w:rPr>
          <w:sz w:val="24"/>
          <w:szCs w:val="24"/>
        </w:rPr>
        <w:t xml:space="preserve">[9] – </w:t>
      </w:r>
      <w:proofErr w:type="spellStart"/>
      <w:r w:rsidRPr="00327490">
        <w:rPr>
          <w:sz w:val="24"/>
          <w:szCs w:val="24"/>
        </w:rPr>
        <w:t>G.Yilmaz</w:t>
      </w:r>
      <w:proofErr w:type="spellEnd"/>
      <w:r w:rsidRPr="00327490">
        <w:rPr>
          <w:sz w:val="24"/>
          <w:szCs w:val="24"/>
        </w:rPr>
        <w:t xml:space="preserve"> &amp; </w:t>
      </w:r>
      <w:proofErr w:type="spellStart"/>
      <w:r w:rsidRPr="00327490">
        <w:rPr>
          <w:sz w:val="24"/>
          <w:szCs w:val="24"/>
        </w:rPr>
        <w:t>Z.Kaya</w:t>
      </w:r>
      <w:proofErr w:type="spellEnd"/>
      <w:r w:rsidRPr="00327490">
        <w:rPr>
          <w:sz w:val="24"/>
          <w:szCs w:val="24"/>
        </w:rPr>
        <w:t xml:space="preserve">, 23 January 2024, Journal of Applied Polymer Science, </w:t>
      </w:r>
      <w:r w:rsidRPr="00327490">
        <w:rPr>
          <w:i/>
          <w:iCs/>
          <w:sz w:val="24"/>
          <w:szCs w:val="24"/>
        </w:rPr>
        <w:t>Effect of Inert Plasticizers on Mechanical, Thermal, and Sensitivity Properties of Polyurethane-Based Plastic Bonded Explosives</w:t>
      </w:r>
      <w:r w:rsidRPr="00327490">
        <w:rPr>
          <w:sz w:val="24"/>
          <w:szCs w:val="24"/>
        </w:rPr>
        <w:t xml:space="preserve">, Accessed 15 January 2026, </w:t>
      </w:r>
      <w:hyperlink r:id="rId19" w:history="1">
        <w:r w:rsidRPr="00327490">
          <w:rPr>
            <w:rStyle w:val="Hyperlink"/>
            <w:sz w:val="24"/>
            <w:szCs w:val="24"/>
          </w:rPr>
          <w:t>https://www.researchgate.net/publication/262343855_Effect_of_Inert_Plasticizers_on_Mechanical_Thermal_and</w:t>
        </w:r>
        <w:r w:rsidRPr="00327490">
          <w:rPr>
            <w:rStyle w:val="Hyperlink"/>
            <w:sz w:val="24"/>
            <w:szCs w:val="24"/>
          </w:rPr>
          <w:t>_</w:t>
        </w:r>
        <w:r w:rsidRPr="00327490">
          <w:rPr>
            <w:rStyle w:val="Hyperlink"/>
            <w:sz w:val="24"/>
            <w:szCs w:val="24"/>
          </w:rPr>
          <w:t>Sensitivity_Properties_of_Polyurethane-Based_Plastic_Bonded_Explosives</w:t>
        </w:r>
      </w:hyperlink>
    </w:p>
    <w:p w14:paraId="755BCC3B" w14:textId="77777777" w:rsidR="00327490" w:rsidRPr="00327490" w:rsidRDefault="00327490" w:rsidP="00327490">
      <w:pPr>
        <w:ind w:left="567"/>
        <w:rPr>
          <w:sz w:val="24"/>
          <w:szCs w:val="24"/>
        </w:rPr>
      </w:pPr>
      <w:r w:rsidRPr="00327490">
        <w:rPr>
          <w:sz w:val="24"/>
          <w:szCs w:val="24"/>
        </w:rPr>
        <w:t xml:space="preserve">[10] – </w:t>
      </w:r>
      <w:proofErr w:type="spellStart"/>
      <w:r w:rsidRPr="00327490">
        <w:rPr>
          <w:sz w:val="24"/>
          <w:szCs w:val="24"/>
        </w:rPr>
        <w:t>T.Riveria</w:t>
      </w:r>
      <w:proofErr w:type="spellEnd"/>
      <w:r w:rsidRPr="00327490">
        <w:rPr>
          <w:sz w:val="24"/>
          <w:szCs w:val="24"/>
        </w:rPr>
        <w:t xml:space="preserve"> &amp; </w:t>
      </w:r>
      <w:proofErr w:type="spellStart"/>
      <w:r w:rsidRPr="00327490">
        <w:rPr>
          <w:sz w:val="24"/>
          <w:szCs w:val="24"/>
        </w:rPr>
        <w:t>M.Mutaszak</w:t>
      </w:r>
      <w:proofErr w:type="spellEnd"/>
      <w:r w:rsidRPr="00327490">
        <w:rPr>
          <w:sz w:val="24"/>
          <w:szCs w:val="24"/>
        </w:rPr>
        <w:t xml:space="preserve">, May 1983, Journal of Colloid &amp; Interface Science Volume 93, </w:t>
      </w:r>
      <w:r w:rsidRPr="00327490">
        <w:rPr>
          <w:i/>
          <w:iCs/>
          <w:sz w:val="24"/>
          <w:szCs w:val="24"/>
        </w:rPr>
        <w:t>Surface properties of potential plastic-bonded explosives (PBX),</w:t>
      </w:r>
      <w:r w:rsidRPr="00327490">
        <w:rPr>
          <w:sz w:val="24"/>
          <w:szCs w:val="24"/>
        </w:rPr>
        <w:t xml:space="preserve"> Accessed 16 January 2026, </w:t>
      </w:r>
      <w:hyperlink r:id="rId20" w:history="1">
        <w:r w:rsidRPr="00327490">
          <w:rPr>
            <w:rStyle w:val="Hyperlink"/>
            <w:sz w:val="24"/>
            <w:szCs w:val="24"/>
          </w:rPr>
          <w:t>https://www.sciencedirect.com/science/article/abs/pii/0021979783903892</w:t>
        </w:r>
      </w:hyperlink>
    </w:p>
    <w:p w14:paraId="5DB6DF07" w14:textId="77777777" w:rsidR="00327490" w:rsidRPr="00327490" w:rsidRDefault="00327490" w:rsidP="00327490">
      <w:pPr>
        <w:ind w:left="567"/>
        <w:rPr>
          <w:sz w:val="24"/>
          <w:szCs w:val="24"/>
        </w:rPr>
      </w:pPr>
      <w:r w:rsidRPr="00327490">
        <w:rPr>
          <w:sz w:val="24"/>
          <w:szCs w:val="24"/>
        </w:rPr>
        <w:t xml:space="preserve">[11] – </w:t>
      </w:r>
      <w:proofErr w:type="spellStart"/>
      <w:r w:rsidRPr="00327490">
        <w:rPr>
          <w:sz w:val="24"/>
          <w:szCs w:val="24"/>
        </w:rPr>
        <w:t>M.Daniel</w:t>
      </w:r>
      <w:proofErr w:type="spellEnd"/>
      <w:r w:rsidRPr="00327490">
        <w:rPr>
          <w:sz w:val="24"/>
          <w:szCs w:val="24"/>
        </w:rPr>
        <w:t xml:space="preserve">, December 2006, Weapons Systems Division Defence Science and Technology Organisation Australia, </w:t>
      </w:r>
      <w:r w:rsidRPr="00327490">
        <w:rPr>
          <w:i/>
          <w:iCs/>
          <w:sz w:val="24"/>
          <w:szCs w:val="24"/>
        </w:rPr>
        <w:t>Polyurethane Binder Systems for Polymer Bonded Explosives</w:t>
      </w:r>
      <w:r w:rsidRPr="00327490">
        <w:rPr>
          <w:sz w:val="24"/>
          <w:szCs w:val="24"/>
        </w:rPr>
        <w:t xml:space="preserve">, Accessed 16 January 2026, </w:t>
      </w:r>
      <w:hyperlink r:id="rId21" w:history="1">
        <w:r w:rsidRPr="00327490">
          <w:rPr>
            <w:rStyle w:val="Hyperlink"/>
            <w:sz w:val="24"/>
            <w:szCs w:val="24"/>
          </w:rPr>
          <w:t>https://apps.dtic.mil/sti/pdfs/ADA467800.pdf</w:t>
        </w:r>
      </w:hyperlink>
    </w:p>
    <w:p w14:paraId="4B970973" w14:textId="77777777" w:rsidR="00327490" w:rsidRPr="00327490" w:rsidRDefault="00327490" w:rsidP="00327490">
      <w:pPr>
        <w:ind w:left="567"/>
        <w:rPr>
          <w:sz w:val="24"/>
          <w:szCs w:val="24"/>
        </w:rPr>
      </w:pPr>
      <w:r w:rsidRPr="00327490">
        <w:rPr>
          <w:sz w:val="24"/>
          <w:szCs w:val="24"/>
        </w:rPr>
        <w:t xml:space="preserve">[12] – </w:t>
      </w:r>
      <w:proofErr w:type="spellStart"/>
      <w:r w:rsidRPr="00327490">
        <w:rPr>
          <w:sz w:val="24"/>
          <w:szCs w:val="24"/>
        </w:rPr>
        <w:t>S.Zhiang</w:t>
      </w:r>
      <w:proofErr w:type="spellEnd"/>
      <w:r w:rsidRPr="00327490">
        <w:rPr>
          <w:sz w:val="24"/>
          <w:szCs w:val="24"/>
        </w:rPr>
        <w:t xml:space="preserve"> &amp; </w:t>
      </w:r>
      <w:proofErr w:type="spellStart"/>
      <w:r w:rsidRPr="00327490">
        <w:rPr>
          <w:sz w:val="24"/>
          <w:szCs w:val="24"/>
        </w:rPr>
        <w:t>Y.Wang</w:t>
      </w:r>
      <w:proofErr w:type="spellEnd"/>
      <w:r w:rsidRPr="00327490">
        <w:rPr>
          <w:sz w:val="24"/>
          <w:szCs w:val="24"/>
        </w:rPr>
        <w:t xml:space="preserve">, 04 July 2024, Defence Technology Volume 45, KeAi Publishing China, </w:t>
      </w:r>
      <w:r w:rsidRPr="00327490">
        <w:rPr>
          <w:i/>
          <w:iCs/>
          <w:sz w:val="24"/>
          <w:szCs w:val="24"/>
        </w:rPr>
        <w:t>Effects of aging on mechanical sensitivity threshold and thermal decomposition characteristic of RDX/HMX,</w:t>
      </w:r>
      <w:r w:rsidRPr="00327490">
        <w:rPr>
          <w:sz w:val="24"/>
          <w:szCs w:val="24"/>
        </w:rPr>
        <w:t xml:space="preserve"> Accessed 16 January 2026, </w:t>
      </w:r>
      <w:hyperlink r:id="rId22" w:history="1">
        <w:r w:rsidRPr="00327490">
          <w:rPr>
            <w:rStyle w:val="Hyperlink"/>
            <w:sz w:val="24"/>
            <w:szCs w:val="24"/>
          </w:rPr>
          <w:t>https://www.sciencedirect.com/science/article/pii/S221491472400254X</w:t>
        </w:r>
      </w:hyperlink>
    </w:p>
    <w:p w14:paraId="7C526EEB" w14:textId="77777777" w:rsidR="00327490" w:rsidRPr="00327490" w:rsidRDefault="00327490" w:rsidP="00327490">
      <w:pPr>
        <w:ind w:left="567"/>
        <w:rPr>
          <w:sz w:val="24"/>
          <w:szCs w:val="24"/>
        </w:rPr>
      </w:pPr>
      <w:r w:rsidRPr="00327490">
        <w:rPr>
          <w:sz w:val="24"/>
          <w:szCs w:val="24"/>
        </w:rPr>
        <w:t xml:space="preserve">[13] – </w:t>
      </w:r>
      <w:proofErr w:type="spellStart"/>
      <w:r w:rsidRPr="00327490">
        <w:rPr>
          <w:sz w:val="24"/>
          <w:szCs w:val="24"/>
        </w:rPr>
        <w:t>R.Zito</w:t>
      </w:r>
      <w:proofErr w:type="spellEnd"/>
      <w:r w:rsidRPr="00327490">
        <w:rPr>
          <w:sz w:val="24"/>
          <w:szCs w:val="24"/>
        </w:rPr>
        <w:t xml:space="preserve">, 13 November 2019, Mathematical Foundations of Safety Engineering, Springer Publishing Tucson Arizona, </w:t>
      </w:r>
      <w:r w:rsidRPr="00327490">
        <w:rPr>
          <w:i/>
          <w:iCs/>
          <w:sz w:val="24"/>
          <w:szCs w:val="24"/>
        </w:rPr>
        <w:t>Accelerated Age Testing of Explosives and Propellants</w:t>
      </w:r>
      <w:r w:rsidRPr="00327490">
        <w:rPr>
          <w:sz w:val="24"/>
          <w:szCs w:val="24"/>
        </w:rPr>
        <w:t xml:space="preserve">, Accessed 17 January 2025, </w:t>
      </w:r>
      <w:hyperlink r:id="rId23" w:history="1">
        <w:r w:rsidRPr="00327490">
          <w:rPr>
            <w:rStyle w:val="Hyperlink"/>
            <w:sz w:val="24"/>
            <w:szCs w:val="24"/>
          </w:rPr>
          <w:t>https://link.springer.com/chapter/10.1007/978-3-030-26241-9_16</w:t>
        </w:r>
      </w:hyperlink>
    </w:p>
    <w:p w14:paraId="01762E07" w14:textId="77777777" w:rsidR="00327490" w:rsidRPr="00327490" w:rsidRDefault="00327490" w:rsidP="00327490">
      <w:pPr>
        <w:ind w:left="567"/>
        <w:rPr>
          <w:sz w:val="24"/>
          <w:szCs w:val="24"/>
        </w:rPr>
      </w:pPr>
      <w:r w:rsidRPr="00327490">
        <w:rPr>
          <w:sz w:val="24"/>
          <w:szCs w:val="24"/>
        </w:rPr>
        <w:t xml:space="preserve">[14] – </w:t>
      </w:r>
      <w:proofErr w:type="spellStart"/>
      <w:r w:rsidRPr="00327490">
        <w:rPr>
          <w:sz w:val="24"/>
          <w:szCs w:val="24"/>
        </w:rPr>
        <w:t>B.Vogelsanger</w:t>
      </w:r>
      <w:proofErr w:type="spellEnd"/>
      <w:r w:rsidRPr="00327490">
        <w:rPr>
          <w:sz w:val="24"/>
          <w:szCs w:val="24"/>
        </w:rPr>
        <w:t xml:space="preserve">, 30 March 2004, Schweizerische </w:t>
      </w:r>
      <w:proofErr w:type="spellStart"/>
      <w:r w:rsidRPr="00327490">
        <w:rPr>
          <w:sz w:val="24"/>
          <w:szCs w:val="24"/>
        </w:rPr>
        <w:t>Chemische</w:t>
      </w:r>
      <w:proofErr w:type="spellEnd"/>
      <w:r w:rsidRPr="00327490">
        <w:rPr>
          <w:sz w:val="24"/>
          <w:szCs w:val="24"/>
        </w:rPr>
        <w:t xml:space="preserve"> Gesellschaft (Swiss Chemical Society) Volume 58, </w:t>
      </w:r>
      <w:r w:rsidRPr="00327490">
        <w:rPr>
          <w:i/>
          <w:iCs/>
          <w:sz w:val="24"/>
          <w:szCs w:val="24"/>
        </w:rPr>
        <w:t>Chemical Stability, Compatibility and Shelf Life of Explosives</w:t>
      </w:r>
      <w:r w:rsidRPr="00327490">
        <w:rPr>
          <w:sz w:val="24"/>
          <w:szCs w:val="24"/>
        </w:rPr>
        <w:t xml:space="preserve">, Accessed 18 January 2026,  </w:t>
      </w:r>
      <w:hyperlink r:id="rId24" w:history="1">
        <w:r w:rsidRPr="00327490">
          <w:rPr>
            <w:rStyle w:val="Hyperlink"/>
            <w:sz w:val="24"/>
            <w:szCs w:val="24"/>
          </w:rPr>
          <w:t>https://www.chimia.ch/chimia/article/view/2004_401/3154</w:t>
        </w:r>
      </w:hyperlink>
    </w:p>
    <w:p w14:paraId="2DD07160" w14:textId="77777777" w:rsidR="00327490" w:rsidRPr="00327490" w:rsidRDefault="00327490" w:rsidP="00327490">
      <w:pPr>
        <w:ind w:left="567"/>
        <w:rPr>
          <w:sz w:val="24"/>
          <w:szCs w:val="24"/>
        </w:rPr>
      </w:pPr>
      <w:r w:rsidRPr="00327490">
        <w:rPr>
          <w:sz w:val="24"/>
          <w:szCs w:val="24"/>
        </w:rPr>
        <w:t xml:space="preserve">[15] – </w:t>
      </w:r>
      <w:proofErr w:type="spellStart"/>
      <w:r w:rsidRPr="00327490">
        <w:rPr>
          <w:sz w:val="24"/>
          <w:szCs w:val="24"/>
        </w:rPr>
        <w:t>X.Liu</w:t>
      </w:r>
      <w:proofErr w:type="spellEnd"/>
      <w:r w:rsidRPr="00327490">
        <w:rPr>
          <w:sz w:val="24"/>
          <w:szCs w:val="24"/>
        </w:rPr>
        <w:t xml:space="preserve"> &amp; </w:t>
      </w:r>
      <w:proofErr w:type="spellStart"/>
      <w:r w:rsidRPr="00327490">
        <w:rPr>
          <w:sz w:val="24"/>
          <w:szCs w:val="24"/>
        </w:rPr>
        <w:t>Y.Luo</w:t>
      </w:r>
      <w:proofErr w:type="spellEnd"/>
      <w:r w:rsidRPr="00327490">
        <w:rPr>
          <w:sz w:val="24"/>
          <w:szCs w:val="24"/>
        </w:rPr>
        <w:t xml:space="preserve">, 21 January 2025, Case Studies in Thermal Engineering Volume 72, </w:t>
      </w:r>
      <w:r w:rsidRPr="00327490">
        <w:rPr>
          <w:i/>
          <w:iCs/>
          <w:sz w:val="24"/>
          <w:szCs w:val="24"/>
        </w:rPr>
        <w:t>HTPB propellant aging mechanisms and safety characteristics: microscopic structural changes, thermal stability, and self-accelerating decomposition temperature</w:t>
      </w:r>
      <w:r w:rsidRPr="00327490">
        <w:rPr>
          <w:sz w:val="24"/>
          <w:szCs w:val="24"/>
        </w:rPr>
        <w:t xml:space="preserve">, Accessed 18 January 2026, </w:t>
      </w:r>
      <w:hyperlink r:id="rId25" w:history="1">
        <w:r w:rsidRPr="00327490">
          <w:rPr>
            <w:rStyle w:val="Hyperlink"/>
            <w:sz w:val="24"/>
            <w:szCs w:val="24"/>
          </w:rPr>
          <w:t>https://www.sciencedirect.com/science/article/pii/S2214157X25005556?via%3Dihub</w:t>
        </w:r>
      </w:hyperlink>
    </w:p>
    <w:p w14:paraId="309A3782" w14:textId="77777777" w:rsidR="00327490" w:rsidRPr="00327490" w:rsidRDefault="00327490" w:rsidP="00327490">
      <w:pPr>
        <w:ind w:left="567"/>
        <w:rPr>
          <w:b/>
          <w:bCs/>
          <w:sz w:val="24"/>
          <w:szCs w:val="24"/>
        </w:rPr>
      </w:pPr>
      <w:r w:rsidRPr="00327490">
        <w:rPr>
          <w:sz w:val="24"/>
          <w:szCs w:val="24"/>
        </w:rPr>
        <w:lastRenderedPageBreak/>
        <w:t xml:space="preserve">[16] – </w:t>
      </w:r>
      <w:proofErr w:type="spellStart"/>
      <w:r w:rsidRPr="00327490">
        <w:rPr>
          <w:sz w:val="24"/>
          <w:szCs w:val="24"/>
        </w:rPr>
        <w:t>P.Rae</w:t>
      </w:r>
      <w:proofErr w:type="spellEnd"/>
      <w:r w:rsidRPr="00327490">
        <w:rPr>
          <w:sz w:val="24"/>
          <w:szCs w:val="24"/>
        </w:rPr>
        <w:t xml:space="preserve"> &amp; </w:t>
      </w:r>
      <w:proofErr w:type="spellStart"/>
      <w:r w:rsidRPr="00327490">
        <w:rPr>
          <w:sz w:val="24"/>
          <w:szCs w:val="24"/>
        </w:rPr>
        <w:t>S.Palmer</w:t>
      </w:r>
      <w:proofErr w:type="spellEnd"/>
      <w:r w:rsidRPr="00327490">
        <w:rPr>
          <w:sz w:val="24"/>
          <w:szCs w:val="24"/>
        </w:rPr>
        <w:t xml:space="preserve">, 2001, Ageing Studies: Lifetime Extension Materials, St. Catherine's College Oxford, </w:t>
      </w:r>
      <w:r w:rsidRPr="00327490">
        <w:rPr>
          <w:i/>
          <w:iCs/>
          <w:sz w:val="24"/>
          <w:szCs w:val="24"/>
        </w:rPr>
        <w:t>Ageing Effects on the Mechanical Properties of a Polymer Bonded Explosive.</w:t>
      </w:r>
    </w:p>
    <w:p w14:paraId="27504E15" w14:textId="77777777" w:rsidR="00327490" w:rsidRPr="00327490" w:rsidRDefault="00327490" w:rsidP="00327490">
      <w:pPr>
        <w:ind w:left="567"/>
        <w:rPr>
          <w:sz w:val="24"/>
          <w:szCs w:val="24"/>
        </w:rPr>
      </w:pPr>
      <w:r w:rsidRPr="00327490">
        <w:rPr>
          <w:sz w:val="24"/>
          <w:szCs w:val="24"/>
        </w:rPr>
        <w:t xml:space="preserve">[17] – </w:t>
      </w:r>
      <w:proofErr w:type="spellStart"/>
      <w:r w:rsidRPr="00327490">
        <w:rPr>
          <w:sz w:val="24"/>
          <w:szCs w:val="24"/>
        </w:rPr>
        <w:t>J.Dou</w:t>
      </w:r>
      <w:proofErr w:type="spellEnd"/>
      <w:r w:rsidRPr="00327490">
        <w:rPr>
          <w:sz w:val="24"/>
          <w:szCs w:val="24"/>
        </w:rPr>
        <w:t xml:space="preserve"> &amp; </w:t>
      </w:r>
      <w:proofErr w:type="spellStart"/>
      <w:r w:rsidRPr="00327490">
        <w:rPr>
          <w:sz w:val="24"/>
          <w:szCs w:val="24"/>
        </w:rPr>
        <w:t>M.Xu</w:t>
      </w:r>
      <w:proofErr w:type="spellEnd"/>
      <w:r w:rsidRPr="00327490">
        <w:rPr>
          <w:sz w:val="24"/>
          <w:szCs w:val="24"/>
        </w:rPr>
        <w:t xml:space="preserve">, 19 April 2022, </w:t>
      </w:r>
      <w:proofErr w:type="spellStart"/>
      <w:r w:rsidRPr="00327490">
        <w:rPr>
          <w:sz w:val="24"/>
          <w:szCs w:val="24"/>
        </w:rPr>
        <w:t>FirePhysChem</w:t>
      </w:r>
      <w:proofErr w:type="spellEnd"/>
      <w:r w:rsidRPr="00327490">
        <w:rPr>
          <w:sz w:val="24"/>
          <w:szCs w:val="24"/>
        </w:rPr>
        <w:t xml:space="preserve"> Volume 3, KeAi Publishing China, </w:t>
      </w:r>
      <w:r w:rsidRPr="00327490">
        <w:rPr>
          <w:i/>
          <w:iCs/>
          <w:sz w:val="24"/>
          <w:szCs w:val="24"/>
        </w:rPr>
        <w:t>Research progress of nitrate ester binders</w:t>
      </w:r>
      <w:r w:rsidRPr="00327490">
        <w:rPr>
          <w:sz w:val="24"/>
          <w:szCs w:val="24"/>
        </w:rPr>
        <w:t xml:space="preserve">, Accessed 19 January 2026, </w:t>
      </w:r>
      <w:hyperlink r:id="rId26" w:history="1">
        <w:r w:rsidRPr="00327490">
          <w:rPr>
            <w:rStyle w:val="Hyperlink"/>
            <w:sz w:val="24"/>
            <w:szCs w:val="24"/>
          </w:rPr>
          <w:t>https://www.sciencedirect.com/science/article/pii/S2667134422000475</w:t>
        </w:r>
      </w:hyperlink>
    </w:p>
    <w:p w14:paraId="4ED04146" w14:textId="77777777" w:rsidR="00327490" w:rsidRPr="00327490" w:rsidRDefault="00327490" w:rsidP="00327490">
      <w:pPr>
        <w:ind w:left="567"/>
        <w:rPr>
          <w:sz w:val="24"/>
          <w:szCs w:val="24"/>
        </w:rPr>
      </w:pPr>
      <w:r w:rsidRPr="00327490">
        <w:rPr>
          <w:sz w:val="24"/>
          <w:szCs w:val="24"/>
        </w:rPr>
        <w:t xml:space="preserve">[18] – </w:t>
      </w:r>
      <w:proofErr w:type="spellStart"/>
      <w:r w:rsidRPr="00327490">
        <w:rPr>
          <w:sz w:val="24"/>
          <w:szCs w:val="24"/>
        </w:rPr>
        <w:t>S.Walley</w:t>
      </w:r>
      <w:proofErr w:type="spellEnd"/>
      <w:r w:rsidRPr="00327490">
        <w:rPr>
          <w:sz w:val="24"/>
          <w:szCs w:val="24"/>
        </w:rPr>
        <w:t xml:space="preserve">, 10 September 2018, The European Physical Journal - Special Topics Volume 227, </w:t>
      </w:r>
      <w:r w:rsidRPr="00327490">
        <w:rPr>
          <w:i/>
          <w:iCs/>
          <w:sz w:val="24"/>
          <w:szCs w:val="24"/>
        </w:rPr>
        <w:t>Temperature and strain rate effects on the mechanical properties of a polymer-bonded explosive,</w:t>
      </w:r>
      <w:r w:rsidRPr="00327490">
        <w:rPr>
          <w:sz w:val="24"/>
          <w:szCs w:val="24"/>
        </w:rPr>
        <w:t xml:space="preserve"> Accessed 19 January 2026, </w:t>
      </w:r>
      <w:hyperlink r:id="rId27" w:history="1">
        <w:r w:rsidRPr="00327490">
          <w:rPr>
            <w:rStyle w:val="Hyperlink"/>
            <w:sz w:val="24"/>
            <w:szCs w:val="24"/>
          </w:rPr>
          <w:t>https://link.springer.com/article/10.1140/epjst/e2018-00060-6</w:t>
        </w:r>
      </w:hyperlink>
    </w:p>
    <w:p w14:paraId="2665011F" w14:textId="77777777" w:rsidR="00327490" w:rsidRPr="00327490" w:rsidRDefault="00327490" w:rsidP="00327490">
      <w:pPr>
        <w:ind w:left="567"/>
        <w:rPr>
          <w:sz w:val="24"/>
          <w:szCs w:val="24"/>
        </w:rPr>
      </w:pPr>
      <w:r w:rsidRPr="00327490">
        <w:rPr>
          <w:sz w:val="24"/>
          <w:szCs w:val="24"/>
        </w:rPr>
        <w:t xml:space="preserve">[19] – </w:t>
      </w:r>
      <w:proofErr w:type="spellStart"/>
      <w:r w:rsidRPr="00327490">
        <w:rPr>
          <w:sz w:val="24"/>
          <w:szCs w:val="24"/>
        </w:rPr>
        <w:t>A.Provotas</w:t>
      </w:r>
      <w:proofErr w:type="spellEnd"/>
      <w:r w:rsidRPr="00327490">
        <w:rPr>
          <w:sz w:val="24"/>
          <w:szCs w:val="24"/>
        </w:rPr>
        <w:t xml:space="preserve">, April 2000, Aeronautical and Maritime Research Laboratory Australia, </w:t>
      </w:r>
      <w:r w:rsidRPr="00327490">
        <w:rPr>
          <w:i/>
          <w:iCs/>
          <w:sz w:val="24"/>
          <w:szCs w:val="24"/>
        </w:rPr>
        <w:t>Energetic Polymers and Plasticisers for Explosive Formulations - A Review of Recent Advances</w:t>
      </w:r>
      <w:r w:rsidRPr="00327490">
        <w:rPr>
          <w:sz w:val="24"/>
          <w:szCs w:val="24"/>
        </w:rPr>
        <w:t xml:space="preserve">, Accessed 20 January 2026, </w:t>
      </w:r>
      <w:hyperlink r:id="rId28" w:history="1">
        <w:r w:rsidRPr="00327490">
          <w:rPr>
            <w:rStyle w:val="Hyperlink"/>
            <w:sz w:val="24"/>
            <w:szCs w:val="24"/>
          </w:rPr>
          <w:t>https://scispace.com/pdf/energetic-polymers-and-plasticisers-for-explosive-2n3jswoa3i.pdf</w:t>
        </w:r>
      </w:hyperlink>
    </w:p>
    <w:p w14:paraId="0BE8C69A" w14:textId="77777777" w:rsidR="00327490" w:rsidRPr="00327490" w:rsidRDefault="00327490" w:rsidP="00327490">
      <w:pPr>
        <w:ind w:left="567"/>
        <w:rPr>
          <w:sz w:val="24"/>
          <w:szCs w:val="24"/>
        </w:rPr>
      </w:pPr>
      <w:r w:rsidRPr="00327490">
        <w:rPr>
          <w:sz w:val="24"/>
          <w:szCs w:val="24"/>
        </w:rPr>
        <w:t xml:space="preserve">[20] - </w:t>
      </w:r>
      <w:proofErr w:type="spellStart"/>
      <w:r w:rsidRPr="00327490">
        <w:rPr>
          <w:sz w:val="24"/>
          <w:szCs w:val="24"/>
        </w:rPr>
        <w:t>V.Komanschek</w:t>
      </w:r>
      <w:proofErr w:type="spellEnd"/>
      <w:r w:rsidRPr="00327490">
        <w:rPr>
          <w:sz w:val="24"/>
          <w:szCs w:val="24"/>
        </w:rPr>
        <w:t xml:space="preserve"> &amp; Q. </w:t>
      </w:r>
      <w:proofErr w:type="spellStart"/>
      <w:r w:rsidRPr="00327490">
        <w:rPr>
          <w:sz w:val="24"/>
          <w:szCs w:val="24"/>
        </w:rPr>
        <w:t>Axthammer</w:t>
      </w:r>
      <w:proofErr w:type="spellEnd"/>
      <w:r w:rsidRPr="00327490">
        <w:rPr>
          <w:sz w:val="24"/>
          <w:szCs w:val="24"/>
        </w:rPr>
        <w:t xml:space="preserve">, 13 May 2024, Energetic Materials Technology Working Group Oslo, </w:t>
      </w:r>
      <w:r w:rsidRPr="00327490">
        <w:rPr>
          <w:i/>
          <w:iCs/>
          <w:sz w:val="24"/>
          <w:szCs w:val="24"/>
        </w:rPr>
        <w:t>Characterization and evaluation of alternative plasticizers to mitigate exudation from pressed PBX,</w:t>
      </w:r>
      <w:r w:rsidRPr="00327490">
        <w:rPr>
          <w:sz w:val="24"/>
          <w:szCs w:val="24"/>
        </w:rPr>
        <w:t xml:space="preserve"> Accessed 22 January 2026, </w:t>
      </w:r>
      <w:hyperlink r:id="rId29" w:history="1">
        <w:r w:rsidRPr="00327490">
          <w:rPr>
            <w:rStyle w:val="Hyperlink"/>
            <w:sz w:val="24"/>
            <w:szCs w:val="24"/>
          </w:rPr>
          <w:t>https://imemg.org/wp-content/uploads/2024/05/24117_Paper-EMTWG_24117_Plasticizer_Paper-final.pdf</w:t>
        </w:r>
      </w:hyperlink>
    </w:p>
    <w:p w14:paraId="7C17A83B" w14:textId="07D81530" w:rsidR="00327490" w:rsidRPr="00327490" w:rsidRDefault="00327490" w:rsidP="00327490">
      <w:pPr>
        <w:ind w:left="567"/>
        <w:rPr>
          <w:sz w:val="24"/>
          <w:szCs w:val="24"/>
        </w:rPr>
      </w:pPr>
      <w:r w:rsidRPr="00327490">
        <w:rPr>
          <w:sz w:val="24"/>
          <w:szCs w:val="24"/>
        </w:rPr>
        <w:t>[2</w:t>
      </w:r>
      <w:r w:rsidR="0042669E">
        <w:rPr>
          <w:sz w:val="24"/>
          <w:szCs w:val="24"/>
        </w:rPr>
        <w:t>1</w:t>
      </w:r>
      <w:r w:rsidRPr="00327490">
        <w:rPr>
          <w:sz w:val="24"/>
          <w:szCs w:val="24"/>
        </w:rPr>
        <w:t xml:space="preserve">] – Defence OME Safety Regulator (DOSR), 19 November 2020, Defence Safety Authority (DSA),  </w:t>
      </w:r>
      <w:r w:rsidRPr="00327490">
        <w:rPr>
          <w:i/>
          <w:iCs/>
          <w:sz w:val="24"/>
          <w:szCs w:val="24"/>
        </w:rPr>
        <w:t>Defence Code of Practice (DCOP) and Guidance Notes for In-Service and Operational Safety Management of OME,</w:t>
      </w:r>
      <w:r w:rsidRPr="00327490">
        <w:rPr>
          <w:sz w:val="24"/>
          <w:szCs w:val="24"/>
        </w:rPr>
        <w:t xml:space="preserve"> Accessed 22 January 2026, </w:t>
      </w:r>
      <w:hyperlink r:id="rId30" w:history="1">
        <w:r w:rsidRPr="00327490">
          <w:rPr>
            <w:rStyle w:val="Hyperlink"/>
            <w:sz w:val="24"/>
            <w:szCs w:val="24"/>
          </w:rPr>
          <w:t>https://assets.publishing.service.gov.uk/media/5ee8ccb8e90e070429b2d2fc/DSA_03_OME_PART_2__JSP_482__CH_17__Nov_19__-_mod_gov_uk.pdf</w:t>
        </w:r>
      </w:hyperlink>
    </w:p>
    <w:p w14:paraId="6C8DEE10" w14:textId="4325B441" w:rsidR="00327490" w:rsidRPr="00327490" w:rsidRDefault="00327490" w:rsidP="009541E4">
      <w:pPr>
        <w:ind w:left="567"/>
        <w:rPr>
          <w:i/>
          <w:iCs/>
          <w:sz w:val="24"/>
          <w:szCs w:val="24"/>
        </w:rPr>
      </w:pPr>
      <w:r w:rsidRPr="00327490">
        <w:rPr>
          <w:sz w:val="24"/>
          <w:szCs w:val="24"/>
        </w:rPr>
        <w:t>[2</w:t>
      </w:r>
      <w:r w:rsidR="0042669E">
        <w:rPr>
          <w:sz w:val="24"/>
          <w:szCs w:val="24"/>
        </w:rPr>
        <w:t>2</w:t>
      </w:r>
      <w:r w:rsidRPr="00327490">
        <w:rPr>
          <w:sz w:val="24"/>
          <w:szCs w:val="24"/>
        </w:rPr>
        <w:t xml:space="preserve">] – North Atlantic Treaty Organisation (NATO), 16 November 2016, NATO Standardisation Office (NSO),  STANAG 4666 (EDITION 1) - </w:t>
      </w:r>
      <w:r w:rsidRPr="00327490">
        <w:rPr>
          <w:i/>
          <w:iCs/>
          <w:sz w:val="24"/>
          <w:szCs w:val="24"/>
        </w:rPr>
        <w:t>EXPLOSIVES, ASSESSMENT OF AGEING OF POLYMER</w:t>
      </w:r>
      <w:r w:rsidR="009541E4">
        <w:rPr>
          <w:i/>
          <w:iCs/>
          <w:sz w:val="24"/>
          <w:szCs w:val="24"/>
        </w:rPr>
        <w:t xml:space="preserve"> </w:t>
      </w:r>
      <w:r w:rsidRPr="00327490">
        <w:rPr>
          <w:i/>
          <w:iCs/>
          <w:sz w:val="24"/>
          <w:szCs w:val="24"/>
        </w:rPr>
        <w:t>BONDED EXPLOSIVES (PBXS) CAST -CURED COMPOSITIONS USING INERT OR ENERGETIC BINDERS</w:t>
      </w:r>
    </w:p>
    <w:p w14:paraId="1BF2C2C4" w14:textId="2691CA72" w:rsidR="00327490" w:rsidRPr="00327490" w:rsidRDefault="00327490" w:rsidP="00327490">
      <w:pPr>
        <w:ind w:left="567"/>
        <w:rPr>
          <w:sz w:val="24"/>
          <w:szCs w:val="24"/>
        </w:rPr>
      </w:pPr>
      <w:r w:rsidRPr="00327490">
        <w:rPr>
          <w:sz w:val="24"/>
          <w:szCs w:val="24"/>
        </w:rPr>
        <w:t>[2</w:t>
      </w:r>
      <w:r w:rsidR="0042669E">
        <w:rPr>
          <w:sz w:val="24"/>
          <w:szCs w:val="24"/>
        </w:rPr>
        <w:t>3</w:t>
      </w:r>
      <w:r w:rsidRPr="00327490">
        <w:rPr>
          <w:sz w:val="24"/>
          <w:szCs w:val="24"/>
        </w:rPr>
        <w:t xml:space="preserve">] - North Atlantic Treaty Organisation (NATO), 16 November 2016, NATO Standardisation Office (NSO), </w:t>
      </w:r>
      <w:r w:rsidRPr="00327490">
        <w:rPr>
          <w:i/>
          <w:iCs/>
          <w:sz w:val="24"/>
          <w:szCs w:val="24"/>
        </w:rPr>
        <w:t>Allied Ordnance Publication (AOP) 64 - IN-SERVICE SURVEILLANCE OF MUNITIONS CONDITION MONITORING OF ENERGETIC MATERIALS.</w:t>
      </w:r>
    </w:p>
    <w:p w14:paraId="4B26A2DB" w14:textId="032A48E8" w:rsidR="00327490" w:rsidRPr="00327490" w:rsidRDefault="00327490" w:rsidP="00327490">
      <w:pPr>
        <w:ind w:left="567"/>
        <w:rPr>
          <w:sz w:val="24"/>
          <w:szCs w:val="24"/>
        </w:rPr>
      </w:pPr>
      <w:r w:rsidRPr="00327490">
        <w:rPr>
          <w:sz w:val="24"/>
          <w:szCs w:val="24"/>
        </w:rPr>
        <w:t>[2</w:t>
      </w:r>
      <w:r w:rsidR="0042669E">
        <w:rPr>
          <w:sz w:val="24"/>
          <w:szCs w:val="24"/>
        </w:rPr>
        <w:t>4</w:t>
      </w:r>
      <w:r w:rsidRPr="00327490">
        <w:rPr>
          <w:sz w:val="24"/>
          <w:szCs w:val="24"/>
        </w:rPr>
        <w:t xml:space="preserve">] - </w:t>
      </w:r>
      <w:proofErr w:type="spellStart"/>
      <w:r w:rsidRPr="00327490">
        <w:rPr>
          <w:sz w:val="24"/>
          <w:szCs w:val="24"/>
        </w:rPr>
        <w:t>A.Provotas</w:t>
      </w:r>
      <w:proofErr w:type="spellEnd"/>
      <w:r w:rsidRPr="00327490">
        <w:rPr>
          <w:sz w:val="24"/>
          <w:szCs w:val="24"/>
        </w:rPr>
        <w:t xml:space="preserve">, March 2003, Aeronautical and Maritime Research Laboratory Australia, </w:t>
      </w:r>
      <w:r w:rsidRPr="00327490">
        <w:rPr>
          <w:i/>
          <w:iCs/>
          <w:sz w:val="24"/>
          <w:szCs w:val="24"/>
        </w:rPr>
        <w:t>Formulation and Performance Studies of Polymer Bonded Explosives (PBX) Containing Energetic Binder Systems</w:t>
      </w:r>
      <w:r w:rsidRPr="00327490">
        <w:rPr>
          <w:sz w:val="24"/>
          <w:szCs w:val="24"/>
        </w:rPr>
        <w:t xml:space="preserve">, Accessed 25 January 2026, </w:t>
      </w:r>
      <w:hyperlink r:id="rId31" w:history="1">
        <w:r w:rsidRPr="00327490">
          <w:rPr>
            <w:rStyle w:val="Hyperlink"/>
            <w:sz w:val="24"/>
            <w:szCs w:val="24"/>
          </w:rPr>
          <w:t>https://apps.dtic.mil/sti/tr/pdf/ADA415676.pdf</w:t>
        </w:r>
      </w:hyperlink>
    </w:p>
    <w:p w14:paraId="566A12B2" w14:textId="733287C3" w:rsidR="004A004F" w:rsidRPr="00B941D6" w:rsidRDefault="00327490" w:rsidP="004A004F">
      <w:pPr>
        <w:ind w:left="567"/>
        <w:rPr>
          <w:b/>
          <w:bCs/>
          <w:sz w:val="24"/>
          <w:szCs w:val="24"/>
          <w:u w:val="single"/>
          <w:lang w:val="en-US"/>
        </w:rPr>
      </w:pPr>
      <w:r w:rsidRPr="00B941D6">
        <w:rPr>
          <w:b/>
          <w:bCs/>
          <w:sz w:val="24"/>
          <w:szCs w:val="24"/>
          <w:u w:val="single"/>
          <w:lang w:val="en-US"/>
        </w:rPr>
        <w:t>Appendices</w:t>
      </w:r>
    </w:p>
    <w:p w14:paraId="3E5C0EDB" w14:textId="079503BF" w:rsidR="004A004F" w:rsidRPr="00D46F65" w:rsidRDefault="001039DE" w:rsidP="00D46F65">
      <w:pPr>
        <w:ind w:left="567"/>
        <w:jc w:val="center"/>
        <w:rPr>
          <w:i/>
          <w:iCs/>
          <w:sz w:val="24"/>
          <w:szCs w:val="24"/>
          <w:lang w:val="en-US"/>
        </w:rPr>
      </w:pPr>
      <w:r w:rsidRPr="00D46F65">
        <w:rPr>
          <w:i/>
          <w:iCs/>
          <w:noProof/>
        </w:rPr>
        <w:lastRenderedPageBreak/>
        <w:drawing>
          <wp:anchor distT="0" distB="0" distL="114300" distR="114300" simplePos="0" relativeHeight="251665408" behindDoc="1" locked="0" layoutInCell="1" allowOverlap="1" wp14:anchorId="60D46BA9" wp14:editId="0FA23FBD">
            <wp:simplePos x="0" y="0"/>
            <wp:positionH relativeFrom="column">
              <wp:posOffset>358140</wp:posOffset>
            </wp:positionH>
            <wp:positionV relativeFrom="paragraph">
              <wp:posOffset>0</wp:posOffset>
            </wp:positionV>
            <wp:extent cx="5731510" cy="3223895"/>
            <wp:effectExtent l="0" t="0" r="2540" b="0"/>
            <wp:wrapTight wrapText="bothSides">
              <wp:wrapPolygon edited="0">
                <wp:start x="0" y="0"/>
                <wp:lineTo x="0" y="21443"/>
                <wp:lineTo x="21538" y="21443"/>
                <wp:lineTo x="21538" y="0"/>
                <wp:lineTo x="0" y="0"/>
              </wp:wrapPolygon>
            </wp:wrapTight>
            <wp:docPr id="180942447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424471"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r w:rsidR="00D46F65" w:rsidRPr="00D46F65">
        <w:rPr>
          <w:i/>
          <w:iCs/>
          <w:sz w:val="24"/>
          <w:szCs w:val="24"/>
          <w:lang w:val="en-US"/>
        </w:rPr>
        <w:t>Appendix A – Introduction Slide</w:t>
      </w:r>
    </w:p>
    <w:p w14:paraId="6CB2B961" w14:textId="1EAF14A6" w:rsidR="004A004F" w:rsidRPr="00B351AF" w:rsidRDefault="004B145A" w:rsidP="004A004F">
      <w:pPr>
        <w:ind w:left="567"/>
        <w:rPr>
          <w:i/>
          <w:iCs/>
          <w:sz w:val="24"/>
          <w:szCs w:val="24"/>
          <w:lang w:val="en-US"/>
        </w:rPr>
      </w:pPr>
      <w:r w:rsidRPr="00B351AF">
        <w:rPr>
          <w:i/>
          <w:iCs/>
          <w:noProof/>
        </w:rPr>
        <w:drawing>
          <wp:inline distT="0" distB="0" distL="0" distR="0" wp14:anchorId="3DB7F048" wp14:editId="30F08D10">
            <wp:extent cx="5731510" cy="3223895"/>
            <wp:effectExtent l="0" t="0" r="2540" b="0"/>
            <wp:docPr id="166982733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827332"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5731510" cy="3223895"/>
                    </a:xfrm>
                    <a:prstGeom prst="rect">
                      <a:avLst/>
                    </a:prstGeom>
                  </pic:spPr>
                </pic:pic>
              </a:graphicData>
            </a:graphic>
          </wp:inline>
        </w:drawing>
      </w:r>
    </w:p>
    <w:p w14:paraId="1F7EA591" w14:textId="5741A546" w:rsidR="004A004F" w:rsidRPr="00B351AF" w:rsidRDefault="00D46F65" w:rsidP="00D46F65">
      <w:pPr>
        <w:ind w:left="567"/>
        <w:jc w:val="center"/>
        <w:rPr>
          <w:i/>
          <w:iCs/>
          <w:sz w:val="24"/>
          <w:szCs w:val="24"/>
          <w:lang w:val="en-US"/>
        </w:rPr>
      </w:pPr>
      <w:r w:rsidRPr="00B351AF">
        <w:rPr>
          <w:i/>
          <w:iCs/>
          <w:sz w:val="24"/>
          <w:szCs w:val="24"/>
          <w:lang w:val="en-US"/>
        </w:rPr>
        <w:t xml:space="preserve">Appendix B </w:t>
      </w:r>
      <w:r w:rsidR="00B651D4" w:rsidRPr="00B351AF">
        <w:rPr>
          <w:i/>
          <w:iCs/>
          <w:sz w:val="24"/>
          <w:szCs w:val="24"/>
          <w:lang w:val="en-US"/>
        </w:rPr>
        <w:t>–</w:t>
      </w:r>
      <w:r w:rsidRPr="00B351AF">
        <w:rPr>
          <w:i/>
          <w:iCs/>
          <w:sz w:val="24"/>
          <w:szCs w:val="24"/>
          <w:lang w:val="en-US"/>
        </w:rPr>
        <w:t xml:space="preserve"> </w:t>
      </w:r>
      <w:r w:rsidR="00B651D4" w:rsidRPr="00B351AF">
        <w:rPr>
          <w:i/>
          <w:iCs/>
          <w:sz w:val="24"/>
          <w:szCs w:val="24"/>
          <w:lang w:val="en-US"/>
        </w:rPr>
        <w:t>Presentation Aims Slide</w:t>
      </w:r>
    </w:p>
    <w:p w14:paraId="58A271BC" w14:textId="77777777" w:rsidR="004A004F" w:rsidRDefault="004A004F" w:rsidP="004A004F">
      <w:pPr>
        <w:ind w:left="567"/>
        <w:rPr>
          <w:sz w:val="24"/>
          <w:szCs w:val="24"/>
          <w:lang w:val="en-US"/>
        </w:rPr>
      </w:pPr>
    </w:p>
    <w:p w14:paraId="6AF20CC4" w14:textId="77777777" w:rsidR="004A004F" w:rsidRDefault="004A004F" w:rsidP="004A004F">
      <w:pPr>
        <w:ind w:left="567"/>
        <w:rPr>
          <w:sz w:val="24"/>
          <w:szCs w:val="24"/>
          <w:lang w:val="en-US"/>
        </w:rPr>
      </w:pPr>
    </w:p>
    <w:p w14:paraId="650E2ED6" w14:textId="77777777" w:rsidR="001039DE" w:rsidRDefault="001039DE" w:rsidP="004A004F">
      <w:pPr>
        <w:ind w:left="567"/>
        <w:rPr>
          <w:sz w:val="24"/>
          <w:szCs w:val="24"/>
          <w:lang w:val="en-US"/>
        </w:rPr>
      </w:pPr>
    </w:p>
    <w:p w14:paraId="49E9E638" w14:textId="77777777" w:rsidR="001039DE" w:rsidRDefault="001039DE" w:rsidP="004A004F">
      <w:pPr>
        <w:ind w:left="567"/>
        <w:rPr>
          <w:sz w:val="24"/>
          <w:szCs w:val="24"/>
          <w:lang w:val="en-US"/>
        </w:rPr>
      </w:pPr>
    </w:p>
    <w:p w14:paraId="6BE2E831" w14:textId="77777777" w:rsidR="001039DE" w:rsidRDefault="001039DE" w:rsidP="004A004F">
      <w:pPr>
        <w:ind w:left="567"/>
        <w:rPr>
          <w:sz w:val="24"/>
          <w:szCs w:val="24"/>
          <w:lang w:val="en-US"/>
        </w:rPr>
      </w:pPr>
    </w:p>
    <w:p w14:paraId="44900A8C" w14:textId="0CDFD843" w:rsidR="001039DE" w:rsidRDefault="007E5FDA" w:rsidP="004A004F">
      <w:pPr>
        <w:ind w:left="567"/>
        <w:rPr>
          <w:sz w:val="24"/>
          <w:szCs w:val="24"/>
          <w:lang w:val="en-US"/>
        </w:rPr>
      </w:pPr>
      <w:r>
        <w:rPr>
          <w:noProof/>
        </w:rPr>
        <w:lastRenderedPageBreak/>
        <w:drawing>
          <wp:inline distT="0" distB="0" distL="0" distR="0" wp14:anchorId="0278354C" wp14:editId="5C3F354F">
            <wp:extent cx="5731510" cy="3223895"/>
            <wp:effectExtent l="0" t="0" r="2540" b="0"/>
            <wp:docPr id="147241019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410196" name=""/>
                    <pic:cNvPicPr/>
                  </pic:nvPicPr>
                  <pic:blipFill>
                    <a:blip r:embed="rId36">
                      <a:extLst>
                        <a:ext uri="{96DAC541-7B7A-43D3-8B79-37D633B846F1}">
                          <asvg:svgBlip xmlns:asvg="http://schemas.microsoft.com/office/drawing/2016/SVG/main" r:embed="rId37"/>
                        </a:ext>
                      </a:extLst>
                    </a:blip>
                    <a:stretch>
                      <a:fillRect/>
                    </a:stretch>
                  </pic:blipFill>
                  <pic:spPr>
                    <a:xfrm>
                      <a:off x="0" y="0"/>
                      <a:ext cx="5731510" cy="3223895"/>
                    </a:xfrm>
                    <a:prstGeom prst="rect">
                      <a:avLst/>
                    </a:prstGeom>
                  </pic:spPr>
                </pic:pic>
              </a:graphicData>
            </a:graphic>
          </wp:inline>
        </w:drawing>
      </w:r>
    </w:p>
    <w:p w14:paraId="0FB4216F" w14:textId="265CE292" w:rsidR="00CB049A" w:rsidRPr="00B351AF" w:rsidRDefault="00CB049A" w:rsidP="00CB049A">
      <w:pPr>
        <w:ind w:left="567"/>
        <w:jc w:val="center"/>
        <w:rPr>
          <w:i/>
          <w:iCs/>
          <w:sz w:val="24"/>
          <w:szCs w:val="24"/>
          <w:lang w:val="en-US"/>
        </w:rPr>
      </w:pPr>
      <w:r w:rsidRPr="00B351AF">
        <w:rPr>
          <w:i/>
          <w:iCs/>
          <w:sz w:val="24"/>
          <w:szCs w:val="24"/>
          <w:lang w:val="en-US"/>
        </w:rPr>
        <w:t xml:space="preserve">Appendix </w:t>
      </w:r>
      <w:r>
        <w:rPr>
          <w:i/>
          <w:iCs/>
          <w:sz w:val="24"/>
          <w:szCs w:val="24"/>
          <w:lang w:val="en-US"/>
        </w:rPr>
        <w:t>C</w:t>
      </w:r>
      <w:r w:rsidRPr="00B351AF">
        <w:rPr>
          <w:i/>
          <w:iCs/>
          <w:sz w:val="24"/>
          <w:szCs w:val="24"/>
          <w:lang w:val="en-US"/>
        </w:rPr>
        <w:t xml:space="preserve"> – </w:t>
      </w:r>
      <w:r w:rsidR="00FD6245">
        <w:rPr>
          <w:i/>
          <w:iCs/>
          <w:sz w:val="24"/>
          <w:szCs w:val="24"/>
          <w:lang w:val="en-US"/>
        </w:rPr>
        <w:t>PBX Introduction Slide</w:t>
      </w:r>
    </w:p>
    <w:p w14:paraId="67191D58" w14:textId="77777777" w:rsidR="004B145A" w:rsidRDefault="004B145A" w:rsidP="00CB049A">
      <w:pPr>
        <w:ind w:left="567"/>
        <w:jc w:val="center"/>
        <w:rPr>
          <w:sz w:val="24"/>
          <w:szCs w:val="24"/>
          <w:lang w:val="en-US"/>
        </w:rPr>
      </w:pPr>
    </w:p>
    <w:p w14:paraId="733A084C" w14:textId="64D4B98C" w:rsidR="004B145A" w:rsidRDefault="00426425" w:rsidP="004A004F">
      <w:pPr>
        <w:ind w:left="567"/>
        <w:rPr>
          <w:sz w:val="24"/>
          <w:szCs w:val="24"/>
          <w:lang w:val="en-US"/>
        </w:rPr>
      </w:pPr>
      <w:r>
        <w:rPr>
          <w:noProof/>
        </w:rPr>
        <w:drawing>
          <wp:inline distT="0" distB="0" distL="0" distR="0" wp14:anchorId="4FDF1DC7" wp14:editId="2DBDDE1E">
            <wp:extent cx="5731510" cy="3223895"/>
            <wp:effectExtent l="0" t="0" r="2540" b="0"/>
            <wp:docPr id="208660277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602770" name=""/>
                    <pic:cNvPicPr/>
                  </pic:nvPicPr>
                  <pic:blipFill>
                    <a:blip r:embed="rId38">
                      <a:extLst>
                        <a:ext uri="{96DAC541-7B7A-43D3-8B79-37D633B846F1}">
                          <asvg:svgBlip xmlns:asvg="http://schemas.microsoft.com/office/drawing/2016/SVG/main" r:embed="rId39"/>
                        </a:ext>
                      </a:extLst>
                    </a:blip>
                    <a:stretch>
                      <a:fillRect/>
                    </a:stretch>
                  </pic:blipFill>
                  <pic:spPr>
                    <a:xfrm>
                      <a:off x="0" y="0"/>
                      <a:ext cx="5731510" cy="3223895"/>
                    </a:xfrm>
                    <a:prstGeom prst="rect">
                      <a:avLst/>
                    </a:prstGeom>
                  </pic:spPr>
                </pic:pic>
              </a:graphicData>
            </a:graphic>
          </wp:inline>
        </w:drawing>
      </w:r>
    </w:p>
    <w:p w14:paraId="3DA42682" w14:textId="5254BDF0" w:rsidR="00CB049A" w:rsidRPr="00B351AF" w:rsidRDefault="00CB049A" w:rsidP="00CB049A">
      <w:pPr>
        <w:ind w:left="567"/>
        <w:jc w:val="center"/>
        <w:rPr>
          <w:i/>
          <w:iCs/>
          <w:sz w:val="24"/>
          <w:szCs w:val="24"/>
          <w:lang w:val="en-US"/>
        </w:rPr>
      </w:pPr>
      <w:r w:rsidRPr="00B351AF">
        <w:rPr>
          <w:i/>
          <w:iCs/>
          <w:sz w:val="24"/>
          <w:szCs w:val="24"/>
          <w:lang w:val="en-US"/>
        </w:rPr>
        <w:t xml:space="preserve">Appendix </w:t>
      </w:r>
      <w:r>
        <w:rPr>
          <w:i/>
          <w:iCs/>
          <w:sz w:val="24"/>
          <w:szCs w:val="24"/>
          <w:lang w:val="en-US"/>
        </w:rPr>
        <w:t>D</w:t>
      </w:r>
      <w:r w:rsidRPr="00B351AF">
        <w:rPr>
          <w:i/>
          <w:iCs/>
          <w:sz w:val="24"/>
          <w:szCs w:val="24"/>
          <w:lang w:val="en-US"/>
        </w:rPr>
        <w:t xml:space="preserve"> – </w:t>
      </w:r>
      <w:proofErr w:type="spellStart"/>
      <w:r w:rsidR="00FD6245" w:rsidRPr="00B351AF">
        <w:rPr>
          <w:i/>
          <w:iCs/>
          <w:sz w:val="24"/>
          <w:szCs w:val="24"/>
          <w:lang w:val="en-US"/>
        </w:rPr>
        <w:t>P</w:t>
      </w:r>
      <w:r w:rsidR="00FD6245">
        <w:rPr>
          <w:i/>
          <w:iCs/>
          <w:sz w:val="24"/>
          <w:szCs w:val="24"/>
          <w:lang w:val="en-US"/>
        </w:rPr>
        <w:t>lasticisers</w:t>
      </w:r>
      <w:proofErr w:type="spellEnd"/>
      <w:r w:rsidR="00FD6245">
        <w:rPr>
          <w:i/>
          <w:iCs/>
          <w:sz w:val="24"/>
          <w:szCs w:val="24"/>
          <w:lang w:val="en-US"/>
        </w:rPr>
        <w:t xml:space="preserve"> Slide</w:t>
      </w:r>
    </w:p>
    <w:p w14:paraId="57C5583E" w14:textId="77777777" w:rsidR="004B145A" w:rsidRDefault="004B145A" w:rsidP="004A004F">
      <w:pPr>
        <w:ind w:left="567"/>
        <w:rPr>
          <w:sz w:val="24"/>
          <w:szCs w:val="24"/>
          <w:lang w:val="en-US"/>
        </w:rPr>
      </w:pPr>
    </w:p>
    <w:p w14:paraId="018CF4C3" w14:textId="25347368" w:rsidR="004B145A" w:rsidRDefault="00426425" w:rsidP="004A004F">
      <w:pPr>
        <w:ind w:left="567"/>
        <w:rPr>
          <w:sz w:val="24"/>
          <w:szCs w:val="24"/>
          <w:lang w:val="en-US"/>
        </w:rPr>
      </w:pPr>
      <w:r>
        <w:rPr>
          <w:noProof/>
        </w:rPr>
        <w:lastRenderedPageBreak/>
        <w:drawing>
          <wp:inline distT="0" distB="0" distL="0" distR="0" wp14:anchorId="683C1580" wp14:editId="3B81033A">
            <wp:extent cx="5731510" cy="3223895"/>
            <wp:effectExtent l="0" t="0" r="2540" b="0"/>
            <wp:docPr id="36691490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914905" name=""/>
                    <pic:cNvPicPr/>
                  </pic:nvPicPr>
                  <pic:blipFill>
                    <a:blip r:embed="rId40">
                      <a:extLst>
                        <a:ext uri="{96DAC541-7B7A-43D3-8B79-37D633B846F1}">
                          <asvg:svgBlip xmlns:asvg="http://schemas.microsoft.com/office/drawing/2016/SVG/main" r:embed="rId41"/>
                        </a:ext>
                      </a:extLst>
                    </a:blip>
                    <a:stretch>
                      <a:fillRect/>
                    </a:stretch>
                  </pic:blipFill>
                  <pic:spPr>
                    <a:xfrm>
                      <a:off x="0" y="0"/>
                      <a:ext cx="5731510" cy="3223895"/>
                    </a:xfrm>
                    <a:prstGeom prst="rect">
                      <a:avLst/>
                    </a:prstGeom>
                  </pic:spPr>
                </pic:pic>
              </a:graphicData>
            </a:graphic>
          </wp:inline>
        </w:drawing>
      </w:r>
    </w:p>
    <w:p w14:paraId="33C084D0" w14:textId="7A516B16" w:rsidR="00CB049A" w:rsidRPr="00B351AF" w:rsidRDefault="00CB049A" w:rsidP="00CB049A">
      <w:pPr>
        <w:ind w:left="567"/>
        <w:jc w:val="center"/>
        <w:rPr>
          <w:i/>
          <w:iCs/>
          <w:sz w:val="24"/>
          <w:szCs w:val="24"/>
          <w:lang w:val="en-US"/>
        </w:rPr>
      </w:pPr>
      <w:r w:rsidRPr="00B351AF">
        <w:rPr>
          <w:i/>
          <w:iCs/>
          <w:sz w:val="24"/>
          <w:szCs w:val="24"/>
          <w:lang w:val="en-US"/>
        </w:rPr>
        <w:t xml:space="preserve">Appendix </w:t>
      </w:r>
      <w:r>
        <w:rPr>
          <w:i/>
          <w:iCs/>
          <w:sz w:val="24"/>
          <w:szCs w:val="24"/>
          <w:lang w:val="en-US"/>
        </w:rPr>
        <w:t>E</w:t>
      </w:r>
      <w:r w:rsidRPr="00B351AF">
        <w:rPr>
          <w:i/>
          <w:iCs/>
          <w:sz w:val="24"/>
          <w:szCs w:val="24"/>
          <w:lang w:val="en-US"/>
        </w:rPr>
        <w:t xml:space="preserve"> – </w:t>
      </w:r>
      <w:proofErr w:type="gramStart"/>
      <w:r w:rsidR="00FD6245">
        <w:rPr>
          <w:i/>
          <w:iCs/>
          <w:sz w:val="24"/>
          <w:szCs w:val="24"/>
          <w:lang w:val="en-US"/>
        </w:rPr>
        <w:t>Anti-Oxidant</w:t>
      </w:r>
      <w:proofErr w:type="gramEnd"/>
      <w:r w:rsidRPr="00B351AF">
        <w:rPr>
          <w:i/>
          <w:iCs/>
          <w:sz w:val="24"/>
          <w:szCs w:val="24"/>
          <w:lang w:val="en-US"/>
        </w:rPr>
        <w:t xml:space="preserve"> Slide</w:t>
      </w:r>
    </w:p>
    <w:p w14:paraId="03204826" w14:textId="77777777" w:rsidR="004B145A" w:rsidRDefault="004B145A" w:rsidP="004A004F">
      <w:pPr>
        <w:ind w:left="567"/>
        <w:rPr>
          <w:sz w:val="24"/>
          <w:szCs w:val="24"/>
          <w:lang w:val="en-US"/>
        </w:rPr>
      </w:pPr>
    </w:p>
    <w:p w14:paraId="2F90AA62" w14:textId="3FFE4641" w:rsidR="004B145A" w:rsidRDefault="00426425" w:rsidP="004A004F">
      <w:pPr>
        <w:ind w:left="567"/>
        <w:rPr>
          <w:sz w:val="24"/>
          <w:szCs w:val="24"/>
          <w:lang w:val="en-US"/>
        </w:rPr>
      </w:pPr>
      <w:r>
        <w:rPr>
          <w:noProof/>
        </w:rPr>
        <w:drawing>
          <wp:inline distT="0" distB="0" distL="0" distR="0" wp14:anchorId="18DA1245" wp14:editId="66B3F596">
            <wp:extent cx="5731510" cy="3223895"/>
            <wp:effectExtent l="0" t="0" r="2540" b="0"/>
            <wp:docPr id="114016257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162574" name=""/>
                    <pic:cNvPicPr/>
                  </pic:nvPicPr>
                  <pic:blipFill>
                    <a:blip r:embed="rId42">
                      <a:extLst>
                        <a:ext uri="{96DAC541-7B7A-43D3-8B79-37D633B846F1}">
                          <asvg:svgBlip xmlns:asvg="http://schemas.microsoft.com/office/drawing/2016/SVG/main" r:embed="rId43"/>
                        </a:ext>
                      </a:extLst>
                    </a:blip>
                    <a:stretch>
                      <a:fillRect/>
                    </a:stretch>
                  </pic:blipFill>
                  <pic:spPr>
                    <a:xfrm>
                      <a:off x="0" y="0"/>
                      <a:ext cx="5731510" cy="3223895"/>
                    </a:xfrm>
                    <a:prstGeom prst="rect">
                      <a:avLst/>
                    </a:prstGeom>
                  </pic:spPr>
                </pic:pic>
              </a:graphicData>
            </a:graphic>
          </wp:inline>
        </w:drawing>
      </w:r>
    </w:p>
    <w:p w14:paraId="408B0C13" w14:textId="2B7AB6D0" w:rsidR="00CB049A" w:rsidRPr="00B351AF" w:rsidRDefault="00CB049A" w:rsidP="00CB049A">
      <w:pPr>
        <w:ind w:left="567"/>
        <w:jc w:val="center"/>
        <w:rPr>
          <w:i/>
          <w:iCs/>
          <w:sz w:val="24"/>
          <w:szCs w:val="24"/>
          <w:lang w:val="en-US"/>
        </w:rPr>
      </w:pPr>
      <w:r w:rsidRPr="00B351AF">
        <w:rPr>
          <w:i/>
          <w:iCs/>
          <w:sz w:val="24"/>
          <w:szCs w:val="24"/>
          <w:lang w:val="en-US"/>
        </w:rPr>
        <w:t xml:space="preserve">Appendix </w:t>
      </w:r>
      <w:r>
        <w:rPr>
          <w:i/>
          <w:iCs/>
          <w:sz w:val="24"/>
          <w:szCs w:val="24"/>
          <w:lang w:val="en-US"/>
        </w:rPr>
        <w:t>F</w:t>
      </w:r>
      <w:r w:rsidRPr="00B351AF">
        <w:rPr>
          <w:i/>
          <w:iCs/>
          <w:sz w:val="24"/>
          <w:szCs w:val="24"/>
          <w:lang w:val="en-US"/>
        </w:rPr>
        <w:t xml:space="preserve"> – </w:t>
      </w:r>
      <w:r w:rsidR="00FD6245">
        <w:rPr>
          <w:i/>
          <w:iCs/>
          <w:sz w:val="24"/>
          <w:szCs w:val="24"/>
          <w:lang w:val="en-US"/>
        </w:rPr>
        <w:t>Oxidative Cross-Link</w:t>
      </w:r>
      <w:r w:rsidRPr="00B351AF">
        <w:rPr>
          <w:i/>
          <w:iCs/>
          <w:sz w:val="24"/>
          <w:szCs w:val="24"/>
          <w:lang w:val="en-US"/>
        </w:rPr>
        <w:t xml:space="preserve"> Slide</w:t>
      </w:r>
    </w:p>
    <w:p w14:paraId="073C6BCC" w14:textId="77777777" w:rsidR="004B145A" w:rsidRDefault="004B145A" w:rsidP="004A004F">
      <w:pPr>
        <w:ind w:left="567"/>
        <w:rPr>
          <w:sz w:val="24"/>
          <w:szCs w:val="24"/>
          <w:lang w:val="en-US"/>
        </w:rPr>
      </w:pPr>
    </w:p>
    <w:p w14:paraId="06EF847E" w14:textId="033F16E1" w:rsidR="004B145A" w:rsidRDefault="00426425" w:rsidP="004A004F">
      <w:pPr>
        <w:ind w:left="567"/>
        <w:rPr>
          <w:sz w:val="24"/>
          <w:szCs w:val="24"/>
          <w:lang w:val="en-US"/>
        </w:rPr>
      </w:pPr>
      <w:r>
        <w:rPr>
          <w:noProof/>
        </w:rPr>
        <w:lastRenderedPageBreak/>
        <w:drawing>
          <wp:inline distT="0" distB="0" distL="0" distR="0" wp14:anchorId="265D567C" wp14:editId="491A6896">
            <wp:extent cx="5731510" cy="3223895"/>
            <wp:effectExtent l="0" t="0" r="2540" b="0"/>
            <wp:docPr id="27927367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273675" name=""/>
                    <pic:cNvPicPr/>
                  </pic:nvPicPr>
                  <pic:blipFill>
                    <a:blip r:embed="rId44">
                      <a:extLst>
                        <a:ext uri="{96DAC541-7B7A-43D3-8B79-37D633B846F1}">
                          <asvg:svgBlip xmlns:asvg="http://schemas.microsoft.com/office/drawing/2016/SVG/main" r:embed="rId45"/>
                        </a:ext>
                      </a:extLst>
                    </a:blip>
                    <a:stretch>
                      <a:fillRect/>
                    </a:stretch>
                  </pic:blipFill>
                  <pic:spPr>
                    <a:xfrm>
                      <a:off x="0" y="0"/>
                      <a:ext cx="5731510" cy="3223895"/>
                    </a:xfrm>
                    <a:prstGeom prst="rect">
                      <a:avLst/>
                    </a:prstGeom>
                  </pic:spPr>
                </pic:pic>
              </a:graphicData>
            </a:graphic>
          </wp:inline>
        </w:drawing>
      </w:r>
    </w:p>
    <w:p w14:paraId="68802F03" w14:textId="5211BE20" w:rsidR="00CB049A" w:rsidRPr="00B351AF" w:rsidRDefault="00CB049A" w:rsidP="00CB049A">
      <w:pPr>
        <w:ind w:left="567"/>
        <w:jc w:val="center"/>
        <w:rPr>
          <w:i/>
          <w:iCs/>
          <w:sz w:val="24"/>
          <w:szCs w:val="24"/>
          <w:lang w:val="en-US"/>
        </w:rPr>
      </w:pPr>
      <w:r w:rsidRPr="00B351AF">
        <w:rPr>
          <w:i/>
          <w:iCs/>
          <w:sz w:val="24"/>
          <w:szCs w:val="24"/>
          <w:lang w:val="en-US"/>
        </w:rPr>
        <w:t xml:space="preserve">Appendix </w:t>
      </w:r>
      <w:r>
        <w:rPr>
          <w:i/>
          <w:iCs/>
          <w:sz w:val="24"/>
          <w:szCs w:val="24"/>
          <w:lang w:val="en-US"/>
        </w:rPr>
        <w:t>G</w:t>
      </w:r>
      <w:r w:rsidRPr="00B351AF">
        <w:rPr>
          <w:i/>
          <w:iCs/>
          <w:sz w:val="24"/>
          <w:szCs w:val="24"/>
          <w:lang w:val="en-US"/>
        </w:rPr>
        <w:t xml:space="preserve"> – </w:t>
      </w:r>
      <w:r w:rsidR="00FD6245">
        <w:rPr>
          <w:i/>
          <w:iCs/>
          <w:sz w:val="24"/>
          <w:szCs w:val="24"/>
          <w:lang w:val="en-US"/>
        </w:rPr>
        <w:t>Chainscission</w:t>
      </w:r>
      <w:r w:rsidRPr="00B351AF">
        <w:rPr>
          <w:i/>
          <w:iCs/>
          <w:sz w:val="24"/>
          <w:szCs w:val="24"/>
          <w:lang w:val="en-US"/>
        </w:rPr>
        <w:t xml:space="preserve"> Slide</w:t>
      </w:r>
    </w:p>
    <w:p w14:paraId="5E7C7ACF" w14:textId="77777777" w:rsidR="00CB049A" w:rsidRDefault="00CB049A" w:rsidP="004A004F">
      <w:pPr>
        <w:ind w:left="567"/>
        <w:rPr>
          <w:sz w:val="24"/>
          <w:szCs w:val="24"/>
          <w:lang w:val="en-US"/>
        </w:rPr>
      </w:pPr>
    </w:p>
    <w:p w14:paraId="68302DEB" w14:textId="2CE773CE" w:rsidR="004B145A" w:rsidRDefault="00426425" w:rsidP="004A004F">
      <w:pPr>
        <w:ind w:left="567"/>
        <w:rPr>
          <w:sz w:val="24"/>
          <w:szCs w:val="24"/>
          <w:lang w:val="en-US"/>
        </w:rPr>
      </w:pPr>
      <w:r>
        <w:rPr>
          <w:noProof/>
        </w:rPr>
        <w:drawing>
          <wp:inline distT="0" distB="0" distL="0" distR="0" wp14:anchorId="46526BD2" wp14:editId="4A28BFB4">
            <wp:extent cx="5731510" cy="3223895"/>
            <wp:effectExtent l="0" t="0" r="2540" b="0"/>
            <wp:docPr id="11331929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19292" name=""/>
                    <pic:cNvPicPr/>
                  </pic:nvPicPr>
                  <pic:blipFill>
                    <a:blip r:embed="rId46">
                      <a:extLst>
                        <a:ext uri="{96DAC541-7B7A-43D3-8B79-37D633B846F1}">
                          <asvg:svgBlip xmlns:asvg="http://schemas.microsoft.com/office/drawing/2016/SVG/main" r:embed="rId47"/>
                        </a:ext>
                      </a:extLst>
                    </a:blip>
                    <a:stretch>
                      <a:fillRect/>
                    </a:stretch>
                  </pic:blipFill>
                  <pic:spPr>
                    <a:xfrm>
                      <a:off x="0" y="0"/>
                      <a:ext cx="5731510" cy="3223895"/>
                    </a:xfrm>
                    <a:prstGeom prst="rect">
                      <a:avLst/>
                    </a:prstGeom>
                  </pic:spPr>
                </pic:pic>
              </a:graphicData>
            </a:graphic>
          </wp:inline>
        </w:drawing>
      </w:r>
    </w:p>
    <w:p w14:paraId="6800A6E6" w14:textId="395FB78C" w:rsidR="00CB049A" w:rsidRPr="00B351AF" w:rsidRDefault="00CB049A" w:rsidP="00CB049A">
      <w:pPr>
        <w:ind w:left="567"/>
        <w:jc w:val="center"/>
        <w:rPr>
          <w:i/>
          <w:iCs/>
          <w:sz w:val="24"/>
          <w:szCs w:val="24"/>
          <w:lang w:val="en-US"/>
        </w:rPr>
      </w:pPr>
      <w:r w:rsidRPr="00B351AF">
        <w:rPr>
          <w:i/>
          <w:iCs/>
          <w:sz w:val="24"/>
          <w:szCs w:val="24"/>
          <w:lang w:val="en-US"/>
        </w:rPr>
        <w:t xml:space="preserve">Appendix </w:t>
      </w:r>
      <w:r>
        <w:rPr>
          <w:i/>
          <w:iCs/>
          <w:sz w:val="24"/>
          <w:szCs w:val="24"/>
          <w:lang w:val="en-US"/>
        </w:rPr>
        <w:t>H</w:t>
      </w:r>
      <w:r w:rsidRPr="00B351AF">
        <w:rPr>
          <w:i/>
          <w:iCs/>
          <w:sz w:val="24"/>
          <w:szCs w:val="24"/>
          <w:lang w:val="en-US"/>
        </w:rPr>
        <w:t xml:space="preserve"> – </w:t>
      </w:r>
      <w:r w:rsidR="00FD6245">
        <w:rPr>
          <w:i/>
          <w:iCs/>
          <w:sz w:val="24"/>
          <w:szCs w:val="24"/>
          <w:lang w:val="en-US"/>
        </w:rPr>
        <w:t>Dewetting</w:t>
      </w:r>
      <w:r w:rsidRPr="00B351AF">
        <w:rPr>
          <w:i/>
          <w:iCs/>
          <w:sz w:val="24"/>
          <w:szCs w:val="24"/>
          <w:lang w:val="en-US"/>
        </w:rPr>
        <w:t xml:space="preserve"> Slide</w:t>
      </w:r>
    </w:p>
    <w:p w14:paraId="112F8B53" w14:textId="77777777" w:rsidR="00CB049A" w:rsidRDefault="00CB049A" w:rsidP="004A004F">
      <w:pPr>
        <w:ind w:left="567"/>
        <w:rPr>
          <w:sz w:val="24"/>
          <w:szCs w:val="24"/>
          <w:lang w:val="en-US"/>
        </w:rPr>
      </w:pPr>
    </w:p>
    <w:p w14:paraId="15CBE9DA" w14:textId="78AC5F44" w:rsidR="004B145A" w:rsidRDefault="00426425" w:rsidP="004A004F">
      <w:pPr>
        <w:ind w:left="567"/>
        <w:rPr>
          <w:sz w:val="24"/>
          <w:szCs w:val="24"/>
          <w:lang w:val="en-US"/>
        </w:rPr>
      </w:pPr>
      <w:r>
        <w:rPr>
          <w:noProof/>
        </w:rPr>
        <w:lastRenderedPageBreak/>
        <w:drawing>
          <wp:inline distT="0" distB="0" distL="0" distR="0" wp14:anchorId="07CFB08A" wp14:editId="278E5C39">
            <wp:extent cx="5731510" cy="3223895"/>
            <wp:effectExtent l="0" t="0" r="2540" b="0"/>
            <wp:docPr id="9098636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86363" name=""/>
                    <pic:cNvPicPr/>
                  </pic:nvPicPr>
                  <pic:blipFill>
                    <a:blip r:embed="rId48">
                      <a:extLst>
                        <a:ext uri="{96DAC541-7B7A-43D3-8B79-37D633B846F1}">
                          <asvg:svgBlip xmlns:asvg="http://schemas.microsoft.com/office/drawing/2016/SVG/main" r:embed="rId49"/>
                        </a:ext>
                      </a:extLst>
                    </a:blip>
                    <a:stretch>
                      <a:fillRect/>
                    </a:stretch>
                  </pic:blipFill>
                  <pic:spPr>
                    <a:xfrm>
                      <a:off x="0" y="0"/>
                      <a:ext cx="5731510" cy="3223895"/>
                    </a:xfrm>
                    <a:prstGeom prst="rect">
                      <a:avLst/>
                    </a:prstGeom>
                  </pic:spPr>
                </pic:pic>
              </a:graphicData>
            </a:graphic>
          </wp:inline>
        </w:drawing>
      </w:r>
    </w:p>
    <w:p w14:paraId="7F31AE0C" w14:textId="21A91F99" w:rsidR="00CB049A" w:rsidRPr="00B351AF" w:rsidRDefault="00CB049A" w:rsidP="00CB049A">
      <w:pPr>
        <w:ind w:left="567"/>
        <w:jc w:val="center"/>
        <w:rPr>
          <w:i/>
          <w:iCs/>
          <w:sz w:val="24"/>
          <w:szCs w:val="24"/>
          <w:lang w:val="en-US"/>
        </w:rPr>
      </w:pPr>
      <w:r w:rsidRPr="00B351AF">
        <w:rPr>
          <w:i/>
          <w:iCs/>
          <w:sz w:val="24"/>
          <w:szCs w:val="24"/>
          <w:lang w:val="en-US"/>
        </w:rPr>
        <w:t xml:space="preserve">Appendix </w:t>
      </w:r>
      <w:r>
        <w:rPr>
          <w:i/>
          <w:iCs/>
          <w:sz w:val="24"/>
          <w:szCs w:val="24"/>
          <w:lang w:val="en-US"/>
        </w:rPr>
        <w:t>I</w:t>
      </w:r>
      <w:r w:rsidRPr="00B351AF">
        <w:rPr>
          <w:i/>
          <w:iCs/>
          <w:sz w:val="24"/>
          <w:szCs w:val="24"/>
          <w:lang w:val="en-US"/>
        </w:rPr>
        <w:t xml:space="preserve"> – P</w:t>
      </w:r>
      <w:r w:rsidR="00FD6245">
        <w:rPr>
          <w:i/>
          <w:iCs/>
          <w:sz w:val="24"/>
          <w:szCs w:val="24"/>
          <w:lang w:val="en-US"/>
        </w:rPr>
        <w:t>lasticiser Migration</w:t>
      </w:r>
      <w:r w:rsidRPr="00B351AF">
        <w:rPr>
          <w:i/>
          <w:iCs/>
          <w:sz w:val="24"/>
          <w:szCs w:val="24"/>
          <w:lang w:val="en-US"/>
        </w:rPr>
        <w:t xml:space="preserve"> Slide</w:t>
      </w:r>
    </w:p>
    <w:p w14:paraId="39580541" w14:textId="77777777" w:rsidR="004B145A" w:rsidRDefault="004B145A" w:rsidP="004A004F">
      <w:pPr>
        <w:ind w:left="567"/>
        <w:rPr>
          <w:sz w:val="24"/>
          <w:szCs w:val="24"/>
          <w:lang w:val="en-US"/>
        </w:rPr>
      </w:pPr>
    </w:p>
    <w:p w14:paraId="0A982FA9" w14:textId="31023989" w:rsidR="004B145A" w:rsidRDefault="00FA3EBF" w:rsidP="004A004F">
      <w:pPr>
        <w:ind w:left="567"/>
        <w:rPr>
          <w:sz w:val="24"/>
          <w:szCs w:val="24"/>
          <w:lang w:val="en-US"/>
        </w:rPr>
      </w:pPr>
      <w:r>
        <w:rPr>
          <w:noProof/>
        </w:rPr>
        <w:drawing>
          <wp:inline distT="0" distB="0" distL="0" distR="0" wp14:anchorId="3D660992" wp14:editId="6BC79FEF">
            <wp:extent cx="5731510" cy="3223895"/>
            <wp:effectExtent l="0" t="0" r="2540" b="0"/>
            <wp:docPr id="188280629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806291" name=""/>
                    <pic:cNvPicPr/>
                  </pic:nvPicPr>
                  <pic:blipFill>
                    <a:blip r:embed="rId50">
                      <a:extLst>
                        <a:ext uri="{96DAC541-7B7A-43D3-8B79-37D633B846F1}">
                          <asvg:svgBlip xmlns:asvg="http://schemas.microsoft.com/office/drawing/2016/SVG/main" r:embed="rId51"/>
                        </a:ext>
                      </a:extLst>
                    </a:blip>
                    <a:stretch>
                      <a:fillRect/>
                    </a:stretch>
                  </pic:blipFill>
                  <pic:spPr>
                    <a:xfrm>
                      <a:off x="0" y="0"/>
                      <a:ext cx="5731510" cy="3223895"/>
                    </a:xfrm>
                    <a:prstGeom prst="rect">
                      <a:avLst/>
                    </a:prstGeom>
                  </pic:spPr>
                </pic:pic>
              </a:graphicData>
            </a:graphic>
          </wp:inline>
        </w:drawing>
      </w:r>
    </w:p>
    <w:p w14:paraId="00BD8EFE" w14:textId="33E8277B" w:rsidR="00CB049A" w:rsidRPr="00B351AF" w:rsidRDefault="00CB049A" w:rsidP="00CB049A">
      <w:pPr>
        <w:ind w:left="567"/>
        <w:jc w:val="center"/>
        <w:rPr>
          <w:i/>
          <w:iCs/>
          <w:sz w:val="24"/>
          <w:szCs w:val="24"/>
          <w:lang w:val="en-US"/>
        </w:rPr>
      </w:pPr>
      <w:r w:rsidRPr="00B351AF">
        <w:rPr>
          <w:i/>
          <w:iCs/>
          <w:sz w:val="24"/>
          <w:szCs w:val="24"/>
          <w:lang w:val="en-US"/>
        </w:rPr>
        <w:t xml:space="preserve">Appendix </w:t>
      </w:r>
      <w:r>
        <w:rPr>
          <w:i/>
          <w:iCs/>
          <w:sz w:val="24"/>
          <w:szCs w:val="24"/>
          <w:lang w:val="en-US"/>
        </w:rPr>
        <w:t>J</w:t>
      </w:r>
      <w:r w:rsidRPr="00B351AF">
        <w:rPr>
          <w:i/>
          <w:iCs/>
          <w:sz w:val="24"/>
          <w:szCs w:val="24"/>
          <w:lang w:val="en-US"/>
        </w:rPr>
        <w:t xml:space="preserve"> – </w:t>
      </w:r>
      <w:r w:rsidR="00FD6245">
        <w:rPr>
          <w:i/>
          <w:iCs/>
          <w:sz w:val="24"/>
          <w:szCs w:val="24"/>
          <w:lang w:val="en-US"/>
        </w:rPr>
        <w:t>Storage Conditions</w:t>
      </w:r>
      <w:r w:rsidRPr="00B351AF">
        <w:rPr>
          <w:i/>
          <w:iCs/>
          <w:sz w:val="24"/>
          <w:szCs w:val="24"/>
          <w:lang w:val="en-US"/>
        </w:rPr>
        <w:t xml:space="preserve"> Slide</w:t>
      </w:r>
    </w:p>
    <w:p w14:paraId="5971646D" w14:textId="77777777" w:rsidR="004B145A" w:rsidRDefault="004B145A" w:rsidP="004A004F">
      <w:pPr>
        <w:ind w:left="567"/>
        <w:rPr>
          <w:sz w:val="24"/>
          <w:szCs w:val="24"/>
          <w:lang w:val="en-US"/>
        </w:rPr>
      </w:pPr>
    </w:p>
    <w:p w14:paraId="58C4E7DB" w14:textId="020E63DB" w:rsidR="004B145A" w:rsidRDefault="00FA3EBF" w:rsidP="004A004F">
      <w:pPr>
        <w:ind w:left="567"/>
        <w:rPr>
          <w:sz w:val="24"/>
          <w:szCs w:val="24"/>
          <w:lang w:val="en-US"/>
        </w:rPr>
      </w:pPr>
      <w:r>
        <w:rPr>
          <w:noProof/>
        </w:rPr>
        <w:lastRenderedPageBreak/>
        <w:drawing>
          <wp:inline distT="0" distB="0" distL="0" distR="0" wp14:anchorId="7D196D92" wp14:editId="63AAAC06">
            <wp:extent cx="5731510" cy="3223895"/>
            <wp:effectExtent l="0" t="0" r="2540" b="0"/>
            <wp:docPr id="178772396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723969" name=""/>
                    <pic:cNvPicPr/>
                  </pic:nvPicPr>
                  <pic:blipFill>
                    <a:blip r:embed="rId52">
                      <a:extLst>
                        <a:ext uri="{96DAC541-7B7A-43D3-8B79-37D633B846F1}">
                          <asvg:svgBlip xmlns:asvg="http://schemas.microsoft.com/office/drawing/2016/SVG/main" r:embed="rId53"/>
                        </a:ext>
                      </a:extLst>
                    </a:blip>
                    <a:stretch>
                      <a:fillRect/>
                    </a:stretch>
                  </pic:blipFill>
                  <pic:spPr>
                    <a:xfrm>
                      <a:off x="0" y="0"/>
                      <a:ext cx="5731510" cy="3223895"/>
                    </a:xfrm>
                    <a:prstGeom prst="rect">
                      <a:avLst/>
                    </a:prstGeom>
                  </pic:spPr>
                </pic:pic>
              </a:graphicData>
            </a:graphic>
          </wp:inline>
        </w:drawing>
      </w:r>
    </w:p>
    <w:p w14:paraId="7E288D11" w14:textId="57CC2CF9" w:rsidR="00CB049A" w:rsidRPr="00B351AF" w:rsidRDefault="00CB049A" w:rsidP="00CB049A">
      <w:pPr>
        <w:ind w:left="567"/>
        <w:jc w:val="center"/>
        <w:rPr>
          <w:i/>
          <w:iCs/>
          <w:sz w:val="24"/>
          <w:szCs w:val="24"/>
          <w:lang w:val="en-US"/>
        </w:rPr>
      </w:pPr>
      <w:r w:rsidRPr="00B351AF">
        <w:rPr>
          <w:i/>
          <w:iCs/>
          <w:sz w:val="24"/>
          <w:szCs w:val="24"/>
          <w:lang w:val="en-US"/>
        </w:rPr>
        <w:t xml:space="preserve">Appendix </w:t>
      </w:r>
      <w:r>
        <w:rPr>
          <w:i/>
          <w:iCs/>
          <w:sz w:val="24"/>
          <w:szCs w:val="24"/>
          <w:lang w:val="en-US"/>
        </w:rPr>
        <w:t>K</w:t>
      </w:r>
      <w:r w:rsidRPr="00B351AF">
        <w:rPr>
          <w:i/>
          <w:iCs/>
          <w:sz w:val="24"/>
          <w:szCs w:val="24"/>
          <w:lang w:val="en-US"/>
        </w:rPr>
        <w:t xml:space="preserve"> – </w:t>
      </w:r>
      <w:r w:rsidR="00FD6245">
        <w:rPr>
          <w:i/>
          <w:iCs/>
          <w:sz w:val="24"/>
          <w:szCs w:val="24"/>
          <w:lang w:val="en-US"/>
        </w:rPr>
        <w:t>Accelerated Ageing</w:t>
      </w:r>
      <w:r w:rsidRPr="00B351AF">
        <w:rPr>
          <w:i/>
          <w:iCs/>
          <w:sz w:val="24"/>
          <w:szCs w:val="24"/>
          <w:lang w:val="en-US"/>
        </w:rPr>
        <w:t xml:space="preserve"> Slide</w:t>
      </w:r>
    </w:p>
    <w:p w14:paraId="2B762186" w14:textId="77777777" w:rsidR="004B145A" w:rsidRDefault="004B145A" w:rsidP="004A004F">
      <w:pPr>
        <w:ind w:left="567"/>
        <w:rPr>
          <w:sz w:val="24"/>
          <w:szCs w:val="24"/>
          <w:lang w:val="en-US"/>
        </w:rPr>
      </w:pPr>
    </w:p>
    <w:p w14:paraId="4A778DCE" w14:textId="05D3E87D" w:rsidR="004B145A" w:rsidRDefault="00FA3EBF" w:rsidP="004A004F">
      <w:pPr>
        <w:ind w:left="567"/>
        <w:rPr>
          <w:sz w:val="24"/>
          <w:szCs w:val="24"/>
          <w:lang w:val="en-US"/>
        </w:rPr>
      </w:pPr>
      <w:r>
        <w:rPr>
          <w:noProof/>
        </w:rPr>
        <w:drawing>
          <wp:inline distT="0" distB="0" distL="0" distR="0" wp14:anchorId="2D8AB949" wp14:editId="7B1BAA1C">
            <wp:extent cx="5731510" cy="3223895"/>
            <wp:effectExtent l="0" t="0" r="2540" b="0"/>
            <wp:docPr id="51373774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737744" name=""/>
                    <pic:cNvPicPr/>
                  </pic:nvPicPr>
                  <pic:blipFill>
                    <a:blip r:embed="rId54">
                      <a:extLst>
                        <a:ext uri="{96DAC541-7B7A-43D3-8B79-37D633B846F1}">
                          <asvg:svgBlip xmlns:asvg="http://schemas.microsoft.com/office/drawing/2016/SVG/main" r:embed="rId55"/>
                        </a:ext>
                      </a:extLst>
                    </a:blip>
                    <a:stretch>
                      <a:fillRect/>
                    </a:stretch>
                  </pic:blipFill>
                  <pic:spPr>
                    <a:xfrm>
                      <a:off x="0" y="0"/>
                      <a:ext cx="5731510" cy="3223895"/>
                    </a:xfrm>
                    <a:prstGeom prst="rect">
                      <a:avLst/>
                    </a:prstGeom>
                  </pic:spPr>
                </pic:pic>
              </a:graphicData>
            </a:graphic>
          </wp:inline>
        </w:drawing>
      </w:r>
    </w:p>
    <w:p w14:paraId="6E779097" w14:textId="2DFFE45C" w:rsidR="00CB049A" w:rsidRPr="00B351AF" w:rsidRDefault="00CB049A" w:rsidP="00CB049A">
      <w:pPr>
        <w:ind w:left="567"/>
        <w:jc w:val="center"/>
        <w:rPr>
          <w:i/>
          <w:iCs/>
          <w:sz w:val="24"/>
          <w:szCs w:val="24"/>
          <w:lang w:val="en-US"/>
        </w:rPr>
      </w:pPr>
      <w:r w:rsidRPr="00B351AF">
        <w:rPr>
          <w:i/>
          <w:iCs/>
          <w:sz w:val="24"/>
          <w:szCs w:val="24"/>
          <w:lang w:val="en-US"/>
        </w:rPr>
        <w:t xml:space="preserve">Appendix </w:t>
      </w:r>
      <w:r>
        <w:rPr>
          <w:i/>
          <w:iCs/>
          <w:sz w:val="24"/>
          <w:szCs w:val="24"/>
          <w:lang w:val="en-US"/>
        </w:rPr>
        <w:t>L</w:t>
      </w:r>
      <w:r w:rsidRPr="00B351AF">
        <w:rPr>
          <w:i/>
          <w:iCs/>
          <w:sz w:val="24"/>
          <w:szCs w:val="24"/>
          <w:lang w:val="en-US"/>
        </w:rPr>
        <w:t xml:space="preserve"> – </w:t>
      </w:r>
      <w:r w:rsidR="00FD6245">
        <w:rPr>
          <w:i/>
          <w:iCs/>
          <w:sz w:val="24"/>
          <w:szCs w:val="24"/>
          <w:lang w:val="en-US"/>
        </w:rPr>
        <w:t>Rowanex 1400 Trial</w:t>
      </w:r>
      <w:r w:rsidRPr="00B351AF">
        <w:rPr>
          <w:i/>
          <w:iCs/>
          <w:sz w:val="24"/>
          <w:szCs w:val="24"/>
          <w:lang w:val="en-US"/>
        </w:rPr>
        <w:t xml:space="preserve"> Slide</w:t>
      </w:r>
    </w:p>
    <w:p w14:paraId="649753CB" w14:textId="77777777" w:rsidR="004B145A" w:rsidRDefault="004B145A" w:rsidP="004A004F">
      <w:pPr>
        <w:ind w:left="567"/>
        <w:rPr>
          <w:sz w:val="24"/>
          <w:szCs w:val="24"/>
          <w:lang w:val="en-US"/>
        </w:rPr>
      </w:pPr>
    </w:p>
    <w:p w14:paraId="0B270F01" w14:textId="6AB95768" w:rsidR="004B145A" w:rsidRDefault="00FA3EBF" w:rsidP="004A004F">
      <w:pPr>
        <w:ind w:left="567"/>
        <w:rPr>
          <w:sz w:val="24"/>
          <w:szCs w:val="24"/>
          <w:lang w:val="en-US"/>
        </w:rPr>
      </w:pPr>
      <w:r>
        <w:rPr>
          <w:noProof/>
        </w:rPr>
        <w:lastRenderedPageBreak/>
        <w:drawing>
          <wp:inline distT="0" distB="0" distL="0" distR="0" wp14:anchorId="635B31BB" wp14:editId="3DF94CD9">
            <wp:extent cx="5731510" cy="3223895"/>
            <wp:effectExtent l="0" t="0" r="2540" b="0"/>
            <wp:docPr id="174774650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746506" name=""/>
                    <pic:cNvPicPr/>
                  </pic:nvPicPr>
                  <pic:blipFill>
                    <a:blip r:embed="rId56">
                      <a:extLst>
                        <a:ext uri="{96DAC541-7B7A-43D3-8B79-37D633B846F1}">
                          <asvg:svgBlip xmlns:asvg="http://schemas.microsoft.com/office/drawing/2016/SVG/main" r:embed="rId57"/>
                        </a:ext>
                      </a:extLst>
                    </a:blip>
                    <a:stretch>
                      <a:fillRect/>
                    </a:stretch>
                  </pic:blipFill>
                  <pic:spPr>
                    <a:xfrm>
                      <a:off x="0" y="0"/>
                      <a:ext cx="5731510" cy="3223895"/>
                    </a:xfrm>
                    <a:prstGeom prst="rect">
                      <a:avLst/>
                    </a:prstGeom>
                  </pic:spPr>
                </pic:pic>
              </a:graphicData>
            </a:graphic>
          </wp:inline>
        </w:drawing>
      </w:r>
    </w:p>
    <w:p w14:paraId="32BD56B2" w14:textId="1494A04D" w:rsidR="00CB049A" w:rsidRPr="00B351AF" w:rsidRDefault="00CB049A" w:rsidP="00CB049A">
      <w:pPr>
        <w:ind w:left="567"/>
        <w:jc w:val="center"/>
        <w:rPr>
          <w:i/>
          <w:iCs/>
          <w:sz w:val="24"/>
          <w:szCs w:val="24"/>
          <w:lang w:val="en-US"/>
        </w:rPr>
      </w:pPr>
      <w:r w:rsidRPr="00B351AF">
        <w:rPr>
          <w:i/>
          <w:iCs/>
          <w:sz w:val="24"/>
          <w:szCs w:val="24"/>
          <w:lang w:val="en-US"/>
        </w:rPr>
        <w:t xml:space="preserve">Appendix </w:t>
      </w:r>
      <w:r>
        <w:rPr>
          <w:i/>
          <w:iCs/>
          <w:sz w:val="24"/>
          <w:szCs w:val="24"/>
          <w:lang w:val="en-US"/>
        </w:rPr>
        <w:t>M</w:t>
      </w:r>
      <w:r w:rsidRPr="00B351AF">
        <w:rPr>
          <w:i/>
          <w:iCs/>
          <w:sz w:val="24"/>
          <w:szCs w:val="24"/>
          <w:lang w:val="en-US"/>
        </w:rPr>
        <w:t xml:space="preserve"> – </w:t>
      </w:r>
      <w:r w:rsidR="00FD6245">
        <w:rPr>
          <w:i/>
          <w:iCs/>
          <w:sz w:val="24"/>
          <w:szCs w:val="24"/>
          <w:lang w:val="en-US"/>
        </w:rPr>
        <w:t>STANAG 4666 Testing</w:t>
      </w:r>
      <w:r w:rsidRPr="00B351AF">
        <w:rPr>
          <w:i/>
          <w:iCs/>
          <w:sz w:val="24"/>
          <w:szCs w:val="24"/>
          <w:lang w:val="en-US"/>
        </w:rPr>
        <w:t xml:space="preserve"> Slide</w:t>
      </w:r>
    </w:p>
    <w:p w14:paraId="22B70428" w14:textId="77777777" w:rsidR="004B145A" w:rsidRDefault="004B145A" w:rsidP="004A004F">
      <w:pPr>
        <w:ind w:left="567"/>
        <w:rPr>
          <w:sz w:val="24"/>
          <w:szCs w:val="24"/>
          <w:lang w:val="en-US"/>
        </w:rPr>
      </w:pPr>
    </w:p>
    <w:p w14:paraId="1345E843" w14:textId="2F3E76F6" w:rsidR="004B145A" w:rsidRDefault="00FA3EBF" w:rsidP="004A004F">
      <w:pPr>
        <w:ind w:left="567"/>
        <w:rPr>
          <w:sz w:val="24"/>
          <w:szCs w:val="24"/>
          <w:lang w:val="en-US"/>
        </w:rPr>
      </w:pPr>
      <w:r>
        <w:rPr>
          <w:noProof/>
        </w:rPr>
        <w:drawing>
          <wp:inline distT="0" distB="0" distL="0" distR="0" wp14:anchorId="0A667909" wp14:editId="76FC8296">
            <wp:extent cx="5731510" cy="3223895"/>
            <wp:effectExtent l="0" t="0" r="2540" b="0"/>
            <wp:docPr id="24437341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373419" name=""/>
                    <pic:cNvPicPr/>
                  </pic:nvPicPr>
                  <pic:blipFill>
                    <a:blip r:embed="rId58">
                      <a:extLst>
                        <a:ext uri="{96DAC541-7B7A-43D3-8B79-37D633B846F1}">
                          <asvg:svgBlip xmlns:asvg="http://schemas.microsoft.com/office/drawing/2016/SVG/main" r:embed="rId59"/>
                        </a:ext>
                      </a:extLst>
                    </a:blip>
                    <a:stretch>
                      <a:fillRect/>
                    </a:stretch>
                  </pic:blipFill>
                  <pic:spPr>
                    <a:xfrm>
                      <a:off x="0" y="0"/>
                      <a:ext cx="5731510" cy="3223895"/>
                    </a:xfrm>
                    <a:prstGeom prst="rect">
                      <a:avLst/>
                    </a:prstGeom>
                  </pic:spPr>
                </pic:pic>
              </a:graphicData>
            </a:graphic>
          </wp:inline>
        </w:drawing>
      </w:r>
    </w:p>
    <w:p w14:paraId="1F301E6B" w14:textId="5E085A09" w:rsidR="00CB049A" w:rsidRPr="00B351AF" w:rsidRDefault="00CB049A" w:rsidP="00CB049A">
      <w:pPr>
        <w:ind w:left="567"/>
        <w:jc w:val="center"/>
        <w:rPr>
          <w:i/>
          <w:iCs/>
          <w:sz w:val="24"/>
          <w:szCs w:val="24"/>
          <w:lang w:val="en-US"/>
        </w:rPr>
      </w:pPr>
      <w:r w:rsidRPr="00B351AF">
        <w:rPr>
          <w:i/>
          <w:iCs/>
          <w:sz w:val="24"/>
          <w:szCs w:val="24"/>
          <w:lang w:val="en-US"/>
        </w:rPr>
        <w:t xml:space="preserve">Appendix </w:t>
      </w:r>
      <w:r>
        <w:rPr>
          <w:i/>
          <w:iCs/>
          <w:sz w:val="24"/>
          <w:szCs w:val="24"/>
          <w:lang w:val="en-US"/>
        </w:rPr>
        <w:t>N</w:t>
      </w:r>
      <w:r w:rsidRPr="00B351AF">
        <w:rPr>
          <w:i/>
          <w:iCs/>
          <w:sz w:val="24"/>
          <w:szCs w:val="24"/>
          <w:lang w:val="en-US"/>
        </w:rPr>
        <w:t xml:space="preserve"> – </w:t>
      </w:r>
      <w:r w:rsidR="00FD6245">
        <w:rPr>
          <w:i/>
          <w:iCs/>
          <w:sz w:val="24"/>
          <w:szCs w:val="24"/>
          <w:lang w:val="en-US"/>
        </w:rPr>
        <w:t>Oxidative Cross-Link Testing</w:t>
      </w:r>
      <w:r w:rsidRPr="00B351AF">
        <w:rPr>
          <w:i/>
          <w:iCs/>
          <w:sz w:val="24"/>
          <w:szCs w:val="24"/>
          <w:lang w:val="en-US"/>
        </w:rPr>
        <w:t xml:space="preserve"> Slide</w:t>
      </w:r>
    </w:p>
    <w:p w14:paraId="2BD29021" w14:textId="77777777" w:rsidR="004B145A" w:rsidRDefault="004B145A" w:rsidP="004A004F">
      <w:pPr>
        <w:ind w:left="567"/>
        <w:rPr>
          <w:sz w:val="24"/>
          <w:szCs w:val="24"/>
          <w:lang w:val="en-US"/>
        </w:rPr>
      </w:pPr>
    </w:p>
    <w:p w14:paraId="5FA7F9DC" w14:textId="72598A35" w:rsidR="004B145A" w:rsidRDefault="00FA3EBF" w:rsidP="004A004F">
      <w:pPr>
        <w:ind w:left="567"/>
        <w:rPr>
          <w:sz w:val="24"/>
          <w:szCs w:val="24"/>
          <w:lang w:val="en-US"/>
        </w:rPr>
      </w:pPr>
      <w:r>
        <w:rPr>
          <w:noProof/>
        </w:rPr>
        <w:lastRenderedPageBreak/>
        <w:drawing>
          <wp:inline distT="0" distB="0" distL="0" distR="0" wp14:anchorId="7018128E" wp14:editId="472F2FCD">
            <wp:extent cx="5731510" cy="3223895"/>
            <wp:effectExtent l="0" t="0" r="2540" b="0"/>
            <wp:docPr id="96406540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065407" name=""/>
                    <pic:cNvPicPr/>
                  </pic:nvPicPr>
                  <pic:blipFill>
                    <a:blip r:embed="rId60">
                      <a:extLst>
                        <a:ext uri="{96DAC541-7B7A-43D3-8B79-37D633B846F1}">
                          <asvg:svgBlip xmlns:asvg="http://schemas.microsoft.com/office/drawing/2016/SVG/main" r:embed="rId61"/>
                        </a:ext>
                      </a:extLst>
                    </a:blip>
                    <a:stretch>
                      <a:fillRect/>
                    </a:stretch>
                  </pic:blipFill>
                  <pic:spPr>
                    <a:xfrm>
                      <a:off x="0" y="0"/>
                      <a:ext cx="5731510" cy="3223895"/>
                    </a:xfrm>
                    <a:prstGeom prst="rect">
                      <a:avLst/>
                    </a:prstGeom>
                  </pic:spPr>
                </pic:pic>
              </a:graphicData>
            </a:graphic>
          </wp:inline>
        </w:drawing>
      </w:r>
    </w:p>
    <w:p w14:paraId="1E96740A" w14:textId="4AFE6E1C" w:rsidR="00CB049A" w:rsidRPr="00B351AF" w:rsidRDefault="00CB049A" w:rsidP="00CB049A">
      <w:pPr>
        <w:ind w:left="567"/>
        <w:jc w:val="center"/>
        <w:rPr>
          <w:i/>
          <w:iCs/>
          <w:sz w:val="24"/>
          <w:szCs w:val="24"/>
          <w:lang w:val="en-US"/>
        </w:rPr>
      </w:pPr>
      <w:r w:rsidRPr="00B351AF">
        <w:rPr>
          <w:i/>
          <w:iCs/>
          <w:sz w:val="24"/>
          <w:szCs w:val="24"/>
          <w:lang w:val="en-US"/>
        </w:rPr>
        <w:t xml:space="preserve">Appendix </w:t>
      </w:r>
      <w:r>
        <w:rPr>
          <w:i/>
          <w:iCs/>
          <w:sz w:val="24"/>
          <w:szCs w:val="24"/>
          <w:lang w:val="en-US"/>
        </w:rPr>
        <w:t>O</w:t>
      </w:r>
      <w:r w:rsidRPr="00B351AF">
        <w:rPr>
          <w:i/>
          <w:iCs/>
          <w:sz w:val="24"/>
          <w:szCs w:val="24"/>
          <w:lang w:val="en-US"/>
        </w:rPr>
        <w:t xml:space="preserve"> – </w:t>
      </w:r>
      <w:r w:rsidR="00FD6245">
        <w:rPr>
          <w:i/>
          <w:iCs/>
          <w:sz w:val="24"/>
          <w:szCs w:val="24"/>
          <w:lang w:val="en-US"/>
        </w:rPr>
        <w:t>Plasticiser Depletion</w:t>
      </w:r>
      <w:r w:rsidRPr="00B351AF">
        <w:rPr>
          <w:i/>
          <w:iCs/>
          <w:sz w:val="24"/>
          <w:szCs w:val="24"/>
          <w:lang w:val="en-US"/>
        </w:rPr>
        <w:t xml:space="preserve"> Slide</w:t>
      </w:r>
    </w:p>
    <w:p w14:paraId="30D6871C" w14:textId="77777777" w:rsidR="004B145A" w:rsidRDefault="004B145A" w:rsidP="004A004F">
      <w:pPr>
        <w:ind w:left="567"/>
        <w:rPr>
          <w:sz w:val="24"/>
          <w:szCs w:val="24"/>
          <w:lang w:val="en-US"/>
        </w:rPr>
      </w:pPr>
    </w:p>
    <w:p w14:paraId="6ADCA2DD" w14:textId="23D539B5" w:rsidR="004B145A" w:rsidRDefault="00FA3EBF" w:rsidP="004A004F">
      <w:pPr>
        <w:ind w:left="567"/>
        <w:rPr>
          <w:sz w:val="24"/>
          <w:szCs w:val="24"/>
          <w:lang w:val="en-US"/>
        </w:rPr>
      </w:pPr>
      <w:r>
        <w:rPr>
          <w:noProof/>
        </w:rPr>
        <w:drawing>
          <wp:inline distT="0" distB="0" distL="0" distR="0" wp14:anchorId="461396EA" wp14:editId="03A50637">
            <wp:extent cx="5731510" cy="3223895"/>
            <wp:effectExtent l="0" t="0" r="2540" b="0"/>
            <wp:docPr id="189135615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356155" name=""/>
                    <pic:cNvPicPr/>
                  </pic:nvPicPr>
                  <pic:blipFill>
                    <a:blip r:embed="rId62">
                      <a:extLst>
                        <a:ext uri="{96DAC541-7B7A-43D3-8B79-37D633B846F1}">
                          <asvg:svgBlip xmlns:asvg="http://schemas.microsoft.com/office/drawing/2016/SVG/main" r:embed="rId63"/>
                        </a:ext>
                      </a:extLst>
                    </a:blip>
                    <a:stretch>
                      <a:fillRect/>
                    </a:stretch>
                  </pic:blipFill>
                  <pic:spPr>
                    <a:xfrm>
                      <a:off x="0" y="0"/>
                      <a:ext cx="5731510" cy="3223895"/>
                    </a:xfrm>
                    <a:prstGeom prst="rect">
                      <a:avLst/>
                    </a:prstGeom>
                  </pic:spPr>
                </pic:pic>
              </a:graphicData>
            </a:graphic>
          </wp:inline>
        </w:drawing>
      </w:r>
    </w:p>
    <w:p w14:paraId="30C9C53D" w14:textId="1FCF0BFD" w:rsidR="00CB049A" w:rsidRPr="00B351AF" w:rsidRDefault="00CB049A" w:rsidP="00CB049A">
      <w:pPr>
        <w:ind w:left="567"/>
        <w:jc w:val="center"/>
        <w:rPr>
          <w:i/>
          <w:iCs/>
          <w:sz w:val="24"/>
          <w:szCs w:val="24"/>
          <w:lang w:val="en-US"/>
        </w:rPr>
      </w:pPr>
      <w:r w:rsidRPr="00B351AF">
        <w:rPr>
          <w:i/>
          <w:iCs/>
          <w:sz w:val="24"/>
          <w:szCs w:val="24"/>
          <w:lang w:val="en-US"/>
        </w:rPr>
        <w:t xml:space="preserve">Appendix </w:t>
      </w:r>
      <w:r>
        <w:rPr>
          <w:i/>
          <w:iCs/>
          <w:sz w:val="24"/>
          <w:szCs w:val="24"/>
          <w:lang w:val="en-US"/>
        </w:rPr>
        <w:t>P</w:t>
      </w:r>
      <w:r w:rsidRPr="00B351AF">
        <w:rPr>
          <w:i/>
          <w:iCs/>
          <w:sz w:val="24"/>
          <w:szCs w:val="24"/>
          <w:lang w:val="en-US"/>
        </w:rPr>
        <w:t xml:space="preserve"> – </w:t>
      </w:r>
      <w:r w:rsidR="00FD6245">
        <w:rPr>
          <w:i/>
          <w:iCs/>
          <w:sz w:val="24"/>
          <w:szCs w:val="24"/>
          <w:lang w:val="en-US"/>
        </w:rPr>
        <w:t>Microscope Inspection</w:t>
      </w:r>
      <w:r w:rsidRPr="00B351AF">
        <w:rPr>
          <w:i/>
          <w:iCs/>
          <w:sz w:val="24"/>
          <w:szCs w:val="24"/>
          <w:lang w:val="en-US"/>
        </w:rPr>
        <w:t xml:space="preserve"> Slide</w:t>
      </w:r>
    </w:p>
    <w:p w14:paraId="79AB81DD" w14:textId="77777777" w:rsidR="004B145A" w:rsidRDefault="004B145A" w:rsidP="004A004F">
      <w:pPr>
        <w:ind w:left="567"/>
        <w:rPr>
          <w:sz w:val="24"/>
          <w:szCs w:val="24"/>
          <w:lang w:val="en-US"/>
        </w:rPr>
      </w:pPr>
    </w:p>
    <w:p w14:paraId="38539AEB" w14:textId="53F10DA0" w:rsidR="004B145A" w:rsidRDefault="007E1844" w:rsidP="004A004F">
      <w:pPr>
        <w:ind w:left="567"/>
        <w:rPr>
          <w:sz w:val="24"/>
          <w:szCs w:val="24"/>
          <w:lang w:val="en-US"/>
        </w:rPr>
      </w:pPr>
      <w:r>
        <w:rPr>
          <w:noProof/>
        </w:rPr>
        <w:lastRenderedPageBreak/>
        <w:drawing>
          <wp:inline distT="0" distB="0" distL="0" distR="0" wp14:anchorId="61A488D7" wp14:editId="61E4E505">
            <wp:extent cx="5731510" cy="3223895"/>
            <wp:effectExtent l="0" t="0" r="2540" b="0"/>
            <wp:docPr id="109977019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770197" name=""/>
                    <pic:cNvPicPr/>
                  </pic:nvPicPr>
                  <pic:blipFill>
                    <a:blip r:embed="rId64">
                      <a:extLst>
                        <a:ext uri="{96DAC541-7B7A-43D3-8B79-37D633B846F1}">
                          <asvg:svgBlip xmlns:asvg="http://schemas.microsoft.com/office/drawing/2016/SVG/main" r:embed="rId65"/>
                        </a:ext>
                      </a:extLst>
                    </a:blip>
                    <a:stretch>
                      <a:fillRect/>
                    </a:stretch>
                  </pic:blipFill>
                  <pic:spPr>
                    <a:xfrm>
                      <a:off x="0" y="0"/>
                      <a:ext cx="5731510" cy="3223895"/>
                    </a:xfrm>
                    <a:prstGeom prst="rect">
                      <a:avLst/>
                    </a:prstGeom>
                  </pic:spPr>
                </pic:pic>
              </a:graphicData>
            </a:graphic>
          </wp:inline>
        </w:drawing>
      </w:r>
    </w:p>
    <w:p w14:paraId="73FCD74B" w14:textId="5F9F3393" w:rsidR="00CB049A" w:rsidRPr="00B351AF" w:rsidRDefault="00CB049A" w:rsidP="00CB049A">
      <w:pPr>
        <w:ind w:left="567"/>
        <w:jc w:val="center"/>
        <w:rPr>
          <w:i/>
          <w:iCs/>
          <w:sz w:val="24"/>
          <w:szCs w:val="24"/>
          <w:lang w:val="en-US"/>
        </w:rPr>
      </w:pPr>
      <w:r w:rsidRPr="00B351AF">
        <w:rPr>
          <w:i/>
          <w:iCs/>
          <w:sz w:val="24"/>
          <w:szCs w:val="24"/>
          <w:lang w:val="en-US"/>
        </w:rPr>
        <w:t xml:space="preserve">Appendix </w:t>
      </w:r>
      <w:r>
        <w:rPr>
          <w:i/>
          <w:iCs/>
          <w:sz w:val="24"/>
          <w:szCs w:val="24"/>
          <w:lang w:val="en-US"/>
        </w:rPr>
        <w:t>Q</w:t>
      </w:r>
      <w:r w:rsidRPr="00B351AF">
        <w:rPr>
          <w:i/>
          <w:iCs/>
          <w:sz w:val="24"/>
          <w:szCs w:val="24"/>
          <w:lang w:val="en-US"/>
        </w:rPr>
        <w:t xml:space="preserve"> – </w:t>
      </w:r>
      <w:r w:rsidR="00FD6245">
        <w:rPr>
          <w:i/>
          <w:iCs/>
          <w:sz w:val="24"/>
          <w:szCs w:val="24"/>
          <w:lang w:val="en-US"/>
        </w:rPr>
        <w:t>Lifecycle</w:t>
      </w:r>
      <w:r w:rsidRPr="00B351AF">
        <w:rPr>
          <w:i/>
          <w:iCs/>
          <w:sz w:val="24"/>
          <w:szCs w:val="24"/>
          <w:lang w:val="en-US"/>
        </w:rPr>
        <w:t xml:space="preserve"> Slide</w:t>
      </w:r>
    </w:p>
    <w:p w14:paraId="76869EDD" w14:textId="77777777" w:rsidR="004B145A" w:rsidRDefault="004B145A" w:rsidP="004A004F">
      <w:pPr>
        <w:ind w:left="567"/>
        <w:rPr>
          <w:sz w:val="24"/>
          <w:szCs w:val="24"/>
          <w:lang w:val="en-US"/>
        </w:rPr>
      </w:pPr>
    </w:p>
    <w:p w14:paraId="2692CDD5" w14:textId="073F436F" w:rsidR="004B145A" w:rsidRDefault="007E1844" w:rsidP="004A004F">
      <w:pPr>
        <w:ind w:left="567"/>
        <w:rPr>
          <w:sz w:val="24"/>
          <w:szCs w:val="24"/>
          <w:lang w:val="en-US"/>
        </w:rPr>
      </w:pPr>
      <w:r>
        <w:rPr>
          <w:noProof/>
        </w:rPr>
        <w:drawing>
          <wp:inline distT="0" distB="0" distL="0" distR="0" wp14:anchorId="210AA755" wp14:editId="7E9877D5">
            <wp:extent cx="5731510" cy="3223895"/>
            <wp:effectExtent l="0" t="0" r="2540" b="0"/>
            <wp:docPr id="155369523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695234" name=""/>
                    <pic:cNvPicPr/>
                  </pic:nvPicPr>
                  <pic:blipFill>
                    <a:blip r:embed="rId66">
                      <a:extLst>
                        <a:ext uri="{96DAC541-7B7A-43D3-8B79-37D633B846F1}">
                          <asvg:svgBlip xmlns:asvg="http://schemas.microsoft.com/office/drawing/2016/SVG/main" r:embed="rId67"/>
                        </a:ext>
                      </a:extLst>
                    </a:blip>
                    <a:stretch>
                      <a:fillRect/>
                    </a:stretch>
                  </pic:blipFill>
                  <pic:spPr>
                    <a:xfrm>
                      <a:off x="0" y="0"/>
                      <a:ext cx="5731510" cy="3223895"/>
                    </a:xfrm>
                    <a:prstGeom prst="rect">
                      <a:avLst/>
                    </a:prstGeom>
                  </pic:spPr>
                </pic:pic>
              </a:graphicData>
            </a:graphic>
          </wp:inline>
        </w:drawing>
      </w:r>
    </w:p>
    <w:p w14:paraId="2E1AE97A" w14:textId="24A7E646" w:rsidR="00CB049A" w:rsidRPr="00B351AF" w:rsidRDefault="00CB049A" w:rsidP="00CB049A">
      <w:pPr>
        <w:ind w:left="567"/>
        <w:jc w:val="center"/>
        <w:rPr>
          <w:i/>
          <w:iCs/>
          <w:sz w:val="24"/>
          <w:szCs w:val="24"/>
          <w:lang w:val="en-US"/>
        </w:rPr>
      </w:pPr>
      <w:r w:rsidRPr="00B351AF">
        <w:rPr>
          <w:i/>
          <w:iCs/>
          <w:sz w:val="24"/>
          <w:szCs w:val="24"/>
          <w:lang w:val="en-US"/>
        </w:rPr>
        <w:t xml:space="preserve">Appendix </w:t>
      </w:r>
      <w:r>
        <w:rPr>
          <w:i/>
          <w:iCs/>
          <w:sz w:val="24"/>
          <w:szCs w:val="24"/>
          <w:lang w:val="en-US"/>
        </w:rPr>
        <w:t>R</w:t>
      </w:r>
      <w:r w:rsidRPr="00B351AF">
        <w:rPr>
          <w:i/>
          <w:iCs/>
          <w:sz w:val="24"/>
          <w:szCs w:val="24"/>
          <w:lang w:val="en-US"/>
        </w:rPr>
        <w:t xml:space="preserve"> – </w:t>
      </w:r>
      <w:r w:rsidR="00FD6245">
        <w:rPr>
          <w:i/>
          <w:iCs/>
          <w:sz w:val="24"/>
          <w:szCs w:val="24"/>
          <w:lang w:val="en-US"/>
        </w:rPr>
        <w:t>Question</w:t>
      </w:r>
      <w:r w:rsidR="001947ED">
        <w:rPr>
          <w:i/>
          <w:iCs/>
          <w:sz w:val="24"/>
          <w:szCs w:val="24"/>
          <w:lang w:val="en-US"/>
        </w:rPr>
        <w:t>s</w:t>
      </w:r>
      <w:r w:rsidRPr="00B351AF">
        <w:rPr>
          <w:i/>
          <w:iCs/>
          <w:sz w:val="24"/>
          <w:szCs w:val="24"/>
          <w:lang w:val="en-US"/>
        </w:rPr>
        <w:t xml:space="preserve"> Slide</w:t>
      </w:r>
    </w:p>
    <w:sectPr w:rsidR="00CB049A" w:rsidRPr="00B351AF" w:rsidSect="004A004F">
      <w:footerReference w:type="default" r:id="rId68"/>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14F2CB" w14:textId="77777777" w:rsidR="0015361A" w:rsidRDefault="0015361A">
      <w:pPr>
        <w:spacing w:after="0" w:line="240" w:lineRule="auto"/>
      </w:pPr>
      <w:r>
        <w:separator/>
      </w:r>
    </w:p>
  </w:endnote>
  <w:endnote w:type="continuationSeparator" w:id="0">
    <w:p w14:paraId="72C98028" w14:textId="77777777" w:rsidR="0015361A" w:rsidRDefault="001536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6461248"/>
      <w:docPartObj>
        <w:docPartGallery w:val="Page Numbers (Bottom of Page)"/>
        <w:docPartUnique/>
      </w:docPartObj>
    </w:sdtPr>
    <w:sdtEndPr>
      <w:rPr>
        <w:color w:val="7F7F7F" w:themeColor="background1" w:themeShade="7F"/>
        <w:spacing w:val="60"/>
      </w:rPr>
    </w:sdtEndPr>
    <w:sdtContent>
      <w:p w14:paraId="3C3D15D4" w14:textId="77777777" w:rsidR="004A004F" w:rsidRDefault="004A004F">
        <w:pPr>
          <w:pStyle w:val="Footer"/>
          <w:pBdr>
            <w:top w:val="single" w:sz="4" w:space="1" w:color="D9D9D9" w:themeColor="background1" w:themeShade="D9"/>
          </w:pBdr>
          <w:jc w:val="center"/>
          <w:rPr>
            <w:b/>
            <w:bCs/>
          </w:rPr>
        </w:pPr>
        <w:r w:rsidRPr="0056419D">
          <w:fldChar w:fldCharType="begin"/>
        </w:r>
        <w:r w:rsidRPr="0056419D">
          <w:instrText xml:space="preserve"> PAGE   \* MERGEFORMAT </w:instrText>
        </w:r>
        <w:r w:rsidRPr="0056419D">
          <w:fldChar w:fldCharType="separate"/>
        </w:r>
        <w:r w:rsidRPr="0056419D">
          <w:rPr>
            <w:noProof/>
          </w:rPr>
          <w:t>2</w:t>
        </w:r>
        <w:r w:rsidRPr="0056419D">
          <w:rPr>
            <w:noProof/>
          </w:rPr>
          <w:fldChar w:fldCharType="end"/>
        </w:r>
        <w:r w:rsidRPr="0056419D">
          <w:t xml:space="preserve"> | </w:t>
        </w:r>
        <w:r w:rsidRPr="0056419D">
          <w:rPr>
            <w:color w:val="7F7F7F" w:themeColor="background1" w:themeShade="7F"/>
            <w:spacing w:val="60"/>
          </w:rPr>
          <w:t>Page</w:t>
        </w:r>
      </w:p>
    </w:sdtContent>
  </w:sdt>
  <w:p w14:paraId="0E7B4853" w14:textId="77777777" w:rsidR="004A004F" w:rsidRDefault="004A004F">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114A09" w14:textId="77777777" w:rsidR="0015361A" w:rsidRDefault="0015361A">
      <w:pPr>
        <w:spacing w:after="0" w:line="240" w:lineRule="auto"/>
      </w:pPr>
      <w:r>
        <w:separator/>
      </w:r>
    </w:p>
  </w:footnote>
  <w:footnote w:type="continuationSeparator" w:id="0">
    <w:p w14:paraId="2DE10645" w14:textId="77777777" w:rsidR="0015361A" w:rsidRDefault="001536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48657D"/>
    <w:multiLevelType w:val="hybridMultilevel"/>
    <w:tmpl w:val="9D8CB3A0"/>
    <w:lvl w:ilvl="0" w:tplc="A9049E44">
      <w:start w:val="1"/>
      <w:numFmt w:val="lowerRoman"/>
      <w:lvlText w:val="%1."/>
      <w:lvlJc w:val="left"/>
      <w:pPr>
        <w:ind w:left="6893" w:hanging="720"/>
      </w:pPr>
      <w:rPr>
        <w:i w:val="0"/>
        <w:iCs w:val="0"/>
      </w:rPr>
    </w:lvl>
    <w:lvl w:ilvl="1" w:tplc="08090001">
      <w:start w:val="1"/>
      <w:numFmt w:val="bullet"/>
      <w:lvlText w:val=""/>
      <w:lvlJc w:val="left"/>
      <w:pPr>
        <w:ind w:left="7253" w:hanging="360"/>
      </w:pPr>
      <w:rPr>
        <w:rFonts w:ascii="Symbol" w:hAnsi="Symbol" w:hint="default"/>
      </w:rPr>
    </w:lvl>
    <w:lvl w:ilvl="2" w:tplc="61883C76">
      <w:start w:val="6"/>
      <w:numFmt w:val="upperRoman"/>
      <w:lvlText w:val="%3."/>
      <w:lvlJc w:val="left"/>
      <w:pPr>
        <w:ind w:left="8513" w:hanging="720"/>
      </w:pPr>
    </w:lvl>
    <w:lvl w:ilvl="3" w:tplc="0809000F">
      <w:start w:val="1"/>
      <w:numFmt w:val="decimal"/>
      <w:lvlText w:val="%4."/>
      <w:lvlJc w:val="left"/>
      <w:pPr>
        <w:ind w:left="8693" w:hanging="360"/>
      </w:pPr>
    </w:lvl>
    <w:lvl w:ilvl="4" w:tplc="08090019">
      <w:start w:val="1"/>
      <w:numFmt w:val="lowerLetter"/>
      <w:lvlText w:val="%5."/>
      <w:lvlJc w:val="left"/>
      <w:pPr>
        <w:ind w:left="9413" w:hanging="360"/>
      </w:pPr>
    </w:lvl>
    <w:lvl w:ilvl="5" w:tplc="0809001B">
      <w:start w:val="1"/>
      <w:numFmt w:val="lowerRoman"/>
      <w:lvlText w:val="%6."/>
      <w:lvlJc w:val="right"/>
      <w:pPr>
        <w:ind w:left="10133" w:hanging="180"/>
      </w:pPr>
    </w:lvl>
    <w:lvl w:ilvl="6" w:tplc="0809000F">
      <w:start w:val="1"/>
      <w:numFmt w:val="decimal"/>
      <w:lvlText w:val="%7."/>
      <w:lvlJc w:val="left"/>
      <w:pPr>
        <w:ind w:left="10853" w:hanging="360"/>
      </w:pPr>
    </w:lvl>
    <w:lvl w:ilvl="7" w:tplc="08090019">
      <w:start w:val="1"/>
      <w:numFmt w:val="lowerLetter"/>
      <w:lvlText w:val="%8."/>
      <w:lvlJc w:val="left"/>
      <w:pPr>
        <w:ind w:left="11573" w:hanging="360"/>
      </w:pPr>
    </w:lvl>
    <w:lvl w:ilvl="8" w:tplc="0809001B">
      <w:start w:val="1"/>
      <w:numFmt w:val="lowerRoman"/>
      <w:lvlText w:val="%9."/>
      <w:lvlJc w:val="right"/>
      <w:pPr>
        <w:ind w:left="12293" w:hanging="180"/>
      </w:pPr>
    </w:lvl>
  </w:abstractNum>
  <w:abstractNum w:abstractNumId="1" w15:restartNumberingAfterBreak="0">
    <w:nsid w:val="3A580130"/>
    <w:multiLevelType w:val="hybridMultilevel"/>
    <w:tmpl w:val="7400AF38"/>
    <w:lvl w:ilvl="0" w:tplc="0E4A702A">
      <w:start w:val="1"/>
      <w:numFmt w:val="lowerRoman"/>
      <w:lvlText w:val="%1."/>
      <w:lvlJc w:val="left"/>
      <w:pPr>
        <w:ind w:left="654" w:hanging="720"/>
      </w:pPr>
    </w:lvl>
    <w:lvl w:ilvl="1" w:tplc="08090019">
      <w:start w:val="1"/>
      <w:numFmt w:val="lowerLetter"/>
      <w:lvlText w:val="%2."/>
      <w:lvlJc w:val="left"/>
      <w:pPr>
        <w:ind w:left="1014" w:hanging="360"/>
      </w:pPr>
    </w:lvl>
    <w:lvl w:ilvl="2" w:tplc="0809001B">
      <w:start w:val="1"/>
      <w:numFmt w:val="lowerRoman"/>
      <w:lvlText w:val="%3."/>
      <w:lvlJc w:val="right"/>
      <w:pPr>
        <w:ind w:left="1734" w:hanging="180"/>
      </w:pPr>
    </w:lvl>
    <w:lvl w:ilvl="3" w:tplc="0809000F">
      <w:start w:val="1"/>
      <w:numFmt w:val="decimal"/>
      <w:lvlText w:val="%4."/>
      <w:lvlJc w:val="left"/>
      <w:pPr>
        <w:ind w:left="2454" w:hanging="360"/>
      </w:pPr>
    </w:lvl>
    <w:lvl w:ilvl="4" w:tplc="08090019">
      <w:start w:val="1"/>
      <w:numFmt w:val="lowerLetter"/>
      <w:lvlText w:val="%5."/>
      <w:lvlJc w:val="left"/>
      <w:pPr>
        <w:ind w:left="3174" w:hanging="360"/>
      </w:pPr>
    </w:lvl>
    <w:lvl w:ilvl="5" w:tplc="0809001B">
      <w:start w:val="1"/>
      <w:numFmt w:val="lowerRoman"/>
      <w:lvlText w:val="%6."/>
      <w:lvlJc w:val="right"/>
      <w:pPr>
        <w:ind w:left="3894" w:hanging="180"/>
      </w:pPr>
    </w:lvl>
    <w:lvl w:ilvl="6" w:tplc="0809000F">
      <w:start w:val="1"/>
      <w:numFmt w:val="decimal"/>
      <w:lvlText w:val="%7."/>
      <w:lvlJc w:val="left"/>
      <w:pPr>
        <w:ind w:left="4614" w:hanging="360"/>
      </w:pPr>
    </w:lvl>
    <w:lvl w:ilvl="7" w:tplc="08090019">
      <w:start w:val="1"/>
      <w:numFmt w:val="lowerLetter"/>
      <w:lvlText w:val="%8."/>
      <w:lvlJc w:val="left"/>
      <w:pPr>
        <w:ind w:left="5334" w:hanging="360"/>
      </w:pPr>
    </w:lvl>
    <w:lvl w:ilvl="8" w:tplc="0809001B">
      <w:start w:val="1"/>
      <w:numFmt w:val="lowerRoman"/>
      <w:lvlText w:val="%9."/>
      <w:lvlJc w:val="right"/>
      <w:pPr>
        <w:ind w:left="6054" w:hanging="180"/>
      </w:pPr>
    </w:lvl>
  </w:abstractNum>
  <w:num w:numId="1" w16cid:durableId="1072121075">
    <w:abstractNumId w:val="0"/>
  </w:num>
  <w:num w:numId="2" w16cid:durableId="12811109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825032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004F"/>
    <w:rsid w:val="00001E1C"/>
    <w:rsid w:val="000110A0"/>
    <w:rsid w:val="000206BD"/>
    <w:rsid w:val="00025719"/>
    <w:rsid w:val="000370C3"/>
    <w:rsid w:val="00062FD8"/>
    <w:rsid w:val="00072BDA"/>
    <w:rsid w:val="000763A6"/>
    <w:rsid w:val="000840AB"/>
    <w:rsid w:val="00086017"/>
    <w:rsid w:val="00087F54"/>
    <w:rsid w:val="000C3B64"/>
    <w:rsid w:val="000C562A"/>
    <w:rsid w:val="000F5D86"/>
    <w:rsid w:val="001010D0"/>
    <w:rsid w:val="001039DE"/>
    <w:rsid w:val="00110041"/>
    <w:rsid w:val="00110577"/>
    <w:rsid w:val="0011718F"/>
    <w:rsid w:val="00130C5C"/>
    <w:rsid w:val="001314E1"/>
    <w:rsid w:val="00136155"/>
    <w:rsid w:val="00144ECF"/>
    <w:rsid w:val="0015361A"/>
    <w:rsid w:val="00161B24"/>
    <w:rsid w:val="00170847"/>
    <w:rsid w:val="00170F38"/>
    <w:rsid w:val="00174F58"/>
    <w:rsid w:val="00180D7E"/>
    <w:rsid w:val="001947ED"/>
    <w:rsid w:val="00197C3F"/>
    <w:rsid w:val="001A1580"/>
    <w:rsid w:val="001A161F"/>
    <w:rsid w:val="001A4A4E"/>
    <w:rsid w:val="001A54CB"/>
    <w:rsid w:val="001B4C7A"/>
    <w:rsid w:val="001B7D3E"/>
    <w:rsid w:val="001C18D2"/>
    <w:rsid w:val="001C56F0"/>
    <w:rsid w:val="001D3CA4"/>
    <w:rsid w:val="001E3F5F"/>
    <w:rsid w:val="001E5364"/>
    <w:rsid w:val="001F4BAF"/>
    <w:rsid w:val="001F55F9"/>
    <w:rsid w:val="001F6E11"/>
    <w:rsid w:val="00203521"/>
    <w:rsid w:val="002043E1"/>
    <w:rsid w:val="002068CC"/>
    <w:rsid w:val="002209D5"/>
    <w:rsid w:val="002476C0"/>
    <w:rsid w:val="00250394"/>
    <w:rsid w:val="0026238E"/>
    <w:rsid w:val="0026621C"/>
    <w:rsid w:val="0026689C"/>
    <w:rsid w:val="00266FCE"/>
    <w:rsid w:val="002700F3"/>
    <w:rsid w:val="00271909"/>
    <w:rsid w:val="00273939"/>
    <w:rsid w:val="002762D5"/>
    <w:rsid w:val="002914A8"/>
    <w:rsid w:val="002A642C"/>
    <w:rsid w:val="002B7117"/>
    <w:rsid w:val="002B7F21"/>
    <w:rsid w:val="002D1C8D"/>
    <w:rsid w:val="003009A4"/>
    <w:rsid w:val="0031474C"/>
    <w:rsid w:val="00326E01"/>
    <w:rsid w:val="00327026"/>
    <w:rsid w:val="00327490"/>
    <w:rsid w:val="0033379F"/>
    <w:rsid w:val="0033608D"/>
    <w:rsid w:val="003539C4"/>
    <w:rsid w:val="00370EEF"/>
    <w:rsid w:val="003812B9"/>
    <w:rsid w:val="00384998"/>
    <w:rsid w:val="00387766"/>
    <w:rsid w:val="00391FCF"/>
    <w:rsid w:val="003A1579"/>
    <w:rsid w:val="003A5091"/>
    <w:rsid w:val="003A58B7"/>
    <w:rsid w:val="003A6399"/>
    <w:rsid w:val="003A73C2"/>
    <w:rsid w:val="003B78FF"/>
    <w:rsid w:val="003C5746"/>
    <w:rsid w:val="003C631D"/>
    <w:rsid w:val="003E5B35"/>
    <w:rsid w:val="003F7DCB"/>
    <w:rsid w:val="0040064B"/>
    <w:rsid w:val="00417C28"/>
    <w:rsid w:val="00420636"/>
    <w:rsid w:val="00420D5B"/>
    <w:rsid w:val="00426425"/>
    <w:rsid w:val="0042669E"/>
    <w:rsid w:val="0043352C"/>
    <w:rsid w:val="0043516A"/>
    <w:rsid w:val="0044370C"/>
    <w:rsid w:val="00447C2A"/>
    <w:rsid w:val="0045663C"/>
    <w:rsid w:val="00467D8E"/>
    <w:rsid w:val="00492FE9"/>
    <w:rsid w:val="0049553B"/>
    <w:rsid w:val="00496879"/>
    <w:rsid w:val="004A004F"/>
    <w:rsid w:val="004A0C30"/>
    <w:rsid w:val="004B0324"/>
    <w:rsid w:val="004B145A"/>
    <w:rsid w:val="004C0F16"/>
    <w:rsid w:val="004C1B94"/>
    <w:rsid w:val="004D0436"/>
    <w:rsid w:val="004D081F"/>
    <w:rsid w:val="004D30A5"/>
    <w:rsid w:val="004D38C8"/>
    <w:rsid w:val="004D3F81"/>
    <w:rsid w:val="004E6B6B"/>
    <w:rsid w:val="004F6460"/>
    <w:rsid w:val="00520EA8"/>
    <w:rsid w:val="005224D4"/>
    <w:rsid w:val="0052399C"/>
    <w:rsid w:val="00525F5B"/>
    <w:rsid w:val="00530E9F"/>
    <w:rsid w:val="00535022"/>
    <w:rsid w:val="0054059B"/>
    <w:rsid w:val="005547CE"/>
    <w:rsid w:val="00557A5E"/>
    <w:rsid w:val="00567718"/>
    <w:rsid w:val="00590E57"/>
    <w:rsid w:val="00594D3B"/>
    <w:rsid w:val="00596697"/>
    <w:rsid w:val="005A1209"/>
    <w:rsid w:val="005B6C6D"/>
    <w:rsid w:val="005C498A"/>
    <w:rsid w:val="005D3BEB"/>
    <w:rsid w:val="005D4B0A"/>
    <w:rsid w:val="005E3AFA"/>
    <w:rsid w:val="005F2196"/>
    <w:rsid w:val="00613E9E"/>
    <w:rsid w:val="0061647C"/>
    <w:rsid w:val="00640532"/>
    <w:rsid w:val="00650121"/>
    <w:rsid w:val="00653709"/>
    <w:rsid w:val="00667BA8"/>
    <w:rsid w:val="00672C41"/>
    <w:rsid w:val="00672F47"/>
    <w:rsid w:val="006808D4"/>
    <w:rsid w:val="00681471"/>
    <w:rsid w:val="00691F29"/>
    <w:rsid w:val="006926BA"/>
    <w:rsid w:val="00697AEC"/>
    <w:rsid w:val="006A3470"/>
    <w:rsid w:val="006C0EF1"/>
    <w:rsid w:val="006E7347"/>
    <w:rsid w:val="0070210C"/>
    <w:rsid w:val="007073F2"/>
    <w:rsid w:val="00715CE7"/>
    <w:rsid w:val="0071706D"/>
    <w:rsid w:val="00722BD8"/>
    <w:rsid w:val="00732B18"/>
    <w:rsid w:val="00732BC9"/>
    <w:rsid w:val="00737FAF"/>
    <w:rsid w:val="00742063"/>
    <w:rsid w:val="0074662F"/>
    <w:rsid w:val="00750444"/>
    <w:rsid w:val="007628F6"/>
    <w:rsid w:val="00770F2F"/>
    <w:rsid w:val="00782F90"/>
    <w:rsid w:val="007A1F28"/>
    <w:rsid w:val="007D73D8"/>
    <w:rsid w:val="007E1844"/>
    <w:rsid w:val="007E5FDA"/>
    <w:rsid w:val="007E63E3"/>
    <w:rsid w:val="007F52C8"/>
    <w:rsid w:val="007F7421"/>
    <w:rsid w:val="007F7E0B"/>
    <w:rsid w:val="008010DA"/>
    <w:rsid w:val="00803B9C"/>
    <w:rsid w:val="008162C4"/>
    <w:rsid w:val="00825D82"/>
    <w:rsid w:val="0082722E"/>
    <w:rsid w:val="00827B7B"/>
    <w:rsid w:val="00830C78"/>
    <w:rsid w:val="0084543F"/>
    <w:rsid w:val="008502B8"/>
    <w:rsid w:val="00852F58"/>
    <w:rsid w:val="00853117"/>
    <w:rsid w:val="00854C10"/>
    <w:rsid w:val="008636AD"/>
    <w:rsid w:val="008702AC"/>
    <w:rsid w:val="0087121D"/>
    <w:rsid w:val="0089613C"/>
    <w:rsid w:val="008A0836"/>
    <w:rsid w:val="008B576A"/>
    <w:rsid w:val="008C5BFA"/>
    <w:rsid w:val="008D183B"/>
    <w:rsid w:val="008E213D"/>
    <w:rsid w:val="008E44DE"/>
    <w:rsid w:val="008E5978"/>
    <w:rsid w:val="00911674"/>
    <w:rsid w:val="00943C46"/>
    <w:rsid w:val="00952E13"/>
    <w:rsid w:val="009541E4"/>
    <w:rsid w:val="009661F3"/>
    <w:rsid w:val="0098687E"/>
    <w:rsid w:val="009A1130"/>
    <w:rsid w:val="009A74CA"/>
    <w:rsid w:val="009C06DD"/>
    <w:rsid w:val="009C63C8"/>
    <w:rsid w:val="009E6770"/>
    <w:rsid w:val="009E7835"/>
    <w:rsid w:val="009F1D3D"/>
    <w:rsid w:val="00A000D0"/>
    <w:rsid w:val="00A041F1"/>
    <w:rsid w:val="00A047CD"/>
    <w:rsid w:val="00A12843"/>
    <w:rsid w:val="00A1489B"/>
    <w:rsid w:val="00A15930"/>
    <w:rsid w:val="00A17948"/>
    <w:rsid w:val="00A27E32"/>
    <w:rsid w:val="00A3652A"/>
    <w:rsid w:val="00A51B52"/>
    <w:rsid w:val="00A56C38"/>
    <w:rsid w:val="00A61E91"/>
    <w:rsid w:val="00A72DBA"/>
    <w:rsid w:val="00A80261"/>
    <w:rsid w:val="00A82FDD"/>
    <w:rsid w:val="00AA497C"/>
    <w:rsid w:val="00AA5A31"/>
    <w:rsid w:val="00AB3CF3"/>
    <w:rsid w:val="00AB5C55"/>
    <w:rsid w:val="00AD2498"/>
    <w:rsid w:val="00AD45F3"/>
    <w:rsid w:val="00AD6BDF"/>
    <w:rsid w:val="00AE1813"/>
    <w:rsid w:val="00AE728B"/>
    <w:rsid w:val="00AF2EE8"/>
    <w:rsid w:val="00AF3885"/>
    <w:rsid w:val="00AF4F91"/>
    <w:rsid w:val="00B0020F"/>
    <w:rsid w:val="00B10F56"/>
    <w:rsid w:val="00B14E74"/>
    <w:rsid w:val="00B2609F"/>
    <w:rsid w:val="00B351AF"/>
    <w:rsid w:val="00B37344"/>
    <w:rsid w:val="00B37BFD"/>
    <w:rsid w:val="00B46CA2"/>
    <w:rsid w:val="00B508A9"/>
    <w:rsid w:val="00B50E79"/>
    <w:rsid w:val="00B5224A"/>
    <w:rsid w:val="00B61763"/>
    <w:rsid w:val="00B6348F"/>
    <w:rsid w:val="00B651C1"/>
    <w:rsid w:val="00B651D4"/>
    <w:rsid w:val="00B67210"/>
    <w:rsid w:val="00B92442"/>
    <w:rsid w:val="00B941D6"/>
    <w:rsid w:val="00BA1752"/>
    <w:rsid w:val="00BA2D72"/>
    <w:rsid w:val="00BB40C7"/>
    <w:rsid w:val="00BC0DC5"/>
    <w:rsid w:val="00BC0E1A"/>
    <w:rsid w:val="00BD21AD"/>
    <w:rsid w:val="00BD39D4"/>
    <w:rsid w:val="00BD5091"/>
    <w:rsid w:val="00BE3D96"/>
    <w:rsid w:val="00BE5EA4"/>
    <w:rsid w:val="00BE6433"/>
    <w:rsid w:val="00C03E5B"/>
    <w:rsid w:val="00C05B14"/>
    <w:rsid w:val="00C07AC2"/>
    <w:rsid w:val="00C14E62"/>
    <w:rsid w:val="00C167CF"/>
    <w:rsid w:val="00C20FEF"/>
    <w:rsid w:val="00C239F1"/>
    <w:rsid w:val="00C32EAB"/>
    <w:rsid w:val="00C47799"/>
    <w:rsid w:val="00C55C0D"/>
    <w:rsid w:val="00C616B2"/>
    <w:rsid w:val="00C64FC0"/>
    <w:rsid w:val="00C67375"/>
    <w:rsid w:val="00C70952"/>
    <w:rsid w:val="00C87D67"/>
    <w:rsid w:val="00CA5D74"/>
    <w:rsid w:val="00CB049A"/>
    <w:rsid w:val="00CC1B45"/>
    <w:rsid w:val="00CD6A2C"/>
    <w:rsid w:val="00CD7379"/>
    <w:rsid w:val="00CF50E3"/>
    <w:rsid w:val="00CF6669"/>
    <w:rsid w:val="00D04077"/>
    <w:rsid w:val="00D07FDC"/>
    <w:rsid w:val="00D12044"/>
    <w:rsid w:val="00D13389"/>
    <w:rsid w:val="00D2464F"/>
    <w:rsid w:val="00D25264"/>
    <w:rsid w:val="00D30823"/>
    <w:rsid w:val="00D346C7"/>
    <w:rsid w:val="00D46F65"/>
    <w:rsid w:val="00D66FA4"/>
    <w:rsid w:val="00D73137"/>
    <w:rsid w:val="00D85BAE"/>
    <w:rsid w:val="00D90BCE"/>
    <w:rsid w:val="00DB271B"/>
    <w:rsid w:val="00DB4113"/>
    <w:rsid w:val="00DB4ADD"/>
    <w:rsid w:val="00DB6ABC"/>
    <w:rsid w:val="00DC5F00"/>
    <w:rsid w:val="00DD0E58"/>
    <w:rsid w:val="00DE1ED1"/>
    <w:rsid w:val="00DE58CB"/>
    <w:rsid w:val="00DE7E0C"/>
    <w:rsid w:val="00DF0ACD"/>
    <w:rsid w:val="00DF31EA"/>
    <w:rsid w:val="00E1112F"/>
    <w:rsid w:val="00E3344F"/>
    <w:rsid w:val="00E45A6D"/>
    <w:rsid w:val="00E506E5"/>
    <w:rsid w:val="00E5118D"/>
    <w:rsid w:val="00E56F07"/>
    <w:rsid w:val="00E61B3C"/>
    <w:rsid w:val="00E6245A"/>
    <w:rsid w:val="00E65DD2"/>
    <w:rsid w:val="00E72222"/>
    <w:rsid w:val="00E94826"/>
    <w:rsid w:val="00E94F88"/>
    <w:rsid w:val="00EA3343"/>
    <w:rsid w:val="00EA43C8"/>
    <w:rsid w:val="00EB068F"/>
    <w:rsid w:val="00EF6598"/>
    <w:rsid w:val="00F01B6C"/>
    <w:rsid w:val="00F13B9B"/>
    <w:rsid w:val="00F1425C"/>
    <w:rsid w:val="00F14CC4"/>
    <w:rsid w:val="00F217A6"/>
    <w:rsid w:val="00F24D72"/>
    <w:rsid w:val="00F264F1"/>
    <w:rsid w:val="00F4545A"/>
    <w:rsid w:val="00F7221E"/>
    <w:rsid w:val="00F96024"/>
    <w:rsid w:val="00FA3EBF"/>
    <w:rsid w:val="00FB1B49"/>
    <w:rsid w:val="00FD6245"/>
    <w:rsid w:val="00FE1E82"/>
    <w:rsid w:val="00FF6C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2B7C1"/>
  <w15:chartTrackingRefBased/>
  <w15:docId w15:val="{76D4411C-2DF5-417D-AB33-B0B3B323B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004F"/>
  </w:style>
  <w:style w:type="paragraph" w:styleId="Heading1">
    <w:name w:val="heading 1"/>
    <w:basedOn w:val="Normal"/>
    <w:next w:val="Normal"/>
    <w:link w:val="Heading1Char"/>
    <w:uiPriority w:val="9"/>
    <w:qFormat/>
    <w:rsid w:val="004A00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A00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00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00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00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00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00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00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00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00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A00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00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00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00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00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00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00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004F"/>
    <w:rPr>
      <w:rFonts w:eastAsiaTheme="majorEastAsia" w:cstheme="majorBidi"/>
      <w:color w:val="272727" w:themeColor="text1" w:themeTint="D8"/>
    </w:rPr>
  </w:style>
  <w:style w:type="paragraph" w:styleId="Title">
    <w:name w:val="Title"/>
    <w:basedOn w:val="Normal"/>
    <w:next w:val="Normal"/>
    <w:link w:val="TitleChar"/>
    <w:uiPriority w:val="10"/>
    <w:qFormat/>
    <w:rsid w:val="004A00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00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00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00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004F"/>
    <w:pPr>
      <w:spacing w:before="160"/>
      <w:jc w:val="center"/>
    </w:pPr>
    <w:rPr>
      <w:i/>
      <w:iCs/>
      <w:color w:val="404040" w:themeColor="text1" w:themeTint="BF"/>
    </w:rPr>
  </w:style>
  <w:style w:type="character" w:customStyle="1" w:styleId="QuoteChar">
    <w:name w:val="Quote Char"/>
    <w:basedOn w:val="DefaultParagraphFont"/>
    <w:link w:val="Quote"/>
    <w:uiPriority w:val="29"/>
    <w:rsid w:val="004A004F"/>
    <w:rPr>
      <w:i/>
      <w:iCs/>
      <w:color w:val="404040" w:themeColor="text1" w:themeTint="BF"/>
    </w:rPr>
  </w:style>
  <w:style w:type="paragraph" w:styleId="ListParagraph">
    <w:name w:val="List Paragraph"/>
    <w:basedOn w:val="Normal"/>
    <w:uiPriority w:val="34"/>
    <w:qFormat/>
    <w:rsid w:val="004A004F"/>
    <w:pPr>
      <w:ind w:left="720"/>
      <w:contextualSpacing/>
    </w:pPr>
  </w:style>
  <w:style w:type="character" w:styleId="IntenseEmphasis">
    <w:name w:val="Intense Emphasis"/>
    <w:basedOn w:val="DefaultParagraphFont"/>
    <w:uiPriority w:val="21"/>
    <w:qFormat/>
    <w:rsid w:val="004A004F"/>
    <w:rPr>
      <w:i/>
      <w:iCs/>
      <w:color w:val="0F4761" w:themeColor="accent1" w:themeShade="BF"/>
    </w:rPr>
  </w:style>
  <w:style w:type="paragraph" w:styleId="IntenseQuote">
    <w:name w:val="Intense Quote"/>
    <w:basedOn w:val="Normal"/>
    <w:next w:val="Normal"/>
    <w:link w:val="IntenseQuoteChar"/>
    <w:uiPriority w:val="30"/>
    <w:qFormat/>
    <w:rsid w:val="004A00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004F"/>
    <w:rPr>
      <w:i/>
      <w:iCs/>
      <w:color w:val="0F4761" w:themeColor="accent1" w:themeShade="BF"/>
    </w:rPr>
  </w:style>
  <w:style w:type="character" w:styleId="IntenseReference">
    <w:name w:val="Intense Reference"/>
    <w:basedOn w:val="DefaultParagraphFont"/>
    <w:uiPriority w:val="32"/>
    <w:qFormat/>
    <w:rsid w:val="004A004F"/>
    <w:rPr>
      <w:b/>
      <w:bCs/>
      <w:smallCaps/>
      <w:color w:val="0F4761" w:themeColor="accent1" w:themeShade="BF"/>
      <w:spacing w:val="5"/>
    </w:rPr>
  </w:style>
  <w:style w:type="paragraph" w:styleId="NoSpacing">
    <w:name w:val="No Spacing"/>
    <w:uiPriority w:val="1"/>
    <w:qFormat/>
    <w:rsid w:val="004A004F"/>
    <w:pPr>
      <w:spacing w:after="0" w:line="240" w:lineRule="auto"/>
    </w:pPr>
  </w:style>
  <w:style w:type="paragraph" w:styleId="Footer">
    <w:name w:val="footer"/>
    <w:basedOn w:val="Normal"/>
    <w:link w:val="FooterChar"/>
    <w:uiPriority w:val="99"/>
    <w:unhideWhenUsed/>
    <w:rsid w:val="004A00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004F"/>
  </w:style>
  <w:style w:type="character" w:styleId="Hyperlink">
    <w:name w:val="Hyperlink"/>
    <w:basedOn w:val="DefaultParagraphFont"/>
    <w:uiPriority w:val="99"/>
    <w:unhideWhenUsed/>
    <w:rsid w:val="004A004F"/>
    <w:rPr>
      <w:color w:val="467886" w:themeColor="hyperlink"/>
      <w:u w:val="single"/>
    </w:rPr>
  </w:style>
  <w:style w:type="table" w:styleId="TableGrid">
    <w:name w:val="Table Grid"/>
    <w:basedOn w:val="TableNormal"/>
    <w:uiPriority w:val="39"/>
    <w:rsid w:val="004A00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27490"/>
    <w:rPr>
      <w:color w:val="605E5C"/>
      <w:shd w:val="clear" w:color="auto" w:fill="E1DFDD"/>
    </w:rPr>
  </w:style>
  <w:style w:type="character" w:styleId="FollowedHyperlink">
    <w:name w:val="FollowedHyperlink"/>
    <w:basedOn w:val="DefaultParagraphFont"/>
    <w:uiPriority w:val="99"/>
    <w:semiHidden/>
    <w:unhideWhenUsed/>
    <w:rsid w:val="0032749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sciencedirect.com/science/article/pii/S2667134422000475" TargetMode="External"/><Relationship Id="rId21" Type="http://schemas.openxmlformats.org/officeDocument/2006/relationships/hyperlink" Target="https://apps.dtic.mil/sti/pdfs/ADA467800.pdf" TargetMode="External"/><Relationship Id="rId42" Type="http://schemas.openxmlformats.org/officeDocument/2006/relationships/image" Target="media/image12.png"/><Relationship Id="rId47" Type="http://schemas.openxmlformats.org/officeDocument/2006/relationships/image" Target="media/image17.svg"/><Relationship Id="rId63" Type="http://schemas.openxmlformats.org/officeDocument/2006/relationships/image" Target="media/image33.svg"/><Relationship Id="rId68" Type="http://schemas.openxmlformats.org/officeDocument/2006/relationships/footer" Target="foot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sciencedirect.com/science/article/abs/pii/S0141391009002845" TargetMode="External"/><Relationship Id="rId29" Type="http://schemas.openxmlformats.org/officeDocument/2006/relationships/hyperlink" Target="https://imemg.org/wp-content/uploads/2024/05/24117_Paper-EMTWG_24117_Plasticizer_Paper-final.pdf" TargetMode="External"/><Relationship Id="rId11" Type="http://schemas.openxmlformats.org/officeDocument/2006/relationships/hyperlink" Target="https://flex.flinders.edu.au/file/7b760c25-12bc-4897-81d6-f841e5b3563b/1/ThesisWilliams2015.pdf" TargetMode="External"/><Relationship Id="rId24" Type="http://schemas.openxmlformats.org/officeDocument/2006/relationships/hyperlink" Target="https://www.chimia.ch/chimia/article/view/2004_401/3154" TargetMode="External"/><Relationship Id="rId32" Type="http://schemas.openxmlformats.org/officeDocument/2006/relationships/image" Target="media/image2.png"/><Relationship Id="rId37" Type="http://schemas.openxmlformats.org/officeDocument/2006/relationships/image" Target="media/image7.svg"/><Relationship Id="rId40" Type="http://schemas.openxmlformats.org/officeDocument/2006/relationships/image" Target="media/image10.png"/><Relationship Id="rId45" Type="http://schemas.openxmlformats.org/officeDocument/2006/relationships/image" Target="media/image15.svg"/><Relationship Id="rId53" Type="http://schemas.openxmlformats.org/officeDocument/2006/relationships/image" Target="media/image23.svg"/><Relationship Id="rId58" Type="http://schemas.openxmlformats.org/officeDocument/2006/relationships/image" Target="media/image28.png"/><Relationship Id="rId66" Type="http://schemas.openxmlformats.org/officeDocument/2006/relationships/image" Target="media/image36.png"/><Relationship Id="rId5" Type="http://schemas.openxmlformats.org/officeDocument/2006/relationships/styles" Target="styles.xml"/><Relationship Id="rId61" Type="http://schemas.openxmlformats.org/officeDocument/2006/relationships/image" Target="media/image31.svg"/><Relationship Id="rId19" Type="http://schemas.openxmlformats.org/officeDocument/2006/relationships/hyperlink" Target="https://www.researchgate.net/publication/262343855_Effect_of_Inert_Plasticizers_on_Mechanical_Thermal_and_Sensitivity_Properties_of_Polyurethane-Based_Plastic_Bonded_Explosives" TargetMode="External"/><Relationship Id="rId14" Type="http://schemas.openxmlformats.org/officeDocument/2006/relationships/hyperlink" Target="https://www.sciencedirect.com/science/article/abs/pii/S0040603125000796" TargetMode="External"/><Relationship Id="rId22" Type="http://schemas.openxmlformats.org/officeDocument/2006/relationships/hyperlink" Target="https://www.sciencedirect.com/science/article/pii/S221491472400254X" TargetMode="External"/><Relationship Id="rId27" Type="http://schemas.openxmlformats.org/officeDocument/2006/relationships/hyperlink" Target="https://link.springer.com/article/10.1140/epjst/e2018-00060-6" TargetMode="External"/><Relationship Id="rId30" Type="http://schemas.openxmlformats.org/officeDocument/2006/relationships/hyperlink" Target="https://assets.publishing.service.gov.uk/media/5ee8ccb8e90e070429b2d2fc/DSA_03_OME_PART_2__JSP_482__CH_17__Nov_19__-_mod_gov_uk.pdf" TargetMode="External"/><Relationship Id="rId35" Type="http://schemas.openxmlformats.org/officeDocument/2006/relationships/image" Target="media/image5.svg"/><Relationship Id="rId43" Type="http://schemas.openxmlformats.org/officeDocument/2006/relationships/image" Target="media/image13.svg"/><Relationship Id="rId48" Type="http://schemas.openxmlformats.org/officeDocument/2006/relationships/image" Target="media/image18.png"/><Relationship Id="rId56" Type="http://schemas.openxmlformats.org/officeDocument/2006/relationships/image" Target="media/image26.png"/><Relationship Id="rId64" Type="http://schemas.openxmlformats.org/officeDocument/2006/relationships/image" Target="media/image34.png"/><Relationship Id="rId69" Type="http://schemas.openxmlformats.org/officeDocument/2006/relationships/fontTable" Target="fontTable.xml"/><Relationship Id="rId8" Type="http://schemas.openxmlformats.org/officeDocument/2006/relationships/footnotes" Target="footnotes.xml"/><Relationship Id="rId51" Type="http://schemas.openxmlformats.org/officeDocument/2006/relationships/image" Target="media/image21.svg"/><Relationship Id="rId3" Type="http://schemas.openxmlformats.org/officeDocument/2006/relationships/customXml" Target="../customXml/item3.xml"/><Relationship Id="rId12" Type="http://schemas.openxmlformats.org/officeDocument/2006/relationships/hyperlink" Target="https://d-nb.info/1258485303/34" TargetMode="External"/><Relationship Id="rId17" Type="http://schemas.openxmlformats.org/officeDocument/2006/relationships/hyperlink" Target="https://www.uu.edu/dept/chemistry/salazar/PMSEFallACS06.pdf" TargetMode="External"/><Relationship Id="rId25" Type="http://schemas.openxmlformats.org/officeDocument/2006/relationships/hyperlink" Target="https://www.sciencedirect.com/science/article/pii/S2214157X25005556?via%3Dihub" TargetMode="External"/><Relationship Id="rId33" Type="http://schemas.openxmlformats.org/officeDocument/2006/relationships/image" Target="media/image3.svg"/><Relationship Id="rId38" Type="http://schemas.openxmlformats.org/officeDocument/2006/relationships/image" Target="media/image8.png"/><Relationship Id="rId46" Type="http://schemas.openxmlformats.org/officeDocument/2006/relationships/image" Target="media/image16.png"/><Relationship Id="rId59" Type="http://schemas.openxmlformats.org/officeDocument/2006/relationships/image" Target="media/image29.svg"/><Relationship Id="rId67" Type="http://schemas.openxmlformats.org/officeDocument/2006/relationships/image" Target="media/image37.svg"/><Relationship Id="rId20" Type="http://schemas.openxmlformats.org/officeDocument/2006/relationships/hyperlink" Target="https://www.sciencedirect.com/science/article/abs/pii/0021979783903892" TargetMode="External"/><Relationship Id="rId41" Type="http://schemas.openxmlformats.org/officeDocument/2006/relationships/image" Target="media/image11.svg"/><Relationship Id="rId54" Type="http://schemas.openxmlformats.org/officeDocument/2006/relationships/image" Target="media/image24.png"/><Relationship Id="rId62" Type="http://schemas.openxmlformats.org/officeDocument/2006/relationships/image" Target="media/image32.png"/><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sciencedirect.com/topics/physics-and-astronomy/free-radical" TargetMode="External"/><Relationship Id="rId23" Type="http://schemas.openxmlformats.org/officeDocument/2006/relationships/hyperlink" Target="https://link.springer.com/chapter/10.1007/978-3-030-26241-9_16" TargetMode="External"/><Relationship Id="rId28" Type="http://schemas.openxmlformats.org/officeDocument/2006/relationships/hyperlink" Target="https://scispace.com/pdf/energetic-polymers-and-plasticisers-for-explosive-2n3jswoa3i.pdf" TargetMode="External"/><Relationship Id="rId36" Type="http://schemas.openxmlformats.org/officeDocument/2006/relationships/image" Target="media/image6.png"/><Relationship Id="rId49" Type="http://schemas.openxmlformats.org/officeDocument/2006/relationships/image" Target="media/image19.svg"/><Relationship Id="rId57" Type="http://schemas.openxmlformats.org/officeDocument/2006/relationships/image" Target="media/image27.svg"/><Relationship Id="rId10" Type="http://schemas.openxmlformats.org/officeDocument/2006/relationships/image" Target="media/image1.png"/><Relationship Id="rId31" Type="http://schemas.openxmlformats.org/officeDocument/2006/relationships/hyperlink" Target="https://apps.dtic.mil/sti/tr/pdf/ADA415676.pdf" TargetMode="External"/><Relationship Id="rId44" Type="http://schemas.openxmlformats.org/officeDocument/2006/relationships/image" Target="media/image14.png"/><Relationship Id="rId52" Type="http://schemas.openxmlformats.org/officeDocument/2006/relationships/image" Target="media/image22.png"/><Relationship Id="rId60" Type="http://schemas.openxmlformats.org/officeDocument/2006/relationships/image" Target="media/image30.png"/><Relationship Id="rId65" Type="http://schemas.openxmlformats.org/officeDocument/2006/relationships/image" Target="media/image35.svg"/><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www.sciencedirect.com/science/article/abs/pii/S1226086X19303041" TargetMode="External"/><Relationship Id="rId18" Type="http://schemas.openxmlformats.org/officeDocument/2006/relationships/hyperlink" Target="https://laro.lanl.gov/esploro/outputs/journalArticle/AGING-OF-THE-BINDER-IN-PLASTIC-BONDED/9916364070803761" TargetMode="External"/><Relationship Id="rId39" Type="http://schemas.openxmlformats.org/officeDocument/2006/relationships/image" Target="media/image9.svg"/><Relationship Id="rId34" Type="http://schemas.openxmlformats.org/officeDocument/2006/relationships/image" Target="media/image4.png"/><Relationship Id="rId50" Type="http://schemas.openxmlformats.org/officeDocument/2006/relationships/image" Target="media/image20.png"/><Relationship Id="rId55" Type="http://schemas.openxmlformats.org/officeDocument/2006/relationships/image" Target="media/image25.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1" ma:contentTypeDescription="Create a new document." ma:contentTypeScope="" ma:versionID="4c3fe65c2f8f18a3d775605d60250f43">
  <xsd:schema xmlns:xsd="http://www.w3.org/2001/XMLSchema" xmlns:xs="http://www.w3.org/2001/XMLSchema" xmlns:p="http://schemas.microsoft.com/office/2006/metadata/properties" xmlns:ns3="da3f2772-8f1e-4acb-bd98-3a0ee892f48a" targetNamespace="http://schemas.microsoft.com/office/2006/metadata/properties" ma:root="true" ma:fieldsID="059dfa895e3b1670d7e16aad97b36426" ns3:_="">
    <xsd:import namespace="da3f2772-8f1e-4acb-bd98-3a0ee892f48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MediaServiceSystemTags" minOccurs="0"/>
                <xsd:element ref="ns3:MediaServiceDateTake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A83AA657-534B-42D8-B553-30E4653A490D}">
  <ds:schemaRefs>
    <ds:schemaRef ds:uri="http://schemas.microsoft.com/sharepoint/v3/contenttype/forms"/>
  </ds:schemaRefs>
</ds:datastoreItem>
</file>

<file path=customXml/itemProps2.xml><?xml version="1.0" encoding="utf-8"?>
<ds:datastoreItem xmlns:ds="http://schemas.openxmlformats.org/officeDocument/2006/customXml" ds:itemID="{0E244553-C1A7-43E3-ADC8-D970872132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91A798-D4FA-4E24-85ED-E89F6B420D88}">
  <ds:schemaRefs>
    <ds:schemaRef ds:uri="http://schemas.microsoft.com/office/2006/metadata/properties"/>
    <ds:schemaRef ds:uri="http://schemas.microsoft.com/office/infopath/2007/PartnerControls"/>
    <ds:schemaRef ds:uri="da3f2772-8f1e-4acb-bd98-3a0ee892f48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3033</Words>
  <Characters>17292</Characters>
  <Application>Microsoft Office Word</Application>
  <DocSecurity>0</DocSecurity>
  <Lines>144</Lines>
  <Paragraphs>40</Paragraphs>
  <ScaleCrop>false</ScaleCrop>
  <Company/>
  <LinksUpToDate>false</LinksUpToDate>
  <CharactersWithSpaces>20285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Lloyd (2219811)</dc:creator>
  <cp:keywords/>
  <dc:description/>
  <cp:lastModifiedBy>Ben Lloyd (2219811)</cp:lastModifiedBy>
  <cp:revision>2</cp:revision>
  <dcterms:created xsi:type="dcterms:W3CDTF">2026-03-09T14:03:00Z</dcterms:created>
  <dcterms:modified xsi:type="dcterms:W3CDTF">2026-03-09T14:03:00Z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