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A8064" w14:textId="5A40B6CA" w:rsidR="006F6B43" w:rsidRDefault="00344D08">
      <w:pPr>
        <w:spacing w:after="265" w:line="259" w:lineRule="auto"/>
        <w:ind w:left="57" w:firstLine="0"/>
        <w:jc w:val="center"/>
      </w:pPr>
      <w:r>
        <w:t>I</w:t>
      </w:r>
      <w:r w:rsidR="00E428DE">
        <w:rPr>
          <w:noProof/>
        </w:rPr>
        <w:drawing>
          <wp:inline distT="0" distB="0" distL="0" distR="0" wp14:anchorId="3DC49FA1" wp14:editId="3B2CC352">
            <wp:extent cx="2766060" cy="1623060"/>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6"/>
                    <a:stretch>
                      <a:fillRect/>
                    </a:stretch>
                  </pic:blipFill>
                  <pic:spPr>
                    <a:xfrm>
                      <a:off x="0" y="0"/>
                      <a:ext cx="2766060" cy="1623060"/>
                    </a:xfrm>
                    <a:prstGeom prst="rect">
                      <a:avLst/>
                    </a:prstGeom>
                  </pic:spPr>
                </pic:pic>
              </a:graphicData>
            </a:graphic>
          </wp:inline>
        </w:drawing>
      </w:r>
      <w:r w:rsidR="00E428DE">
        <w:t xml:space="preserve"> </w:t>
      </w:r>
    </w:p>
    <w:p w14:paraId="4EDC3FFD" w14:textId="77777777" w:rsidR="006F6B43" w:rsidRDefault="00E428DE">
      <w:pPr>
        <w:spacing w:after="315" w:line="259" w:lineRule="auto"/>
        <w:ind w:left="54" w:firstLine="0"/>
        <w:jc w:val="center"/>
      </w:pPr>
      <w:r>
        <w:t xml:space="preserve"> </w:t>
      </w:r>
    </w:p>
    <w:p w14:paraId="728FA792" w14:textId="77777777" w:rsidR="006F6B43" w:rsidRDefault="00E428DE">
      <w:pPr>
        <w:spacing w:after="610" w:line="259" w:lineRule="auto"/>
        <w:ind w:left="54" w:firstLine="0"/>
        <w:jc w:val="center"/>
      </w:pPr>
      <w:r>
        <w:t xml:space="preserve"> </w:t>
      </w:r>
    </w:p>
    <w:p w14:paraId="0C1C8401" w14:textId="77777777" w:rsidR="006F6B43" w:rsidRDefault="00E428DE">
      <w:pPr>
        <w:spacing w:after="269" w:line="259" w:lineRule="auto"/>
        <w:ind w:left="431" w:firstLine="0"/>
        <w:jc w:val="left"/>
      </w:pPr>
      <w:r>
        <w:rPr>
          <w:b/>
          <w:sz w:val="56"/>
        </w:rPr>
        <w:t xml:space="preserve">Contemporary Themes in the Hotel </w:t>
      </w:r>
    </w:p>
    <w:p w14:paraId="3D00C67F" w14:textId="77777777" w:rsidR="006F6B43" w:rsidRDefault="00E428DE">
      <w:pPr>
        <w:spacing w:after="45" w:line="259" w:lineRule="auto"/>
        <w:ind w:left="5" w:firstLine="0"/>
        <w:jc w:val="center"/>
      </w:pPr>
      <w:r>
        <w:rPr>
          <w:b/>
          <w:sz w:val="56"/>
        </w:rPr>
        <w:t xml:space="preserve">and Hospitality Sector </w:t>
      </w:r>
    </w:p>
    <w:p w14:paraId="61CBCF73" w14:textId="77777777" w:rsidR="006F6B43" w:rsidRDefault="00E428DE">
      <w:pPr>
        <w:spacing w:after="315" w:line="259" w:lineRule="auto"/>
        <w:ind w:left="0" w:firstLine="0"/>
        <w:jc w:val="left"/>
      </w:pPr>
      <w:r>
        <w:t xml:space="preserve"> </w:t>
      </w:r>
    </w:p>
    <w:p w14:paraId="62E25C65" w14:textId="77777777" w:rsidR="006F6B43" w:rsidRDefault="00E428DE">
      <w:pPr>
        <w:pStyle w:val="Heading2"/>
        <w:spacing w:after="312"/>
        <w:ind w:left="761"/>
      </w:pPr>
      <w:r>
        <w:rPr>
          <w:sz w:val="24"/>
        </w:rPr>
        <w:t xml:space="preserve">Shift in Hotel Strategies Post-COVID with Reduced Business Commuting </w:t>
      </w:r>
    </w:p>
    <w:p w14:paraId="20FF84EE" w14:textId="77777777" w:rsidR="006F6B43" w:rsidRDefault="00E428DE">
      <w:pPr>
        <w:spacing w:after="315" w:line="259" w:lineRule="auto"/>
        <w:ind w:left="0" w:firstLine="0"/>
        <w:jc w:val="left"/>
      </w:pPr>
      <w:r>
        <w:t xml:space="preserve"> </w:t>
      </w:r>
    </w:p>
    <w:p w14:paraId="059B6A11" w14:textId="77777777" w:rsidR="006F6B43" w:rsidRDefault="00E428DE">
      <w:pPr>
        <w:spacing w:after="390" w:line="259" w:lineRule="auto"/>
        <w:ind w:left="0" w:firstLine="0"/>
        <w:jc w:val="left"/>
      </w:pPr>
      <w:r>
        <w:t xml:space="preserve"> </w:t>
      </w:r>
    </w:p>
    <w:p w14:paraId="3640CC38" w14:textId="6699085B" w:rsidR="006F6B43" w:rsidRPr="007050C7" w:rsidRDefault="00E428DE" w:rsidP="00C05A41">
      <w:pPr>
        <w:spacing w:after="350" w:line="259" w:lineRule="auto"/>
        <w:ind w:right="2"/>
      </w:pPr>
      <w:r>
        <w:rPr>
          <w:b/>
          <w:sz w:val="32"/>
        </w:rPr>
        <w:t xml:space="preserve">Student Name: </w:t>
      </w:r>
      <w:r w:rsidR="00C05A41" w:rsidRPr="007050C7">
        <w:rPr>
          <w:b/>
        </w:rPr>
        <w:t>Viorica Cornelia Lacatas</w:t>
      </w:r>
    </w:p>
    <w:p w14:paraId="6EE7431A" w14:textId="1B876362" w:rsidR="006F6B43" w:rsidRDefault="00E428DE" w:rsidP="00C05A41">
      <w:pPr>
        <w:spacing w:after="280" w:line="259" w:lineRule="auto"/>
        <w:ind w:right="7"/>
        <w:rPr>
          <w:b/>
          <w:sz w:val="32"/>
        </w:rPr>
      </w:pPr>
      <w:r>
        <w:rPr>
          <w:b/>
          <w:sz w:val="32"/>
        </w:rPr>
        <w:t xml:space="preserve">Student ID: </w:t>
      </w:r>
      <w:r w:rsidR="00F164F9" w:rsidRPr="005736E6">
        <w:rPr>
          <w:b/>
        </w:rPr>
        <w:t>2117500</w:t>
      </w:r>
    </w:p>
    <w:p w14:paraId="72CAE66D" w14:textId="26C2E867" w:rsidR="00F164F9" w:rsidRPr="005736E6" w:rsidRDefault="00D20294" w:rsidP="00C05A41">
      <w:pPr>
        <w:spacing w:after="280" w:line="259" w:lineRule="auto"/>
        <w:ind w:right="7"/>
      </w:pPr>
      <w:r>
        <w:rPr>
          <w:b/>
          <w:sz w:val="32"/>
        </w:rPr>
        <w:t xml:space="preserve">Tutors name: </w:t>
      </w:r>
      <w:r w:rsidRPr="005736E6">
        <w:rPr>
          <w:b/>
        </w:rPr>
        <w:t>Dr Ernest</w:t>
      </w:r>
      <w:r w:rsidR="00795045" w:rsidRPr="005736E6">
        <w:rPr>
          <w:b/>
        </w:rPr>
        <w:t xml:space="preserve"> B</w:t>
      </w:r>
      <w:r w:rsidR="00967603" w:rsidRPr="005736E6">
        <w:rPr>
          <w:b/>
        </w:rPr>
        <w:t>alu</w:t>
      </w:r>
      <w:r w:rsidR="005736E6" w:rsidRPr="005736E6">
        <w:rPr>
          <w:b/>
        </w:rPr>
        <w:t xml:space="preserve">tie </w:t>
      </w:r>
      <w:proofErr w:type="spellStart"/>
      <w:r w:rsidR="005736E6" w:rsidRPr="005736E6">
        <w:rPr>
          <w:b/>
        </w:rPr>
        <w:t>Wavei</w:t>
      </w:r>
      <w:proofErr w:type="spellEnd"/>
    </w:p>
    <w:p w14:paraId="39063694" w14:textId="77777777" w:rsidR="006F6B43" w:rsidRDefault="00E428DE">
      <w:pPr>
        <w:spacing w:after="310" w:line="259" w:lineRule="auto"/>
        <w:ind w:left="54" w:firstLine="0"/>
        <w:jc w:val="center"/>
      </w:pPr>
      <w:r>
        <w:t xml:space="preserve"> </w:t>
      </w:r>
    </w:p>
    <w:p w14:paraId="3E68A89A" w14:textId="77777777" w:rsidR="006F6B43" w:rsidRDefault="00E428DE">
      <w:pPr>
        <w:spacing w:after="315" w:line="259" w:lineRule="auto"/>
        <w:ind w:left="0" w:firstLine="0"/>
        <w:jc w:val="left"/>
      </w:pPr>
      <w:r>
        <w:t xml:space="preserve"> </w:t>
      </w:r>
    </w:p>
    <w:p w14:paraId="5018F7CF" w14:textId="77777777" w:rsidR="006F6B43" w:rsidRDefault="00E428DE">
      <w:pPr>
        <w:spacing w:after="315" w:line="259" w:lineRule="auto"/>
        <w:ind w:left="0" w:firstLine="0"/>
        <w:jc w:val="left"/>
      </w:pPr>
      <w:r>
        <w:t xml:space="preserve"> </w:t>
      </w:r>
    </w:p>
    <w:p w14:paraId="68E78E33" w14:textId="77777777" w:rsidR="006F6B43" w:rsidRDefault="00E428DE">
      <w:pPr>
        <w:spacing w:after="315" w:line="259" w:lineRule="auto"/>
        <w:ind w:left="0" w:firstLine="0"/>
        <w:jc w:val="left"/>
      </w:pPr>
      <w:r>
        <w:t xml:space="preserve"> </w:t>
      </w:r>
    </w:p>
    <w:p w14:paraId="0C269E32" w14:textId="057CCFD5" w:rsidR="005736E6" w:rsidRDefault="00E428DE" w:rsidP="005736E6">
      <w:pPr>
        <w:spacing w:after="315" w:line="259" w:lineRule="auto"/>
        <w:ind w:left="0" w:firstLine="0"/>
        <w:jc w:val="left"/>
      </w:pPr>
      <w:r>
        <w:t xml:space="preserve"> </w:t>
      </w:r>
      <w:bookmarkStart w:id="0" w:name="_Toc11791"/>
    </w:p>
    <w:p w14:paraId="133AF79F" w14:textId="2693B8D6" w:rsidR="006F6B43" w:rsidRPr="005736E6" w:rsidRDefault="00E428DE" w:rsidP="005736E6">
      <w:pPr>
        <w:ind w:left="0" w:firstLine="0"/>
        <w:rPr>
          <w:b/>
          <w:bCs/>
        </w:rPr>
      </w:pPr>
      <w:r w:rsidRPr="005736E6">
        <w:rPr>
          <w:b/>
          <w:bCs/>
        </w:rPr>
        <w:lastRenderedPageBreak/>
        <w:t xml:space="preserve">Abstract  </w:t>
      </w:r>
      <w:bookmarkEnd w:id="0"/>
    </w:p>
    <w:p w14:paraId="583A3F50" w14:textId="77777777" w:rsidR="006F6B43" w:rsidRDefault="00E428DE">
      <w:pPr>
        <w:spacing w:after="0"/>
        <w:ind w:left="-5"/>
      </w:pPr>
      <w:r>
        <w:t xml:space="preserve">COVID-19 has essentially altered the pattern of demands in the hospitality sector globally, and the decrease in business commuting and corporate travelling is among the most significant and long-lasting. The rise in digital communication, hybrid working systems, and organisational cost rationalisation has decreased the importance of traditional business travel, forcing hotels to re-evaluate well-established operating and revenue models. This conference paper will critique the strategies that have been implemented by hotels to respond to the downturn of falling business travel by refocusing on leisure markets, long-stay customers, remote workers, and experiences. The paper evaluates the strategic, operational, and human effects of this change based on the current academic literature, as well as industry evidence, and specifically on the topics of sustainability, flexibility, and long-term resilience. Based on a PESTLE-based analysis tool, the study assesses the efficacy of the new hotel strategies, both in terms of opportunity and structural constraints. The paper concludes by stating that despite the adaptive measures of lifestyle branding, mixed-use spaces, and wellness integration that have made resilience stronger, there are still issues concerning the capability of the workforce, financial sustainability, and brand integrity. The research serves the modern hospitality literature, offering evidence-based suggestions to the future hospitality industry strategy development in the era of uncertainty, decreased corporate mobility, and changing guest expectations. </w:t>
      </w:r>
    </w:p>
    <w:p w14:paraId="7D60DEF8" w14:textId="77777777" w:rsidR="005736E6" w:rsidRDefault="005736E6">
      <w:pPr>
        <w:pStyle w:val="Heading1"/>
        <w:ind w:left="-5"/>
      </w:pPr>
      <w:bookmarkStart w:id="1" w:name="_Toc11792"/>
    </w:p>
    <w:p w14:paraId="06DAB5D7" w14:textId="77777777" w:rsidR="005736E6" w:rsidRDefault="005736E6">
      <w:pPr>
        <w:pStyle w:val="Heading1"/>
        <w:ind w:left="-5"/>
      </w:pPr>
    </w:p>
    <w:p w14:paraId="0B4AAF50" w14:textId="77777777" w:rsidR="005736E6" w:rsidRDefault="005736E6">
      <w:pPr>
        <w:pStyle w:val="Heading1"/>
        <w:ind w:left="-5"/>
      </w:pPr>
    </w:p>
    <w:p w14:paraId="2CEACF82" w14:textId="77777777" w:rsidR="005736E6" w:rsidRDefault="005736E6">
      <w:pPr>
        <w:pStyle w:val="Heading1"/>
        <w:ind w:left="-5"/>
      </w:pPr>
    </w:p>
    <w:p w14:paraId="4FC48691" w14:textId="77777777" w:rsidR="005736E6" w:rsidRDefault="005736E6">
      <w:pPr>
        <w:pStyle w:val="Heading1"/>
        <w:ind w:left="-5"/>
      </w:pPr>
    </w:p>
    <w:p w14:paraId="4BD7E8A2" w14:textId="77777777" w:rsidR="005736E6" w:rsidRDefault="005736E6">
      <w:pPr>
        <w:pStyle w:val="Heading1"/>
        <w:ind w:left="-5"/>
      </w:pPr>
    </w:p>
    <w:p w14:paraId="045F496B" w14:textId="77777777" w:rsidR="005736E6" w:rsidRDefault="005736E6">
      <w:pPr>
        <w:pStyle w:val="Heading1"/>
        <w:ind w:left="-5"/>
      </w:pPr>
    </w:p>
    <w:p w14:paraId="4D9BD4E0" w14:textId="68158450" w:rsidR="006F6B43" w:rsidRDefault="00E428DE" w:rsidP="00882E32">
      <w:pPr>
        <w:pStyle w:val="Heading1"/>
        <w:ind w:left="0" w:firstLine="0"/>
      </w:pPr>
      <w:r>
        <w:t xml:space="preserve">   </w:t>
      </w:r>
      <w:bookmarkEnd w:id="1"/>
    </w:p>
    <w:p w14:paraId="76556649" w14:textId="77777777" w:rsidR="006505CC" w:rsidRDefault="006505CC">
      <w:pPr>
        <w:spacing w:after="351"/>
        <w:ind w:left="-5"/>
      </w:pPr>
    </w:p>
    <w:p w14:paraId="1B993F14" w14:textId="77777777" w:rsidR="00882E32" w:rsidRDefault="00882E32">
      <w:pPr>
        <w:spacing w:after="351"/>
        <w:ind w:left="-5"/>
      </w:pPr>
    </w:p>
    <w:p w14:paraId="4B032880" w14:textId="77777777" w:rsidR="00A8790F" w:rsidRDefault="00A8790F" w:rsidP="00A8790F">
      <w:pPr>
        <w:spacing w:after="351"/>
        <w:ind w:left="-5"/>
      </w:pPr>
    </w:p>
    <w:p w14:paraId="1433449C" w14:textId="4728BBD9" w:rsidR="002125D9" w:rsidRPr="002125D9" w:rsidRDefault="002125D9" w:rsidP="00A8790F">
      <w:pPr>
        <w:spacing w:after="351"/>
        <w:ind w:left="-5"/>
        <w:rPr>
          <w:b/>
          <w:bCs/>
          <w:sz w:val="32"/>
          <w:szCs w:val="32"/>
        </w:rPr>
      </w:pPr>
      <w:r w:rsidRPr="002125D9">
        <w:rPr>
          <w:b/>
          <w:bCs/>
          <w:sz w:val="32"/>
          <w:szCs w:val="32"/>
        </w:rPr>
        <w:lastRenderedPageBreak/>
        <w:t>Introduction</w:t>
      </w:r>
    </w:p>
    <w:p w14:paraId="6E427608" w14:textId="76C8E62D" w:rsidR="006F6B43" w:rsidRDefault="00E428DE" w:rsidP="00A8790F">
      <w:pPr>
        <w:spacing w:after="351"/>
        <w:ind w:left="-5"/>
      </w:pPr>
      <w:r>
        <w:t xml:space="preserve">Conventionally, business travel and corporate commuting were one of the stable and </w:t>
      </w:r>
      <w:r w:rsidR="002125D9">
        <w:t xml:space="preserve">most </w:t>
      </w:r>
      <w:r>
        <w:t>lucrative demand segments of the hospitality industry in the world (</w:t>
      </w:r>
      <w:proofErr w:type="spellStart"/>
      <w:r>
        <w:t>Lobocka</w:t>
      </w:r>
      <w:proofErr w:type="spellEnd"/>
      <w:r>
        <w:t xml:space="preserve">, 2025). Business travellers were the ones who created high occupancy rates, especially in the urban, airport, as well as conference hotels </w:t>
      </w:r>
      <w:proofErr w:type="gramStart"/>
      <w:r>
        <w:t>and also</w:t>
      </w:r>
      <w:proofErr w:type="gramEnd"/>
      <w:r>
        <w:t xml:space="preserve"> provided the ancillary revenues in the form of meetings, food and beverage, as well as event facilities. Nevertheless, the COVID-19 outbreak caused an unparalleled destabilisation of global mobility, which further stimulated the use of remote working technology and altered the behaviour of organisational travel permanently. With companies adopting the hybrid and remote working system, everyday commuting to the business has been reduced, and this is an indication that the hotel industry will change structurally in the long run. This modern theme is very pertinent to the management of hotels and hospitality due to its debunking of the old-school notions of the stability of demand, the segmentation of revenues, and the design of services. The depreciation of business commuting has forced hotels to diversify target markets, redesign physical environments and reevaluate value propositions. Moreover, lower travel overlays with the concerns of sustainability, </w:t>
      </w:r>
      <w:proofErr w:type="spellStart"/>
      <w:r>
        <w:t>carboncut</w:t>
      </w:r>
      <w:proofErr w:type="spellEnd"/>
      <w:r>
        <w:t xml:space="preserve"> projects, and the changing consumer values, which validate the strategic significance of learning about this shift. This research paper will follow a systematic approach of secondary research with the aim of critically reviewing how the response to dwindling corporate travel has been undertaken by the hotels. The research will start with the examination of the existing academic and industry literature to determine significant structural changes and strategic readjustments. It goes on to use the PESTLE framework to evaluate the external forces that influence hotel strategies and their implications on the organisations. Lastly, the paper concludes by summarising the findings with an aim of coming up with practical recommendations to enhance long-term resilience, strategic alignment, and competitive advantage in the dynamic hospitality environment.</w:t>
      </w:r>
      <w:r>
        <w:rPr>
          <w:b/>
        </w:rPr>
        <w:t xml:space="preserve"> </w:t>
      </w:r>
    </w:p>
    <w:p w14:paraId="06B6F6E3" w14:textId="77777777" w:rsidR="006F6B43" w:rsidRDefault="00E428DE">
      <w:pPr>
        <w:pStyle w:val="Heading1"/>
        <w:ind w:left="-5"/>
      </w:pPr>
      <w:bookmarkStart w:id="2" w:name="_Toc11793"/>
      <w:r>
        <w:t xml:space="preserve">Literature Review  </w:t>
      </w:r>
      <w:bookmarkEnd w:id="2"/>
    </w:p>
    <w:p w14:paraId="342A1E2F" w14:textId="77777777" w:rsidR="006F6B43" w:rsidRDefault="00E428DE">
      <w:pPr>
        <w:pStyle w:val="Heading3"/>
        <w:spacing w:after="312"/>
        <w:ind w:left="-5"/>
      </w:pPr>
      <w:r>
        <w:rPr>
          <w:sz w:val="24"/>
        </w:rPr>
        <w:t xml:space="preserve">Decline of Business Travel and Structural Demand Change </w:t>
      </w:r>
    </w:p>
    <w:p w14:paraId="4ED4C1FF" w14:textId="77777777" w:rsidR="006F6B43" w:rsidRDefault="00E428DE">
      <w:pPr>
        <w:ind w:left="-5"/>
      </w:pPr>
      <w:r>
        <w:t xml:space="preserve">Before the COVID-19 pandemic, business travel was one of the most consistent and lucrative demand profiles for the hotel industry across the world (Youssef, Redzepagic, and Zeqiri, 2022). There were corporate travellers who normally made higher average daily bookings, had a predictable pattern of occupancy on weekdays and helped to bring in ancillary revenue like </w:t>
      </w:r>
      <w:r>
        <w:lastRenderedPageBreak/>
        <w:t xml:space="preserve">meetings, food and beverage services and conference facilities. Nevertheless, modern literature assures that COVID-19 has catalysed a structural depreciation of business commuting on a long-term scale, and not a disruptive shift. Business travel volumes will stabilise at 7080 per cent of the levels before the pandemic, and regular internal meetings will forever be substituted with digital tools (Zoom and Microsoft Teams), which will have replaced the face-to-face meetings (Global Business Travel Association, 2024). </w:t>
      </w:r>
    </w:p>
    <w:p w14:paraId="53233412" w14:textId="77777777" w:rsidR="006F6B43" w:rsidRDefault="00E428DE">
      <w:pPr>
        <w:ind w:left="-5"/>
      </w:pPr>
      <w:r>
        <w:t>According to academic research, the latter change is supported by the corporate sustainability policies, cost-management policies, and employee welfare. Decreased corporate mobility is also in line with the environmental, social, and governance (ESG) promises, and a complete transition to the pre-pandemic travel behaviour is highly improbable (</w:t>
      </w:r>
      <w:proofErr w:type="spellStart"/>
      <w:r>
        <w:t>Suwaji</w:t>
      </w:r>
      <w:proofErr w:type="spellEnd"/>
      <w:r>
        <w:t xml:space="preserve">, 2025).  </w:t>
      </w:r>
    </w:p>
    <w:p w14:paraId="0891679D" w14:textId="77777777" w:rsidR="006F6B43" w:rsidRDefault="00E428DE">
      <w:pPr>
        <w:pStyle w:val="Heading3"/>
        <w:spacing w:after="312"/>
        <w:ind w:left="-5"/>
      </w:pPr>
      <w:r>
        <w:rPr>
          <w:sz w:val="24"/>
        </w:rPr>
        <w:t xml:space="preserve">Strategic Pivot Towards Leisure, Domestic and Experiential Travel </w:t>
      </w:r>
    </w:p>
    <w:p w14:paraId="4D40BA0A" w14:textId="77777777" w:rsidR="006F6B43" w:rsidRDefault="00E428DE">
      <w:pPr>
        <w:ind w:left="-5"/>
      </w:pPr>
      <w:r>
        <w:t xml:space="preserve">Hotels have been moving to leisure-oriented market segmentation in response to the weakening business demand. Literature has asserted that post-pandemic domestic tourism has recovered intensely due to travel restrictions, safety perceptions, and resurgent interest in local destinations. Hotels have kept up with the times by designing experience-based propositions that emphasise wellness, gastronomy, culture, and tourism based on nature (Hoszman and </w:t>
      </w:r>
      <w:proofErr w:type="spellStart"/>
      <w:r>
        <w:t>Zagrajek</w:t>
      </w:r>
      <w:proofErr w:type="spellEnd"/>
      <w:r>
        <w:t xml:space="preserve">, 2025). </w:t>
      </w:r>
    </w:p>
    <w:p w14:paraId="472E00D4" w14:textId="77777777" w:rsidR="006F6B43" w:rsidRDefault="00E428DE">
      <w:pPr>
        <w:ind w:left="-5"/>
      </w:pPr>
      <w:r>
        <w:t xml:space="preserve">Experiential consumption has turned out to be one of the major differentiators in hospitality as consumers expect to become emotionally engaged, authentic and enrich themselves in a personal manner (Ganguly, 2024). Hotels have reacted by encouraging local suppliers, telling destination stories, and incorporating experiences of the community within their experiences. Although these measures have boosted the occupancy rates during the weekends and the season, researchers warn that leisure travel is more sensitive and fluctuates with price changes compared to business travel, which exposes it to economic disruptions (Gelbman, 2021). </w:t>
      </w:r>
    </w:p>
    <w:p w14:paraId="4AE28DC5" w14:textId="77777777" w:rsidR="006F6B43" w:rsidRDefault="00E428DE">
      <w:pPr>
        <w:pStyle w:val="Heading3"/>
        <w:spacing w:after="312"/>
        <w:ind w:left="-5"/>
      </w:pPr>
      <w:r>
        <w:rPr>
          <w:sz w:val="24"/>
        </w:rPr>
        <w:t xml:space="preserve">Emergence of </w:t>
      </w:r>
      <w:proofErr w:type="spellStart"/>
      <w:r>
        <w:rPr>
          <w:sz w:val="24"/>
        </w:rPr>
        <w:t>Bleisure</w:t>
      </w:r>
      <w:proofErr w:type="spellEnd"/>
      <w:r>
        <w:rPr>
          <w:sz w:val="24"/>
        </w:rPr>
        <w:t>, Remote Work and Extended-Stay Models</w:t>
      </w:r>
      <w:r>
        <w:rPr>
          <w:b w:val="0"/>
          <w:sz w:val="24"/>
        </w:rPr>
        <w:t xml:space="preserve">  </w:t>
      </w:r>
    </w:p>
    <w:p w14:paraId="7065A6B7" w14:textId="77777777" w:rsidR="006F6B43" w:rsidRDefault="00E428DE">
      <w:pPr>
        <w:ind w:left="-5"/>
      </w:pPr>
      <w:r>
        <w:t xml:space="preserve">One of the major topics of contemporary literature is the development of the so-called </w:t>
      </w:r>
      <w:proofErr w:type="spellStart"/>
      <w:r>
        <w:t>bleisure</w:t>
      </w:r>
      <w:proofErr w:type="spellEnd"/>
      <w:r>
        <w:t xml:space="preserve"> travel and long-stay hotels. Hotels have gradually been positioning themselves as a flexible working environment that allows work and leisure as remote and hybrid working models become institutionalised (Pavia, Floričić, and </w:t>
      </w:r>
      <w:proofErr w:type="spellStart"/>
      <w:r>
        <w:t>Mrnjavac</w:t>
      </w:r>
      <w:proofErr w:type="spellEnd"/>
      <w:r>
        <w:t xml:space="preserve">, 2022). The concept of hybrid working has radically changed the trend in employee mobility and opened the need to spend more time outside of conventional business centres. </w:t>
      </w:r>
    </w:p>
    <w:p w14:paraId="06B9A6C1" w14:textId="77777777" w:rsidR="006F6B43" w:rsidRDefault="00E428DE">
      <w:pPr>
        <w:ind w:left="-5"/>
      </w:pPr>
      <w:r>
        <w:lastRenderedPageBreak/>
        <w:t xml:space="preserve">The operational benefits of the extended-stay hotels are reduced housekeeping rate, more predictable occupancy and guest loyalty. Nonetheless, critics believe that the need to blur residential and hospitality functions may add complications to services and dilute the brands unless it is strategically handled (Baum et al., 2020). The literature emphasises that physical design, service delivery, and brand identity should be in sync </w:t>
      </w:r>
      <w:proofErr w:type="gramStart"/>
      <w:r>
        <w:t>in order to</w:t>
      </w:r>
      <w:proofErr w:type="gramEnd"/>
      <w:r>
        <w:t xml:space="preserve"> be consistent and ensure the satisfaction of the guests (Floričić and Pavia, 2021). </w:t>
      </w:r>
    </w:p>
    <w:p w14:paraId="1B3EFFB9" w14:textId="77777777" w:rsidR="006F6B43" w:rsidRDefault="00E428DE">
      <w:pPr>
        <w:pStyle w:val="Heading3"/>
        <w:spacing w:after="312"/>
        <w:ind w:left="-5"/>
      </w:pPr>
      <w:r>
        <w:rPr>
          <w:sz w:val="24"/>
        </w:rPr>
        <w:t xml:space="preserve">Workforce, Organisational Culture and Skills Transformation </w:t>
      </w:r>
    </w:p>
    <w:p w14:paraId="5AE52C3B" w14:textId="77777777" w:rsidR="006F6B43" w:rsidRDefault="00E428DE">
      <w:pPr>
        <w:ind w:left="-5"/>
      </w:pPr>
      <w:r>
        <w:t>Reduced business travel has also aggravated any problems that exist within hospitality in terms of the workforce. The pandemic increased the labour shortage, job insecurity, and burnout risks, especially in customer-facing jobs (</w:t>
      </w:r>
      <w:proofErr w:type="spellStart"/>
      <w:r>
        <w:t>Giousmpasoglou</w:t>
      </w:r>
      <w:proofErr w:type="spellEnd"/>
      <w:r>
        <w:t xml:space="preserve"> et al., 2025). Due to the transformation of hotels into experience-based and personalised models of service, the demand for emotional labour and cultural competence, as well as digital literacy, has been on the rise. </w:t>
      </w:r>
    </w:p>
    <w:p w14:paraId="24DEACFA" w14:textId="77777777" w:rsidR="006F6B43" w:rsidRDefault="00E428DE">
      <w:pPr>
        <w:ind w:left="-5"/>
      </w:pPr>
      <w:r>
        <w:t xml:space="preserve">Experts state that strategic adjustment is impossible to achieve without simultaneously investing in human resources growth. Through flexible scheduling, cross-functional training, and wellbeing activities, organisational resiliency is found to be enabled by critical factors. The risk of compromising service quality and future competitiveness is the inability to tackle workforce implications. </w:t>
      </w:r>
    </w:p>
    <w:p w14:paraId="0D9EA89F" w14:textId="77777777" w:rsidR="006F6B43" w:rsidRDefault="00E428DE">
      <w:pPr>
        <w:pStyle w:val="Heading3"/>
        <w:spacing w:after="312"/>
        <w:ind w:left="-5"/>
      </w:pPr>
      <w:r>
        <w:rPr>
          <w:sz w:val="24"/>
        </w:rPr>
        <w:t xml:space="preserve">Digitalisation, Revenue Diversification and Adaptive Hotel Business Models </w:t>
      </w:r>
    </w:p>
    <w:p w14:paraId="1AB79F46" w14:textId="77777777" w:rsidR="006F6B43" w:rsidRDefault="00E428DE">
      <w:pPr>
        <w:ind w:left="-5"/>
      </w:pPr>
      <w:r>
        <w:t xml:space="preserve">The demand in the travelling sector, the literature also introduces digitalisation as a crucial strategic reaction to the decreasing demand in business travelling and updating guest requirements. Sophisticated revenue management systems, dynamic pricing and demand forecasting that are based on data have become critical tools that hotels aiming to maximise occupancy in the face of dynamic demand patterns can utilise (Zeqiri, 2024). This decline in the number of predictable midweek corporate bookings has pushed the use of real-time data analytics to even the pricing between leisure, extended-stay, and hybrid segments. </w:t>
      </w:r>
    </w:p>
    <w:p w14:paraId="11660D29" w14:textId="77777777" w:rsidR="006F6B43" w:rsidRDefault="00E428DE">
      <w:pPr>
        <w:ind w:left="-5"/>
      </w:pPr>
      <w:r>
        <w:t xml:space="preserve">Hotels have also been able to diversify their revenue sources, other than the conventional selling of rooms, due to digital technologies. No-contact services, mobile check-in, customised online concierge services, and a customer relationship management system facilitate the guest experience and minimise the operational expenses. The innovations are specifically applicable when the hotels serve </w:t>
      </w:r>
      <w:proofErr w:type="spellStart"/>
      <w:r>
        <w:t>bleisure</w:t>
      </w:r>
      <w:proofErr w:type="spellEnd"/>
      <w:r>
        <w:t xml:space="preserve"> and long-stay customers who demand uninterrupted connectivity, flexible service, and work-friendly locations (Wynn and Jones, 2022). </w:t>
      </w:r>
    </w:p>
    <w:p w14:paraId="13139160" w14:textId="77777777" w:rsidR="006F6B43" w:rsidRDefault="00E428DE">
      <w:pPr>
        <w:spacing w:after="351"/>
        <w:ind w:left="-5"/>
      </w:pPr>
      <w:r>
        <w:lastRenderedPageBreak/>
        <w:t>Moreover, researchers observe that hotel organisations are expanding their revenues by turning their underused resources into co-working, subscription stay, and collaboration with digital nomad opportunities. This space reuse will counter the undermined business travel demand and align with the trends of hybrid work. Nevertheless, the literature warns that overdependency on technology is likely to undermine the relational element of hospitality unless it is well balanced with the human-focused service provision (</w:t>
      </w:r>
      <w:proofErr w:type="spellStart"/>
      <w:r>
        <w:t>Tomeljenović</w:t>
      </w:r>
      <w:proofErr w:type="spellEnd"/>
      <w:r>
        <w:t xml:space="preserve">, Marušić, and </w:t>
      </w:r>
      <w:proofErr w:type="spellStart"/>
      <w:r>
        <w:t>Gjurašić</w:t>
      </w:r>
      <w:proofErr w:type="spellEnd"/>
      <w:r>
        <w:t xml:space="preserve">, 2023). </w:t>
      </w:r>
    </w:p>
    <w:p w14:paraId="70BCBB2E" w14:textId="77777777" w:rsidR="006F6B43" w:rsidRDefault="00E428DE">
      <w:pPr>
        <w:pStyle w:val="Heading1"/>
        <w:ind w:left="-5"/>
      </w:pPr>
      <w:bookmarkStart w:id="3" w:name="_Toc11794"/>
      <w:r>
        <w:t xml:space="preserve">Methodology  </w:t>
      </w:r>
      <w:bookmarkEnd w:id="3"/>
    </w:p>
    <w:p w14:paraId="1365D377" w14:textId="77777777" w:rsidR="006F6B43" w:rsidRDefault="00E428DE">
      <w:pPr>
        <w:ind w:left="-5"/>
      </w:pPr>
      <w:r>
        <w:t xml:space="preserve">The study assumes a qualitative and secondary data-based approach to investigate the use of strategic response in the hotel industry to slowed business commuting (Marion-Audibert, 2024). The collection of the data was conducted in the form of a systematic review of more recent academic journal articles, industry reports, policy documents, and professional publications that are mostly less than five years old. Sources were also evaluated critically based on credibility, relevancy and applicability in the sector with specific references to </w:t>
      </w:r>
      <w:proofErr w:type="spellStart"/>
      <w:r>
        <w:t>peerreviewed</w:t>
      </w:r>
      <w:proofErr w:type="spellEnd"/>
      <w:r>
        <w:t xml:space="preserve"> research in the hospitality industry, and geographical context was </w:t>
      </w:r>
      <w:proofErr w:type="gramStart"/>
      <w:r>
        <w:t>taken into account</w:t>
      </w:r>
      <w:proofErr w:type="gramEnd"/>
      <w:r>
        <w:t xml:space="preserve"> to ensure that the findings are based on both global trends and region-specific strategic reactions (Chatfield, 2020). </w:t>
      </w:r>
    </w:p>
    <w:p w14:paraId="446E4A88" w14:textId="77777777" w:rsidR="006F6B43" w:rsidRDefault="00E428DE">
      <w:pPr>
        <w:ind w:left="-5"/>
      </w:pPr>
      <w:r>
        <w:t xml:space="preserve">A PESTLE framework directs the analysis and allows conducting a systematic discussion of the political, economic, social, technological, legal, and environmental issues that affect </w:t>
      </w:r>
      <w:proofErr w:type="spellStart"/>
      <w:r>
        <w:t>postCOVID</w:t>
      </w:r>
      <w:proofErr w:type="spellEnd"/>
      <w:r>
        <w:t xml:space="preserve"> hotel strategies. The framework aids in the critical interpretation of the interaction of external pressures with internal organisational responses. The thematic analysis was used to point out recurring patterns, strategic approaches and areas of tension in the literature. </w:t>
      </w:r>
    </w:p>
    <w:p w14:paraId="562E1620" w14:textId="77777777" w:rsidR="006F6B43" w:rsidRDefault="00E428DE">
      <w:pPr>
        <w:spacing w:after="351"/>
        <w:ind w:left="-5"/>
      </w:pPr>
      <w:r>
        <w:t xml:space="preserve">This qualitative research methodology is suitable for a conference research paper because it proves to be a cohesive, theory-driven, and thought-provoking instrument that does not require the use of primary data sources. The weaknesses, however, are the reliance on current interpretations and the possibility of a different quality of industry reporting (Dale, Arber, and Procter, 2025). </w:t>
      </w:r>
    </w:p>
    <w:p w14:paraId="4113B7D8" w14:textId="77777777" w:rsidR="006F6B43" w:rsidRDefault="00E428DE">
      <w:pPr>
        <w:pStyle w:val="Heading1"/>
        <w:ind w:left="-5"/>
      </w:pPr>
      <w:bookmarkStart w:id="4" w:name="_Toc11795"/>
      <w:r>
        <w:t xml:space="preserve">Theme Impact Analysis  </w:t>
      </w:r>
      <w:bookmarkEnd w:id="4"/>
    </w:p>
    <w:p w14:paraId="2C80BABA" w14:textId="77777777" w:rsidR="006F6B43" w:rsidRDefault="00E428DE">
      <w:pPr>
        <w:spacing w:after="277"/>
        <w:ind w:left="-5"/>
      </w:pPr>
      <w:r>
        <w:t xml:space="preserve">The section uses a PESTLE framework to critically assess the effects of reduced business commuting on the hotel and hospitality business based on academic theory, industry evidence, </w:t>
      </w:r>
      <w:r>
        <w:lastRenderedPageBreak/>
        <w:t xml:space="preserve">and professional practice. The discussion indicates that changes in the dynamics of mobility have generated interdependent pressures in the political, economic, social, technological, legal and environmental aspects that are still redefining the hotel strategy and operational </w:t>
      </w:r>
      <w:proofErr w:type="spellStart"/>
      <w:r>
        <w:t>decisionmaking</w:t>
      </w:r>
      <w:proofErr w:type="spellEnd"/>
      <w:r>
        <w:t xml:space="preserve">. </w:t>
      </w:r>
    </w:p>
    <w:p w14:paraId="61884291" w14:textId="77777777" w:rsidR="006F6B43" w:rsidRDefault="00E428DE">
      <w:pPr>
        <w:pStyle w:val="Heading3"/>
        <w:ind w:left="-5"/>
      </w:pPr>
      <w:r>
        <w:t xml:space="preserve">Political and Legal Factors </w:t>
      </w:r>
    </w:p>
    <w:p w14:paraId="436E9C14" w14:textId="77777777" w:rsidR="006F6B43" w:rsidRDefault="00E428DE">
      <w:pPr>
        <w:ind w:left="-5"/>
      </w:pPr>
      <w:r>
        <w:t xml:space="preserve">Hotels had their recovery paths influenced by the government intervention during the pandemic in a significant way (Wang, </w:t>
      </w:r>
      <w:proofErr w:type="spellStart"/>
      <w:r>
        <w:t>Maghsoodi</w:t>
      </w:r>
      <w:proofErr w:type="spellEnd"/>
      <w:r>
        <w:t xml:space="preserve"> Tilaki, and Rahim, 2025). The travel bans, furlough programmes and business support grants brought relief in the short term, only to unveil the sector to policy changes and dependency on the states. Within the post-pandemic setting, shorter business commuting is congruent with wider government agendas that advance digitalisation, carbon reduction and flexible working, especially in developed economies. Although these policies contribute to the achievement of sustainability goals and labour welfare, they also contribute to the fact that structural decreases in corporate travel demand are reinforced and restrict the speed of the business-oriented hotel recovery. </w:t>
      </w:r>
    </w:p>
    <w:p w14:paraId="05667839" w14:textId="77777777" w:rsidR="006F6B43" w:rsidRDefault="00E428DE">
      <w:pPr>
        <w:spacing w:after="276"/>
        <w:ind w:left="-5"/>
      </w:pPr>
      <w:r>
        <w:t xml:space="preserve">Legally, hotels have been exposed to rising pressures of compliance due to health and safety control, reform in the employment law, and consumer protection law. The ease of making and changing reservations, information protection requirements, and strengthened duty-of-care provisions have boosted the confidence of the guests at the expense of increasing operational risk and exposure to cost. The issue of inconsistency in regulations across jurisdictions adds further complexity to international hotel groups that need to adapt to governance frameworks and be able to manage legal risks (Barth and Barber, 2025). </w:t>
      </w:r>
    </w:p>
    <w:p w14:paraId="471EC4B9" w14:textId="77777777" w:rsidR="006F6B43" w:rsidRDefault="00E428DE">
      <w:pPr>
        <w:pStyle w:val="Heading3"/>
        <w:ind w:left="-5"/>
      </w:pPr>
      <w:r>
        <w:t xml:space="preserve">Economic Impacts and Financial Resilience </w:t>
      </w:r>
    </w:p>
    <w:p w14:paraId="026DD8E2" w14:textId="77777777" w:rsidR="006F6B43" w:rsidRDefault="00E428DE">
      <w:pPr>
        <w:ind w:left="-5"/>
      </w:pPr>
      <w:r>
        <w:t xml:space="preserve">Traditional models of hotel revenues have been shaken by the reduction in business travel. Corporate contracts previously guaranteed good, predictable cash flows, high-margin occupancy and steady midweek demand. The decline has exposed them to more dependence on the leisure and extended stay markets, which are more susceptible to inflation, interest rates, exchange rate variations, and changes in consumer confidence (Hadi, 2023). This has enhanced uncertainty in revenues and amplified macroeconomic shocks. </w:t>
      </w:r>
    </w:p>
    <w:p w14:paraId="4B260A40" w14:textId="77777777" w:rsidR="006F6B43" w:rsidRDefault="00E428DE">
      <w:pPr>
        <w:spacing w:after="277"/>
        <w:ind w:left="-5"/>
      </w:pPr>
      <w:r>
        <w:t xml:space="preserve">Wellness programs, co-working, food and beverage innovation and subscription-based stay programs have enabled hotels to diversify revenue streams. Though these strategies are indicative of an entrepreneurial adaptation and financial stability, they cannot be as successful </w:t>
      </w:r>
      <w:r>
        <w:lastRenderedPageBreak/>
        <w:t>as they can be in terms of scale, location and brand strength. Independent hotels are not always capable or technologically advanced enough to invest in repositioning, which contributes to the inequality and concentration of the market in the industry (</w:t>
      </w:r>
      <w:proofErr w:type="spellStart"/>
      <w:r>
        <w:t>Heydkamp</w:t>
      </w:r>
      <w:proofErr w:type="spellEnd"/>
      <w:r>
        <w:t xml:space="preserve"> and Borkmann, 2025). </w:t>
      </w:r>
    </w:p>
    <w:p w14:paraId="0D642347" w14:textId="77777777" w:rsidR="006F6B43" w:rsidRDefault="00E428DE">
      <w:pPr>
        <w:pStyle w:val="Heading3"/>
        <w:ind w:left="-5"/>
      </w:pPr>
      <w:r>
        <w:t xml:space="preserve">Social and Cultural Shifts in Demand </w:t>
      </w:r>
    </w:p>
    <w:p w14:paraId="55AA2618" w14:textId="77777777" w:rsidR="006F6B43" w:rsidRDefault="00E428DE">
      <w:pPr>
        <w:ind w:left="-5"/>
      </w:pPr>
      <w:r>
        <w:t xml:space="preserve">With the changing social attitudes towards work-life balance, mobility, and employee wellbeing, reduced business commuting is a symptom of the social change. Visitors are becoming </w:t>
      </w:r>
      <w:proofErr w:type="gramStart"/>
      <w:r>
        <w:t>more and more</w:t>
      </w:r>
      <w:proofErr w:type="gramEnd"/>
      <w:r>
        <w:t xml:space="preserve"> flexible, personalised, and authentic instead of standardised corporate. To address this, Hotels have redesigned physical spaces to facilitate social interaction, relaxation, work remotely and longer stay periods, denying the demarcation between work, leisure, and consumption of lifestyle (Solas, 2023). Experience branding and connection with the local community have seen lifestyle and boutique hotels particularly succeed in keeping pace with these cultural changes. </w:t>
      </w:r>
    </w:p>
    <w:p w14:paraId="7B84559C" w14:textId="77777777" w:rsidR="006F6B43" w:rsidRDefault="00E428DE">
      <w:pPr>
        <w:spacing w:after="276"/>
        <w:ind w:left="-5"/>
      </w:pPr>
      <w:r>
        <w:t xml:space="preserve">Nonetheless, experience-based strategies run the risk of paying excessively close attention to the high-end consumers and might overlook price-sensitive or necessity-based travel segments. This creates ethical issues regarding accessibility, social inclusion, and the increased distance between high-end and low-end hospitality products and services. </w:t>
      </w:r>
    </w:p>
    <w:p w14:paraId="1ED53B48" w14:textId="77777777" w:rsidR="006F6B43" w:rsidRDefault="00E428DE">
      <w:pPr>
        <w:pStyle w:val="Heading3"/>
        <w:ind w:left="-5"/>
      </w:pPr>
      <w:r>
        <w:t xml:space="preserve">Technological Transformation </w:t>
      </w:r>
    </w:p>
    <w:p w14:paraId="75500B80" w14:textId="77777777" w:rsidR="006F6B43" w:rsidRDefault="00E428DE">
      <w:pPr>
        <w:ind w:left="-5"/>
      </w:pPr>
      <w:r>
        <w:t>Technology has been used as a key component to facilitate post-COVID hotel strategies. Contactless services, digital concierge platforms, customer relationship management systems and data analytics have increased operational efficiency, cost control, as well as personalisation and serve the needs of remote-working and long-stay guests. By enabling hotels to optimise pricing, deal with fluctuations in demand and improve competitiveness in fragmented markets, smart hospitality ecosystems enable hotels to become competitive (Al-</w:t>
      </w:r>
      <w:proofErr w:type="spellStart"/>
      <w:r>
        <w:t>Kumaim</w:t>
      </w:r>
      <w:proofErr w:type="spellEnd"/>
      <w:r>
        <w:t xml:space="preserve"> et al., 2025). </w:t>
      </w:r>
    </w:p>
    <w:p w14:paraId="1AD61F3E" w14:textId="77777777" w:rsidR="006F6B43" w:rsidRDefault="00E428DE">
      <w:pPr>
        <w:ind w:left="-5"/>
      </w:pPr>
      <w:r>
        <w:t xml:space="preserve">However, the overuse of automation has threatened to take away the human approach to service that is the primary reason behind the hotel industry. Effective policies strike a balance between the technological effectiveness and the emotional appeal, empathy in service and real human interaction to ensure brand distinction and loyalty by guests (McCartney and McCartney, 2020). </w:t>
      </w:r>
    </w:p>
    <w:p w14:paraId="23795D2D" w14:textId="77777777" w:rsidR="006F6B43" w:rsidRDefault="00E428DE">
      <w:pPr>
        <w:pStyle w:val="Heading3"/>
        <w:ind w:left="-5"/>
      </w:pPr>
      <w:r>
        <w:lastRenderedPageBreak/>
        <w:t xml:space="preserve">Environmental Sustainability </w:t>
      </w:r>
    </w:p>
    <w:p w14:paraId="01F83E0D" w14:textId="77777777" w:rsidR="006F6B43" w:rsidRDefault="00E428DE">
      <w:pPr>
        <w:ind w:left="-5"/>
      </w:pPr>
      <w:r>
        <w:t xml:space="preserve">The decreased business commuting to the office leads to a decrease in such emissions, which is consistent with the goals of environmental sustainability and ESG on the part of the hotel. Sustainability has gained great popularity among hotels by being entrenched in branding and operational processes among the hotels through energy conservation, minimising waste, local sourcing, and extended guest occupancy, which minimises the intensity of turnover (Zhong et al., 2022). Sustainability programs, however, are usually capital-intensive, and small operators </w:t>
      </w:r>
      <w:proofErr w:type="gramStart"/>
      <w:r>
        <w:t>are not able to</w:t>
      </w:r>
      <w:proofErr w:type="gramEnd"/>
      <w:r>
        <w:t xml:space="preserve"> access them. Moreover, improved volumes of leisure travel might reverse the gains on the environment in part, which points to the multifaceted and even opposite sustainability results of the sector. </w:t>
      </w:r>
    </w:p>
    <w:p w14:paraId="2B711CC4" w14:textId="77777777" w:rsidR="006F6B43" w:rsidRDefault="00E428DE">
      <w:pPr>
        <w:spacing w:after="310" w:line="259" w:lineRule="auto"/>
        <w:ind w:left="0" w:firstLine="0"/>
        <w:jc w:val="left"/>
      </w:pPr>
      <w:r>
        <w:t xml:space="preserve"> </w:t>
      </w:r>
    </w:p>
    <w:p w14:paraId="2D694CD8" w14:textId="77777777" w:rsidR="006F6B43" w:rsidRDefault="00E428DE">
      <w:pPr>
        <w:spacing w:after="315" w:line="259" w:lineRule="auto"/>
        <w:ind w:left="0" w:firstLine="0"/>
        <w:jc w:val="left"/>
      </w:pPr>
      <w:r>
        <w:t xml:space="preserve"> </w:t>
      </w:r>
    </w:p>
    <w:p w14:paraId="3BB5C972" w14:textId="77777777" w:rsidR="006F6B43" w:rsidRDefault="00E428DE">
      <w:pPr>
        <w:spacing w:after="315" w:line="259" w:lineRule="auto"/>
        <w:ind w:left="0" w:firstLine="0"/>
        <w:jc w:val="left"/>
      </w:pPr>
      <w:r>
        <w:t xml:space="preserve"> </w:t>
      </w:r>
    </w:p>
    <w:p w14:paraId="47FDDF20" w14:textId="77777777" w:rsidR="006F6B43" w:rsidRDefault="00E428DE">
      <w:pPr>
        <w:spacing w:after="315" w:line="259" w:lineRule="auto"/>
        <w:ind w:left="0" w:firstLine="0"/>
        <w:jc w:val="left"/>
      </w:pPr>
      <w:r>
        <w:t xml:space="preserve"> </w:t>
      </w:r>
    </w:p>
    <w:p w14:paraId="716597C1" w14:textId="77777777" w:rsidR="006F6B43" w:rsidRDefault="00E428DE">
      <w:pPr>
        <w:spacing w:after="310" w:line="259" w:lineRule="auto"/>
        <w:ind w:left="0" w:firstLine="0"/>
        <w:jc w:val="left"/>
      </w:pPr>
      <w:r>
        <w:t xml:space="preserve"> </w:t>
      </w:r>
    </w:p>
    <w:p w14:paraId="617BABBE" w14:textId="77777777" w:rsidR="006F6B43" w:rsidRDefault="00E428DE">
      <w:pPr>
        <w:spacing w:after="0" w:line="259" w:lineRule="auto"/>
        <w:ind w:left="0" w:firstLine="0"/>
        <w:jc w:val="left"/>
      </w:pPr>
      <w:r>
        <w:t xml:space="preserve"> </w:t>
      </w:r>
    </w:p>
    <w:p w14:paraId="60786FC3" w14:textId="77777777" w:rsidR="006F6B43" w:rsidRDefault="00E428DE">
      <w:pPr>
        <w:pStyle w:val="Heading1"/>
        <w:spacing w:after="260"/>
        <w:ind w:left="0" w:firstLine="0"/>
      </w:pPr>
      <w:bookmarkStart w:id="5" w:name="_Toc11796"/>
      <w:r>
        <w:t xml:space="preserve">Conclusion  </w:t>
      </w:r>
      <w:bookmarkEnd w:id="5"/>
    </w:p>
    <w:p w14:paraId="07648095" w14:textId="77777777" w:rsidR="006F6B43" w:rsidRDefault="00E428DE">
      <w:pPr>
        <w:spacing w:after="346"/>
        <w:ind w:left="-5"/>
      </w:pPr>
      <w:r>
        <w:t xml:space="preserve">A critical discussion has focused on how the decreased business commuting post-COVID has transformed the hotel strategy within the world. The discussion has shown that the hotel industry has countered the effects of the structural demand shifts by diversifying in the market, repositioning on the experiential front, embracing technology, and aligning with sustainability. Although these strategies have improved the flexibility and organisational prowess, they also come with an operational, financial, workforce and social challenge that must be handled well. The key to long-term success lies in the coherent strategic integration, continual investment in the workforce, leadership, and balanced distribution of the stakeholders in the changing and increasingly unpredictable hospitality environment. </w:t>
      </w:r>
    </w:p>
    <w:p w14:paraId="35A58775" w14:textId="77777777" w:rsidR="006F6B43" w:rsidRDefault="00E428DE">
      <w:pPr>
        <w:pStyle w:val="Heading1"/>
        <w:ind w:left="-5"/>
      </w:pPr>
      <w:bookmarkStart w:id="6" w:name="_Toc11797"/>
      <w:r>
        <w:t xml:space="preserve">Recommendations  </w:t>
      </w:r>
      <w:bookmarkEnd w:id="6"/>
    </w:p>
    <w:p w14:paraId="2A4A573E" w14:textId="77777777" w:rsidR="006F6B43" w:rsidRDefault="00E428DE">
      <w:pPr>
        <w:ind w:left="-5"/>
      </w:pPr>
      <w:r>
        <w:t xml:space="preserve">The results show that the falling of business commuting is not a transitory change but a structural change that necessitates the change of operating models of hotels to become flexible </w:t>
      </w:r>
      <w:r>
        <w:lastRenderedPageBreak/>
        <w:t xml:space="preserve">and diversified. The strategic planning ought thus to focus more upon balanced demand portfolios comprising leisure, extended-stay, and selectively profitable corporate segments rather than trying to recover pre-pandemic travel volumes. Space utilisation, such as modular room multifunctional co-working, can enhance the efficiency of assets whilst addressing the hybrid guest expectation. Workforce capability is also important to invest in. With the shift of the hotels to experience-based and personalised service models, employees are required to be equipped with highly advanced digital capabilities, as well as emotional intelligence and </w:t>
      </w:r>
      <w:proofErr w:type="spellStart"/>
      <w:r>
        <w:t>crosscultural</w:t>
      </w:r>
      <w:proofErr w:type="spellEnd"/>
      <w:r>
        <w:t xml:space="preserve"> awareness. Employee retention and organisational stability in a tight labour market will be facilitated by continuous professional growth, fair scheduling habits and an open career ladder. The deployment of technology should be used as an enabler and not an alternative to human interaction. High-tech analytics will empower demand prediction and revenue management, and the contactless systems will improve the convenience and efficiency of operations. Nevertheless, the preservation of genuine interpersonal service is the key to brand differentiation and loyalty of the guests. Selective revenue diversification can be enhanced by providing wellness services, stay subscriptions, and collaborating with remote workers to enhance financial resilience. However, the hotels </w:t>
      </w:r>
      <w:proofErr w:type="gramStart"/>
      <w:r>
        <w:t>have to</w:t>
      </w:r>
      <w:proofErr w:type="gramEnd"/>
      <w:r>
        <w:t xml:space="preserve"> be careful not to overstretch, and the new business </w:t>
      </w:r>
      <w:proofErr w:type="gramStart"/>
      <w:r>
        <w:t>has to</w:t>
      </w:r>
      <w:proofErr w:type="gramEnd"/>
      <w:r>
        <w:t xml:space="preserve"> be in line with the brand image and operational capability. Lastly, sustainability is to be incorporated into long-term strategy as opposed to a marketing mechanism. Environmental and reputational value could be created through practical efforts like energy optimisation, waste reduction, water management and sourcing locally. Smaller operators should also be assisted by policymakers and industry organisations on the financial level and knowledge-sharing platforms to foster resilience in the sector. </w:t>
      </w:r>
    </w:p>
    <w:p w14:paraId="0101A0CC" w14:textId="77777777" w:rsidR="006F6B43" w:rsidRDefault="00E428DE">
      <w:pPr>
        <w:spacing w:after="315" w:line="259" w:lineRule="auto"/>
        <w:ind w:left="0" w:firstLine="0"/>
        <w:jc w:val="left"/>
      </w:pPr>
      <w:r>
        <w:t xml:space="preserve"> </w:t>
      </w:r>
    </w:p>
    <w:p w14:paraId="36825939" w14:textId="77777777" w:rsidR="006F6B43" w:rsidRDefault="00E428DE">
      <w:pPr>
        <w:spacing w:after="315" w:line="259" w:lineRule="auto"/>
        <w:ind w:left="0" w:firstLine="0"/>
        <w:jc w:val="left"/>
      </w:pPr>
      <w:r>
        <w:t xml:space="preserve"> </w:t>
      </w:r>
    </w:p>
    <w:p w14:paraId="41A5B281" w14:textId="77777777" w:rsidR="006F6B43" w:rsidRDefault="00E428DE">
      <w:pPr>
        <w:spacing w:after="315" w:line="259" w:lineRule="auto"/>
        <w:ind w:left="0" w:firstLine="0"/>
        <w:jc w:val="left"/>
      </w:pPr>
      <w:r>
        <w:t xml:space="preserve"> </w:t>
      </w:r>
    </w:p>
    <w:p w14:paraId="0CBDD928" w14:textId="77777777" w:rsidR="006F6B43" w:rsidRDefault="00E428DE">
      <w:pPr>
        <w:spacing w:after="310" w:line="259" w:lineRule="auto"/>
        <w:ind w:left="0" w:firstLine="0"/>
        <w:jc w:val="left"/>
      </w:pPr>
      <w:r>
        <w:t xml:space="preserve"> </w:t>
      </w:r>
    </w:p>
    <w:p w14:paraId="6A408249" w14:textId="77777777" w:rsidR="006F6B43" w:rsidRDefault="00E428DE">
      <w:pPr>
        <w:spacing w:after="315" w:line="259" w:lineRule="auto"/>
        <w:ind w:left="0" w:firstLine="0"/>
        <w:jc w:val="left"/>
      </w:pPr>
      <w:r>
        <w:t xml:space="preserve"> </w:t>
      </w:r>
    </w:p>
    <w:p w14:paraId="47D3118C" w14:textId="77777777" w:rsidR="006F6B43" w:rsidRDefault="00E428DE">
      <w:pPr>
        <w:spacing w:after="315" w:line="259" w:lineRule="auto"/>
        <w:ind w:left="0" w:firstLine="0"/>
        <w:jc w:val="left"/>
      </w:pPr>
      <w:r>
        <w:t xml:space="preserve"> </w:t>
      </w:r>
    </w:p>
    <w:p w14:paraId="0754F856" w14:textId="77777777" w:rsidR="006F6B43" w:rsidRDefault="00E428DE">
      <w:pPr>
        <w:spacing w:after="315" w:line="259" w:lineRule="auto"/>
        <w:ind w:left="0" w:firstLine="0"/>
        <w:jc w:val="left"/>
      </w:pPr>
      <w:r>
        <w:t xml:space="preserve"> </w:t>
      </w:r>
    </w:p>
    <w:p w14:paraId="73139AED" w14:textId="77777777" w:rsidR="002125D9" w:rsidRDefault="00E428DE" w:rsidP="002125D9">
      <w:pPr>
        <w:spacing w:after="315" w:line="259" w:lineRule="auto"/>
        <w:ind w:left="0" w:firstLine="0"/>
        <w:jc w:val="left"/>
      </w:pPr>
      <w:r>
        <w:t xml:space="preserve"> </w:t>
      </w:r>
      <w:bookmarkStart w:id="7" w:name="_Toc11798"/>
    </w:p>
    <w:p w14:paraId="7B8F642E" w14:textId="51598A18" w:rsidR="006F6B43" w:rsidRPr="002125D9" w:rsidRDefault="00E428DE" w:rsidP="002125D9">
      <w:pPr>
        <w:spacing w:after="315" w:line="259" w:lineRule="auto"/>
        <w:ind w:left="0" w:firstLine="0"/>
        <w:jc w:val="left"/>
        <w:rPr>
          <w:b/>
          <w:bCs/>
          <w:sz w:val="32"/>
          <w:szCs w:val="32"/>
        </w:rPr>
      </w:pPr>
      <w:r w:rsidRPr="002125D9">
        <w:rPr>
          <w:b/>
          <w:bCs/>
          <w:sz w:val="32"/>
          <w:szCs w:val="32"/>
        </w:rPr>
        <w:lastRenderedPageBreak/>
        <w:t xml:space="preserve">References </w:t>
      </w:r>
      <w:bookmarkEnd w:id="7"/>
    </w:p>
    <w:p w14:paraId="47033757" w14:textId="77777777" w:rsidR="006F6B43" w:rsidRDefault="00E428DE">
      <w:pPr>
        <w:spacing w:after="281" w:line="238" w:lineRule="auto"/>
        <w:ind w:left="-5"/>
        <w:jc w:val="left"/>
      </w:pPr>
      <w:r>
        <w:t>Al-</w:t>
      </w:r>
      <w:proofErr w:type="spellStart"/>
      <w:r>
        <w:t>Kumaim</w:t>
      </w:r>
      <w:proofErr w:type="spellEnd"/>
      <w:r>
        <w:t xml:space="preserve">, N.H.S., Samer, M., Hassan, S.H., Shabbir, M.S., Mohammed, F. and Al-Shami, S. (2025) ‘New demands by hotel customers in the post-COVID-19 era’, </w:t>
      </w:r>
      <w:r>
        <w:rPr>
          <w:i/>
        </w:rPr>
        <w:t>Foresight</w:t>
      </w:r>
      <w:r>
        <w:t xml:space="preserve">, 27(1), pp. 1–28. DOI: 10.1108/fs-05-2023-0082.  </w:t>
      </w:r>
    </w:p>
    <w:p w14:paraId="616EDD8B" w14:textId="77777777" w:rsidR="006F6B43" w:rsidRDefault="00E428DE">
      <w:pPr>
        <w:spacing w:after="281" w:line="239" w:lineRule="auto"/>
        <w:ind w:left="-5"/>
        <w:jc w:val="left"/>
      </w:pPr>
      <w:r>
        <w:t xml:space="preserve">Barth, S.C. and Barber, D.S. (2025) </w:t>
      </w:r>
      <w:r>
        <w:rPr>
          <w:i/>
        </w:rPr>
        <w:t>Hospitality law: Managing legal issues in the hospitality industry</w:t>
      </w:r>
      <w:r>
        <w:t xml:space="preserve">. Hoboken: John Wiley &amp; Sons. </w:t>
      </w:r>
    </w:p>
    <w:p w14:paraId="75360EA3" w14:textId="77777777" w:rsidR="006F6B43" w:rsidRDefault="00E428DE">
      <w:pPr>
        <w:spacing w:after="278" w:line="240" w:lineRule="auto"/>
        <w:ind w:left="-5" w:right="5"/>
        <w:jc w:val="left"/>
      </w:pPr>
      <w:r>
        <w:t xml:space="preserve">Baum, T., Mooney, S.K., Robinson, R.N. and </w:t>
      </w:r>
      <w:proofErr w:type="spellStart"/>
      <w:r>
        <w:t>Solnet</w:t>
      </w:r>
      <w:proofErr w:type="spellEnd"/>
      <w:r>
        <w:t xml:space="preserve">, D. (2020) ‘COVID-19’s impact on the hospitality workforce – new crisis or amplification of the norm?’, </w:t>
      </w:r>
      <w:r>
        <w:rPr>
          <w:i/>
        </w:rPr>
        <w:t>International Journal of Contemporary Hospitality Management</w:t>
      </w:r>
      <w:r>
        <w:t xml:space="preserve">, 32(9), pp. 2813–2829. </w:t>
      </w:r>
    </w:p>
    <w:p w14:paraId="35DC67B2" w14:textId="77777777" w:rsidR="006F6B43" w:rsidRDefault="00E428DE">
      <w:pPr>
        <w:spacing w:after="278" w:line="240" w:lineRule="auto"/>
        <w:ind w:left="-5" w:right="5"/>
        <w:jc w:val="left"/>
      </w:pPr>
      <w:r>
        <w:t xml:space="preserve">Chatfield, S.L. (2020) ‘Recommendations for secondary analysis of qualitative data’, </w:t>
      </w:r>
      <w:r>
        <w:rPr>
          <w:i/>
        </w:rPr>
        <w:t>The Qualitative Report</w:t>
      </w:r>
      <w:r>
        <w:t xml:space="preserve">, 25(3), pp. 833–842. </w:t>
      </w:r>
    </w:p>
    <w:p w14:paraId="6382E177" w14:textId="77777777" w:rsidR="006F6B43" w:rsidRDefault="00E428DE">
      <w:pPr>
        <w:spacing w:after="285" w:line="237" w:lineRule="auto"/>
        <w:ind w:left="-5"/>
      </w:pPr>
      <w:r>
        <w:t xml:space="preserve">Dale, A., Arber, S. and Procter, M. (2025) </w:t>
      </w:r>
      <w:r>
        <w:rPr>
          <w:i/>
        </w:rPr>
        <w:t>Doing secondary analysis</w:t>
      </w:r>
      <w:r>
        <w:t xml:space="preserve">. London: Taylor &amp; Francis. </w:t>
      </w:r>
    </w:p>
    <w:p w14:paraId="2F108F36" w14:textId="77777777" w:rsidR="006F6B43" w:rsidRDefault="00E428DE">
      <w:pPr>
        <w:spacing w:after="281" w:line="239" w:lineRule="auto"/>
        <w:ind w:left="-5"/>
        <w:jc w:val="left"/>
      </w:pPr>
      <w:r>
        <w:t xml:space="preserve">Floričić, T. and Pavia, N. (2021) ‘Linkage of leisure with remote work and digital nomadism in tourist accommodation facilities’, in </w:t>
      </w:r>
      <w:r>
        <w:rPr>
          <w:i/>
        </w:rPr>
        <w:t xml:space="preserve">6th International Scientific Conference </w:t>
      </w:r>
      <w:proofErr w:type="spellStart"/>
      <w:r>
        <w:rPr>
          <w:i/>
        </w:rPr>
        <w:t>ToSEE</w:t>
      </w:r>
      <w:proofErr w:type="spellEnd"/>
      <w:r>
        <w:rPr>
          <w:i/>
        </w:rPr>
        <w:t xml:space="preserve"> – Smart, Experience, Excellence &amp; </w:t>
      </w:r>
      <w:proofErr w:type="spellStart"/>
      <w:r>
        <w:rPr>
          <w:i/>
        </w:rPr>
        <w:t>ToFEEL</w:t>
      </w:r>
      <w:proofErr w:type="spellEnd"/>
      <w:r>
        <w:rPr>
          <w:i/>
        </w:rPr>
        <w:t xml:space="preserve"> – Feelings, Excitement, Education, Leisure (</w:t>
      </w:r>
      <w:proofErr w:type="spellStart"/>
      <w:r>
        <w:rPr>
          <w:i/>
        </w:rPr>
        <w:t>ToSEE</w:t>
      </w:r>
      <w:proofErr w:type="spellEnd"/>
      <w:r>
        <w:rPr>
          <w:i/>
        </w:rPr>
        <w:t xml:space="preserve"> 2021)</w:t>
      </w:r>
      <w:r>
        <w:t xml:space="preserve">. Rijeka: University of Rijeka, Faculty of Tourism and Hospitality Management, pp. 247–268. </w:t>
      </w:r>
    </w:p>
    <w:p w14:paraId="2952E38F" w14:textId="77777777" w:rsidR="006F6B43" w:rsidRDefault="00E428DE">
      <w:pPr>
        <w:spacing w:after="281" w:line="237" w:lineRule="auto"/>
        <w:ind w:left="-5"/>
      </w:pPr>
      <w:r>
        <w:t xml:space="preserve">Ganguly, P. (2024) </w:t>
      </w:r>
      <w:r>
        <w:rPr>
          <w:i/>
        </w:rPr>
        <w:t>Leisure, recreation and events in hospitality and tourism</w:t>
      </w:r>
      <w:r>
        <w:t xml:space="preserve">. New Delhi: IK International Pvt Ltd. </w:t>
      </w:r>
    </w:p>
    <w:p w14:paraId="6BF0AFBA" w14:textId="77777777" w:rsidR="006F6B43" w:rsidRDefault="00E428DE">
      <w:pPr>
        <w:spacing w:after="278" w:line="240" w:lineRule="auto"/>
        <w:ind w:left="-5" w:right="5"/>
        <w:jc w:val="left"/>
      </w:pPr>
      <w:r>
        <w:t xml:space="preserve">Gelbman, A. (2021) ‘Tourist experience and innovative hospitality management in different cities’, </w:t>
      </w:r>
      <w:r>
        <w:rPr>
          <w:i/>
        </w:rPr>
        <w:t>Sustainability</w:t>
      </w:r>
      <w:r>
        <w:t xml:space="preserve">, 13(12), p. 6578. </w:t>
      </w:r>
    </w:p>
    <w:p w14:paraId="0B92570D" w14:textId="77777777" w:rsidR="006F6B43" w:rsidRDefault="00E428DE">
      <w:pPr>
        <w:spacing w:after="0" w:line="240" w:lineRule="auto"/>
        <w:ind w:left="-5" w:right="5"/>
        <w:jc w:val="left"/>
      </w:pPr>
      <w:r>
        <w:t xml:space="preserve">Giousmpasoglou, C., Papavasileiou, E., </w:t>
      </w:r>
      <w:proofErr w:type="spellStart"/>
      <w:r>
        <w:t>Marinakou</w:t>
      </w:r>
      <w:proofErr w:type="spellEnd"/>
      <w:r>
        <w:t xml:space="preserve">, E. and Hall, K. (2025) ‘Unmasking the surface acting and emotional exhaustion of frontline employees in UK’s fine dining restaurants’, </w:t>
      </w:r>
      <w:r>
        <w:rPr>
          <w:i/>
        </w:rPr>
        <w:t>International Journal of Spa and Wellness</w:t>
      </w:r>
      <w:r>
        <w:t xml:space="preserve">, 8(3), pp. 1–18. DOI: </w:t>
      </w:r>
    </w:p>
    <w:p w14:paraId="08225788" w14:textId="77777777" w:rsidR="006F6B43" w:rsidRDefault="00E428DE">
      <w:pPr>
        <w:spacing w:after="255" w:line="259" w:lineRule="auto"/>
        <w:ind w:left="-5"/>
      </w:pPr>
      <w:r>
        <w:t xml:space="preserve">10.1080/24721735.2025.2469002. </w:t>
      </w:r>
    </w:p>
    <w:p w14:paraId="2884ACA9" w14:textId="77777777" w:rsidR="006F6B43" w:rsidRDefault="00E428DE">
      <w:pPr>
        <w:spacing w:after="278" w:line="239" w:lineRule="auto"/>
        <w:ind w:left="0" w:right="2" w:firstLine="0"/>
        <w:jc w:val="left"/>
      </w:pPr>
      <w:r>
        <w:t xml:space="preserve">Global Business Travel Association (2024) </w:t>
      </w:r>
      <w:r>
        <w:rPr>
          <w:i/>
        </w:rPr>
        <w:t>Global business travel industry spending expected to hit record $1.48 trillion in 2024</w:t>
      </w:r>
      <w:r>
        <w:t xml:space="preserve">. Available at: </w:t>
      </w:r>
      <w:hyperlink r:id="rId7">
        <w:r w:rsidR="006F6B43">
          <w:rPr>
            <w:color w:val="0000FF"/>
            <w:u w:val="single" w:color="0000FF"/>
          </w:rPr>
          <w:t>https://gbta.org/global</w:t>
        </w:r>
      </w:hyperlink>
      <w:hyperlink r:id="rId8">
        <w:r w:rsidR="006F6B43">
          <w:rPr>
            <w:color w:val="0000FF"/>
            <w:u w:val="single" w:color="0000FF"/>
          </w:rPr>
          <w:t>-</w:t>
        </w:r>
      </w:hyperlink>
      <w:hyperlink r:id="rId9">
        <w:r w:rsidR="006F6B43">
          <w:rPr>
            <w:color w:val="0000FF"/>
            <w:u w:val="single" w:color="0000FF"/>
          </w:rPr>
          <w:t>business</w:t>
        </w:r>
      </w:hyperlink>
      <w:hyperlink r:id="rId10"/>
      <w:hyperlink r:id="rId11">
        <w:r w:rsidR="006F6B43">
          <w:rPr>
            <w:color w:val="0000FF"/>
            <w:u w:val="single" w:color="0000FF"/>
          </w:rPr>
          <w:t>travel</w:t>
        </w:r>
      </w:hyperlink>
      <w:hyperlink r:id="rId12">
        <w:r w:rsidR="006F6B43">
          <w:rPr>
            <w:color w:val="0000FF"/>
            <w:u w:val="single" w:color="0000FF"/>
          </w:rPr>
          <w:t>-</w:t>
        </w:r>
      </w:hyperlink>
      <w:hyperlink r:id="rId13">
        <w:r w:rsidR="006F6B43">
          <w:rPr>
            <w:color w:val="0000FF"/>
            <w:u w:val="single" w:color="0000FF"/>
          </w:rPr>
          <w:t>industry</w:t>
        </w:r>
      </w:hyperlink>
      <w:hyperlink r:id="rId14">
        <w:r w:rsidR="006F6B43">
          <w:rPr>
            <w:color w:val="0000FF"/>
            <w:u w:val="single" w:color="0000FF"/>
          </w:rPr>
          <w:t>-</w:t>
        </w:r>
      </w:hyperlink>
      <w:hyperlink r:id="rId15">
        <w:r w:rsidR="006F6B43">
          <w:rPr>
            <w:color w:val="0000FF"/>
            <w:u w:val="single" w:color="0000FF"/>
          </w:rPr>
          <w:t>spending</w:t>
        </w:r>
      </w:hyperlink>
      <w:hyperlink r:id="rId16">
        <w:r w:rsidR="006F6B43">
          <w:rPr>
            <w:color w:val="0000FF"/>
            <w:u w:val="single" w:color="0000FF"/>
          </w:rPr>
          <w:t>-</w:t>
        </w:r>
      </w:hyperlink>
      <w:hyperlink r:id="rId17">
        <w:r w:rsidR="006F6B43">
          <w:rPr>
            <w:color w:val="0000FF"/>
            <w:u w:val="single" w:color="0000FF"/>
          </w:rPr>
          <w:t>expected</w:t>
        </w:r>
      </w:hyperlink>
      <w:hyperlink r:id="rId18">
        <w:r w:rsidR="006F6B43">
          <w:rPr>
            <w:color w:val="0000FF"/>
            <w:u w:val="single" w:color="0000FF"/>
          </w:rPr>
          <w:t>-</w:t>
        </w:r>
      </w:hyperlink>
      <w:hyperlink r:id="rId19">
        <w:r w:rsidR="006F6B43">
          <w:rPr>
            <w:color w:val="0000FF"/>
            <w:u w:val="single" w:color="0000FF"/>
          </w:rPr>
          <w:t>to</w:t>
        </w:r>
      </w:hyperlink>
      <w:hyperlink r:id="rId20">
        <w:r w:rsidR="006F6B43">
          <w:rPr>
            <w:color w:val="0000FF"/>
            <w:u w:val="single" w:color="0000FF"/>
          </w:rPr>
          <w:t>-</w:t>
        </w:r>
      </w:hyperlink>
      <w:hyperlink r:id="rId21">
        <w:r w:rsidR="006F6B43">
          <w:rPr>
            <w:color w:val="0000FF"/>
            <w:u w:val="single" w:color="0000FF"/>
          </w:rPr>
          <w:t>hit</w:t>
        </w:r>
      </w:hyperlink>
      <w:hyperlink r:id="rId22">
        <w:r w:rsidR="006F6B43">
          <w:rPr>
            <w:color w:val="0000FF"/>
            <w:u w:val="single" w:color="0000FF"/>
          </w:rPr>
          <w:t>-</w:t>
        </w:r>
      </w:hyperlink>
      <w:hyperlink r:id="rId23">
        <w:r w:rsidR="006F6B43">
          <w:rPr>
            <w:color w:val="0000FF"/>
            <w:u w:val="single" w:color="0000FF"/>
          </w:rPr>
          <w:t>record</w:t>
        </w:r>
      </w:hyperlink>
      <w:hyperlink r:id="rId24">
        <w:r w:rsidR="006F6B43">
          <w:rPr>
            <w:color w:val="0000FF"/>
            <w:u w:val="single" w:color="0000FF"/>
          </w:rPr>
          <w:t>-</w:t>
        </w:r>
      </w:hyperlink>
      <w:hyperlink r:id="rId25">
        <w:r w:rsidR="006F6B43">
          <w:rPr>
            <w:color w:val="0000FF"/>
            <w:u w:val="single" w:color="0000FF"/>
          </w:rPr>
          <w:t>1</w:t>
        </w:r>
      </w:hyperlink>
      <w:hyperlink r:id="rId26">
        <w:r w:rsidR="006F6B43">
          <w:rPr>
            <w:color w:val="0000FF"/>
            <w:u w:val="single" w:color="0000FF"/>
          </w:rPr>
          <w:t>-</w:t>
        </w:r>
      </w:hyperlink>
      <w:hyperlink r:id="rId27">
        <w:r w:rsidR="006F6B43">
          <w:rPr>
            <w:color w:val="0000FF"/>
            <w:u w:val="single" w:color="0000FF"/>
          </w:rPr>
          <w:t>48</w:t>
        </w:r>
      </w:hyperlink>
      <w:hyperlink r:id="rId28">
        <w:r w:rsidR="006F6B43">
          <w:rPr>
            <w:color w:val="0000FF"/>
            <w:u w:val="single" w:color="0000FF"/>
          </w:rPr>
          <w:t>-</w:t>
        </w:r>
      </w:hyperlink>
      <w:hyperlink r:id="rId29">
        <w:r w:rsidR="006F6B43">
          <w:rPr>
            <w:color w:val="0000FF"/>
            <w:u w:val="single" w:color="0000FF"/>
          </w:rPr>
          <w:t>trillion</w:t>
        </w:r>
      </w:hyperlink>
      <w:hyperlink r:id="rId30">
        <w:r w:rsidR="006F6B43">
          <w:rPr>
            <w:color w:val="0000FF"/>
            <w:u w:val="single" w:color="0000FF"/>
          </w:rPr>
          <w:t>-</w:t>
        </w:r>
      </w:hyperlink>
      <w:hyperlink r:id="rId31">
        <w:r w:rsidR="006F6B43">
          <w:rPr>
            <w:color w:val="0000FF"/>
            <w:u w:val="single" w:color="0000FF"/>
          </w:rPr>
          <w:t>in</w:t>
        </w:r>
      </w:hyperlink>
      <w:hyperlink r:id="rId32">
        <w:r w:rsidR="006F6B43">
          <w:rPr>
            <w:color w:val="0000FF"/>
            <w:u w:val="single" w:color="0000FF"/>
          </w:rPr>
          <w:t>-</w:t>
        </w:r>
      </w:hyperlink>
      <w:hyperlink r:id="rId33">
        <w:r w:rsidR="006F6B43">
          <w:rPr>
            <w:color w:val="0000FF"/>
            <w:u w:val="single" w:color="0000FF"/>
          </w:rPr>
          <w:t>2024/</w:t>
        </w:r>
      </w:hyperlink>
      <w:hyperlink r:id="rId34">
        <w:r w:rsidR="006F6B43">
          <w:t xml:space="preserve"> </w:t>
        </w:r>
      </w:hyperlink>
      <w:r>
        <w:t xml:space="preserve">(Accessed: 26 January 2026). </w:t>
      </w:r>
    </w:p>
    <w:p w14:paraId="04E0A857" w14:textId="77777777" w:rsidR="006F6B43" w:rsidRDefault="00E428DE">
      <w:pPr>
        <w:spacing w:after="278" w:line="240" w:lineRule="auto"/>
        <w:ind w:left="-5" w:right="5"/>
        <w:jc w:val="left"/>
      </w:pPr>
      <w:r>
        <w:t xml:space="preserve">Hadi, D.M. (2023) ‘Travel and leisure stocks’ exposure to exchange rates’, </w:t>
      </w:r>
      <w:r>
        <w:rPr>
          <w:i/>
        </w:rPr>
        <w:t>Annals of Tourism Research Empirical Insights</w:t>
      </w:r>
      <w:r>
        <w:t xml:space="preserve">, 4(2), p. 100111. </w:t>
      </w:r>
    </w:p>
    <w:p w14:paraId="39A6B605" w14:textId="77777777" w:rsidR="006F6B43" w:rsidRDefault="00E428DE">
      <w:pPr>
        <w:spacing w:line="237" w:lineRule="auto"/>
        <w:ind w:left="-5"/>
      </w:pPr>
      <w:proofErr w:type="spellStart"/>
      <w:r>
        <w:t>Heydkamp</w:t>
      </w:r>
      <w:proofErr w:type="spellEnd"/>
      <w:r>
        <w:t xml:space="preserve">, C. and Borkmann, V. (2025) </w:t>
      </w:r>
      <w:proofErr w:type="spellStart"/>
      <w:r>
        <w:rPr>
          <w:i/>
        </w:rPr>
        <w:t>FutureHotel</w:t>
      </w:r>
      <w:proofErr w:type="spellEnd"/>
      <w:r>
        <w:rPr>
          <w:i/>
        </w:rPr>
        <w:t xml:space="preserve"> – Future projections for 2035</w:t>
      </w:r>
      <w:r>
        <w:t xml:space="preserve">. Berlin: Fraunhofer Institute for Industrial Engineering. </w:t>
      </w:r>
    </w:p>
    <w:p w14:paraId="4BA1C24B" w14:textId="77777777" w:rsidR="006F6B43" w:rsidRDefault="00E428DE">
      <w:pPr>
        <w:spacing w:after="281" w:line="238" w:lineRule="auto"/>
        <w:ind w:left="-5"/>
        <w:jc w:val="left"/>
      </w:pPr>
      <w:r>
        <w:t xml:space="preserve">Hoszman, A. and </w:t>
      </w:r>
      <w:proofErr w:type="spellStart"/>
      <w:r>
        <w:t>Zagrajek</w:t>
      </w:r>
      <w:proofErr w:type="spellEnd"/>
      <w:r>
        <w:t xml:space="preserve">, P. (2025) ‘Network-legacy airline business model developments in post-COVID European market’, </w:t>
      </w:r>
      <w:r>
        <w:rPr>
          <w:i/>
        </w:rPr>
        <w:t>Journal of Management and Financial Sciences</w:t>
      </w:r>
      <w:r>
        <w:t xml:space="preserve">, (58), pp. 41–54. </w:t>
      </w:r>
    </w:p>
    <w:p w14:paraId="17A7A757" w14:textId="77777777" w:rsidR="006F6B43" w:rsidRDefault="00E428DE">
      <w:pPr>
        <w:spacing w:after="281" w:line="239" w:lineRule="auto"/>
        <w:ind w:left="-5"/>
        <w:jc w:val="left"/>
      </w:pPr>
      <w:proofErr w:type="spellStart"/>
      <w:r>
        <w:lastRenderedPageBreak/>
        <w:t>Lobocka</w:t>
      </w:r>
      <w:proofErr w:type="spellEnd"/>
      <w:r>
        <w:t xml:space="preserve">, J. (2025) </w:t>
      </w:r>
      <w:r>
        <w:rPr>
          <w:i/>
        </w:rPr>
        <w:t xml:space="preserve">How to become a market leader in a highly competitive hospitality industry in Copenhagen: Based on an analysis of Scandic </w:t>
      </w:r>
      <w:proofErr w:type="spellStart"/>
      <w:r>
        <w:rPr>
          <w:i/>
        </w:rPr>
        <w:t>Kødbyen</w:t>
      </w:r>
      <w:proofErr w:type="spellEnd"/>
      <w:r>
        <w:rPr>
          <w:i/>
        </w:rPr>
        <w:t xml:space="preserve"> Hotel</w:t>
      </w:r>
      <w:r>
        <w:t xml:space="preserve">. Master’s thesis. Copenhagen. </w:t>
      </w:r>
    </w:p>
    <w:p w14:paraId="15CB8442" w14:textId="77777777" w:rsidR="006F6B43" w:rsidRDefault="00E428DE">
      <w:pPr>
        <w:spacing w:after="281" w:line="239" w:lineRule="auto"/>
        <w:ind w:left="-5"/>
        <w:jc w:val="left"/>
      </w:pPr>
      <w:r>
        <w:t xml:space="preserve">Marion-Audibert, M. (2024) </w:t>
      </w:r>
      <w:r>
        <w:rPr>
          <w:i/>
        </w:rPr>
        <w:t xml:space="preserve">Impact of liberalisation on environmental, social and economic value dimensions of selected airline companies and their coping strategies: </w:t>
      </w:r>
      <w:proofErr w:type="gramStart"/>
      <w:r>
        <w:rPr>
          <w:i/>
        </w:rPr>
        <w:t>An archival research</w:t>
      </w:r>
      <w:proofErr w:type="gramEnd"/>
      <w:r>
        <w:rPr>
          <w:i/>
        </w:rPr>
        <w:t xml:space="preserve"> based on qualitative secondary data</w:t>
      </w:r>
      <w:r>
        <w:t xml:space="preserve">. PhD thesis. </w:t>
      </w:r>
    </w:p>
    <w:p w14:paraId="3B9D8EAD" w14:textId="77777777" w:rsidR="006F6B43" w:rsidRDefault="00E428DE">
      <w:pPr>
        <w:spacing w:after="278" w:line="240" w:lineRule="auto"/>
        <w:ind w:left="-5" w:right="5"/>
        <w:jc w:val="left"/>
      </w:pPr>
      <w:r>
        <w:t xml:space="preserve">McCartney, G. and McCartney, A. (2020) ‘Rise of the machines: Towards a conceptual service-robot research framework for the hospitality and tourism industry’, </w:t>
      </w:r>
      <w:r>
        <w:rPr>
          <w:i/>
        </w:rPr>
        <w:t>International Journal of Contemporary Hospitality Management</w:t>
      </w:r>
      <w:r>
        <w:t xml:space="preserve">, 32(12), pp. 3835–3851. </w:t>
      </w:r>
    </w:p>
    <w:p w14:paraId="26774D41" w14:textId="77777777" w:rsidR="006F6B43" w:rsidRDefault="00E428DE">
      <w:pPr>
        <w:spacing w:after="278" w:line="240" w:lineRule="auto"/>
        <w:ind w:left="-5" w:right="5"/>
        <w:jc w:val="left"/>
      </w:pPr>
      <w:r>
        <w:t xml:space="preserve">Pavia, N., Floričić, T. and </w:t>
      </w:r>
      <w:proofErr w:type="spellStart"/>
      <w:r>
        <w:t>Mrnjavac</w:t>
      </w:r>
      <w:proofErr w:type="spellEnd"/>
      <w:r>
        <w:t xml:space="preserve">, E. (2022) ‘Flexible workspaces and remote work in hotel accommodation offer a competitive context’, in </w:t>
      </w:r>
      <w:r>
        <w:rPr>
          <w:i/>
        </w:rPr>
        <w:t>26th Biennial International Congress Tourism &amp; Hospitality Industry – Trends and Challenges</w:t>
      </w:r>
      <w:r>
        <w:t xml:space="preserve">. Rijeka: University of Rijeka, Faculty of Tourism and Hospitality Management, pp. 227–243. </w:t>
      </w:r>
    </w:p>
    <w:p w14:paraId="49DB7840" w14:textId="77777777" w:rsidR="006F6B43" w:rsidRDefault="00E428DE">
      <w:pPr>
        <w:spacing w:after="281" w:line="239" w:lineRule="auto"/>
        <w:ind w:left="-5"/>
        <w:jc w:val="left"/>
      </w:pPr>
      <w:r>
        <w:t xml:space="preserve">Solas, S. (2023) </w:t>
      </w:r>
      <w:r>
        <w:rPr>
          <w:i/>
        </w:rPr>
        <w:t>Enhancing customer satisfaction through the implementation of meaningful leisure activities: Case Hotel F6, Helsinki</w:t>
      </w:r>
      <w:r>
        <w:t xml:space="preserve">. Master’s thesis. Helsinki. </w:t>
      </w:r>
    </w:p>
    <w:p w14:paraId="03A10D97" w14:textId="77777777" w:rsidR="006F6B43" w:rsidRDefault="00E428DE">
      <w:pPr>
        <w:spacing w:after="278" w:line="240" w:lineRule="auto"/>
        <w:ind w:left="-5" w:right="5"/>
        <w:jc w:val="left"/>
      </w:pPr>
      <w:proofErr w:type="spellStart"/>
      <w:r>
        <w:t>Suwaji</w:t>
      </w:r>
      <w:proofErr w:type="spellEnd"/>
      <w:r>
        <w:t xml:space="preserve">, R. (2025) ‘Human resource cost management: Balancing employee welfare and corporate profitability’, </w:t>
      </w:r>
      <w:r>
        <w:rPr>
          <w:i/>
        </w:rPr>
        <w:t>Journal of Economic Education and Entrepreneurship Studies</w:t>
      </w:r>
      <w:r>
        <w:t xml:space="preserve">, 6(1), pp. 1–9. </w:t>
      </w:r>
    </w:p>
    <w:p w14:paraId="54930144" w14:textId="77777777" w:rsidR="006F6B43" w:rsidRDefault="00E428DE">
      <w:pPr>
        <w:spacing w:after="278" w:line="240" w:lineRule="auto"/>
        <w:ind w:left="-5" w:right="5"/>
        <w:jc w:val="left"/>
      </w:pPr>
      <w:proofErr w:type="spellStart"/>
      <w:r>
        <w:t>Tomeljenović</w:t>
      </w:r>
      <w:proofErr w:type="spellEnd"/>
      <w:r>
        <w:t xml:space="preserve">, R., Marušić, Z. and </w:t>
      </w:r>
      <w:proofErr w:type="spellStart"/>
      <w:r>
        <w:t>Gjurašić</w:t>
      </w:r>
      <w:proofErr w:type="spellEnd"/>
      <w:r>
        <w:t xml:space="preserve">, M. (2023) ‘Digital nomads in the Mediterranean tourism hub’, </w:t>
      </w:r>
      <w:r>
        <w:rPr>
          <w:i/>
        </w:rPr>
        <w:t>Tourism in Southern and Eastern Europe</w:t>
      </w:r>
      <w:r>
        <w:t xml:space="preserve">, 7, pp. 425–439. </w:t>
      </w:r>
    </w:p>
    <w:p w14:paraId="26A47C60" w14:textId="77777777" w:rsidR="006F6B43" w:rsidRDefault="00E428DE">
      <w:pPr>
        <w:spacing w:after="278" w:line="240" w:lineRule="auto"/>
        <w:ind w:left="-5" w:right="5"/>
        <w:jc w:val="left"/>
      </w:pPr>
      <w:r>
        <w:t xml:space="preserve">Wang, G., </w:t>
      </w:r>
      <w:proofErr w:type="spellStart"/>
      <w:r>
        <w:t>Maghsoodi</w:t>
      </w:r>
      <w:proofErr w:type="spellEnd"/>
      <w:r>
        <w:t xml:space="preserve"> Tilaki, M.J. and Rahim, A.A. (2025) ‘Exploring spatial dynamics: Analysing hotels’ recovery performance amid the COVID-19 crisis’, </w:t>
      </w:r>
      <w:r>
        <w:rPr>
          <w:i/>
        </w:rPr>
        <w:t>Applied Spatial Analysis and Policy</w:t>
      </w:r>
      <w:r>
        <w:t xml:space="preserve">, 18(2), p. 67. </w:t>
      </w:r>
    </w:p>
    <w:p w14:paraId="0F442D38" w14:textId="77777777" w:rsidR="006F6B43" w:rsidRDefault="00E428DE">
      <w:pPr>
        <w:spacing w:after="278" w:line="240" w:lineRule="auto"/>
        <w:ind w:left="-5" w:right="5"/>
        <w:jc w:val="left"/>
      </w:pPr>
      <w:r>
        <w:t xml:space="preserve">Wynn, M. and Jones, P. (2022) ‘IT strategy in the hotel industry in the digital era’, </w:t>
      </w:r>
      <w:r>
        <w:rPr>
          <w:i/>
        </w:rPr>
        <w:t>Sustainability</w:t>
      </w:r>
      <w:r>
        <w:t xml:space="preserve">, 14(17), p. 10705. </w:t>
      </w:r>
    </w:p>
    <w:p w14:paraId="4587759D" w14:textId="77777777" w:rsidR="006F6B43" w:rsidRDefault="00E428DE">
      <w:pPr>
        <w:spacing w:after="278" w:line="240" w:lineRule="auto"/>
        <w:ind w:left="-5" w:right="5"/>
        <w:jc w:val="left"/>
      </w:pPr>
      <w:r>
        <w:t xml:space="preserve">Youssef, A.B., Redzepagic, S. and Zeqiri, A. (2022) ‘The key changes to the hospitality business model under COVID-19’, </w:t>
      </w:r>
      <w:r>
        <w:rPr>
          <w:i/>
        </w:rPr>
        <w:t>Strategic Management</w:t>
      </w:r>
      <w:r>
        <w:t xml:space="preserve">, 27(4). </w:t>
      </w:r>
    </w:p>
    <w:p w14:paraId="78B7F1AE" w14:textId="77777777" w:rsidR="006F6B43" w:rsidRDefault="00E428DE">
      <w:pPr>
        <w:spacing w:after="278" w:line="240" w:lineRule="auto"/>
        <w:ind w:left="-5" w:right="5"/>
        <w:jc w:val="left"/>
      </w:pPr>
      <w:r>
        <w:t xml:space="preserve">Zeqiri, A. (2024) ‘From traditional to digital: The evolution of business models in hospitality through platforms’, </w:t>
      </w:r>
      <w:r>
        <w:rPr>
          <w:i/>
        </w:rPr>
        <w:t>Platforms</w:t>
      </w:r>
      <w:r>
        <w:t xml:space="preserve">, 2(4), pp. 221–233. </w:t>
      </w:r>
    </w:p>
    <w:p w14:paraId="43BFA4C2" w14:textId="77777777" w:rsidR="006F6B43" w:rsidRDefault="00E428DE">
      <w:pPr>
        <w:spacing w:after="278" w:line="240" w:lineRule="auto"/>
        <w:ind w:left="-5" w:right="5"/>
        <w:jc w:val="left"/>
      </w:pPr>
      <w:r>
        <w:t xml:space="preserve">Zhong, L., Coca-Stefaniak, J.A., Morrison, A.M., Yang, L. and Deng, B. (2022) ‘Technology acceptance before and after COVID-19: No-touch service from hotel robots’, </w:t>
      </w:r>
      <w:r>
        <w:rPr>
          <w:i/>
        </w:rPr>
        <w:t>Tourism Review</w:t>
      </w:r>
      <w:r>
        <w:t xml:space="preserve">, 77(4), pp. 1062–1080. </w:t>
      </w:r>
    </w:p>
    <w:p w14:paraId="2A208CC1" w14:textId="77777777" w:rsidR="006F6B43" w:rsidRDefault="00E428DE">
      <w:pPr>
        <w:spacing w:after="0" w:line="259" w:lineRule="auto"/>
        <w:ind w:left="0" w:firstLine="0"/>
        <w:jc w:val="left"/>
      </w:pPr>
      <w:r>
        <w:t xml:space="preserve"> </w:t>
      </w:r>
    </w:p>
    <w:sectPr w:rsidR="006F6B43">
      <w:footerReference w:type="even" r:id="rId35"/>
      <w:footerReference w:type="default" r:id="rId36"/>
      <w:footerReference w:type="first" r:id="rId37"/>
      <w:pgSz w:w="11905" w:h="16840"/>
      <w:pgMar w:top="1440" w:right="1434" w:bottom="1499"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E16EE" w14:textId="77777777" w:rsidR="00716B18" w:rsidRDefault="00716B18">
      <w:pPr>
        <w:spacing w:after="0" w:line="240" w:lineRule="auto"/>
      </w:pPr>
      <w:r>
        <w:separator/>
      </w:r>
    </w:p>
  </w:endnote>
  <w:endnote w:type="continuationSeparator" w:id="0">
    <w:p w14:paraId="4B00039D" w14:textId="77777777" w:rsidR="00716B18" w:rsidRDefault="00716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5C1B1" w14:textId="77777777" w:rsidR="006F6B43" w:rsidRDefault="00E428DE">
    <w:pPr>
      <w:spacing w:after="0" w:line="259" w:lineRule="auto"/>
      <w:ind w:left="0" w:right="2" w:firstLine="0"/>
      <w:jc w:val="right"/>
    </w:pPr>
    <w:r>
      <w:fldChar w:fldCharType="begin"/>
    </w:r>
    <w:r>
      <w:instrText xml:space="preserve"> PAGE   \* MERGEFORMAT </w:instrText>
    </w:r>
    <w:r>
      <w:fldChar w:fldCharType="separate"/>
    </w:r>
    <w:r>
      <w:t>1</w:t>
    </w:r>
    <w:r>
      <w:fldChar w:fldCharType="end"/>
    </w:r>
    <w:r>
      <w:t xml:space="preserve"> </w:t>
    </w:r>
  </w:p>
  <w:p w14:paraId="2FE45607" w14:textId="77777777" w:rsidR="006F6B43" w:rsidRDefault="00E428DE">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7736" w14:textId="77777777" w:rsidR="006F6B43" w:rsidRDefault="00E428DE">
    <w:pPr>
      <w:spacing w:after="0" w:line="259" w:lineRule="auto"/>
      <w:ind w:left="0" w:right="2" w:firstLine="0"/>
      <w:jc w:val="right"/>
    </w:pPr>
    <w:r>
      <w:fldChar w:fldCharType="begin"/>
    </w:r>
    <w:r>
      <w:instrText xml:space="preserve"> PAGE   \* MERGEFORMAT </w:instrText>
    </w:r>
    <w:r>
      <w:fldChar w:fldCharType="separate"/>
    </w:r>
    <w:r>
      <w:t>1</w:t>
    </w:r>
    <w:r>
      <w:fldChar w:fldCharType="end"/>
    </w:r>
    <w:r>
      <w:t xml:space="preserve"> </w:t>
    </w:r>
  </w:p>
  <w:p w14:paraId="62784375" w14:textId="77777777" w:rsidR="006F6B43" w:rsidRDefault="00E428DE">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DD22D" w14:textId="77777777" w:rsidR="006F6B43" w:rsidRDefault="00E428DE">
    <w:pPr>
      <w:spacing w:after="0" w:line="259" w:lineRule="auto"/>
      <w:ind w:left="0" w:right="2" w:firstLine="0"/>
      <w:jc w:val="right"/>
    </w:pPr>
    <w:r>
      <w:fldChar w:fldCharType="begin"/>
    </w:r>
    <w:r>
      <w:instrText xml:space="preserve"> PAGE   \* MERGEFORMAT </w:instrText>
    </w:r>
    <w:r>
      <w:fldChar w:fldCharType="separate"/>
    </w:r>
    <w:r>
      <w:t>1</w:t>
    </w:r>
    <w:r>
      <w:fldChar w:fldCharType="end"/>
    </w:r>
    <w:r>
      <w:t xml:space="preserve"> </w:t>
    </w:r>
  </w:p>
  <w:p w14:paraId="3A34B023" w14:textId="77777777" w:rsidR="006F6B43" w:rsidRDefault="00E428DE">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F9955" w14:textId="77777777" w:rsidR="00716B18" w:rsidRDefault="00716B18">
      <w:pPr>
        <w:spacing w:after="0" w:line="240" w:lineRule="auto"/>
      </w:pPr>
      <w:r>
        <w:separator/>
      </w:r>
    </w:p>
  </w:footnote>
  <w:footnote w:type="continuationSeparator" w:id="0">
    <w:p w14:paraId="586B2BDD" w14:textId="77777777" w:rsidR="00716B18" w:rsidRDefault="00716B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B43"/>
    <w:rsid w:val="00201803"/>
    <w:rsid w:val="002125D9"/>
    <w:rsid w:val="0030639F"/>
    <w:rsid w:val="00344D08"/>
    <w:rsid w:val="00427D5F"/>
    <w:rsid w:val="004E793D"/>
    <w:rsid w:val="005138FB"/>
    <w:rsid w:val="005736E6"/>
    <w:rsid w:val="00612DCA"/>
    <w:rsid w:val="006505CC"/>
    <w:rsid w:val="006545AE"/>
    <w:rsid w:val="006B3E55"/>
    <w:rsid w:val="006F6B43"/>
    <w:rsid w:val="007050C7"/>
    <w:rsid w:val="00716B18"/>
    <w:rsid w:val="00795045"/>
    <w:rsid w:val="007E6115"/>
    <w:rsid w:val="00882E32"/>
    <w:rsid w:val="008B0B31"/>
    <w:rsid w:val="008B2869"/>
    <w:rsid w:val="00967603"/>
    <w:rsid w:val="00A4722A"/>
    <w:rsid w:val="00A61471"/>
    <w:rsid w:val="00A8790F"/>
    <w:rsid w:val="00A94607"/>
    <w:rsid w:val="00AE264A"/>
    <w:rsid w:val="00B43C7A"/>
    <w:rsid w:val="00BA0C89"/>
    <w:rsid w:val="00C05A41"/>
    <w:rsid w:val="00C70F6F"/>
    <w:rsid w:val="00D20294"/>
    <w:rsid w:val="00E428DE"/>
    <w:rsid w:val="00E50FD7"/>
    <w:rsid w:val="00E75225"/>
    <w:rsid w:val="00F164F9"/>
    <w:rsid w:val="00F41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04D65"/>
  <w15:docId w15:val="{7FC7FBD8-8765-4AE9-BFAD-CF26F6C8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58"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62" w:line="259" w:lineRule="auto"/>
      <w:ind w:left="10"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62" w:line="259" w:lineRule="auto"/>
      <w:ind w:left="10" w:hanging="10"/>
      <w:outlineLvl w:val="1"/>
    </w:pPr>
    <w:rPr>
      <w:rFonts w:ascii="Times New Roman" w:eastAsia="Times New Roman" w:hAnsi="Times New Roman" w:cs="Times New Roman"/>
      <w:b/>
      <w:color w:val="000000"/>
      <w:sz w:val="36"/>
    </w:rPr>
  </w:style>
  <w:style w:type="paragraph" w:styleId="Heading3">
    <w:name w:val="heading 3"/>
    <w:next w:val="Normal"/>
    <w:link w:val="Heading3Char"/>
    <w:uiPriority w:val="9"/>
    <w:unhideWhenUsed/>
    <w:qFormat/>
    <w:pPr>
      <w:keepNext/>
      <w:keepLines/>
      <w:spacing w:after="77" w:line="259" w:lineRule="auto"/>
      <w:ind w:left="10" w:hanging="10"/>
      <w:outlineLvl w:val="2"/>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6"/>
    </w:rPr>
  </w:style>
  <w:style w:type="character" w:customStyle="1" w:styleId="Heading1Char">
    <w:name w:val="Heading 1 Char"/>
    <w:link w:val="Heading1"/>
    <w:rPr>
      <w:rFonts w:ascii="Times New Roman" w:eastAsia="Times New Roman" w:hAnsi="Times New Roman" w:cs="Times New Roman"/>
      <w:b/>
      <w:color w:val="000000"/>
      <w:sz w:val="36"/>
    </w:rPr>
  </w:style>
  <w:style w:type="paragraph" w:styleId="TOC1">
    <w:name w:val="toc 1"/>
    <w:hidden/>
    <w:pPr>
      <w:spacing w:after="200" w:line="259" w:lineRule="auto"/>
      <w:ind w:left="25" w:right="23" w:hanging="10"/>
      <w:jc w:val="both"/>
    </w:pPr>
    <w:rPr>
      <w:rFonts w:ascii="Times New Roman" w:eastAsia="Times New Roman" w:hAnsi="Times New Roman" w:cs="Times New Roman"/>
      <w:color w:val="000000"/>
    </w:rPr>
  </w:style>
  <w:style w:type="paragraph" w:styleId="Header">
    <w:name w:val="header"/>
    <w:basedOn w:val="Normal"/>
    <w:link w:val="HeaderChar"/>
    <w:uiPriority w:val="99"/>
    <w:unhideWhenUsed/>
    <w:rsid w:val="00212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5D9"/>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gbta.org/global-business-travel-industry-spending-expected-to-hit-record-1-48-trillion-in-2024/" TargetMode="External"/><Relationship Id="rId18" Type="http://schemas.openxmlformats.org/officeDocument/2006/relationships/hyperlink" Target="https://gbta.org/global-business-travel-industry-spending-expected-to-hit-record-1-48-trillion-in-2024/" TargetMode="External"/><Relationship Id="rId26" Type="http://schemas.openxmlformats.org/officeDocument/2006/relationships/hyperlink" Target="https://gbta.org/global-business-travel-industry-spending-expected-to-hit-record-1-48-trillion-in-2024/" TargetMode="External"/><Relationship Id="rId39" Type="http://schemas.openxmlformats.org/officeDocument/2006/relationships/theme" Target="theme/theme1.xml"/><Relationship Id="rId21" Type="http://schemas.openxmlformats.org/officeDocument/2006/relationships/hyperlink" Target="https://gbta.org/global-business-travel-industry-spending-expected-to-hit-record-1-48-trillion-in-2024/" TargetMode="External"/><Relationship Id="rId34" Type="http://schemas.openxmlformats.org/officeDocument/2006/relationships/hyperlink" Target="https://gbta.org/global-business-travel-industry-spending-expected-to-hit-record-1-48-trillion-in-2024/" TargetMode="External"/><Relationship Id="rId7" Type="http://schemas.openxmlformats.org/officeDocument/2006/relationships/hyperlink" Target="https://gbta.org/global-business-travel-industry-spending-expected-to-hit-record-1-48-trillion-in-2024/" TargetMode="External"/><Relationship Id="rId12" Type="http://schemas.openxmlformats.org/officeDocument/2006/relationships/hyperlink" Target="https://gbta.org/global-business-travel-industry-spending-expected-to-hit-record-1-48-trillion-in-2024/" TargetMode="External"/><Relationship Id="rId17" Type="http://schemas.openxmlformats.org/officeDocument/2006/relationships/hyperlink" Target="https://gbta.org/global-business-travel-industry-spending-expected-to-hit-record-1-48-trillion-in-2024/" TargetMode="External"/><Relationship Id="rId25" Type="http://schemas.openxmlformats.org/officeDocument/2006/relationships/hyperlink" Target="https://gbta.org/global-business-travel-industry-spending-expected-to-hit-record-1-48-trillion-in-2024/" TargetMode="External"/><Relationship Id="rId33" Type="http://schemas.openxmlformats.org/officeDocument/2006/relationships/hyperlink" Target="https://gbta.org/global-business-travel-industry-spending-expected-to-hit-record-1-48-trillion-in-2024/"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gbta.org/global-business-travel-industry-spending-expected-to-hit-record-1-48-trillion-in-2024/" TargetMode="External"/><Relationship Id="rId20" Type="http://schemas.openxmlformats.org/officeDocument/2006/relationships/hyperlink" Target="https://gbta.org/global-business-travel-industry-spending-expected-to-hit-record-1-48-trillion-in-2024/" TargetMode="External"/><Relationship Id="rId29" Type="http://schemas.openxmlformats.org/officeDocument/2006/relationships/hyperlink" Target="https://gbta.org/global-business-travel-industry-spending-expected-to-hit-record-1-48-trillion-in-2024/"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gbta.org/global-business-travel-industry-spending-expected-to-hit-record-1-48-trillion-in-2024/" TargetMode="External"/><Relationship Id="rId24" Type="http://schemas.openxmlformats.org/officeDocument/2006/relationships/hyperlink" Target="https://gbta.org/global-business-travel-industry-spending-expected-to-hit-record-1-48-trillion-in-2024/" TargetMode="External"/><Relationship Id="rId32" Type="http://schemas.openxmlformats.org/officeDocument/2006/relationships/hyperlink" Target="https://gbta.org/global-business-travel-industry-spending-expected-to-hit-record-1-48-trillion-in-2024/" TargetMode="External"/><Relationship Id="rId37"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gbta.org/global-business-travel-industry-spending-expected-to-hit-record-1-48-trillion-in-2024/" TargetMode="External"/><Relationship Id="rId23" Type="http://schemas.openxmlformats.org/officeDocument/2006/relationships/hyperlink" Target="https://gbta.org/global-business-travel-industry-spending-expected-to-hit-record-1-48-trillion-in-2024/" TargetMode="External"/><Relationship Id="rId28" Type="http://schemas.openxmlformats.org/officeDocument/2006/relationships/hyperlink" Target="https://gbta.org/global-business-travel-industry-spending-expected-to-hit-record-1-48-trillion-in-2024/" TargetMode="External"/><Relationship Id="rId36" Type="http://schemas.openxmlformats.org/officeDocument/2006/relationships/footer" Target="footer2.xml"/><Relationship Id="rId10" Type="http://schemas.openxmlformats.org/officeDocument/2006/relationships/hyperlink" Target="https://gbta.org/global-business-travel-industry-spending-expected-to-hit-record-1-48-trillion-in-2024/" TargetMode="External"/><Relationship Id="rId19" Type="http://schemas.openxmlformats.org/officeDocument/2006/relationships/hyperlink" Target="https://gbta.org/global-business-travel-industry-spending-expected-to-hit-record-1-48-trillion-in-2024/" TargetMode="External"/><Relationship Id="rId31" Type="http://schemas.openxmlformats.org/officeDocument/2006/relationships/hyperlink" Target="https://gbta.org/global-business-travel-industry-spending-expected-to-hit-record-1-48-trillion-in-2024/" TargetMode="External"/><Relationship Id="rId4" Type="http://schemas.openxmlformats.org/officeDocument/2006/relationships/footnotes" Target="footnotes.xml"/><Relationship Id="rId9" Type="http://schemas.openxmlformats.org/officeDocument/2006/relationships/hyperlink" Target="https://gbta.org/global-business-travel-industry-spending-expected-to-hit-record-1-48-trillion-in-2024/" TargetMode="External"/><Relationship Id="rId14" Type="http://schemas.openxmlformats.org/officeDocument/2006/relationships/hyperlink" Target="https://gbta.org/global-business-travel-industry-spending-expected-to-hit-record-1-48-trillion-in-2024/" TargetMode="External"/><Relationship Id="rId22" Type="http://schemas.openxmlformats.org/officeDocument/2006/relationships/hyperlink" Target="https://gbta.org/global-business-travel-industry-spending-expected-to-hit-record-1-48-trillion-in-2024/" TargetMode="External"/><Relationship Id="rId27" Type="http://schemas.openxmlformats.org/officeDocument/2006/relationships/hyperlink" Target="https://gbta.org/global-business-travel-industry-spending-expected-to-hit-record-1-48-trillion-in-2024/" TargetMode="External"/><Relationship Id="rId30" Type="http://schemas.openxmlformats.org/officeDocument/2006/relationships/hyperlink" Target="https://gbta.org/global-business-travel-industry-spending-expected-to-hit-record-1-48-trillion-in-2024/" TargetMode="External"/><Relationship Id="rId35" Type="http://schemas.openxmlformats.org/officeDocument/2006/relationships/footer" Target="footer1.xml"/><Relationship Id="rId8" Type="http://schemas.openxmlformats.org/officeDocument/2006/relationships/hyperlink" Target="https://gbta.org/global-business-travel-industry-spending-expected-to-hit-record-1-48-trillion-in-202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977</TotalTime>
  <Pages>12</Pages>
  <Words>4347</Words>
  <Characters>24782</Characters>
  <Application>Microsoft Office Word</Application>
  <DocSecurity>0</DocSecurity>
  <Lines>206</Lines>
  <Paragraphs>58</Paragraphs>
  <ScaleCrop>false</ScaleCrop>
  <Company/>
  <LinksUpToDate>false</LinksUpToDate>
  <CharactersWithSpaces>29071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20</cp:revision>
  <dcterms:created xsi:type="dcterms:W3CDTF">2026-02-09T17:29:00Z</dcterms:created>
  <dcterms:modified xsi:type="dcterms:W3CDTF">2026-02-11T17:54:00Z</dcterms:modified>
</cp:coreProperties>
</file>