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7F3" w:rsidRPr="003F37F3" w:rsidRDefault="003F37F3" w:rsidP="003F37F3">
      <w:pPr>
        <w:jc w:val="center"/>
        <w:rPr>
          <w:b/>
        </w:rPr>
      </w:pPr>
      <w:bookmarkStart w:id="0" w:name="_GoBack"/>
      <w:bookmarkEnd w:id="0"/>
      <w:r w:rsidRPr="003F37F3">
        <w:rPr>
          <w:rFonts w:hint="eastAsia"/>
          <w:b/>
        </w:rPr>
        <w:t>E</w:t>
      </w:r>
      <w:r w:rsidRPr="003F37F3">
        <w:rPr>
          <w:b/>
        </w:rPr>
        <w:t>conomic Analysis of Ford</w:t>
      </w:r>
    </w:p>
    <w:p w:rsidR="003F37F3" w:rsidRDefault="003F37F3" w:rsidP="00B91FD4"/>
    <w:p w:rsidR="003F37F3" w:rsidRDefault="003F37F3" w:rsidP="00B91FD4"/>
    <w:p w:rsidR="00B91FD4" w:rsidRPr="00B91FD4" w:rsidRDefault="00B91FD4" w:rsidP="00B91FD4">
      <w:pPr>
        <w:pStyle w:val="Heading1"/>
      </w:pPr>
      <w:r>
        <w:rPr>
          <w:rFonts w:hint="eastAsia"/>
        </w:rPr>
        <w:t>1</w:t>
      </w:r>
      <w:r>
        <w:t>. Introduction</w:t>
      </w:r>
    </w:p>
    <w:p w:rsidR="000E198D" w:rsidRPr="00B91FD4" w:rsidRDefault="000E198D" w:rsidP="00B91FD4">
      <w:r w:rsidRPr="00B91FD4">
        <w:t>Ford is a multinational automaker. In UK, Ford has been the best-selling automotive brand for years.</w:t>
      </w:r>
      <w:r w:rsidR="00B91FD4" w:rsidRPr="00B91FD4">
        <w:t xml:space="preserve"> In this report, it is a</w:t>
      </w:r>
      <w:r w:rsidR="00B91FD4">
        <w:t>n</w:t>
      </w:r>
      <w:r w:rsidR="00B91FD4" w:rsidRPr="00B91FD4">
        <w:t xml:space="preserve"> economic analysis of Ford on the demand, supply of Ford Fiesta in UK, and market structure of UK automotive industry.</w:t>
      </w:r>
      <w:r w:rsidR="00B91FD4">
        <w:t xml:space="preserve"> There are </w:t>
      </w:r>
      <w:r w:rsidR="00ED763B">
        <w:t>four parts in the report: demand and market equilibrium analysis, cost structure analysis, market structure of UK automotive industry in which Ford operates, and government regulations and effects on Ford.</w:t>
      </w:r>
    </w:p>
    <w:p w:rsidR="00DF4C60" w:rsidRPr="00B91FD4" w:rsidRDefault="00DF4C60" w:rsidP="00B91FD4"/>
    <w:p w:rsidR="00B5403A" w:rsidRPr="00B91FD4" w:rsidRDefault="00B91FD4" w:rsidP="00B91FD4">
      <w:pPr>
        <w:pStyle w:val="Heading1"/>
      </w:pPr>
      <w:r>
        <w:t>2</w:t>
      </w:r>
      <w:r w:rsidR="00B5403A" w:rsidRPr="00B91FD4">
        <w:t>. Demand and Market Equilibrium</w:t>
      </w:r>
    </w:p>
    <w:p w:rsidR="00F239FB" w:rsidRPr="00B91FD4" w:rsidRDefault="00B5403A" w:rsidP="00B91FD4">
      <w:r w:rsidRPr="00B91FD4">
        <w:t>Demand of consumers on Ford Fiesta, or maybe not only Ford</w:t>
      </w:r>
      <w:r w:rsidR="00443933">
        <w:t>’</w:t>
      </w:r>
      <w:r w:rsidRPr="00B91FD4">
        <w:t>s car models, is affected by a variety of factors. Macroeconomic factors include economic conditions, income level relative to car price, the price of fuel, credit availability</w:t>
      </w:r>
      <w:r w:rsidR="002B2776">
        <w:rPr>
          <w:rStyle w:val="FootnoteReference"/>
        </w:rPr>
        <w:footnoteReference w:id="1"/>
      </w:r>
      <w:r w:rsidR="00014C25" w:rsidRPr="00B91FD4">
        <w:t xml:space="preserve"> (</w:t>
      </w:r>
      <w:r w:rsidR="00A66E91" w:rsidRPr="00A66E91">
        <w:rPr>
          <w:rFonts w:eastAsia=".PingFang SC"/>
          <w:color w:val="353535"/>
          <w:kern w:val="0"/>
        </w:rPr>
        <w:t>Long-Run Trends in Car Use</w:t>
      </w:r>
      <w:r w:rsidR="00A66E91">
        <w:rPr>
          <w:rFonts w:eastAsia=".PingFang SC"/>
          <w:color w:val="353535"/>
          <w:kern w:val="0"/>
        </w:rPr>
        <w:t xml:space="preserve"> - </w:t>
      </w:r>
      <w:r w:rsidR="00014C25" w:rsidRPr="00B91FD4">
        <w:t>OECD/ITF, 2013)</w:t>
      </w:r>
      <w:r w:rsidRPr="00B91FD4">
        <w:t xml:space="preserve">. Microeconomic factors include different income level of consumers, price of different models of car, different consumer tastes or preferences. The automotive market in UK is in equilibrium, but supply exceeds demand. </w:t>
      </w:r>
      <w:r w:rsidR="00443933" w:rsidRPr="00B91FD4">
        <w:t>Many</w:t>
      </w:r>
      <w:r w:rsidRPr="00B91FD4">
        <w:t xml:space="preserve"> automobiles provided by automakers are prepared to be sold. </w:t>
      </w:r>
      <w:r w:rsidR="00F239FB" w:rsidRPr="00B91FD4">
        <w:t>The price of Ford Fiesta model starts at $14,260. Different Fiesta models has different price, but the price is stable after the car launched</w:t>
      </w:r>
      <w:r w:rsidR="002B2776">
        <w:rPr>
          <w:rStyle w:val="FootnoteReference"/>
        </w:rPr>
        <w:footnoteReference w:id="2"/>
      </w:r>
      <w:r w:rsidR="00F239FB" w:rsidRPr="00B91FD4">
        <w:t xml:space="preserve"> (Ford, 2018).</w:t>
      </w:r>
    </w:p>
    <w:p w:rsidR="00F239FB" w:rsidRPr="00B91FD4" w:rsidRDefault="00F239FB" w:rsidP="00B91FD4"/>
    <w:p w:rsidR="00B10516" w:rsidRPr="00B91FD4" w:rsidRDefault="00714156" w:rsidP="00B91FD4">
      <w:r w:rsidRPr="00B91FD4">
        <w:t>Figure 1 presents the number of Ford Fiesta registered cars in UK from 2000 to 2017. The registered number of Ford Fiesta fell down from 2000 to 2005, and increased from 2008 to 2017</w:t>
      </w:r>
      <w:r w:rsidR="002B2776">
        <w:rPr>
          <w:rStyle w:val="FootnoteReference"/>
        </w:rPr>
        <w:footnoteReference w:id="3"/>
      </w:r>
      <w:r w:rsidRPr="00B91FD4">
        <w:t>. Figure 2 presents the gross disposable household income in UK. It can be concluded from the two figures that</w:t>
      </w:r>
      <w:r w:rsidR="00014C25" w:rsidRPr="00B91FD4">
        <w:t xml:space="preserve"> increase of</w:t>
      </w:r>
      <w:r w:rsidR="00360BA1" w:rsidRPr="00B91FD4">
        <w:t xml:space="preserve"> </w:t>
      </w:r>
      <w:r w:rsidR="00F33F44" w:rsidRPr="00B91FD4">
        <w:t xml:space="preserve">income </w:t>
      </w:r>
      <w:r w:rsidR="00014C25" w:rsidRPr="00B91FD4">
        <w:t xml:space="preserve">is not necessarily connected with increase of Ford Fiesta cars, however, it </w:t>
      </w:r>
      <w:r w:rsidR="00F239FB" w:rsidRPr="00B91FD4">
        <w:t xml:space="preserve">does not mean that demand of Ford Fiesta is income inelastic, since the number of car can also be affected by lots of factors. But </w:t>
      </w:r>
      <w:r w:rsidR="00F239FB" w:rsidRPr="00B91FD4">
        <w:lastRenderedPageBreak/>
        <w:t xml:space="preserve">according to Figure 3, when GDP per capital dropped significantly from 2006 to 2010, the registered number of </w:t>
      </w:r>
      <w:r w:rsidR="00F239FB" w:rsidRPr="00B91FD4">
        <w:rPr>
          <w:rFonts w:hint="eastAsia"/>
        </w:rPr>
        <w:t>F</w:t>
      </w:r>
      <w:r w:rsidR="00F239FB" w:rsidRPr="00B91FD4">
        <w:t>ord Fiesta decreased at the same time</w:t>
      </w:r>
      <w:r w:rsidR="002B2776">
        <w:rPr>
          <w:rStyle w:val="FootnoteReference"/>
        </w:rPr>
        <w:footnoteReference w:id="4"/>
      </w:r>
      <w:r w:rsidR="00F239FB" w:rsidRPr="00B91FD4">
        <w:t xml:space="preserve">. Therefore, </w:t>
      </w:r>
      <w:r w:rsidR="00B10516" w:rsidRPr="00B91FD4">
        <w:t xml:space="preserve">demand on Ford Fiesta is more sensitive to nominal income (GDP per capital) compared to disposable income. When income decreases, the degree of income of elasticity is higher compared to the situation that income increases. </w:t>
      </w:r>
    </w:p>
    <w:p w:rsidR="00B10516" w:rsidRPr="00B91FD4" w:rsidRDefault="00B10516" w:rsidP="00B91FD4"/>
    <w:p w:rsidR="00385BA3" w:rsidRPr="00B91FD4" w:rsidRDefault="00385BA3" w:rsidP="00B91FD4"/>
    <w:p w:rsidR="00A41357" w:rsidRPr="00B91FD4" w:rsidRDefault="00714156" w:rsidP="00B91FD4">
      <w:r w:rsidRPr="00B91FD4">
        <w:t xml:space="preserve">Figure 1. </w:t>
      </w:r>
      <w:r w:rsidR="00A41357" w:rsidRPr="00B91FD4">
        <w:t>Ford Fiesta registered cars in UK, 2000-20</w:t>
      </w:r>
      <w:r w:rsidR="00B810B3" w:rsidRPr="00B91FD4">
        <w:t>1</w:t>
      </w:r>
      <w:r w:rsidR="00A41357" w:rsidRPr="00B91FD4">
        <w:t>7</w:t>
      </w:r>
    </w:p>
    <w:p w:rsidR="00385BA3" w:rsidRPr="00B91FD4" w:rsidRDefault="00385BA3" w:rsidP="00B91FD4">
      <w:r w:rsidRPr="00B91FD4">
        <w:rPr>
          <w:noProof/>
          <w:lang w:val="en-GB" w:eastAsia="en-GB"/>
        </w:rPr>
        <w:drawing>
          <wp:inline distT="0" distB="0" distL="0" distR="0" wp14:anchorId="10CCC79B" wp14:editId="2C9CD501">
            <wp:extent cx="5270500" cy="3283585"/>
            <wp:effectExtent l="0" t="0" r="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0500" cy="3283585"/>
                    </a:xfrm>
                    <a:prstGeom prst="rect">
                      <a:avLst/>
                    </a:prstGeom>
                  </pic:spPr>
                </pic:pic>
              </a:graphicData>
            </a:graphic>
          </wp:inline>
        </w:drawing>
      </w:r>
    </w:p>
    <w:p w:rsidR="00A41357" w:rsidRPr="00B91FD4" w:rsidRDefault="00A41357" w:rsidP="00B91FD4">
      <w:r w:rsidRPr="00B91FD4">
        <w:t>Source: Statista</w:t>
      </w:r>
    </w:p>
    <w:p w:rsidR="00B810B3" w:rsidRPr="00B91FD4" w:rsidRDefault="00B810B3" w:rsidP="00B91FD4"/>
    <w:p w:rsidR="00B810B3" w:rsidRPr="00B91FD4" w:rsidRDefault="00714156" w:rsidP="00B91FD4">
      <w:r w:rsidRPr="00B91FD4">
        <w:t xml:space="preserve">Figure 2. </w:t>
      </w:r>
      <w:r w:rsidR="00B810B3" w:rsidRPr="00B91FD4">
        <w:t>Gross disposable household income, 20</w:t>
      </w:r>
      <w:r w:rsidRPr="00B91FD4">
        <w:t>0</w:t>
      </w:r>
      <w:r w:rsidR="00B810B3" w:rsidRPr="00B91FD4">
        <w:t>0-2017</w:t>
      </w:r>
    </w:p>
    <w:p w:rsidR="00714156" w:rsidRPr="00B91FD4" w:rsidRDefault="00714156" w:rsidP="00B91FD4">
      <w:r w:rsidRPr="00B91FD4">
        <w:rPr>
          <w:noProof/>
          <w:lang w:val="en-GB" w:eastAsia="en-GB"/>
        </w:rPr>
        <w:lastRenderedPageBreak/>
        <w:drawing>
          <wp:inline distT="0" distB="0" distL="0" distR="0" wp14:anchorId="144A7376" wp14:editId="1FAFE4F2">
            <wp:extent cx="5270500" cy="2216150"/>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0500" cy="2216150"/>
                    </a:xfrm>
                    <a:prstGeom prst="rect">
                      <a:avLst/>
                    </a:prstGeom>
                  </pic:spPr>
                </pic:pic>
              </a:graphicData>
            </a:graphic>
          </wp:inline>
        </w:drawing>
      </w:r>
    </w:p>
    <w:p w:rsidR="00B810B3" w:rsidRPr="00B91FD4" w:rsidRDefault="00B810B3" w:rsidP="00B91FD4">
      <w:r w:rsidRPr="00B91FD4">
        <w:rPr>
          <w:rFonts w:hint="eastAsia"/>
        </w:rPr>
        <w:t>Source</w:t>
      </w:r>
      <w:r w:rsidRPr="00B91FD4">
        <w:t>: Office for National Statistics</w:t>
      </w:r>
    </w:p>
    <w:p w:rsidR="00714156" w:rsidRPr="00B91FD4" w:rsidRDefault="00714156" w:rsidP="00B91FD4"/>
    <w:p w:rsidR="00F239FB" w:rsidRPr="00B91FD4" w:rsidRDefault="00F239FB" w:rsidP="00B91FD4">
      <w:r w:rsidRPr="00B91FD4">
        <w:t>Figure 3. GDP per capita (current US$) of UK</w:t>
      </w:r>
    </w:p>
    <w:p w:rsidR="00F239FB" w:rsidRPr="00B91FD4" w:rsidRDefault="00F239FB" w:rsidP="00B91FD4">
      <w:r w:rsidRPr="00B91FD4">
        <w:rPr>
          <w:noProof/>
          <w:lang w:val="en-GB" w:eastAsia="en-GB"/>
        </w:rPr>
        <w:drawing>
          <wp:inline distT="0" distB="0" distL="0" distR="0" wp14:anchorId="511E1D18" wp14:editId="149FE178">
            <wp:extent cx="5023821" cy="3117262"/>
            <wp:effectExtent l="0" t="0" r="571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3472"/>
                    <a:stretch/>
                  </pic:blipFill>
                  <pic:spPr bwMode="auto">
                    <a:xfrm>
                      <a:off x="0" y="0"/>
                      <a:ext cx="5029501" cy="3120787"/>
                    </a:xfrm>
                    <a:prstGeom prst="rect">
                      <a:avLst/>
                    </a:prstGeom>
                    <a:ln>
                      <a:noFill/>
                    </a:ln>
                    <a:extLst>
                      <a:ext uri="{53640926-AAD7-44D8-BBD7-CCE9431645EC}">
                        <a14:shadowObscured xmlns:a14="http://schemas.microsoft.com/office/drawing/2010/main"/>
                      </a:ext>
                    </a:extLst>
                  </pic:spPr>
                </pic:pic>
              </a:graphicData>
            </a:graphic>
          </wp:inline>
        </w:drawing>
      </w:r>
    </w:p>
    <w:p w:rsidR="00F239FB" w:rsidRPr="00B91FD4" w:rsidRDefault="00F239FB" w:rsidP="00B91FD4">
      <w:r w:rsidRPr="00B91FD4">
        <w:rPr>
          <w:rFonts w:hint="eastAsia"/>
        </w:rPr>
        <w:t>S</w:t>
      </w:r>
      <w:r w:rsidRPr="00B91FD4">
        <w:t>ource: The World Bank</w:t>
      </w:r>
    </w:p>
    <w:p w:rsidR="00F239FB" w:rsidRPr="00B91FD4" w:rsidRDefault="00F239FB" w:rsidP="00B91FD4"/>
    <w:p w:rsidR="00402161" w:rsidRPr="00B91FD4" w:rsidRDefault="00B91FD4" w:rsidP="00B91FD4">
      <w:pPr>
        <w:pStyle w:val="Heading1"/>
      </w:pPr>
      <w:r>
        <w:t>3</w:t>
      </w:r>
      <w:r w:rsidR="00402161" w:rsidRPr="00B91FD4">
        <w:t xml:space="preserve">. </w:t>
      </w:r>
      <w:r w:rsidR="00BE1382" w:rsidRPr="00B91FD4">
        <w:t>C</w:t>
      </w:r>
      <w:r w:rsidR="00402161" w:rsidRPr="00B91FD4">
        <w:t xml:space="preserve">ost </w:t>
      </w:r>
      <w:r>
        <w:t>S</w:t>
      </w:r>
      <w:r w:rsidR="00402161" w:rsidRPr="00B91FD4">
        <w:t xml:space="preserve">tructure of </w:t>
      </w:r>
      <w:r w:rsidR="00BE1382" w:rsidRPr="00B91FD4">
        <w:t>Ford</w:t>
      </w:r>
    </w:p>
    <w:p w:rsidR="00BB4B89" w:rsidRDefault="00BE1382" w:rsidP="00B91FD4">
      <w:r w:rsidRPr="00B91FD4">
        <w:t>Ford has improved its techniques and streamlined its production to cut costs in the past. Business of Ford in UK is part of its global business which can take advantage of Ford’s global resources and capabilities</w:t>
      </w:r>
      <w:r w:rsidR="002B2776">
        <w:rPr>
          <w:rStyle w:val="FootnoteReference"/>
        </w:rPr>
        <w:footnoteReference w:id="5"/>
      </w:r>
      <w:r w:rsidRPr="00B91FD4">
        <w:t xml:space="preserve"> (Business Strategy – Ford, 2018). Ford has reached </w:t>
      </w:r>
      <w:r w:rsidRPr="00B91FD4">
        <w:lastRenderedPageBreak/>
        <w:t>a high level of economies of scale</w:t>
      </w:r>
      <w:r w:rsidR="00462A15">
        <w:t xml:space="preserve"> </w:t>
      </w:r>
      <w:r w:rsidR="00462A15">
        <w:rPr>
          <w:rFonts w:hint="eastAsia"/>
        </w:rPr>
        <w:t>in</w:t>
      </w:r>
      <w:r w:rsidR="00462A15">
        <w:t xml:space="preserve"> the early 1990s as a</w:t>
      </w:r>
      <w:r w:rsidR="00462A15" w:rsidRPr="00462A15">
        <w:t xml:space="preserve"> market leader. Figure 4 shows the production and cost of Ford from 1908 to 1924</w:t>
      </w:r>
      <w:r w:rsidR="002B2776">
        <w:rPr>
          <w:rStyle w:val="FootnoteReference"/>
        </w:rPr>
        <w:footnoteReference w:id="6"/>
      </w:r>
      <w:r w:rsidR="00462A15" w:rsidRPr="00462A15">
        <w:t xml:space="preserve">. Ford has </w:t>
      </w:r>
      <w:r w:rsidR="00462A15">
        <w:t xml:space="preserve">keep </w:t>
      </w:r>
      <w:r w:rsidR="00462A15" w:rsidRPr="00462A15">
        <w:t>improv</w:t>
      </w:r>
      <w:r w:rsidR="00462A15">
        <w:t>ing</w:t>
      </w:r>
      <w:r w:rsidR="00462A15" w:rsidRPr="00462A15">
        <w:t xml:space="preserve"> its manufacturing technologies as well as product acceleration to enlarge the production with increased cost efficiency (Grieveson, 2012).</w:t>
      </w:r>
      <w:r w:rsidR="00BC50E8">
        <w:t xml:space="preserve"> </w:t>
      </w:r>
    </w:p>
    <w:p w:rsidR="00BB4B89" w:rsidRDefault="00BB4B89" w:rsidP="00B91FD4"/>
    <w:p w:rsidR="00462A15" w:rsidRDefault="00462A15" w:rsidP="00B91FD4">
      <w:r>
        <w:rPr>
          <w:rFonts w:hint="eastAsia"/>
        </w:rPr>
        <w:t>F</w:t>
      </w:r>
      <w:r>
        <w:t>igure 4. Production and Cost of Ford, 1908-1924</w:t>
      </w:r>
    </w:p>
    <w:p w:rsidR="00462A15" w:rsidRDefault="00462A15" w:rsidP="00B91FD4">
      <w:r w:rsidRPr="00462A15">
        <w:rPr>
          <w:noProof/>
          <w:lang w:val="en-GB" w:eastAsia="en-GB"/>
        </w:rPr>
        <w:drawing>
          <wp:inline distT="0" distB="0" distL="0" distR="0" wp14:anchorId="65FB0FFC" wp14:editId="48FF8C0E">
            <wp:extent cx="5270500" cy="34448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70500" cy="3444875"/>
                    </a:xfrm>
                    <a:prstGeom prst="rect">
                      <a:avLst/>
                    </a:prstGeom>
                  </pic:spPr>
                </pic:pic>
              </a:graphicData>
            </a:graphic>
          </wp:inline>
        </w:drawing>
      </w:r>
    </w:p>
    <w:p w:rsidR="00462A15" w:rsidRPr="00462A15" w:rsidRDefault="00462A15" w:rsidP="00462A15">
      <w:pPr>
        <w:widowControl/>
        <w:jc w:val="left"/>
        <w:rPr>
          <w:rFonts w:ascii="SimSun" w:eastAsia="SimSun" w:hAnsi="SimSun" w:cs="SimSun"/>
          <w:kern w:val="0"/>
        </w:rPr>
      </w:pPr>
      <w:r>
        <w:rPr>
          <w:rFonts w:hint="eastAsia"/>
        </w:rPr>
        <w:t>S</w:t>
      </w:r>
      <w:r>
        <w:t>our</w:t>
      </w:r>
      <w:r w:rsidRPr="00462A15">
        <w:t>ce: Case File of Henry Ford, Committee on Science and the Arts, 1928 Cresson Medal</w:t>
      </w:r>
      <w:r>
        <w:t>, Retrieved from</w:t>
      </w:r>
      <w:r>
        <w:rPr>
          <w:rFonts w:ascii="SimSun" w:eastAsia="SimSun" w:hAnsi="SimSun" w:cs="SimSun" w:hint="eastAsia"/>
          <w:kern w:val="0"/>
        </w:rPr>
        <w:t xml:space="preserve"> </w:t>
      </w:r>
      <w:r w:rsidRPr="00462A15">
        <w:t>The Geography of Transport Systems</w:t>
      </w:r>
    </w:p>
    <w:p w:rsidR="00BE1382" w:rsidRPr="00BC50E8" w:rsidRDefault="00BE1382" w:rsidP="00BC50E8"/>
    <w:p w:rsidR="00BC50E8" w:rsidRPr="00BC50E8" w:rsidRDefault="00462A15" w:rsidP="00BC50E8">
      <w:r w:rsidRPr="00BC50E8">
        <w:t>Economic value added (EVA)</w:t>
      </w:r>
      <w:r w:rsidR="00BC50E8" w:rsidRPr="00BC50E8">
        <w:t>, or economic profit,</w:t>
      </w:r>
      <w:r w:rsidRPr="00BC50E8">
        <w:t xml:space="preserve"> </w:t>
      </w:r>
      <w:r w:rsidR="00242269" w:rsidRPr="00BC50E8">
        <w:t xml:space="preserve">measures financial performance of a company </w:t>
      </w:r>
      <w:r w:rsidR="00BC50E8" w:rsidRPr="00BC50E8">
        <w:t xml:space="preserve">by deducting its cost of capital from its operating profit. Table </w:t>
      </w:r>
      <w:r w:rsidR="00BC50E8">
        <w:t xml:space="preserve">5 </w:t>
      </w:r>
      <w:r w:rsidR="00BC50E8" w:rsidRPr="00BC50E8">
        <w:t>shows economic profit calculation of Ford from 2013 to 2017. Ford Motor Co.'s economic profit declined from 2015 to 2016 but then slightly increased from 2016 to 2017.</w:t>
      </w:r>
      <w:r w:rsidR="00BC50E8">
        <w:t xml:space="preserve"> However, </w:t>
      </w:r>
      <w:r w:rsidR="00BC50E8" w:rsidRPr="00B91FD4">
        <w:t>operating margin of Ford in 2016 is 6.7%, 5.0% in 2017</w:t>
      </w:r>
      <w:r w:rsidR="008610F1">
        <w:rPr>
          <w:rStyle w:val="FootnoteReference"/>
        </w:rPr>
        <w:footnoteReference w:id="7"/>
      </w:r>
      <w:r w:rsidR="00BC50E8" w:rsidRPr="00B91FD4">
        <w:t xml:space="preserve"> (Ford Motor Company 2017 Annual Report, 2018). Compared to the key automotive manufacturers, </w:t>
      </w:r>
      <w:r w:rsidR="00BC50E8" w:rsidRPr="00B91FD4">
        <w:lastRenderedPageBreak/>
        <w:t xml:space="preserve">Ford has a high profit margin </w:t>
      </w:r>
      <w:r w:rsidR="008610F1">
        <w:rPr>
          <w:rStyle w:val="FootnoteReference"/>
        </w:rPr>
        <w:footnoteReference w:id="8"/>
      </w:r>
      <w:r w:rsidR="00BC50E8" w:rsidRPr="00B91FD4">
        <w:t xml:space="preserve">(see Table </w:t>
      </w:r>
      <w:r w:rsidR="00BC50E8">
        <w:t>6</w:t>
      </w:r>
      <w:r w:rsidR="00BC50E8" w:rsidRPr="00B91FD4">
        <w:t>).</w:t>
      </w:r>
    </w:p>
    <w:p w:rsidR="00462A15" w:rsidRPr="00BC50E8" w:rsidRDefault="00462A15" w:rsidP="00B91FD4"/>
    <w:p w:rsidR="00462A15" w:rsidRDefault="00BC50E8" w:rsidP="00B91FD4">
      <w:r w:rsidRPr="00BC50E8">
        <w:t xml:space="preserve">Table </w:t>
      </w:r>
      <w:r>
        <w:t>5 Economic profit of Ford</w:t>
      </w:r>
    </w:p>
    <w:tbl>
      <w:tblPr>
        <w:tblW w:w="8505" w:type="dxa"/>
        <w:tblLook w:val="04A0" w:firstRow="1" w:lastRow="0" w:firstColumn="1" w:lastColumn="0" w:noHBand="0" w:noVBand="1"/>
      </w:tblPr>
      <w:tblGrid>
        <w:gridCol w:w="1760"/>
        <w:gridCol w:w="1359"/>
        <w:gridCol w:w="1276"/>
        <w:gridCol w:w="1417"/>
        <w:gridCol w:w="1276"/>
        <w:gridCol w:w="1417"/>
      </w:tblGrid>
      <w:tr w:rsidR="00B0119C" w:rsidRPr="00B0119C" w:rsidTr="00B0119C">
        <w:trPr>
          <w:trHeight w:val="320"/>
        </w:trPr>
        <w:tc>
          <w:tcPr>
            <w:tcW w:w="5812" w:type="dxa"/>
            <w:gridSpan w:val="4"/>
            <w:tcBorders>
              <w:top w:val="nil"/>
              <w:left w:val="nil"/>
              <w:bottom w:val="nil"/>
              <w:right w:val="nil"/>
            </w:tcBorders>
            <w:shd w:val="clear" w:color="auto" w:fill="auto"/>
            <w:noWrap/>
            <w:vAlign w:val="bottom"/>
            <w:hideMark/>
          </w:tcPr>
          <w:p w:rsidR="00B0119C" w:rsidRPr="00B0119C" w:rsidRDefault="00B0119C" w:rsidP="00B0119C">
            <w:pPr>
              <w:widowControl/>
              <w:jc w:val="left"/>
              <w:rPr>
                <w:rFonts w:ascii="Tahoma" w:eastAsia="SimSun" w:hAnsi="Tahoma" w:cs="Tahoma"/>
                <w:b/>
                <w:bCs/>
                <w:color w:val="606631"/>
                <w:kern w:val="0"/>
              </w:rPr>
            </w:pPr>
            <w:r w:rsidRPr="00B0119C">
              <w:rPr>
                <w:rFonts w:ascii="Tahoma" w:eastAsia="SimSun" w:hAnsi="Tahoma" w:cs="Tahoma"/>
                <w:b/>
                <w:bCs/>
                <w:color w:val="606631"/>
                <w:kern w:val="0"/>
              </w:rPr>
              <w:t>Ford Motor Co., economic profit calculation</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ascii="Tahoma" w:eastAsia="SimSun" w:hAnsi="Tahoma" w:cs="Tahoma"/>
                <w:b/>
                <w:bCs/>
                <w:color w:val="606631"/>
                <w:kern w:val="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r>
      <w:tr w:rsidR="00B0119C" w:rsidRPr="00B0119C" w:rsidTr="00B0119C">
        <w:trPr>
          <w:trHeight w:val="300"/>
        </w:trPr>
        <w:tc>
          <w:tcPr>
            <w:tcW w:w="1760"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ascii="Calibri" w:eastAsia="SimSun" w:hAnsi="Calibri" w:cs="Calibri"/>
                <w:color w:val="000000"/>
                <w:kern w:val="0"/>
                <w:sz w:val="22"/>
                <w:szCs w:val="22"/>
              </w:rPr>
            </w:pPr>
            <w:r w:rsidRPr="00B0119C">
              <w:rPr>
                <w:rFonts w:ascii="Calibri" w:eastAsia="SimSun" w:hAnsi="Calibri" w:cs="Calibri"/>
                <w:color w:val="000000"/>
                <w:kern w:val="0"/>
                <w:sz w:val="22"/>
                <w:szCs w:val="22"/>
              </w:rPr>
              <w:t>USD $ in millions</w:t>
            </w: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ascii="Calibri" w:eastAsia="SimSun" w:hAnsi="Calibri" w:cs="Calibri"/>
                <w:color w:val="000000"/>
                <w:kern w:val="0"/>
                <w:sz w:val="22"/>
                <w:szCs w:val="22"/>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r>
      <w:tr w:rsidR="00B0119C" w:rsidRPr="00B0119C" w:rsidTr="00B0119C">
        <w:trPr>
          <w:trHeight w:val="300"/>
        </w:trPr>
        <w:tc>
          <w:tcPr>
            <w:tcW w:w="1760"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r>
      <w:tr w:rsidR="00B0119C" w:rsidRPr="00B0119C" w:rsidTr="00B0119C">
        <w:trPr>
          <w:trHeight w:val="600"/>
        </w:trPr>
        <w:tc>
          <w:tcPr>
            <w:tcW w:w="1760"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right"/>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12 months ended</w:t>
            </w:r>
          </w:p>
        </w:tc>
        <w:tc>
          <w:tcPr>
            <w:tcW w:w="1359"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center"/>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Dec 31, 2017</w:t>
            </w:r>
          </w:p>
        </w:tc>
        <w:tc>
          <w:tcPr>
            <w:tcW w:w="1276"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center"/>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Dec 31, 2016</w:t>
            </w:r>
          </w:p>
        </w:tc>
        <w:tc>
          <w:tcPr>
            <w:tcW w:w="1417"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center"/>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Dec 31, 2015</w:t>
            </w:r>
          </w:p>
        </w:tc>
        <w:tc>
          <w:tcPr>
            <w:tcW w:w="1276"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center"/>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Dec 31, 2014</w:t>
            </w:r>
          </w:p>
        </w:tc>
        <w:tc>
          <w:tcPr>
            <w:tcW w:w="1417" w:type="dxa"/>
            <w:tcBorders>
              <w:top w:val="single" w:sz="8" w:space="0" w:color="DDDDDD"/>
              <w:left w:val="nil"/>
              <w:bottom w:val="single" w:sz="8" w:space="0" w:color="DDDDDD"/>
              <w:right w:val="nil"/>
            </w:tcBorders>
            <w:shd w:val="clear" w:color="auto" w:fill="auto"/>
            <w:vAlign w:val="center"/>
            <w:hideMark/>
          </w:tcPr>
          <w:p w:rsidR="00B0119C" w:rsidRPr="00B0119C" w:rsidRDefault="00B0119C" w:rsidP="00B0119C">
            <w:pPr>
              <w:widowControl/>
              <w:jc w:val="center"/>
              <w:rPr>
                <w:rFonts w:ascii="Arial" w:eastAsia="SimSun" w:hAnsi="Arial" w:cs="Arial"/>
                <w:b/>
                <w:bCs/>
                <w:color w:val="000000"/>
                <w:kern w:val="0"/>
                <w:sz w:val="22"/>
                <w:szCs w:val="22"/>
              </w:rPr>
            </w:pPr>
            <w:r w:rsidRPr="00B0119C">
              <w:rPr>
                <w:rFonts w:ascii="Arial" w:eastAsia="SimSun" w:hAnsi="Arial" w:cs="Arial"/>
                <w:b/>
                <w:bCs/>
                <w:color w:val="000000"/>
                <w:kern w:val="0"/>
                <w:sz w:val="22"/>
                <w:szCs w:val="22"/>
              </w:rPr>
              <w:t>Dec 31, 2013</w:t>
            </w:r>
          </w:p>
        </w:tc>
      </w:tr>
      <w:tr w:rsidR="00B0119C" w:rsidRPr="00B0119C" w:rsidTr="00B0119C">
        <w:trPr>
          <w:trHeight w:val="980"/>
        </w:trPr>
        <w:tc>
          <w:tcPr>
            <w:tcW w:w="1760" w:type="dxa"/>
            <w:tcBorders>
              <w:top w:val="nil"/>
              <w:left w:val="nil"/>
              <w:bottom w:val="nil"/>
              <w:right w:val="nil"/>
            </w:tcBorders>
            <w:shd w:val="clear" w:color="auto" w:fill="auto"/>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Net operating profit after taxes (NOPAT)</w:t>
            </w:r>
          </w:p>
        </w:tc>
        <w:tc>
          <w:tcPr>
            <w:tcW w:w="1359" w:type="dxa"/>
            <w:tcBorders>
              <w:top w:val="nil"/>
              <w:left w:val="nil"/>
              <w:bottom w:val="nil"/>
              <w:right w:val="nil"/>
            </w:tcBorders>
            <w:shd w:val="clear" w:color="auto" w:fill="auto"/>
            <w:noWrap/>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6,637</w:t>
            </w:r>
          </w:p>
        </w:tc>
        <w:tc>
          <w:tcPr>
            <w:tcW w:w="1276" w:type="dxa"/>
            <w:tcBorders>
              <w:top w:val="nil"/>
              <w:left w:val="nil"/>
              <w:bottom w:val="nil"/>
              <w:right w:val="nil"/>
            </w:tcBorders>
            <w:shd w:val="clear" w:color="auto" w:fill="auto"/>
            <w:noWrap/>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6,702</w:t>
            </w:r>
          </w:p>
        </w:tc>
        <w:tc>
          <w:tcPr>
            <w:tcW w:w="1417" w:type="dxa"/>
            <w:tcBorders>
              <w:top w:val="nil"/>
              <w:left w:val="nil"/>
              <w:bottom w:val="nil"/>
              <w:right w:val="nil"/>
            </w:tcBorders>
            <w:shd w:val="clear" w:color="auto" w:fill="auto"/>
            <w:noWrap/>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10,908</w:t>
            </w:r>
          </w:p>
        </w:tc>
        <w:tc>
          <w:tcPr>
            <w:tcW w:w="1276" w:type="dxa"/>
            <w:tcBorders>
              <w:top w:val="nil"/>
              <w:left w:val="nil"/>
              <w:bottom w:val="nil"/>
              <w:right w:val="nil"/>
            </w:tcBorders>
            <w:shd w:val="clear" w:color="auto" w:fill="auto"/>
            <w:noWrap/>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6,830</w:t>
            </w:r>
          </w:p>
        </w:tc>
        <w:tc>
          <w:tcPr>
            <w:tcW w:w="1417" w:type="dxa"/>
            <w:tcBorders>
              <w:top w:val="nil"/>
              <w:left w:val="nil"/>
              <w:bottom w:val="nil"/>
              <w:right w:val="nil"/>
            </w:tcBorders>
            <w:shd w:val="clear" w:color="auto" w:fill="auto"/>
            <w:noWrap/>
            <w:vAlign w:val="center"/>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7,906</w:t>
            </w:r>
          </w:p>
        </w:tc>
      </w:tr>
      <w:tr w:rsidR="00B0119C" w:rsidRPr="00B0119C" w:rsidTr="00B0119C">
        <w:trPr>
          <w:trHeight w:val="320"/>
        </w:trPr>
        <w:tc>
          <w:tcPr>
            <w:tcW w:w="1760" w:type="dxa"/>
            <w:tcBorders>
              <w:top w:val="nil"/>
              <w:left w:val="nil"/>
              <w:bottom w:val="nil"/>
              <w:right w:val="nil"/>
            </w:tcBorders>
            <w:shd w:val="clear" w:color="auto" w:fill="auto"/>
            <w:vAlign w:val="bottom"/>
            <w:hideMark/>
          </w:tcPr>
          <w:p w:rsidR="00B0119C" w:rsidRPr="00B0119C" w:rsidRDefault="00B0119C" w:rsidP="00B0119C">
            <w:pPr>
              <w:widowControl/>
              <w:jc w:val="left"/>
              <w:rPr>
                <w:rFonts w:ascii="Arial" w:eastAsia="SimSun" w:hAnsi="Arial" w:cs="Arial"/>
                <w:color w:val="000000"/>
                <w:kern w:val="0"/>
                <w:sz w:val="22"/>
                <w:szCs w:val="22"/>
              </w:rPr>
            </w:pPr>
            <w:r w:rsidRPr="00B0119C">
              <w:rPr>
                <w:rFonts w:ascii="Arial" w:eastAsia="SimSun" w:hAnsi="Arial" w:cs="Arial"/>
                <w:color w:val="000000"/>
                <w:kern w:val="0"/>
                <w:sz w:val="22"/>
                <w:szCs w:val="22"/>
              </w:rPr>
              <w:t>Cost of capital</w:t>
            </w: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4.65%</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5.21%</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5.03%</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6.46%</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6.47%</w:t>
            </w:r>
          </w:p>
        </w:tc>
      </w:tr>
      <w:tr w:rsidR="00B0119C" w:rsidRPr="00B0119C" w:rsidTr="00B0119C">
        <w:trPr>
          <w:trHeight w:val="320"/>
        </w:trPr>
        <w:tc>
          <w:tcPr>
            <w:tcW w:w="1760" w:type="dxa"/>
            <w:tcBorders>
              <w:top w:val="nil"/>
              <w:left w:val="nil"/>
              <w:bottom w:val="nil"/>
              <w:right w:val="nil"/>
            </w:tcBorders>
            <w:shd w:val="clear" w:color="auto" w:fill="auto"/>
            <w:vAlign w:val="bottom"/>
            <w:hideMark/>
          </w:tcPr>
          <w:p w:rsidR="00B0119C" w:rsidRPr="00B0119C" w:rsidRDefault="00B0119C" w:rsidP="00B0119C">
            <w:pPr>
              <w:widowControl/>
              <w:jc w:val="left"/>
              <w:rPr>
                <w:rFonts w:ascii="Arial" w:eastAsia="SimSun" w:hAnsi="Arial" w:cs="Arial"/>
                <w:color w:val="000000"/>
                <w:kern w:val="0"/>
                <w:sz w:val="22"/>
                <w:szCs w:val="22"/>
              </w:rPr>
            </w:pPr>
            <w:r w:rsidRPr="00B0119C">
              <w:rPr>
                <w:rFonts w:ascii="Arial" w:eastAsia="SimSun" w:hAnsi="Arial" w:cs="Arial"/>
                <w:color w:val="000000"/>
                <w:kern w:val="0"/>
                <w:sz w:val="22"/>
                <w:szCs w:val="22"/>
              </w:rPr>
              <w:t>Invested capital</w:t>
            </w: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176,866</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160,188</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148,836</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142,840</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133,983</w:t>
            </w:r>
          </w:p>
        </w:tc>
      </w:tr>
      <w:tr w:rsidR="00B0119C" w:rsidRPr="00B0119C" w:rsidTr="00B0119C">
        <w:trPr>
          <w:trHeight w:val="300"/>
        </w:trPr>
        <w:tc>
          <w:tcPr>
            <w:tcW w:w="1760"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left"/>
              <w:rPr>
                <w:rFonts w:eastAsia="Times New Roman"/>
                <w:kern w:val="0"/>
                <w:sz w:val="20"/>
                <w:szCs w:val="20"/>
              </w:rPr>
            </w:pPr>
          </w:p>
        </w:tc>
      </w:tr>
      <w:tr w:rsidR="00B0119C" w:rsidRPr="00B0119C" w:rsidTr="00B0119C">
        <w:trPr>
          <w:trHeight w:val="320"/>
        </w:trPr>
        <w:tc>
          <w:tcPr>
            <w:tcW w:w="1760" w:type="dxa"/>
            <w:tcBorders>
              <w:top w:val="nil"/>
              <w:left w:val="nil"/>
              <w:bottom w:val="nil"/>
              <w:right w:val="nil"/>
            </w:tcBorders>
            <w:shd w:val="clear" w:color="auto" w:fill="auto"/>
            <w:vAlign w:val="bottom"/>
            <w:hideMark/>
          </w:tcPr>
          <w:p w:rsidR="00B0119C" w:rsidRPr="00B0119C" w:rsidRDefault="00B0119C" w:rsidP="00B0119C">
            <w:pPr>
              <w:widowControl/>
              <w:jc w:val="left"/>
              <w:rPr>
                <w:rFonts w:ascii="Arial" w:eastAsia="SimSun" w:hAnsi="Arial" w:cs="Arial"/>
                <w:color w:val="000000"/>
                <w:kern w:val="0"/>
                <w:sz w:val="22"/>
                <w:szCs w:val="22"/>
              </w:rPr>
            </w:pPr>
            <w:r w:rsidRPr="00B0119C">
              <w:rPr>
                <w:rFonts w:ascii="Arial" w:eastAsia="SimSun" w:hAnsi="Arial" w:cs="Arial"/>
                <w:color w:val="000000"/>
                <w:kern w:val="0"/>
                <w:sz w:val="22"/>
                <w:szCs w:val="22"/>
              </w:rPr>
              <w:t>Economic profit</w:t>
            </w:r>
          </w:p>
        </w:tc>
        <w:tc>
          <w:tcPr>
            <w:tcW w:w="1359"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-1,590</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-1,651</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3,421</w:t>
            </w:r>
          </w:p>
        </w:tc>
        <w:tc>
          <w:tcPr>
            <w:tcW w:w="1276"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-2,394</w:t>
            </w:r>
          </w:p>
        </w:tc>
        <w:tc>
          <w:tcPr>
            <w:tcW w:w="1417" w:type="dxa"/>
            <w:tcBorders>
              <w:top w:val="nil"/>
              <w:left w:val="nil"/>
              <w:bottom w:val="nil"/>
              <w:right w:val="nil"/>
            </w:tcBorders>
            <w:shd w:val="clear" w:color="auto" w:fill="auto"/>
            <w:noWrap/>
            <w:vAlign w:val="bottom"/>
            <w:hideMark/>
          </w:tcPr>
          <w:p w:rsidR="00B0119C" w:rsidRPr="00B0119C" w:rsidRDefault="00B0119C" w:rsidP="00B0119C">
            <w:pPr>
              <w:widowControl/>
              <w:jc w:val="right"/>
              <w:rPr>
                <w:rFonts w:ascii="Arial" w:eastAsia="SimSun" w:hAnsi="Arial" w:cs="Arial"/>
                <w:color w:val="000000"/>
                <w:kern w:val="0"/>
                <w:sz w:val="22"/>
                <w:szCs w:val="22"/>
              </w:rPr>
            </w:pPr>
            <w:r w:rsidRPr="00B0119C">
              <w:rPr>
                <w:rFonts w:ascii="Arial" w:eastAsia="SimSun" w:hAnsi="Arial" w:cs="Arial"/>
                <w:color w:val="000000"/>
                <w:kern w:val="0"/>
                <w:sz w:val="22"/>
                <w:szCs w:val="22"/>
              </w:rPr>
              <w:t>-760</w:t>
            </w:r>
          </w:p>
        </w:tc>
      </w:tr>
    </w:tbl>
    <w:p w:rsidR="00BC50E8" w:rsidRDefault="00BC50E8" w:rsidP="00B91FD4"/>
    <w:p w:rsidR="00B0119C" w:rsidRDefault="00BC50E8" w:rsidP="00B91FD4">
      <w:r w:rsidRPr="00BC50E8">
        <w:t>Source: Based on data from Ford Motor Co. Annual Reports</w:t>
      </w:r>
    </w:p>
    <w:p w:rsidR="00FA3F28" w:rsidRPr="007E2B4D" w:rsidRDefault="00FA3F28" w:rsidP="00FA3F28">
      <w:pPr>
        <w:rPr>
          <w:color w:val="FF0000"/>
        </w:rPr>
      </w:pPr>
      <w:r w:rsidRPr="007E2B4D">
        <w:rPr>
          <w:rFonts w:hint="eastAsia"/>
          <w:color w:val="FF0000"/>
        </w:rPr>
        <w:t>N</w:t>
      </w:r>
      <w:r w:rsidRPr="007E2B4D">
        <w:rPr>
          <w:color w:val="FF0000"/>
        </w:rPr>
        <w:t xml:space="preserve">ote: The data of NOPAT, Cost of capital, invested capital are calculated and collected from annual reports of Ford Motor Company. </w:t>
      </w:r>
      <w:r w:rsidRPr="007E2B4D">
        <w:rPr>
          <w:rFonts w:hint="eastAsia"/>
          <w:color w:val="FF0000"/>
        </w:rPr>
        <w:t>E</w:t>
      </w:r>
      <w:r w:rsidRPr="007E2B4D">
        <w:rPr>
          <w:color w:val="FF0000"/>
        </w:rPr>
        <w:t>VA is calculated according to the formulation: Economic profit = NOPAT – Cost of capital × Invested capital.</w:t>
      </w:r>
    </w:p>
    <w:p w:rsidR="00FA3F28" w:rsidRPr="007E2B4D" w:rsidRDefault="00FA3F28" w:rsidP="00FA3F28">
      <w:pPr>
        <w:rPr>
          <w:color w:val="FF0000"/>
        </w:rPr>
      </w:pPr>
      <w:r w:rsidRPr="007E2B4D">
        <w:rPr>
          <w:color w:val="FF0000"/>
        </w:rPr>
        <w:t xml:space="preserve">For example, </w:t>
      </w:r>
      <w:r w:rsidR="007E2B4D" w:rsidRPr="007E2B4D">
        <w:rPr>
          <w:color w:val="FF0000"/>
        </w:rPr>
        <w:t>economic profit of Ford in 2017 is: 6,637 - 4.65% * 176,866 = -1,590.</w:t>
      </w:r>
    </w:p>
    <w:p w:rsidR="00FA3F28" w:rsidRPr="00FA3F28" w:rsidRDefault="00FA3F28" w:rsidP="00B91FD4"/>
    <w:p w:rsidR="00FA3F28" w:rsidRDefault="00FA3F28" w:rsidP="00B91FD4"/>
    <w:p w:rsidR="00FA3F28" w:rsidRDefault="00FA3F28" w:rsidP="00B91FD4"/>
    <w:p w:rsidR="00E376D2" w:rsidRPr="00B91FD4" w:rsidRDefault="00E376D2" w:rsidP="00B91FD4">
      <w:r w:rsidRPr="00B91FD4">
        <w:rPr>
          <w:rFonts w:hint="eastAsia"/>
        </w:rPr>
        <w:t>T</w:t>
      </w:r>
      <w:r w:rsidRPr="00B91FD4">
        <w:t xml:space="preserve">able </w:t>
      </w:r>
      <w:r w:rsidR="00BC50E8">
        <w:t>6</w:t>
      </w:r>
      <w:r w:rsidR="00BE1382" w:rsidRPr="00B91FD4">
        <w:t>. Profit margin of selected worldwide automotive manufacturers, January to June 2016</w:t>
      </w:r>
    </w:p>
    <w:tbl>
      <w:tblPr>
        <w:tblStyle w:val="TableGrid"/>
        <w:tblW w:w="0" w:type="auto"/>
        <w:tblLook w:val="04A0" w:firstRow="1" w:lastRow="0" w:firstColumn="1" w:lastColumn="0" w:noHBand="0" w:noVBand="1"/>
      </w:tblPr>
      <w:tblGrid>
        <w:gridCol w:w="3114"/>
        <w:gridCol w:w="3402"/>
      </w:tblGrid>
      <w:tr w:rsidR="00BE1382" w:rsidRPr="00B91FD4" w:rsidTr="00BE1382">
        <w:tc>
          <w:tcPr>
            <w:tcW w:w="3114" w:type="dxa"/>
          </w:tcPr>
          <w:p w:rsidR="00BE1382" w:rsidRPr="00B91FD4" w:rsidRDefault="00BE1382" w:rsidP="00B91FD4">
            <w:r w:rsidRPr="00B91FD4">
              <w:rPr>
                <w:rFonts w:hint="eastAsia"/>
              </w:rPr>
              <w:t>A</w:t>
            </w:r>
            <w:r w:rsidRPr="00B91FD4">
              <w:t>utomotive Manufacturer</w:t>
            </w:r>
          </w:p>
        </w:tc>
        <w:tc>
          <w:tcPr>
            <w:tcW w:w="3402" w:type="dxa"/>
          </w:tcPr>
          <w:p w:rsidR="00BE1382" w:rsidRPr="00B91FD4" w:rsidRDefault="00BE1382" w:rsidP="00B91FD4">
            <w:r w:rsidRPr="00B91FD4">
              <w:rPr>
                <w:rFonts w:hint="eastAsia"/>
              </w:rPr>
              <w:t>P</w:t>
            </w:r>
            <w:r w:rsidRPr="00B91FD4">
              <w:t>rofit Margin</w:t>
            </w:r>
          </w:p>
        </w:tc>
      </w:tr>
      <w:tr w:rsidR="00BE1382" w:rsidRPr="00B91FD4" w:rsidTr="00BE1382">
        <w:tc>
          <w:tcPr>
            <w:tcW w:w="3114" w:type="dxa"/>
          </w:tcPr>
          <w:p w:rsidR="00BE1382" w:rsidRPr="00B91FD4" w:rsidRDefault="00BE1382" w:rsidP="00B91FD4">
            <w:r w:rsidRPr="00B91FD4">
              <w:rPr>
                <w:rFonts w:hint="eastAsia"/>
              </w:rPr>
              <w:t>F</w:t>
            </w:r>
            <w:r w:rsidRPr="00B91FD4">
              <w:t>ord</w:t>
            </w:r>
          </w:p>
        </w:tc>
        <w:tc>
          <w:tcPr>
            <w:tcW w:w="3402" w:type="dxa"/>
          </w:tcPr>
          <w:p w:rsidR="00BE1382" w:rsidRPr="00B91FD4" w:rsidRDefault="00BE1382" w:rsidP="00B91FD4">
            <w:r w:rsidRPr="00B91FD4">
              <w:rPr>
                <w:rFonts w:hint="eastAsia"/>
              </w:rPr>
              <w:t>8</w:t>
            </w:r>
            <w:r w:rsidRPr="00B91FD4">
              <w:t>.7%</w:t>
            </w:r>
          </w:p>
        </w:tc>
      </w:tr>
      <w:tr w:rsidR="00BE1382" w:rsidRPr="00B91FD4" w:rsidTr="00BE1382">
        <w:tc>
          <w:tcPr>
            <w:tcW w:w="3114" w:type="dxa"/>
          </w:tcPr>
          <w:p w:rsidR="00BE1382" w:rsidRPr="00B91FD4" w:rsidRDefault="00BE1382" w:rsidP="00B91FD4">
            <w:r w:rsidRPr="00B91FD4">
              <w:rPr>
                <w:rFonts w:hint="eastAsia"/>
              </w:rPr>
              <w:t>G</w:t>
            </w:r>
            <w:r w:rsidRPr="00B91FD4">
              <w:t>M</w:t>
            </w:r>
          </w:p>
        </w:tc>
        <w:tc>
          <w:tcPr>
            <w:tcW w:w="3402" w:type="dxa"/>
          </w:tcPr>
          <w:p w:rsidR="00BE1382" w:rsidRPr="00B91FD4" w:rsidRDefault="00BE1382" w:rsidP="00B91FD4">
            <w:r w:rsidRPr="00B91FD4">
              <w:rPr>
                <w:rFonts w:hint="eastAsia"/>
              </w:rPr>
              <w:t>8</w:t>
            </w:r>
            <w:r w:rsidRPr="00B91FD4">
              <w:t>.6%</w:t>
            </w:r>
          </w:p>
        </w:tc>
      </w:tr>
      <w:tr w:rsidR="00BE1382" w:rsidRPr="00B91FD4" w:rsidTr="00BE1382">
        <w:tc>
          <w:tcPr>
            <w:tcW w:w="3114" w:type="dxa"/>
          </w:tcPr>
          <w:p w:rsidR="00BE1382" w:rsidRPr="00B91FD4" w:rsidRDefault="00BE1382" w:rsidP="00B91FD4">
            <w:r w:rsidRPr="00B91FD4">
              <w:rPr>
                <w:rFonts w:hint="eastAsia"/>
              </w:rPr>
              <w:t>T</w:t>
            </w:r>
            <w:r w:rsidRPr="00B91FD4">
              <w:t>oyota</w:t>
            </w:r>
          </w:p>
        </w:tc>
        <w:tc>
          <w:tcPr>
            <w:tcW w:w="3402" w:type="dxa"/>
          </w:tcPr>
          <w:p w:rsidR="00BE1382" w:rsidRPr="00B91FD4" w:rsidRDefault="00BE1382" w:rsidP="00B91FD4">
            <w:r w:rsidRPr="00B91FD4">
              <w:rPr>
                <w:rFonts w:hint="eastAsia"/>
              </w:rPr>
              <w:t>8</w:t>
            </w:r>
            <w:r w:rsidRPr="00B91FD4">
              <w:t>%</w:t>
            </w:r>
          </w:p>
        </w:tc>
      </w:tr>
      <w:tr w:rsidR="00BE1382" w:rsidRPr="00B91FD4" w:rsidTr="00BE1382">
        <w:tc>
          <w:tcPr>
            <w:tcW w:w="3114" w:type="dxa"/>
          </w:tcPr>
          <w:p w:rsidR="00BE1382" w:rsidRPr="00B91FD4" w:rsidRDefault="00BE1382" w:rsidP="00B91FD4">
            <w:r w:rsidRPr="00B91FD4">
              <w:rPr>
                <w:rFonts w:hint="eastAsia"/>
              </w:rPr>
              <w:lastRenderedPageBreak/>
              <w:t>P</w:t>
            </w:r>
            <w:r w:rsidRPr="00B91FD4">
              <w:t>eugeot Citroen</w:t>
            </w:r>
          </w:p>
        </w:tc>
        <w:tc>
          <w:tcPr>
            <w:tcW w:w="3402" w:type="dxa"/>
          </w:tcPr>
          <w:p w:rsidR="00BE1382" w:rsidRPr="00B91FD4" w:rsidRDefault="00BE1382" w:rsidP="00B91FD4">
            <w:r w:rsidRPr="00B91FD4">
              <w:rPr>
                <w:rFonts w:hint="eastAsia"/>
              </w:rPr>
              <w:t>6</w:t>
            </w:r>
            <w:r w:rsidRPr="00B91FD4">
              <w:t>.8%</w:t>
            </w:r>
          </w:p>
        </w:tc>
      </w:tr>
      <w:tr w:rsidR="00BE1382" w:rsidRPr="00B91FD4" w:rsidTr="00BE1382">
        <w:tc>
          <w:tcPr>
            <w:tcW w:w="3114" w:type="dxa"/>
          </w:tcPr>
          <w:p w:rsidR="00BE1382" w:rsidRPr="00B91FD4" w:rsidRDefault="00BE1382" w:rsidP="00B91FD4">
            <w:r w:rsidRPr="00B91FD4">
              <w:rPr>
                <w:rFonts w:hint="eastAsia"/>
              </w:rPr>
              <w:t>H</w:t>
            </w:r>
            <w:r w:rsidRPr="00B91FD4">
              <w:t>yundai Kia</w:t>
            </w:r>
          </w:p>
        </w:tc>
        <w:tc>
          <w:tcPr>
            <w:tcW w:w="3402" w:type="dxa"/>
          </w:tcPr>
          <w:p w:rsidR="00BE1382" w:rsidRPr="00B91FD4" w:rsidRDefault="00BE1382" w:rsidP="00B91FD4">
            <w:r w:rsidRPr="00B91FD4">
              <w:rPr>
                <w:rFonts w:hint="eastAsia"/>
              </w:rPr>
              <w:t>6</w:t>
            </w:r>
            <w:r w:rsidRPr="00B91FD4">
              <w:t>%</w:t>
            </w:r>
          </w:p>
        </w:tc>
      </w:tr>
      <w:tr w:rsidR="00BE1382" w:rsidRPr="00B91FD4" w:rsidTr="00BE1382">
        <w:tc>
          <w:tcPr>
            <w:tcW w:w="3114" w:type="dxa"/>
          </w:tcPr>
          <w:p w:rsidR="00BE1382" w:rsidRPr="00B91FD4" w:rsidRDefault="00BE1382" w:rsidP="00B91FD4">
            <w:r w:rsidRPr="00B91FD4">
              <w:rPr>
                <w:rFonts w:hint="eastAsia"/>
              </w:rPr>
              <w:t>F</w:t>
            </w:r>
            <w:r w:rsidRPr="00B91FD4">
              <w:t>iat Chrysler</w:t>
            </w:r>
          </w:p>
        </w:tc>
        <w:tc>
          <w:tcPr>
            <w:tcW w:w="3402" w:type="dxa"/>
          </w:tcPr>
          <w:p w:rsidR="00BE1382" w:rsidRPr="00B91FD4" w:rsidRDefault="00BE1382" w:rsidP="00B91FD4">
            <w:r w:rsidRPr="00B91FD4">
              <w:rPr>
                <w:rFonts w:hint="eastAsia"/>
              </w:rPr>
              <w:t>5</w:t>
            </w:r>
            <w:r w:rsidRPr="00B91FD4">
              <w:t>.9%</w:t>
            </w:r>
          </w:p>
        </w:tc>
      </w:tr>
      <w:tr w:rsidR="00BE1382" w:rsidRPr="00B91FD4" w:rsidTr="00BE1382">
        <w:tc>
          <w:tcPr>
            <w:tcW w:w="3114" w:type="dxa"/>
          </w:tcPr>
          <w:p w:rsidR="00BE1382" w:rsidRPr="00B91FD4" w:rsidRDefault="00BE1382" w:rsidP="00B91FD4">
            <w:r w:rsidRPr="00B91FD4">
              <w:rPr>
                <w:rFonts w:hint="eastAsia"/>
              </w:rPr>
              <w:t>R</w:t>
            </w:r>
            <w:r w:rsidRPr="00B91FD4">
              <w:t>enault Nissan</w:t>
            </w:r>
          </w:p>
        </w:tc>
        <w:tc>
          <w:tcPr>
            <w:tcW w:w="3402" w:type="dxa"/>
          </w:tcPr>
          <w:p w:rsidR="00BE1382" w:rsidRPr="00B91FD4" w:rsidRDefault="00BE1382" w:rsidP="00B91FD4">
            <w:r w:rsidRPr="00B91FD4">
              <w:rPr>
                <w:rFonts w:hint="eastAsia"/>
              </w:rPr>
              <w:t>4</w:t>
            </w:r>
            <w:r w:rsidRPr="00B91FD4">
              <w:t>.7%</w:t>
            </w:r>
          </w:p>
        </w:tc>
      </w:tr>
      <w:tr w:rsidR="00BE1382" w:rsidRPr="00B91FD4" w:rsidTr="00BE1382">
        <w:tc>
          <w:tcPr>
            <w:tcW w:w="3114" w:type="dxa"/>
          </w:tcPr>
          <w:p w:rsidR="00BE1382" w:rsidRPr="00B91FD4" w:rsidRDefault="00BE1382" w:rsidP="00B91FD4">
            <w:r w:rsidRPr="00B91FD4">
              <w:rPr>
                <w:rFonts w:hint="eastAsia"/>
              </w:rPr>
              <w:t>V</w:t>
            </w:r>
            <w:r w:rsidRPr="00B91FD4">
              <w:t>olkswagen</w:t>
            </w:r>
          </w:p>
        </w:tc>
        <w:tc>
          <w:tcPr>
            <w:tcW w:w="3402" w:type="dxa"/>
          </w:tcPr>
          <w:p w:rsidR="00BE1382" w:rsidRPr="00B91FD4" w:rsidRDefault="00BE1382" w:rsidP="00B91FD4">
            <w:r w:rsidRPr="00B91FD4">
              <w:rPr>
                <w:rFonts w:hint="eastAsia"/>
              </w:rPr>
              <w:t>4</w:t>
            </w:r>
            <w:r w:rsidRPr="00B91FD4">
              <w:t>.5%</w:t>
            </w:r>
          </w:p>
        </w:tc>
      </w:tr>
    </w:tbl>
    <w:p w:rsidR="00E376D2" w:rsidRPr="00B91FD4" w:rsidRDefault="00BE1382" w:rsidP="00B91FD4">
      <w:r w:rsidRPr="00B91FD4">
        <w:rPr>
          <w:rFonts w:hint="eastAsia"/>
        </w:rPr>
        <w:t>S</w:t>
      </w:r>
      <w:r w:rsidRPr="00B91FD4">
        <w:t>ource: Statista</w:t>
      </w:r>
    </w:p>
    <w:p w:rsidR="00BE1382" w:rsidRPr="00B91FD4" w:rsidRDefault="00BE1382" w:rsidP="00B91FD4"/>
    <w:p w:rsidR="00402161" w:rsidRPr="00B91FD4" w:rsidRDefault="00B91FD4" w:rsidP="00B91FD4">
      <w:pPr>
        <w:pStyle w:val="Heading1"/>
      </w:pPr>
      <w:r>
        <w:t>4</w:t>
      </w:r>
      <w:r w:rsidR="00402161" w:rsidRPr="00B91FD4">
        <w:t xml:space="preserve">. </w:t>
      </w:r>
      <w:r>
        <w:t>M</w:t>
      </w:r>
      <w:r w:rsidR="00402161" w:rsidRPr="00B91FD4">
        <w:t>arket structure</w:t>
      </w:r>
      <w:r>
        <w:t xml:space="preserve"> of</w:t>
      </w:r>
      <w:r w:rsidR="00402161" w:rsidRPr="00B91FD4">
        <w:t xml:space="preserve"> </w:t>
      </w:r>
      <w:r>
        <w:t>UK Automotive Market</w:t>
      </w:r>
    </w:p>
    <w:p w:rsidR="000E198D" w:rsidRPr="00B91FD4" w:rsidRDefault="000E198D" w:rsidP="00B91FD4">
      <w:r w:rsidRPr="00B91FD4">
        <w:t>The automotive market in UK is monopolistic competition</w:t>
      </w:r>
      <w:r w:rsidR="00B91FD4">
        <w:t>.</w:t>
      </w:r>
      <w:r w:rsidRPr="00B91FD4">
        <w:t xml:space="preserve"> The leading three automakers in the market are Ford, Vauxhall and Volkswagen. As the leading automotive company in UK, Ford has a market share of 10.19% followed by Volkswagen with a market share of 10.06% of UK automotive market</w:t>
      </w:r>
      <w:r w:rsidR="008610F1">
        <w:rPr>
          <w:rStyle w:val="FootnoteReference"/>
        </w:rPr>
        <w:footnoteReference w:id="9"/>
      </w:r>
      <w:r w:rsidRPr="00B91FD4">
        <w:t xml:space="preserve"> (Leading car companies’ market share in UK, 2018). In 2017, Ford Fiesta is the </w:t>
      </w:r>
      <w:proofErr w:type="spellStart"/>
      <w:r w:rsidRPr="00B91FD4">
        <w:t>best selling</w:t>
      </w:r>
      <w:proofErr w:type="spellEnd"/>
      <w:r w:rsidRPr="00B91FD4">
        <w:t xml:space="preserve"> car model. Over 94.5 thousand new models are sold</w:t>
      </w:r>
      <w:r w:rsidR="008610F1">
        <w:rPr>
          <w:rStyle w:val="FootnoteReference"/>
        </w:rPr>
        <w:footnoteReference w:id="10"/>
      </w:r>
      <w:r w:rsidRPr="00B91FD4">
        <w:t xml:space="preserve"> (</w:t>
      </w:r>
      <w:proofErr w:type="spellStart"/>
      <w:r w:rsidRPr="00B91FD4">
        <w:t>Best selling</w:t>
      </w:r>
      <w:proofErr w:type="spellEnd"/>
      <w:r w:rsidRPr="00B91FD4">
        <w:t xml:space="preserve"> car models in UK in 2017, 2018). The market is highly competitive with lots of automakers and various car models. </w:t>
      </w:r>
    </w:p>
    <w:p w:rsidR="000E198D" w:rsidRPr="00B91FD4" w:rsidRDefault="000E198D" w:rsidP="00B91FD4"/>
    <w:p w:rsidR="00BE07CD" w:rsidRPr="00B91FD4" w:rsidRDefault="00BE07CD" w:rsidP="00B91FD4">
      <w:r w:rsidRPr="00B91FD4">
        <w:t xml:space="preserve">Ford has applied a moderate price strategy to attract the mass consumers. According to Figure </w:t>
      </w:r>
      <w:r w:rsidR="008610F1">
        <w:t>7</w:t>
      </w:r>
      <w:r w:rsidRPr="00B91FD4">
        <w:t>, the price of Ford is moderate, not as expensive as luxury brand such as Mercedes-Benz and BMW</w:t>
      </w:r>
      <w:r w:rsidR="008610F1">
        <w:rPr>
          <w:rStyle w:val="FootnoteReference"/>
        </w:rPr>
        <w:footnoteReference w:id="11"/>
      </w:r>
      <w:r w:rsidRPr="00B91FD4">
        <w:t>. Based on the affordable price, Ford has improved its manufacturing and product development in the recent years</w:t>
      </w:r>
      <w:r w:rsidR="00F15FB8" w:rsidRPr="00B91FD4">
        <w:t>, while a range of inexpensive vehicles in different categories are provided to consumers. With high level of customization, Ford offer more choices for consumers to expand its market share</w:t>
      </w:r>
      <w:r w:rsidR="008610F1">
        <w:rPr>
          <w:rStyle w:val="FootnoteReference"/>
        </w:rPr>
        <w:footnoteReference w:id="12"/>
      </w:r>
      <w:r w:rsidR="00F15FB8" w:rsidRPr="00B91FD4">
        <w:t xml:space="preserve"> (Business Strategy – Ford, 2018). </w:t>
      </w:r>
    </w:p>
    <w:p w:rsidR="00BE07CD" w:rsidRPr="00B91FD4" w:rsidRDefault="00BE07CD" w:rsidP="00B91FD4"/>
    <w:p w:rsidR="00BE07CD" w:rsidRPr="00B91FD4" w:rsidRDefault="00BE07CD" w:rsidP="00B91FD4">
      <w:r w:rsidRPr="00B91FD4">
        <w:t xml:space="preserve">Figure </w:t>
      </w:r>
      <w:r w:rsidR="008610F1">
        <w:t>7</w:t>
      </w:r>
      <w:r w:rsidRPr="00B91FD4">
        <w:t>. Average prices of some automakers in EU the in 2016, by brand</w:t>
      </w:r>
    </w:p>
    <w:p w:rsidR="00BE07CD" w:rsidRPr="00B91FD4" w:rsidRDefault="00BE07CD" w:rsidP="00B91FD4">
      <w:r w:rsidRPr="00B91FD4">
        <w:rPr>
          <w:noProof/>
          <w:lang w:val="en-GB" w:eastAsia="en-GB"/>
        </w:rPr>
        <w:drawing>
          <wp:inline distT="0" distB="0" distL="0" distR="0" wp14:anchorId="12731155" wp14:editId="636CB674">
            <wp:extent cx="5270500" cy="6314738"/>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b="496"/>
                    <a:stretch/>
                  </pic:blipFill>
                  <pic:spPr bwMode="auto">
                    <a:xfrm>
                      <a:off x="0" y="0"/>
                      <a:ext cx="5270500" cy="6314738"/>
                    </a:xfrm>
                    <a:prstGeom prst="rect">
                      <a:avLst/>
                    </a:prstGeom>
                    <a:ln>
                      <a:noFill/>
                    </a:ln>
                    <a:extLst>
                      <a:ext uri="{53640926-AAD7-44D8-BBD7-CCE9431645EC}">
                        <a14:shadowObscured xmlns:a14="http://schemas.microsoft.com/office/drawing/2010/main"/>
                      </a:ext>
                    </a:extLst>
                  </pic:spPr>
                </pic:pic>
              </a:graphicData>
            </a:graphic>
          </wp:inline>
        </w:drawing>
      </w:r>
    </w:p>
    <w:p w:rsidR="00BE07CD" w:rsidRPr="00B91FD4" w:rsidRDefault="00BE07CD" w:rsidP="00B91FD4">
      <w:r w:rsidRPr="00B91FD4">
        <w:t>Source: Statista</w:t>
      </w:r>
    </w:p>
    <w:p w:rsidR="00BE07CD" w:rsidRPr="00B91FD4" w:rsidRDefault="00BE07CD" w:rsidP="00B91FD4"/>
    <w:p w:rsidR="00BE07CD" w:rsidRPr="00B91FD4" w:rsidRDefault="00BE07CD" w:rsidP="00B91FD4">
      <w:r w:rsidRPr="00B91FD4">
        <w:t xml:space="preserve">According to Figure </w:t>
      </w:r>
      <w:r w:rsidR="008610F1">
        <w:t>8</w:t>
      </w:r>
      <w:r w:rsidRPr="00B91FD4">
        <w:t>, higher market share results in more retail sales since industry volume is constant</w:t>
      </w:r>
      <w:r w:rsidR="008610F1">
        <w:rPr>
          <w:rStyle w:val="FootnoteReference"/>
        </w:rPr>
        <w:footnoteReference w:id="13"/>
      </w:r>
      <w:r w:rsidRPr="00B91FD4">
        <w:t xml:space="preserve">. Therefore, as a market leader in a monopolistic competition market, Ford can get a better financial performance in UK compared to its competitors. </w:t>
      </w:r>
      <w:r w:rsidRPr="00B91FD4">
        <w:lastRenderedPageBreak/>
        <w:t xml:space="preserve">Since the market structure would not be changed in the short term, Ford would benefit from its market position and continue earn above average profit (according to Table </w:t>
      </w:r>
      <w:r w:rsidR="008610F1">
        <w:t>6</w:t>
      </w:r>
      <w:r w:rsidRPr="00B91FD4">
        <w:t>, Ford has earned above average profit).</w:t>
      </w:r>
    </w:p>
    <w:p w:rsidR="00BE07CD" w:rsidRPr="00B91FD4" w:rsidRDefault="00BE07CD" w:rsidP="00B91FD4"/>
    <w:p w:rsidR="00BE07CD" w:rsidRPr="00B91FD4" w:rsidRDefault="00BE07CD" w:rsidP="00B91FD4">
      <w:r w:rsidRPr="00B91FD4">
        <w:rPr>
          <w:rFonts w:hint="eastAsia"/>
        </w:rPr>
        <w:t>F</w:t>
      </w:r>
      <w:r w:rsidRPr="00B91FD4">
        <w:t xml:space="preserve">igure </w:t>
      </w:r>
      <w:r w:rsidR="008610F1">
        <w:t>8</w:t>
      </w:r>
      <w:r w:rsidRPr="00B91FD4">
        <w:t>. Retail sales, Industry volume, and Market share of Ford</w:t>
      </w:r>
    </w:p>
    <w:p w:rsidR="00BE07CD" w:rsidRPr="00B91FD4" w:rsidRDefault="00BE07CD" w:rsidP="00B91FD4">
      <w:r w:rsidRPr="00B91FD4">
        <w:rPr>
          <w:noProof/>
          <w:lang w:val="en-GB" w:eastAsia="en-GB"/>
        </w:rPr>
        <w:drawing>
          <wp:inline distT="0" distB="0" distL="0" distR="0" wp14:anchorId="3F752B1E" wp14:editId="0D03F38B">
            <wp:extent cx="5270500" cy="2840355"/>
            <wp:effectExtent l="0" t="0" r="0" b="444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0500" cy="2840355"/>
                    </a:xfrm>
                    <a:prstGeom prst="rect">
                      <a:avLst/>
                    </a:prstGeom>
                  </pic:spPr>
                </pic:pic>
              </a:graphicData>
            </a:graphic>
          </wp:inline>
        </w:drawing>
      </w:r>
    </w:p>
    <w:p w:rsidR="00BE07CD" w:rsidRPr="00B91FD4" w:rsidRDefault="00BE07CD" w:rsidP="00B91FD4">
      <w:r w:rsidRPr="00B91FD4">
        <w:rPr>
          <w:rFonts w:hint="eastAsia"/>
        </w:rPr>
        <w:t>S</w:t>
      </w:r>
      <w:r w:rsidRPr="00B91FD4">
        <w:t>ource: Ford Motor Company 2017 Annual Report</w:t>
      </w:r>
    </w:p>
    <w:p w:rsidR="000E198D" w:rsidRPr="00B91FD4" w:rsidRDefault="000E198D" w:rsidP="00B91FD4"/>
    <w:p w:rsidR="00402161" w:rsidRPr="00B91FD4" w:rsidRDefault="00ED763B" w:rsidP="00ED763B">
      <w:pPr>
        <w:pStyle w:val="Heading1"/>
      </w:pPr>
      <w:r>
        <w:t>5</w:t>
      </w:r>
      <w:r w:rsidR="00402161" w:rsidRPr="00B91FD4">
        <w:t xml:space="preserve">. </w:t>
      </w:r>
      <w:r w:rsidR="003B2C27" w:rsidRPr="00B91FD4">
        <w:t>G</w:t>
      </w:r>
      <w:r w:rsidR="00402161" w:rsidRPr="00B91FD4">
        <w:t>overnment</w:t>
      </w:r>
      <w:r w:rsidR="003B2C27" w:rsidRPr="00B91FD4">
        <w:t xml:space="preserve"> Regulations</w:t>
      </w:r>
      <w:r w:rsidR="00402161" w:rsidRPr="00B91FD4">
        <w:t xml:space="preserve"> </w:t>
      </w:r>
    </w:p>
    <w:p w:rsidR="00402161" w:rsidRPr="00B91FD4" w:rsidRDefault="003B2C27" w:rsidP="00B91FD4">
      <w:r w:rsidRPr="00B91FD4">
        <w:t>Ford has changed to invest less in manufacturing cars and put more money into electric vehicles to face the regulation. $4.5 billion has been announced by Ford Group to add 12 new electric cars by 2020 in addition to the gas-combustion engine models</w:t>
      </w:r>
      <w:r w:rsidR="008610F1">
        <w:rPr>
          <w:rStyle w:val="FootnoteReference"/>
        </w:rPr>
        <w:footnoteReference w:id="14"/>
      </w:r>
      <w:r w:rsidR="008610F1">
        <w:t xml:space="preserve"> (</w:t>
      </w:r>
      <w:r w:rsidR="008610F1" w:rsidRPr="00B91FD4">
        <w:t>Ford Motor Company 2017 Annual Report</w:t>
      </w:r>
      <w:r w:rsidR="008610F1">
        <w:t>, 2018)</w:t>
      </w:r>
      <w:r w:rsidRPr="00B91FD4">
        <w:t xml:space="preserve">. However, improvements on fuel economy need time and investment, although regulations on emissions are increasingly strengthened, consumers would not choose electric vehicles while the fuel prices remain relatively low. Ford </w:t>
      </w:r>
      <w:r w:rsidR="00B91FD4" w:rsidRPr="00B91FD4">
        <w:t>must</w:t>
      </w:r>
      <w:r w:rsidRPr="00B91FD4">
        <w:t xml:space="preserve"> pay its profits to develop the electric vehicles even through there is less market demand.</w:t>
      </w:r>
    </w:p>
    <w:p w:rsidR="00402161" w:rsidRDefault="00402161" w:rsidP="00B91FD4"/>
    <w:p w:rsidR="00ED763B" w:rsidRDefault="00ED763B" w:rsidP="00B91FD4"/>
    <w:p w:rsidR="00ED763B" w:rsidRDefault="00ED763B" w:rsidP="00ED763B">
      <w:pPr>
        <w:pStyle w:val="Heading1"/>
        <w:sectPr w:rsidR="00ED763B" w:rsidSect="00EA208B">
          <w:pgSz w:w="11900" w:h="16840"/>
          <w:pgMar w:top="1440" w:right="1800" w:bottom="1440" w:left="1800" w:header="851" w:footer="992" w:gutter="0"/>
          <w:cols w:space="425"/>
          <w:docGrid w:type="lines" w:linePitch="423"/>
        </w:sectPr>
      </w:pPr>
    </w:p>
    <w:p w:rsidR="00ED763B" w:rsidRDefault="00ED763B" w:rsidP="00ED763B">
      <w:pPr>
        <w:pStyle w:val="Heading1"/>
      </w:pPr>
      <w:r>
        <w:rPr>
          <w:rFonts w:hint="eastAsia"/>
        </w:rPr>
        <w:lastRenderedPageBreak/>
        <w:t>R</w:t>
      </w:r>
      <w:r>
        <w:t>eference</w:t>
      </w:r>
    </w:p>
    <w:p w:rsidR="00A66E91" w:rsidRPr="00A66E91" w:rsidRDefault="00A66E91" w:rsidP="00A66E91">
      <w:pPr>
        <w:autoSpaceDE w:val="0"/>
        <w:autoSpaceDN w:val="0"/>
        <w:adjustRightInd w:val="0"/>
        <w:rPr>
          <w:rFonts w:eastAsia=".PingFang SC"/>
          <w:color w:val="353535"/>
          <w:kern w:val="0"/>
        </w:rPr>
      </w:pPr>
      <w:r w:rsidRPr="00A66E91">
        <w:rPr>
          <w:color w:val="353535"/>
          <w:kern w:val="0"/>
        </w:rPr>
        <w:t>Average prices of some automakers in EU the in 2016</w:t>
      </w:r>
      <w:r w:rsidRPr="00A66E91">
        <w:rPr>
          <w:rFonts w:eastAsia=".PingFang SC"/>
          <w:color w:val="353535"/>
          <w:kern w:val="0"/>
        </w:rPr>
        <w:t xml:space="preserve">, by brand (2018) </w:t>
      </w:r>
      <w:r w:rsidRPr="00A66E91">
        <w:rPr>
          <w:rFonts w:eastAsia=".PingFang SC"/>
          <w:i/>
          <w:color w:val="353535"/>
          <w:kern w:val="0"/>
        </w:rPr>
        <w:t>Statista.</w:t>
      </w:r>
      <w:r>
        <w:t xml:space="preserve"> Retrieved from:</w:t>
      </w:r>
      <w:r>
        <w:rPr>
          <w:rFonts w:eastAsia=".PingFang SC" w:hint="eastAsia"/>
          <w:color w:val="353535"/>
          <w:kern w:val="0"/>
        </w:rPr>
        <w:t xml:space="preserve"> </w:t>
      </w:r>
      <w:r w:rsidRPr="00A66E91">
        <w:rPr>
          <w:rFonts w:eastAsia=".PingFang SC"/>
          <w:color w:val="353535"/>
          <w:kern w:val="0"/>
        </w:rPr>
        <w:t>https://www.statista.com/statistics/425240/eu-car-sales-average-prices-in-by-make/</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proofErr w:type="spellStart"/>
      <w:r w:rsidRPr="00A66E91">
        <w:rPr>
          <w:rFonts w:eastAsia=".PingFang SC"/>
          <w:color w:val="353535"/>
          <w:kern w:val="0"/>
        </w:rPr>
        <w:t>Best selling</w:t>
      </w:r>
      <w:proofErr w:type="spellEnd"/>
      <w:r w:rsidRPr="00A66E91">
        <w:rPr>
          <w:rFonts w:eastAsia=".PingFang SC"/>
          <w:color w:val="353535"/>
          <w:kern w:val="0"/>
        </w:rPr>
        <w:t xml:space="preserve"> car models in UK in 2017 (2018) </w:t>
      </w:r>
      <w:r w:rsidRPr="00A66E91">
        <w:rPr>
          <w:rFonts w:eastAsia=".PingFang SC"/>
          <w:i/>
          <w:color w:val="353535"/>
          <w:kern w:val="0"/>
        </w:rPr>
        <w:t>Statista.</w:t>
      </w:r>
      <w:r w:rsidRPr="00A66E91">
        <w:rPr>
          <w:rFonts w:eastAsia=".PingFang SC"/>
          <w:color w:val="353535"/>
          <w:kern w:val="0"/>
        </w:rPr>
        <w:t xml:space="preserve"> </w:t>
      </w:r>
      <w:r>
        <w:t>Retrieved from:</w:t>
      </w:r>
      <w:r>
        <w:rPr>
          <w:rFonts w:eastAsia=".PingFang SC" w:hint="eastAsia"/>
          <w:color w:val="353535"/>
          <w:kern w:val="0"/>
        </w:rPr>
        <w:t xml:space="preserve"> </w:t>
      </w:r>
      <w:r w:rsidRPr="00A66E91">
        <w:rPr>
          <w:rFonts w:eastAsia=".PingFang SC"/>
          <w:color w:val="353535"/>
          <w:kern w:val="0"/>
        </w:rPr>
        <w:t>https://www.statista.com/statistics/299018/car-models-which-sold-the-most-in-the-united-kingdom/</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Business Strategy</w:t>
      </w:r>
      <w:r>
        <w:rPr>
          <w:rFonts w:eastAsia=".PingFang SC"/>
          <w:color w:val="353535"/>
          <w:kern w:val="0"/>
        </w:rPr>
        <w:t xml:space="preserve"> (2018)</w:t>
      </w:r>
      <w:r w:rsidRPr="00A66E91">
        <w:rPr>
          <w:rFonts w:eastAsia=".PingFang SC"/>
          <w:color w:val="353535"/>
          <w:kern w:val="0"/>
        </w:rPr>
        <w:t xml:space="preserve"> </w:t>
      </w:r>
      <w:r w:rsidRPr="00A66E91">
        <w:rPr>
          <w:rFonts w:eastAsia=".PingFang SC"/>
          <w:i/>
          <w:color w:val="353535"/>
          <w:kern w:val="0"/>
        </w:rPr>
        <w:t>Ford.</w:t>
      </w:r>
      <w:r>
        <w:t xml:space="preserve"> Retrieved from:</w:t>
      </w:r>
      <w:r w:rsidRPr="00A66E91">
        <w:rPr>
          <w:rFonts w:eastAsia=".PingFang SC"/>
          <w:color w:val="353535"/>
          <w:kern w:val="0"/>
        </w:rPr>
        <w:t>https://www.ford.co.uk/experience-ford/careers/business-functions/business-strategy</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 xml:space="preserve">EU car sales: average prices in 2016, by brand (2018) Statista. </w:t>
      </w:r>
      <w:r>
        <w:t>Retrieved from:</w:t>
      </w: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https://www.statista.com/statistics/425240/eu-car-sales-average-prices-in-by-make/</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i/>
          <w:color w:val="353535"/>
          <w:kern w:val="0"/>
        </w:rPr>
        <w:t>Ford</w:t>
      </w:r>
      <w:r>
        <w:rPr>
          <w:rFonts w:eastAsia=".PingFang SC"/>
          <w:color w:val="353535"/>
          <w:kern w:val="0"/>
        </w:rPr>
        <w:t xml:space="preserve"> (2018)</w:t>
      </w:r>
      <w:r>
        <w:t xml:space="preserve"> Retrieved from:</w:t>
      </w:r>
      <w:r>
        <w:rPr>
          <w:rFonts w:eastAsia=".PingFang SC" w:hint="eastAsia"/>
          <w:color w:val="353535"/>
          <w:kern w:val="0"/>
        </w:rPr>
        <w:t xml:space="preserve"> </w:t>
      </w:r>
      <w:r w:rsidRPr="00A66E91">
        <w:rPr>
          <w:rFonts w:eastAsia=".PingFang SC"/>
          <w:color w:val="353535"/>
          <w:kern w:val="0"/>
        </w:rPr>
        <w:t>https://www.ford.com/cars/fiesta/?gnav=header-all-vehicles</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Ford Fiesta cars registered in UK 2000-2017</w:t>
      </w:r>
      <w:r>
        <w:rPr>
          <w:rFonts w:eastAsia=".PingFang SC"/>
          <w:color w:val="353535"/>
          <w:kern w:val="0"/>
        </w:rPr>
        <w:t xml:space="preserve"> (2018)</w:t>
      </w:r>
      <w:r w:rsidRPr="00A66E91">
        <w:rPr>
          <w:rFonts w:eastAsia=".PingFang SC"/>
          <w:color w:val="353535"/>
          <w:kern w:val="0"/>
        </w:rPr>
        <w:t xml:space="preserve"> </w:t>
      </w:r>
      <w:r w:rsidRPr="00A66E91">
        <w:rPr>
          <w:rFonts w:eastAsia=".PingFang SC"/>
          <w:i/>
          <w:color w:val="353535"/>
          <w:kern w:val="0"/>
        </w:rPr>
        <w:t>Statista.</w:t>
      </w:r>
      <w:r>
        <w:t xml:space="preserve"> Retrieved from:</w:t>
      </w:r>
      <w:r>
        <w:rPr>
          <w:rFonts w:eastAsia=".PingFang SC" w:hint="eastAsia"/>
          <w:color w:val="353535"/>
          <w:kern w:val="0"/>
        </w:rPr>
        <w:t xml:space="preserve"> </w:t>
      </w:r>
      <w:r w:rsidRPr="00A66E91">
        <w:rPr>
          <w:rFonts w:eastAsia=".PingFang SC"/>
          <w:color w:val="353535"/>
          <w:kern w:val="0"/>
        </w:rPr>
        <w:t>https://www.statista.com/statistics/313272/ford-fiesta-registered-cars-in-great-britain/</w:t>
      </w:r>
    </w:p>
    <w:p w:rsidR="002B2776" w:rsidRPr="00A66E91" w:rsidRDefault="002B2776" w:rsidP="002B2776">
      <w:pPr>
        <w:autoSpaceDE w:val="0"/>
        <w:autoSpaceDN w:val="0"/>
        <w:adjustRightInd w:val="0"/>
        <w:rPr>
          <w:rFonts w:eastAsia=".PingFang SC"/>
          <w:color w:val="353535"/>
          <w:kern w:val="0"/>
        </w:rPr>
      </w:pPr>
    </w:p>
    <w:p w:rsidR="002B2776" w:rsidRPr="00A66E91" w:rsidRDefault="002B2776" w:rsidP="002B2776">
      <w:pPr>
        <w:autoSpaceDE w:val="0"/>
        <w:autoSpaceDN w:val="0"/>
        <w:adjustRightInd w:val="0"/>
        <w:rPr>
          <w:rFonts w:eastAsia=".PingFang SC"/>
          <w:color w:val="353535"/>
          <w:kern w:val="0"/>
        </w:rPr>
      </w:pPr>
      <w:r w:rsidRPr="00A66E91">
        <w:rPr>
          <w:rFonts w:eastAsia=".PingFang SC"/>
          <w:color w:val="353535"/>
          <w:kern w:val="0"/>
        </w:rPr>
        <w:t>GDP per capita (current US$) of UK</w:t>
      </w:r>
      <w:r>
        <w:rPr>
          <w:rFonts w:eastAsia=".PingFang SC"/>
          <w:color w:val="353535"/>
          <w:kern w:val="0"/>
        </w:rPr>
        <w:t xml:space="preserve"> (2018)</w:t>
      </w:r>
      <w:r w:rsidRPr="00A66E91">
        <w:rPr>
          <w:rFonts w:eastAsia=".PingFang SC"/>
          <w:i/>
          <w:color w:val="353535"/>
          <w:kern w:val="0"/>
        </w:rPr>
        <w:t xml:space="preserve"> The World Bank</w:t>
      </w:r>
      <w:r>
        <w:rPr>
          <w:rFonts w:eastAsia=".PingFang SC"/>
          <w:color w:val="353535"/>
          <w:kern w:val="0"/>
        </w:rPr>
        <w:t>.</w:t>
      </w:r>
      <w:r>
        <w:t xml:space="preserve"> Retrieved from:</w:t>
      </w:r>
      <w:r>
        <w:rPr>
          <w:rFonts w:eastAsia=".PingFang SC" w:hint="eastAsia"/>
          <w:color w:val="353535"/>
          <w:kern w:val="0"/>
        </w:rPr>
        <w:t xml:space="preserve"> </w:t>
      </w:r>
      <w:r w:rsidRPr="00A66E91">
        <w:rPr>
          <w:rFonts w:eastAsia=".PingFang SC"/>
          <w:color w:val="353535"/>
          <w:kern w:val="0"/>
        </w:rPr>
        <w:t>https://data.worldbank.org/indicator/NY.GDP.PCAP.CD?end=2017&amp;locations=GB&amp;start=2000</w:t>
      </w:r>
    </w:p>
    <w:p w:rsidR="002B2776" w:rsidRPr="00A66E91" w:rsidRDefault="002B2776" w:rsidP="002B2776">
      <w:pPr>
        <w:autoSpaceDE w:val="0"/>
        <w:autoSpaceDN w:val="0"/>
        <w:adjustRightInd w:val="0"/>
        <w:rPr>
          <w:rFonts w:eastAsia=".PingFang SC"/>
          <w:color w:val="353535"/>
          <w:kern w:val="0"/>
        </w:rPr>
      </w:pPr>
    </w:p>
    <w:p w:rsidR="002B2776" w:rsidRPr="00A66E91" w:rsidRDefault="002B2776" w:rsidP="002B2776">
      <w:pPr>
        <w:autoSpaceDE w:val="0"/>
        <w:autoSpaceDN w:val="0"/>
        <w:adjustRightInd w:val="0"/>
        <w:rPr>
          <w:rFonts w:eastAsia=".PingFang SC"/>
          <w:color w:val="353535"/>
          <w:kern w:val="0"/>
        </w:rPr>
      </w:pPr>
      <w:r w:rsidRPr="00A66E91">
        <w:rPr>
          <w:rFonts w:eastAsia=".PingFang SC"/>
          <w:color w:val="353535"/>
          <w:kern w:val="0"/>
        </w:rPr>
        <w:t>Gross disposable household income, 2000-2017</w:t>
      </w:r>
      <w:r>
        <w:rPr>
          <w:rFonts w:eastAsia=".PingFang SC"/>
          <w:color w:val="353535"/>
          <w:kern w:val="0"/>
        </w:rPr>
        <w:t xml:space="preserve"> (2018)</w:t>
      </w:r>
      <w:r w:rsidRPr="00A66E91">
        <w:rPr>
          <w:rFonts w:eastAsia=".PingFang SC"/>
          <w:color w:val="353535"/>
          <w:kern w:val="0"/>
        </w:rPr>
        <w:t xml:space="preserve"> </w:t>
      </w:r>
      <w:r w:rsidRPr="00A66E91">
        <w:rPr>
          <w:rFonts w:eastAsia=".PingFang SC"/>
          <w:i/>
          <w:color w:val="353535"/>
          <w:kern w:val="0"/>
        </w:rPr>
        <w:t>Office for National Statistics.</w:t>
      </w:r>
      <w:r>
        <w:t xml:space="preserve"> Retrieved from:</w:t>
      </w:r>
      <w:r>
        <w:rPr>
          <w:rFonts w:eastAsia=".PingFang SC"/>
          <w:color w:val="353535"/>
          <w:kern w:val="0"/>
        </w:rPr>
        <w:t xml:space="preserve"> </w:t>
      </w:r>
      <w:r w:rsidRPr="00A66E91">
        <w:rPr>
          <w:rFonts w:eastAsia=".PingFang SC"/>
          <w:color w:val="353535"/>
          <w:kern w:val="0"/>
        </w:rPr>
        <w:t>https://www.ons.gov.uk/economy/grossdomesticproductgdp/timeseries/qwnd/ukea</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 xml:space="preserve">Leading car companies’ market share in UK (2018) </w:t>
      </w:r>
      <w:r w:rsidRPr="00A66E91">
        <w:rPr>
          <w:rFonts w:eastAsia=".PingFang SC"/>
          <w:i/>
          <w:color w:val="353535"/>
          <w:kern w:val="0"/>
        </w:rPr>
        <w:t>Statista.</w:t>
      </w:r>
      <w:r w:rsidRPr="00A66E91">
        <w:rPr>
          <w:rFonts w:eastAsia=".PingFang SC"/>
          <w:color w:val="353535"/>
          <w:kern w:val="0"/>
        </w:rPr>
        <w:t xml:space="preserve"> </w:t>
      </w:r>
      <w:r>
        <w:t>Retrieved from:</w:t>
      </w:r>
      <w:r>
        <w:rPr>
          <w:rFonts w:eastAsia=".PingFang SC" w:hint="eastAsia"/>
          <w:color w:val="353535"/>
          <w:kern w:val="0"/>
        </w:rPr>
        <w:t xml:space="preserve"> </w:t>
      </w:r>
      <w:r w:rsidRPr="00A66E91">
        <w:rPr>
          <w:rFonts w:eastAsia=".PingFang SC"/>
          <w:color w:val="353535"/>
          <w:kern w:val="0"/>
        </w:rPr>
        <w:t>https://www.statista.com/statistics/300467/leading-car-companies-market-share-in-the-united-kingdom/</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lastRenderedPageBreak/>
        <w:t>Long-Run Trends in Car Use</w:t>
      </w:r>
      <w:r>
        <w:rPr>
          <w:rFonts w:eastAsia=".PingFang SC"/>
          <w:color w:val="353535"/>
          <w:kern w:val="0"/>
        </w:rPr>
        <w:t xml:space="preserve"> (2013)</w:t>
      </w:r>
      <w:r w:rsidRPr="00A66E91">
        <w:rPr>
          <w:rFonts w:eastAsia=".PingFang SC"/>
          <w:i/>
          <w:color w:val="353535"/>
          <w:kern w:val="0"/>
        </w:rPr>
        <w:t xml:space="preserve"> OECD Publishing/ITF</w:t>
      </w:r>
      <w:r w:rsidRPr="00A66E91">
        <w:rPr>
          <w:rFonts w:eastAsia=".PingFang SC"/>
          <w:color w:val="353535"/>
          <w:kern w:val="0"/>
        </w:rPr>
        <w:t>.</w:t>
      </w:r>
      <w:r>
        <w:t xml:space="preserve"> Retrieved from:</w:t>
      </w:r>
      <w:r>
        <w:rPr>
          <w:rFonts w:eastAsia=".PingFang SC" w:hint="eastAsia"/>
          <w:color w:val="353535"/>
          <w:kern w:val="0"/>
        </w:rPr>
        <w:t xml:space="preserve"> </w:t>
      </w:r>
      <w:r w:rsidRPr="00A66E91">
        <w:rPr>
          <w:rFonts w:eastAsia=".PingFang SC"/>
          <w:color w:val="353535"/>
          <w:kern w:val="0"/>
        </w:rPr>
        <w:t>http://www.oecd-ilibrary.org/content/book/9789282105931-en</w:t>
      </w:r>
    </w:p>
    <w:p w:rsidR="00A66E91" w:rsidRP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Manufacturing</w:t>
      </w:r>
      <w:r>
        <w:rPr>
          <w:rFonts w:eastAsia=".PingFang SC"/>
          <w:color w:val="353535"/>
          <w:kern w:val="0"/>
        </w:rPr>
        <w:t xml:space="preserve"> (2018)</w:t>
      </w:r>
      <w:r w:rsidRPr="00A66E91">
        <w:rPr>
          <w:rFonts w:eastAsia=".PingFang SC"/>
          <w:i/>
          <w:color w:val="353535"/>
          <w:kern w:val="0"/>
        </w:rPr>
        <w:t xml:space="preserve"> Ford.</w:t>
      </w:r>
      <w:r>
        <w:t xml:space="preserve"> Retrieved from:</w:t>
      </w:r>
      <w:r>
        <w:rPr>
          <w:rFonts w:eastAsia=".PingFang SC" w:hint="eastAsia"/>
          <w:color w:val="353535"/>
          <w:kern w:val="0"/>
        </w:rPr>
        <w:t xml:space="preserve"> </w:t>
      </w:r>
      <w:r w:rsidRPr="00A66E91">
        <w:rPr>
          <w:rFonts w:eastAsia=".PingFang SC"/>
          <w:color w:val="353535"/>
          <w:kern w:val="0"/>
        </w:rPr>
        <w:t>https://www.ford.co.uk/experience-ford/careers/business-functions/manufacturing</w:t>
      </w:r>
    </w:p>
    <w:p w:rsidR="00A66E91" w:rsidRDefault="00A66E91" w:rsidP="00A66E91">
      <w:pPr>
        <w:autoSpaceDE w:val="0"/>
        <w:autoSpaceDN w:val="0"/>
        <w:adjustRightInd w:val="0"/>
        <w:rPr>
          <w:rFonts w:eastAsia=".PingFang SC"/>
          <w:color w:val="353535"/>
          <w:kern w:val="0"/>
        </w:rPr>
      </w:pPr>
    </w:p>
    <w:p w:rsidR="00A66E91" w:rsidRPr="00A66E91" w:rsidRDefault="00A66E91" w:rsidP="00A66E91">
      <w:pPr>
        <w:autoSpaceDE w:val="0"/>
        <w:autoSpaceDN w:val="0"/>
        <w:adjustRightInd w:val="0"/>
        <w:rPr>
          <w:rFonts w:eastAsia=".PingFang SC"/>
          <w:color w:val="353535"/>
          <w:kern w:val="0"/>
        </w:rPr>
      </w:pPr>
      <w:r w:rsidRPr="00A66E91">
        <w:rPr>
          <w:rFonts w:eastAsia=".PingFang SC"/>
          <w:color w:val="353535"/>
          <w:kern w:val="0"/>
        </w:rPr>
        <w:t>Profit margin of selected worldwide automotive manufacturers, January to June 2016 (2</w:t>
      </w:r>
      <w:r w:rsidRPr="00A66E91">
        <w:t xml:space="preserve">018) </w:t>
      </w:r>
      <w:r w:rsidRPr="00A66E91">
        <w:rPr>
          <w:i/>
        </w:rPr>
        <w:t>Statista.</w:t>
      </w:r>
      <w:r>
        <w:t xml:space="preserve"> Retrieved from:</w:t>
      </w:r>
      <w:r>
        <w:rPr>
          <w:rFonts w:eastAsia=".PingFang SC" w:hint="eastAsia"/>
          <w:color w:val="353535"/>
          <w:kern w:val="0"/>
        </w:rPr>
        <w:t xml:space="preserve"> </w:t>
      </w:r>
      <w:r w:rsidRPr="00A66E91">
        <w:rPr>
          <w:rFonts w:eastAsia=".PingFang SC"/>
          <w:color w:val="353535"/>
          <w:kern w:val="0"/>
        </w:rPr>
        <w:t>https://www.statista.com/statistics/697263/automotive-manufacturers-profit-margin-worldwide/</w:t>
      </w:r>
    </w:p>
    <w:p w:rsidR="00ED763B" w:rsidRPr="00B91FD4" w:rsidRDefault="00ED763B" w:rsidP="00ED763B">
      <w:pPr>
        <w:pStyle w:val="Heading1"/>
      </w:pPr>
    </w:p>
    <w:sectPr w:rsidR="00ED763B" w:rsidRPr="00B91FD4" w:rsidSect="00EA208B">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9DF" w:rsidRDefault="008E69DF" w:rsidP="002B2776">
      <w:r>
        <w:separator/>
      </w:r>
    </w:p>
  </w:endnote>
  <w:endnote w:type="continuationSeparator" w:id="0">
    <w:p w:rsidR="008E69DF" w:rsidRDefault="008E69DF" w:rsidP="002B2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PingFang SC">
    <w:altName w:val="Microsoft YaHei"/>
    <w:panose1 w:val="00000000000000000000"/>
    <w:charset w:val="86"/>
    <w:family w:val="auto"/>
    <w:notTrueType/>
    <w:pitch w:val="default"/>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9DF" w:rsidRDefault="008E69DF" w:rsidP="002B2776">
      <w:r>
        <w:separator/>
      </w:r>
    </w:p>
  </w:footnote>
  <w:footnote w:type="continuationSeparator" w:id="0">
    <w:p w:rsidR="008E69DF" w:rsidRDefault="008E69DF" w:rsidP="002B2776">
      <w:r>
        <w:continuationSeparator/>
      </w:r>
    </w:p>
  </w:footnote>
  <w:footnote w:id="1">
    <w:p w:rsidR="002B2776" w:rsidRPr="002B2776" w:rsidRDefault="002B2776" w:rsidP="002B2776">
      <w:pPr>
        <w:autoSpaceDE w:val="0"/>
        <w:autoSpaceDN w:val="0"/>
        <w:adjustRightInd w:val="0"/>
        <w:rPr>
          <w:rFonts w:eastAsia=".PingFang SC"/>
          <w:color w:val="353535"/>
          <w:kern w:val="0"/>
        </w:rPr>
      </w:pPr>
      <w:r>
        <w:rPr>
          <w:rStyle w:val="FootnoteReference"/>
        </w:rPr>
        <w:footnoteRef/>
      </w:r>
      <w:r>
        <w:t xml:space="preserve"> </w:t>
      </w:r>
      <w:r w:rsidRPr="002B2776">
        <w:rPr>
          <w:sz w:val="18"/>
          <w:szCs w:val="18"/>
        </w:rPr>
        <w:t xml:space="preserve">Long-Run Trends in Car Use (2013) </w:t>
      </w:r>
      <w:r w:rsidRPr="002B2776">
        <w:rPr>
          <w:i/>
          <w:sz w:val="18"/>
          <w:szCs w:val="18"/>
        </w:rPr>
        <w:t>OECD Publishing/ITF.</w:t>
      </w:r>
      <w:r w:rsidRPr="002B2776">
        <w:rPr>
          <w:sz w:val="18"/>
          <w:szCs w:val="18"/>
        </w:rPr>
        <w:t xml:space="preserve"> Retrieved from:</w:t>
      </w:r>
      <w:r w:rsidRPr="002B2776">
        <w:rPr>
          <w:rFonts w:hint="eastAsia"/>
          <w:sz w:val="18"/>
          <w:szCs w:val="18"/>
        </w:rPr>
        <w:t xml:space="preserve"> </w:t>
      </w:r>
      <w:r w:rsidRPr="002B2776">
        <w:rPr>
          <w:sz w:val="18"/>
          <w:szCs w:val="18"/>
        </w:rPr>
        <w:t>http://www.oecd-ilibrary.org/content/book/9789282105931-en</w:t>
      </w:r>
    </w:p>
  </w:footnote>
  <w:footnote w:id="2">
    <w:p w:rsidR="002B2776" w:rsidRDefault="002B2776">
      <w:pPr>
        <w:pStyle w:val="FootnoteText"/>
      </w:pPr>
      <w:r>
        <w:rPr>
          <w:rStyle w:val="FootnoteReference"/>
        </w:rPr>
        <w:footnoteRef/>
      </w:r>
      <w:r>
        <w:t xml:space="preserve"> </w:t>
      </w:r>
      <w:r w:rsidRPr="00B91FD4">
        <w:t xml:space="preserve">Ford </w:t>
      </w:r>
      <w:r>
        <w:rPr>
          <w:rFonts w:hint="eastAsia"/>
        </w:rPr>
        <w:t>(</w:t>
      </w:r>
      <w:r w:rsidRPr="00B91FD4">
        <w:t>2018)</w:t>
      </w:r>
      <w:r>
        <w:t xml:space="preserve"> </w:t>
      </w:r>
      <w:r w:rsidRPr="002B2776">
        <w:t>Retrieved from:</w:t>
      </w:r>
      <w:r>
        <w:t xml:space="preserve"> </w:t>
      </w:r>
      <w:r w:rsidRPr="002B2776">
        <w:t>https://www.ford.com/cars/fiesta/?gnav=header-all-vehicles</w:t>
      </w:r>
    </w:p>
  </w:footnote>
  <w:footnote w:id="3">
    <w:p w:rsidR="002B2776" w:rsidRPr="002B2776" w:rsidRDefault="002B2776" w:rsidP="002B2776">
      <w:pPr>
        <w:pStyle w:val="FootnoteText"/>
      </w:pPr>
      <w:r w:rsidRPr="002B2776">
        <w:rPr>
          <w:rStyle w:val="FootnoteReference"/>
          <w:sz w:val="24"/>
          <w:szCs w:val="24"/>
        </w:rPr>
        <w:footnoteRef/>
      </w:r>
      <w:r w:rsidRPr="002B2776">
        <w:rPr>
          <w:rStyle w:val="FootnoteReference"/>
          <w:sz w:val="24"/>
          <w:szCs w:val="24"/>
        </w:rPr>
        <w:t xml:space="preserve"> </w:t>
      </w:r>
      <w:r w:rsidRPr="002B2776">
        <w:t xml:space="preserve">Ford Fiesta cars registered in UK 2000-2017 (2018) </w:t>
      </w:r>
      <w:r w:rsidRPr="002B2776">
        <w:rPr>
          <w:i/>
        </w:rPr>
        <w:t>Statista</w:t>
      </w:r>
      <w:r w:rsidRPr="002B2776">
        <w:t>.</w:t>
      </w:r>
      <w:r>
        <w:t xml:space="preserve"> Retrieved from:</w:t>
      </w:r>
      <w:r w:rsidRPr="002B2776">
        <w:rPr>
          <w:rFonts w:hint="eastAsia"/>
        </w:rPr>
        <w:t xml:space="preserve"> </w:t>
      </w:r>
      <w:r w:rsidRPr="002B2776">
        <w:t>https://www.statista.com/statistics/313272/ford-fiesta-registered-cars-in-great-britain/</w:t>
      </w:r>
    </w:p>
    <w:p w:rsidR="002B2776" w:rsidRPr="002B2776" w:rsidRDefault="002B2776">
      <w:pPr>
        <w:pStyle w:val="FootnoteText"/>
      </w:pPr>
    </w:p>
  </w:footnote>
  <w:footnote w:id="4">
    <w:p w:rsidR="002B2776" w:rsidRDefault="002B2776">
      <w:pPr>
        <w:pStyle w:val="FootnoteText"/>
      </w:pPr>
      <w:r>
        <w:rPr>
          <w:rStyle w:val="FootnoteReference"/>
        </w:rPr>
        <w:footnoteRef/>
      </w:r>
      <w:r>
        <w:t xml:space="preserve"> </w:t>
      </w:r>
      <w:r w:rsidRPr="002B2776">
        <w:t xml:space="preserve">Ford Fiesta cars registered in UK 2000-2017 (2018) </w:t>
      </w:r>
      <w:r w:rsidRPr="002B2776">
        <w:rPr>
          <w:i/>
        </w:rPr>
        <w:t>Statista</w:t>
      </w:r>
      <w:r w:rsidRPr="002B2776">
        <w:t>.</w:t>
      </w:r>
      <w:r>
        <w:t xml:space="preserve"> Retrieved from:</w:t>
      </w:r>
      <w:r w:rsidRPr="002B2776">
        <w:rPr>
          <w:rFonts w:hint="eastAsia"/>
        </w:rPr>
        <w:t xml:space="preserve"> </w:t>
      </w:r>
      <w:r w:rsidRPr="002B2776">
        <w:t>https://www.statista.com/statistics/313272/ford-fiesta-registered-cars-in-great-britain/</w:t>
      </w:r>
    </w:p>
  </w:footnote>
  <w:footnote w:id="5">
    <w:p w:rsidR="002B2776" w:rsidRPr="00A66E91" w:rsidRDefault="002B2776" w:rsidP="002B2776">
      <w:pPr>
        <w:autoSpaceDE w:val="0"/>
        <w:autoSpaceDN w:val="0"/>
        <w:adjustRightInd w:val="0"/>
        <w:rPr>
          <w:rFonts w:eastAsia=".PingFang SC"/>
          <w:color w:val="353535"/>
          <w:kern w:val="0"/>
        </w:rPr>
      </w:pPr>
      <w:r>
        <w:rPr>
          <w:rStyle w:val="FootnoteReference"/>
        </w:rPr>
        <w:footnoteRef/>
      </w:r>
      <w:r>
        <w:t xml:space="preserve"> </w:t>
      </w:r>
      <w:r w:rsidRPr="002B2776">
        <w:rPr>
          <w:sz w:val="18"/>
          <w:szCs w:val="18"/>
        </w:rPr>
        <w:t xml:space="preserve">Business Strategy (2018) </w:t>
      </w:r>
      <w:r w:rsidRPr="002B2776">
        <w:rPr>
          <w:i/>
          <w:sz w:val="18"/>
          <w:szCs w:val="18"/>
        </w:rPr>
        <w:t>Ford</w:t>
      </w:r>
      <w:r w:rsidRPr="002B2776">
        <w:rPr>
          <w:sz w:val="18"/>
          <w:szCs w:val="18"/>
        </w:rPr>
        <w:t>. Retrieved from:https://www.ford.co.uk/experience-ford/careers/business-functions/business-strategy</w:t>
      </w:r>
    </w:p>
    <w:p w:rsidR="002B2776" w:rsidRDefault="002B2776">
      <w:pPr>
        <w:pStyle w:val="FootnoteText"/>
      </w:pPr>
    </w:p>
  </w:footnote>
  <w:footnote w:id="6">
    <w:p w:rsidR="002B2776" w:rsidRPr="002B2776" w:rsidRDefault="002B2776" w:rsidP="002B2776">
      <w:pPr>
        <w:autoSpaceDE w:val="0"/>
        <w:autoSpaceDN w:val="0"/>
        <w:adjustRightInd w:val="0"/>
        <w:rPr>
          <w:sz w:val="18"/>
          <w:szCs w:val="18"/>
        </w:rPr>
      </w:pPr>
      <w:r>
        <w:rPr>
          <w:rStyle w:val="FootnoteReference"/>
        </w:rPr>
        <w:footnoteRef/>
      </w:r>
      <w:r>
        <w:t xml:space="preserve"> </w:t>
      </w:r>
      <w:r w:rsidRPr="002B2776">
        <w:rPr>
          <w:i/>
          <w:sz w:val="18"/>
          <w:szCs w:val="18"/>
        </w:rPr>
        <w:t xml:space="preserve">The Geography of Transport Systems </w:t>
      </w:r>
      <w:r w:rsidRPr="002B2776">
        <w:rPr>
          <w:sz w:val="18"/>
          <w:szCs w:val="18"/>
        </w:rPr>
        <w:t>(2018) Retrieved from:</w:t>
      </w:r>
      <w:r>
        <w:rPr>
          <w:sz w:val="18"/>
          <w:szCs w:val="18"/>
        </w:rPr>
        <w:t xml:space="preserve"> </w:t>
      </w:r>
      <w:r w:rsidRPr="002B2776">
        <w:rPr>
          <w:sz w:val="18"/>
          <w:szCs w:val="18"/>
        </w:rPr>
        <w:t>https://transportgeography.org/?page_id=1257</w:t>
      </w:r>
    </w:p>
  </w:footnote>
  <w:footnote w:id="7">
    <w:p w:rsidR="008610F1" w:rsidRDefault="008610F1" w:rsidP="008610F1">
      <w:pPr>
        <w:pStyle w:val="FootnoteText"/>
        <w:jc w:val="both"/>
      </w:pPr>
      <w:r>
        <w:rPr>
          <w:rStyle w:val="FootnoteReference"/>
        </w:rPr>
        <w:footnoteRef/>
      </w:r>
      <w:r>
        <w:t xml:space="preserve"> </w:t>
      </w:r>
      <w:r w:rsidRPr="008610F1">
        <w:rPr>
          <w:i/>
        </w:rPr>
        <w:t xml:space="preserve">Ford Motor Company 2017 Annual Report </w:t>
      </w:r>
      <w:r w:rsidRPr="008610F1">
        <w:t>(2018) Retrieved from: https://s22.q4cdn.com/857684434/files/doc_financials/2017/annual/Final-Annual-Report-2017.pdf</w:t>
      </w:r>
    </w:p>
  </w:footnote>
  <w:footnote w:id="8">
    <w:p w:rsidR="008610F1" w:rsidRPr="00A66E91" w:rsidRDefault="008610F1" w:rsidP="008610F1">
      <w:pPr>
        <w:autoSpaceDE w:val="0"/>
        <w:autoSpaceDN w:val="0"/>
        <w:adjustRightInd w:val="0"/>
        <w:rPr>
          <w:rFonts w:eastAsia=".PingFang SC"/>
          <w:color w:val="353535"/>
          <w:kern w:val="0"/>
        </w:rPr>
      </w:pPr>
      <w:r>
        <w:rPr>
          <w:rStyle w:val="FootnoteReference"/>
        </w:rPr>
        <w:footnoteRef/>
      </w:r>
      <w:r>
        <w:t xml:space="preserve"> </w:t>
      </w:r>
      <w:r w:rsidRPr="008610F1">
        <w:rPr>
          <w:rFonts w:eastAsia=".PingFang SC"/>
          <w:color w:val="353535"/>
          <w:kern w:val="0"/>
          <w:sz w:val="18"/>
          <w:szCs w:val="18"/>
        </w:rPr>
        <w:t>Profit margin of selected worldwide automotive manufacturers, January to June 2016 (2</w:t>
      </w:r>
      <w:r w:rsidRPr="008610F1">
        <w:rPr>
          <w:sz w:val="18"/>
          <w:szCs w:val="18"/>
        </w:rPr>
        <w:t xml:space="preserve">018) </w:t>
      </w:r>
      <w:r w:rsidRPr="008610F1">
        <w:rPr>
          <w:i/>
          <w:sz w:val="18"/>
          <w:szCs w:val="18"/>
        </w:rPr>
        <w:t>Statista.</w:t>
      </w:r>
      <w:r w:rsidRPr="008610F1">
        <w:rPr>
          <w:sz w:val="18"/>
          <w:szCs w:val="18"/>
        </w:rPr>
        <w:t xml:space="preserve"> Retrieved from:</w:t>
      </w:r>
      <w:r w:rsidRPr="008610F1">
        <w:rPr>
          <w:rFonts w:eastAsia=".PingFang SC" w:hint="eastAsia"/>
          <w:color w:val="353535"/>
          <w:kern w:val="0"/>
          <w:sz w:val="18"/>
          <w:szCs w:val="18"/>
        </w:rPr>
        <w:t xml:space="preserve"> </w:t>
      </w:r>
      <w:r w:rsidRPr="008610F1">
        <w:rPr>
          <w:rFonts w:eastAsia=".PingFang SC"/>
          <w:color w:val="353535"/>
          <w:kern w:val="0"/>
          <w:sz w:val="18"/>
          <w:szCs w:val="18"/>
        </w:rPr>
        <w:t>https://www.statista.com/statistics/697263/automotive-manufacturers-profit-margin-worldwide/</w:t>
      </w:r>
    </w:p>
    <w:p w:rsidR="008610F1" w:rsidRPr="008610F1" w:rsidRDefault="008610F1">
      <w:pPr>
        <w:pStyle w:val="FootnoteText"/>
      </w:pPr>
    </w:p>
  </w:footnote>
  <w:footnote w:id="9">
    <w:p w:rsidR="008610F1" w:rsidRPr="008610F1" w:rsidRDefault="008610F1" w:rsidP="008610F1">
      <w:pPr>
        <w:autoSpaceDE w:val="0"/>
        <w:autoSpaceDN w:val="0"/>
        <w:adjustRightInd w:val="0"/>
        <w:rPr>
          <w:rFonts w:eastAsia=".PingFang SC"/>
          <w:color w:val="353535"/>
          <w:kern w:val="0"/>
        </w:rPr>
      </w:pPr>
      <w:r>
        <w:rPr>
          <w:rStyle w:val="FootnoteReference"/>
        </w:rPr>
        <w:footnoteRef/>
      </w:r>
      <w:r>
        <w:t xml:space="preserve"> </w:t>
      </w:r>
      <w:r w:rsidRPr="008610F1">
        <w:rPr>
          <w:rFonts w:eastAsia=".PingFang SC"/>
          <w:color w:val="353535"/>
          <w:kern w:val="0"/>
          <w:sz w:val="18"/>
          <w:szCs w:val="18"/>
        </w:rPr>
        <w:t xml:space="preserve">Leading car companies’ market share in UK (2018) </w:t>
      </w:r>
      <w:r w:rsidRPr="008610F1">
        <w:rPr>
          <w:rFonts w:eastAsia=".PingFang SC"/>
          <w:i/>
          <w:color w:val="353535"/>
          <w:kern w:val="0"/>
          <w:sz w:val="18"/>
          <w:szCs w:val="18"/>
        </w:rPr>
        <w:t>Statista.</w:t>
      </w:r>
      <w:r w:rsidRPr="008610F1">
        <w:rPr>
          <w:rFonts w:eastAsia=".PingFang SC"/>
          <w:color w:val="353535"/>
          <w:kern w:val="0"/>
          <w:sz w:val="18"/>
          <w:szCs w:val="18"/>
        </w:rPr>
        <w:t xml:space="preserve"> </w:t>
      </w:r>
      <w:r w:rsidRPr="008610F1">
        <w:rPr>
          <w:sz w:val="18"/>
          <w:szCs w:val="18"/>
        </w:rPr>
        <w:t>Retrieved from:</w:t>
      </w:r>
      <w:r w:rsidRPr="008610F1">
        <w:rPr>
          <w:rFonts w:eastAsia=".PingFang SC" w:hint="eastAsia"/>
          <w:color w:val="353535"/>
          <w:kern w:val="0"/>
          <w:sz w:val="18"/>
          <w:szCs w:val="18"/>
        </w:rPr>
        <w:t xml:space="preserve"> </w:t>
      </w:r>
      <w:r w:rsidRPr="008610F1">
        <w:rPr>
          <w:rFonts w:eastAsia=".PingFang SC"/>
          <w:color w:val="353535"/>
          <w:kern w:val="0"/>
          <w:sz w:val="18"/>
          <w:szCs w:val="18"/>
        </w:rPr>
        <w:t>https://www.statista.com/statistics/300467/leading-car-companies-market-share-in-the-united-kingdom/</w:t>
      </w:r>
    </w:p>
  </w:footnote>
  <w:footnote w:id="10">
    <w:p w:rsidR="008610F1" w:rsidRPr="008610F1" w:rsidRDefault="008610F1" w:rsidP="008610F1">
      <w:pPr>
        <w:autoSpaceDE w:val="0"/>
        <w:autoSpaceDN w:val="0"/>
        <w:adjustRightInd w:val="0"/>
        <w:rPr>
          <w:rFonts w:eastAsia=".PingFang SC"/>
          <w:color w:val="353535"/>
          <w:kern w:val="0"/>
        </w:rPr>
      </w:pPr>
      <w:r>
        <w:rPr>
          <w:rStyle w:val="FootnoteReference"/>
        </w:rPr>
        <w:footnoteRef/>
      </w:r>
      <w:r>
        <w:t xml:space="preserve"> </w:t>
      </w:r>
      <w:proofErr w:type="spellStart"/>
      <w:r w:rsidRPr="008610F1">
        <w:rPr>
          <w:rFonts w:eastAsia=".PingFang SC"/>
          <w:color w:val="353535"/>
          <w:kern w:val="0"/>
          <w:sz w:val="18"/>
          <w:szCs w:val="18"/>
        </w:rPr>
        <w:t>Best selling</w:t>
      </w:r>
      <w:proofErr w:type="spellEnd"/>
      <w:r w:rsidRPr="008610F1">
        <w:rPr>
          <w:rFonts w:eastAsia=".PingFang SC"/>
          <w:color w:val="353535"/>
          <w:kern w:val="0"/>
          <w:sz w:val="18"/>
          <w:szCs w:val="18"/>
        </w:rPr>
        <w:t xml:space="preserve"> car models in UK in 2017 (2018) </w:t>
      </w:r>
      <w:r w:rsidRPr="008610F1">
        <w:rPr>
          <w:rFonts w:eastAsia=".PingFang SC"/>
          <w:i/>
          <w:color w:val="353535"/>
          <w:kern w:val="0"/>
          <w:sz w:val="18"/>
          <w:szCs w:val="18"/>
        </w:rPr>
        <w:t>Statista.</w:t>
      </w:r>
      <w:r w:rsidRPr="008610F1">
        <w:rPr>
          <w:rFonts w:eastAsia=".PingFang SC"/>
          <w:color w:val="353535"/>
          <w:kern w:val="0"/>
          <w:sz w:val="18"/>
          <w:szCs w:val="18"/>
        </w:rPr>
        <w:t xml:space="preserve"> </w:t>
      </w:r>
      <w:r w:rsidRPr="008610F1">
        <w:rPr>
          <w:sz w:val="18"/>
          <w:szCs w:val="18"/>
        </w:rPr>
        <w:t>Retrieved from:</w:t>
      </w:r>
      <w:r w:rsidRPr="008610F1">
        <w:rPr>
          <w:rFonts w:eastAsia=".PingFang SC" w:hint="eastAsia"/>
          <w:color w:val="353535"/>
          <w:kern w:val="0"/>
          <w:sz w:val="18"/>
          <w:szCs w:val="18"/>
        </w:rPr>
        <w:t xml:space="preserve"> </w:t>
      </w:r>
      <w:r w:rsidRPr="008610F1">
        <w:rPr>
          <w:rFonts w:eastAsia=".PingFang SC"/>
          <w:color w:val="353535"/>
          <w:kern w:val="0"/>
          <w:sz w:val="18"/>
          <w:szCs w:val="18"/>
        </w:rPr>
        <w:t>https://www.statista.com/statistics/299018/car-models-which-sold-the-most-in-the-united-kingdom/</w:t>
      </w:r>
    </w:p>
  </w:footnote>
  <w:footnote w:id="11">
    <w:p w:rsidR="008610F1" w:rsidRPr="00A66E91" w:rsidRDefault="008610F1" w:rsidP="008610F1">
      <w:pPr>
        <w:autoSpaceDE w:val="0"/>
        <w:autoSpaceDN w:val="0"/>
        <w:adjustRightInd w:val="0"/>
        <w:rPr>
          <w:rFonts w:eastAsia=".PingFang SC"/>
          <w:color w:val="353535"/>
          <w:kern w:val="0"/>
        </w:rPr>
      </w:pPr>
      <w:r>
        <w:rPr>
          <w:rStyle w:val="FootnoteReference"/>
        </w:rPr>
        <w:footnoteRef/>
      </w:r>
      <w:r>
        <w:t xml:space="preserve"> </w:t>
      </w:r>
      <w:r w:rsidRPr="008610F1">
        <w:rPr>
          <w:color w:val="353535"/>
          <w:kern w:val="0"/>
          <w:sz w:val="18"/>
          <w:szCs w:val="18"/>
        </w:rPr>
        <w:t>Average prices of some automakers in EU the in 2016</w:t>
      </w:r>
      <w:r w:rsidRPr="008610F1">
        <w:rPr>
          <w:rFonts w:eastAsia=".PingFang SC"/>
          <w:color w:val="353535"/>
          <w:kern w:val="0"/>
          <w:sz w:val="18"/>
          <w:szCs w:val="18"/>
        </w:rPr>
        <w:t xml:space="preserve">, by brand (2018) </w:t>
      </w:r>
      <w:r w:rsidRPr="008610F1">
        <w:rPr>
          <w:rFonts w:eastAsia=".PingFang SC"/>
          <w:i/>
          <w:color w:val="353535"/>
          <w:kern w:val="0"/>
          <w:sz w:val="18"/>
          <w:szCs w:val="18"/>
        </w:rPr>
        <w:t>Statista.</w:t>
      </w:r>
      <w:r w:rsidRPr="008610F1">
        <w:rPr>
          <w:sz w:val="18"/>
          <w:szCs w:val="18"/>
        </w:rPr>
        <w:t xml:space="preserve"> Retrieved from:</w:t>
      </w:r>
      <w:r w:rsidRPr="008610F1">
        <w:rPr>
          <w:rFonts w:eastAsia=".PingFang SC" w:hint="eastAsia"/>
          <w:color w:val="353535"/>
          <w:kern w:val="0"/>
          <w:sz w:val="18"/>
          <w:szCs w:val="18"/>
        </w:rPr>
        <w:t xml:space="preserve"> </w:t>
      </w:r>
      <w:r w:rsidRPr="008610F1">
        <w:rPr>
          <w:rFonts w:eastAsia=".PingFang SC"/>
          <w:color w:val="353535"/>
          <w:kern w:val="0"/>
          <w:sz w:val="18"/>
          <w:szCs w:val="18"/>
        </w:rPr>
        <w:t>https://www.statista.com/statistics/425240/eu-car-sales-average-prices-in-by-make/</w:t>
      </w:r>
    </w:p>
    <w:p w:rsidR="008610F1" w:rsidRPr="008610F1" w:rsidRDefault="008610F1">
      <w:pPr>
        <w:pStyle w:val="FootnoteText"/>
      </w:pPr>
    </w:p>
  </w:footnote>
  <w:footnote w:id="12">
    <w:p w:rsidR="008610F1" w:rsidRPr="008610F1" w:rsidRDefault="008610F1" w:rsidP="008610F1">
      <w:pPr>
        <w:autoSpaceDE w:val="0"/>
        <w:autoSpaceDN w:val="0"/>
        <w:adjustRightInd w:val="0"/>
        <w:rPr>
          <w:rFonts w:eastAsia=".PingFang SC"/>
          <w:color w:val="353535"/>
          <w:kern w:val="0"/>
          <w:sz w:val="18"/>
          <w:szCs w:val="18"/>
        </w:rPr>
      </w:pPr>
      <w:r>
        <w:rPr>
          <w:rStyle w:val="FootnoteReference"/>
        </w:rPr>
        <w:footnoteRef/>
      </w:r>
      <w:r>
        <w:t xml:space="preserve"> </w:t>
      </w:r>
      <w:r w:rsidRPr="008610F1">
        <w:rPr>
          <w:rFonts w:eastAsia=".PingFang SC"/>
          <w:color w:val="353535"/>
          <w:kern w:val="0"/>
          <w:sz w:val="18"/>
          <w:szCs w:val="18"/>
        </w:rPr>
        <w:t xml:space="preserve">Business Strategy (2018) </w:t>
      </w:r>
      <w:r w:rsidRPr="008610F1">
        <w:rPr>
          <w:rFonts w:eastAsia=".PingFang SC"/>
          <w:i/>
          <w:color w:val="353535"/>
          <w:kern w:val="0"/>
          <w:sz w:val="18"/>
          <w:szCs w:val="18"/>
        </w:rPr>
        <w:t>Ford.</w:t>
      </w:r>
      <w:r w:rsidRPr="008610F1">
        <w:rPr>
          <w:sz w:val="18"/>
          <w:szCs w:val="18"/>
        </w:rPr>
        <w:t xml:space="preserve"> Retrieved from:</w:t>
      </w:r>
      <w:r w:rsidRPr="008610F1">
        <w:rPr>
          <w:rFonts w:eastAsia=".PingFang SC"/>
          <w:color w:val="353535"/>
          <w:kern w:val="0"/>
          <w:sz w:val="18"/>
          <w:szCs w:val="18"/>
        </w:rPr>
        <w:t>https://www.ford.co.uk/experience-ford/careers/business-functions/business-strategy</w:t>
      </w:r>
    </w:p>
    <w:p w:rsidR="008610F1" w:rsidRDefault="008610F1">
      <w:pPr>
        <w:pStyle w:val="FootnoteText"/>
      </w:pPr>
    </w:p>
  </w:footnote>
  <w:footnote w:id="13">
    <w:p w:rsidR="008610F1" w:rsidRDefault="008610F1" w:rsidP="008610F1">
      <w:pPr>
        <w:pStyle w:val="FootnoteText"/>
        <w:jc w:val="both"/>
      </w:pPr>
      <w:r>
        <w:rPr>
          <w:rStyle w:val="FootnoteReference"/>
        </w:rPr>
        <w:footnoteRef/>
      </w:r>
      <w:r>
        <w:t xml:space="preserve"> </w:t>
      </w:r>
      <w:r w:rsidRPr="008610F1">
        <w:rPr>
          <w:i/>
        </w:rPr>
        <w:t xml:space="preserve">Ford Motor Company 2017 Annual Report </w:t>
      </w:r>
      <w:r w:rsidRPr="008610F1">
        <w:t>(2018) Retrieved from: https://s22.q4cdn.com/857684434/files/doc_financials/2017/annual/Final-Annual-Report-2017.pdf</w:t>
      </w:r>
    </w:p>
  </w:footnote>
  <w:footnote w:id="14">
    <w:p w:rsidR="008610F1" w:rsidRDefault="008610F1" w:rsidP="008610F1">
      <w:pPr>
        <w:pStyle w:val="FootnoteText"/>
        <w:jc w:val="both"/>
      </w:pPr>
      <w:r>
        <w:rPr>
          <w:rStyle w:val="FootnoteReference"/>
        </w:rPr>
        <w:footnoteRef/>
      </w:r>
      <w:r>
        <w:t xml:space="preserve"> </w:t>
      </w:r>
      <w:r w:rsidRPr="008610F1">
        <w:rPr>
          <w:i/>
        </w:rPr>
        <w:t xml:space="preserve">Ford Motor Company 2017 Annual Report </w:t>
      </w:r>
      <w:r w:rsidRPr="008610F1">
        <w:t>(2018) Retrieved from: https://s22.q4cdn.com/857684434/files/doc_financials/2017/annual/Final-Annual-Report-2017.pdf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266EE"/>
    <w:multiLevelType w:val="multilevel"/>
    <w:tmpl w:val="0DEA29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BD0184"/>
    <w:multiLevelType w:val="hybridMultilevel"/>
    <w:tmpl w:val="9EB4CF7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EE53C3F"/>
    <w:multiLevelType w:val="multilevel"/>
    <w:tmpl w:val="EBF6E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F7592C"/>
    <w:multiLevelType w:val="hybridMultilevel"/>
    <w:tmpl w:val="FB78B62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EFD31CF"/>
    <w:multiLevelType w:val="hybridMultilevel"/>
    <w:tmpl w:val="678AB36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0831C56"/>
    <w:multiLevelType w:val="hybridMultilevel"/>
    <w:tmpl w:val="35904B8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4F5D5BFC"/>
    <w:multiLevelType w:val="multilevel"/>
    <w:tmpl w:val="302C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6E44D5"/>
    <w:multiLevelType w:val="hybridMultilevel"/>
    <w:tmpl w:val="3EF493A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5584023C"/>
    <w:multiLevelType w:val="hybridMultilevel"/>
    <w:tmpl w:val="F7AE716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6FD4A8A"/>
    <w:multiLevelType w:val="multilevel"/>
    <w:tmpl w:val="8EB40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7C238D8"/>
    <w:multiLevelType w:val="multilevel"/>
    <w:tmpl w:val="FFBA4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EC12BF"/>
    <w:multiLevelType w:val="hybridMultilevel"/>
    <w:tmpl w:val="DE504D9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10"/>
  </w:num>
  <w:num w:numId="3">
    <w:abstractNumId w:val="0"/>
  </w:num>
  <w:num w:numId="4">
    <w:abstractNumId w:val="0"/>
    <w:lvlOverride w:ilvl="1">
      <w:startOverride w:val="4"/>
    </w:lvlOverride>
  </w:num>
  <w:num w:numId="5">
    <w:abstractNumId w:val="0"/>
    <w:lvlOverride w:ilvl="1">
      <w:lvl w:ilvl="1">
        <w:numFmt w:val="decimal"/>
        <w:lvlText w:val="%2."/>
        <w:lvlJc w:val="left"/>
      </w:lvl>
    </w:lvlOverride>
  </w:num>
  <w:num w:numId="6">
    <w:abstractNumId w:val="9"/>
  </w:num>
  <w:num w:numId="7">
    <w:abstractNumId w:val="3"/>
  </w:num>
  <w:num w:numId="8">
    <w:abstractNumId w:val="5"/>
  </w:num>
  <w:num w:numId="9">
    <w:abstractNumId w:val="8"/>
  </w:num>
  <w:num w:numId="10">
    <w:abstractNumId w:val="7"/>
  </w:num>
  <w:num w:numId="11">
    <w:abstractNumId w:val="1"/>
  </w:num>
  <w:num w:numId="12">
    <w:abstractNumId w:val="1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161"/>
    <w:rsid w:val="00014C25"/>
    <w:rsid w:val="000E198D"/>
    <w:rsid w:val="001531A3"/>
    <w:rsid w:val="00242269"/>
    <w:rsid w:val="002B2776"/>
    <w:rsid w:val="00350C9E"/>
    <w:rsid w:val="00360BA1"/>
    <w:rsid w:val="00385BA3"/>
    <w:rsid w:val="003B2C27"/>
    <w:rsid w:val="003F37F3"/>
    <w:rsid w:val="00402161"/>
    <w:rsid w:val="00421F06"/>
    <w:rsid w:val="00443933"/>
    <w:rsid w:val="00443A6D"/>
    <w:rsid w:val="00462A15"/>
    <w:rsid w:val="006C09BC"/>
    <w:rsid w:val="006E5682"/>
    <w:rsid w:val="006F3A12"/>
    <w:rsid w:val="00714156"/>
    <w:rsid w:val="007E2B4D"/>
    <w:rsid w:val="00834883"/>
    <w:rsid w:val="008610F1"/>
    <w:rsid w:val="008E69DF"/>
    <w:rsid w:val="009D5153"/>
    <w:rsid w:val="00A41357"/>
    <w:rsid w:val="00A66E91"/>
    <w:rsid w:val="00A9703A"/>
    <w:rsid w:val="00B0119C"/>
    <w:rsid w:val="00B10516"/>
    <w:rsid w:val="00B5403A"/>
    <w:rsid w:val="00B55FB7"/>
    <w:rsid w:val="00B810B3"/>
    <w:rsid w:val="00B91FD4"/>
    <w:rsid w:val="00BB4B89"/>
    <w:rsid w:val="00BC50E8"/>
    <w:rsid w:val="00BE07CD"/>
    <w:rsid w:val="00BE1382"/>
    <w:rsid w:val="00C4214C"/>
    <w:rsid w:val="00DF4C60"/>
    <w:rsid w:val="00E376D2"/>
    <w:rsid w:val="00EA208B"/>
    <w:rsid w:val="00ED763B"/>
    <w:rsid w:val="00F15FB8"/>
    <w:rsid w:val="00F239FB"/>
    <w:rsid w:val="00F33F44"/>
    <w:rsid w:val="00FA3701"/>
    <w:rsid w:val="00FA3F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efaultImageDpi w14:val="32767"/>
  <w15:chartTrackingRefBased/>
  <w15:docId w15:val="{F8F3B765-E6DB-B641-9DB5-F6434055E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E91"/>
    <w:pPr>
      <w:widowControl w:val="0"/>
      <w:jc w:val="both"/>
    </w:pPr>
    <w:rPr>
      <w:rFonts w:ascii="Times New Roman" w:hAnsi="Times New Roman" w:cs="Times New Roman"/>
    </w:rPr>
  </w:style>
  <w:style w:type="paragraph" w:styleId="Heading1">
    <w:name w:val="heading 1"/>
    <w:basedOn w:val="Normal"/>
    <w:link w:val="Heading1Char"/>
    <w:uiPriority w:val="9"/>
    <w:qFormat/>
    <w:rsid w:val="00B91FD4"/>
    <w:pPr>
      <w:outlineLvl w:val="0"/>
    </w:pPr>
    <w:rPr>
      <w:b/>
    </w:rPr>
  </w:style>
  <w:style w:type="paragraph" w:styleId="Heading2">
    <w:name w:val="heading 2"/>
    <w:basedOn w:val="Normal"/>
    <w:next w:val="Normal"/>
    <w:link w:val="Heading2Char"/>
    <w:uiPriority w:val="9"/>
    <w:semiHidden/>
    <w:unhideWhenUsed/>
    <w:qFormat/>
    <w:rsid w:val="00421F0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161"/>
    <w:pPr>
      <w:widowControl/>
      <w:spacing w:before="100" w:beforeAutospacing="1" w:after="100" w:afterAutospacing="1"/>
      <w:jc w:val="left"/>
    </w:pPr>
    <w:rPr>
      <w:rFonts w:ascii="SimSun" w:eastAsia="SimSun" w:hAnsi="SimSun" w:cs="SimSun"/>
      <w:kern w:val="0"/>
    </w:rPr>
  </w:style>
  <w:style w:type="paragraph" w:styleId="ListParagraph">
    <w:name w:val="List Paragraph"/>
    <w:basedOn w:val="Normal"/>
    <w:uiPriority w:val="34"/>
    <w:qFormat/>
    <w:rsid w:val="00402161"/>
    <w:pPr>
      <w:ind w:firstLineChars="200" w:firstLine="420"/>
    </w:pPr>
  </w:style>
  <w:style w:type="character" w:customStyle="1" w:styleId="Heading1Char">
    <w:name w:val="Heading 1 Char"/>
    <w:basedOn w:val="DefaultParagraphFont"/>
    <w:link w:val="Heading1"/>
    <w:uiPriority w:val="9"/>
    <w:rsid w:val="00B91FD4"/>
    <w:rPr>
      <w:rFonts w:ascii="Times New Roman" w:hAnsi="Times New Roman" w:cs="Times New Roman"/>
      <w:b/>
    </w:rPr>
  </w:style>
  <w:style w:type="table" w:styleId="TableGrid">
    <w:name w:val="Table Grid"/>
    <w:basedOn w:val="TableNormal"/>
    <w:uiPriority w:val="39"/>
    <w:rsid w:val="00BE13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21F06"/>
  </w:style>
  <w:style w:type="character" w:styleId="Hyperlink">
    <w:name w:val="Hyperlink"/>
    <w:basedOn w:val="DefaultParagraphFont"/>
    <w:uiPriority w:val="99"/>
    <w:unhideWhenUsed/>
    <w:rsid w:val="00421F06"/>
    <w:rPr>
      <w:color w:val="0000FF"/>
      <w:u w:val="single"/>
    </w:rPr>
  </w:style>
  <w:style w:type="character" w:customStyle="1" w:styleId="Heading2Char">
    <w:name w:val="Heading 2 Char"/>
    <w:basedOn w:val="DefaultParagraphFont"/>
    <w:link w:val="Heading2"/>
    <w:uiPriority w:val="9"/>
    <w:semiHidden/>
    <w:rsid w:val="00421F06"/>
    <w:rPr>
      <w:rFonts w:asciiTheme="majorHAnsi" w:eastAsiaTheme="majorEastAsia" w:hAnsiTheme="majorHAnsi" w:cstheme="majorBidi"/>
      <w:b/>
      <w:bCs/>
      <w:sz w:val="32"/>
      <w:szCs w:val="32"/>
    </w:rPr>
  </w:style>
  <w:style w:type="character" w:styleId="Emphasis">
    <w:name w:val="Emphasis"/>
    <w:basedOn w:val="DefaultParagraphFont"/>
    <w:uiPriority w:val="20"/>
    <w:qFormat/>
    <w:rsid w:val="00462A15"/>
    <w:rPr>
      <w:i/>
      <w:iCs/>
    </w:rPr>
  </w:style>
  <w:style w:type="paragraph" w:customStyle="1" w:styleId="site-title">
    <w:name w:val="site-title"/>
    <w:basedOn w:val="Normal"/>
    <w:rsid w:val="00462A15"/>
    <w:pPr>
      <w:widowControl/>
      <w:spacing w:before="100" w:beforeAutospacing="1" w:after="100" w:afterAutospacing="1"/>
      <w:jc w:val="left"/>
    </w:pPr>
    <w:rPr>
      <w:rFonts w:ascii="SimSun" w:eastAsia="SimSun" w:hAnsi="SimSun" w:cs="SimSun"/>
      <w:kern w:val="0"/>
    </w:rPr>
  </w:style>
  <w:style w:type="paragraph" w:customStyle="1" w:styleId="site-description">
    <w:name w:val="site-description"/>
    <w:basedOn w:val="Normal"/>
    <w:rsid w:val="00462A15"/>
    <w:pPr>
      <w:widowControl/>
      <w:spacing w:before="100" w:beforeAutospacing="1" w:after="100" w:afterAutospacing="1"/>
      <w:jc w:val="left"/>
    </w:pPr>
    <w:rPr>
      <w:rFonts w:ascii="SimSun" w:eastAsia="SimSun" w:hAnsi="SimSun" w:cs="SimSun"/>
      <w:kern w:val="0"/>
    </w:rPr>
  </w:style>
  <w:style w:type="character" w:styleId="FollowedHyperlink">
    <w:name w:val="FollowedHyperlink"/>
    <w:basedOn w:val="DefaultParagraphFont"/>
    <w:uiPriority w:val="99"/>
    <w:semiHidden/>
    <w:unhideWhenUsed/>
    <w:rsid w:val="00242269"/>
    <w:rPr>
      <w:color w:val="954F72" w:themeColor="followedHyperlink"/>
      <w:u w:val="single"/>
    </w:rPr>
  </w:style>
  <w:style w:type="paragraph" w:styleId="FootnoteText">
    <w:name w:val="footnote text"/>
    <w:basedOn w:val="Normal"/>
    <w:link w:val="FootnoteTextChar"/>
    <w:uiPriority w:val="99"/>
    <w:semiHidden/>
    <w:unhideWhenUsed/>
    <w:rsid w:val="002B2776"/>
    <w:pPr>
      <w:snapToGrid w:val="0"/>
      <w:jc w:val="left"/>
    </w:pPr>
    <w:rPr>
      <w:sz w:val="18"/>
      <w:szCs w:val="18"/>
    </w:rPr>
  </w:style>
  <w:style w:type="character" w:customStyle="1" w:styleId="FootnoteTextChar">
    <w:name w:val="Footnote Text Char"/>
    <w:basedOn w:val="DefaultParagraphFont"/>
    <w:link w:val="FootnoteText"/>
    <w:uiPriority w:val="99"/>
    <w:semiHidden/>
    <w:rsid w:val="002B2776"/>
    <w:rPr>
      <w:rFonts w:ascii="Times New Roman" w:hAnsi="Times New Roman" w:cs="Times New Roman"/>
      <w:sz w:val="18"/>
      <w:szCs w:val="18"/>
    </w:rPr>
  </w:style>
  <w:style w:type="character" w:styleId="FootnoteReference">
    <w:name w:val="footnote reference"/>
    <w:basedOn w:val="DefaultParagraphFont"/>
    <w:uiPriority w:val="99"/>
    <w:semiHidden/>
    <w:unhideWhenUsed/>
    <w:rsid w:val="002B2776"/>
    <w:rPr>
      <w:vertAlign w:val="superscript"/>
    </w:rPr>
  </w:style>
  <w:style w:type="paragraph" w:styleId="EndnoteText">
    <w:name w:val="endnote text"/>
    <w:basedOn w:val="Normal"/>
    <w:link w:val="EndnoteTextChar"/>
    <w:uiPriority w:val="99"/>
    <w:semiHidden/>
    <w:unhideWhenUsed/>
    <w:rsid w:val="008610F1"/>
    <w:pPr>
      <w:snapToGrid w:val="0"/>
      <w:jc w:val="left"/>
    </w:pPr>
  </w:style>
  <w:style w:type="character" w:customStyle="1" w:styleId="EndnoteTextChar">
    <w:name w:val="Endnote Text Char"/>
    <w:basedOn w:val="DefaultParagraphFont"/>
    <w:link w:val="EndnoteText"/>
    <w:uiPriority w:val="99"/>
    <w:semiHidden/>
    <w:rsid w:val="008610F1"/>
    <w:rPr>
      <w:rFonts w:ascii="Times New Roman" w:hAnsi="Times New Roman" w:cs="Times New Roman"/>
    </w:rPr>
  </w:style>
  <w:style w:type="character" w:styleId="EndnoteReference">
    <w:name w:val="endnote reference"/>
    <w:basedOn w:val="DefaultParagraphFont"/>
    <w:uiPriority w:val="99"/>
    <w:semiHidden/>
    <w:unhideWhenUsed/>
    <w:rsid w:val="008610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976322">
      <w:bodyDiv w:val="1"/>
      <w:marLeft w:val="0"/>
      <w:marRight w:val="0"/>
      <w:marTop w:val="0"/>
      <w:marBottom w:val="0"/>
      <w:divBdr>
        <w:top w:val="none" w:sz="0" w:space="0" w:color="auto"/>
        <w:left w:val="none" w:sz="0" w:space="0" w:color="auto"/>
        <w:bottom w:val="none" w:sz="0" w:space="0" w:color="auto"/>
        <w:right w:val="none" w:sz="0" w:space="0" w:color="auto"/>
      </w:divBdr>
    </w:div>
    <w:div w:id="432819997">
      <w:bodyDiv w:val="1"/>
      <w:marLeft w:val="0"/>
      <w:marRight w:val="0"/>
      <w:marTop w:val="0"/>
      <w:marBottom w:val="0"/>
      <w:divBdr>
        <w:top w:val="none" w:sz="0" w:space="0" w:color="auto"/>
        <w:left w:val="none" w:sz="0" w:space="0" w:color="auto"/>
        <w:bottom w:val="none" w:sz="0" w:space="0" w:color="auto"/>
        <w:right w:val="none" w:sz="0" w:space="0" w:color="auto"/>
      </w:divBdr>
    </w:div>
    <w:div w:id="452482121">
      <w:bodyDiv w:val="1"/>
      <w:marLeft w:val="0"/>
      <w:marRight w:val="0"/>
      <w:marTop w:val="0"/>
      <w:marBottom w:val="0"/>
      <w:divBdr>
        <w:top w:val="none" w:sz="0" w:space="0" w:color="auto"/>
        <w:left w:val="none" w:sz="0" w:space="0" w:color="auto"/>
        <w:bottom w:val="none" w:sz="0" w:space="0" w:color="auto"/>
        <w:right w:val="none" w:sz="0" w:space="0" w:color="auto"/>
      </w:divBdr>
    </w:div>
    <w:div w:id="522478612">
      <w:bodyDiv w:val="1"/>
      <w:marLeft w:val="0"/>
      <w:marRight w:val="0"/>
      <w:marTop w:val="0"/>
      <w:marBottom w:val="0"/>
      <w:divBdr>
        <w:top w:val="none" w:sz="0" w:space="0" w:color="auto"/>
        <w:left w:val="none" w:sz="0" w:space="0" w:color="auto"/>
        <w:bottom w:val="none" w:sz="0" w:space="0" w:color="auto"/>
        <w:right w:val="none" w:sz="0" w:space="0" w:color="auto"/>
      </w:divBdr>
    </w:div>
    <w:div w:id="540096648">
      <w:bodyDiv w:val="1"/>
      <w:marLeft w:val="0"/>
      <w:marRight w:val="0"/>
      <w:marTop w:val="0"/>
      <w:marBottom w:val="0"/>
      <w:divBdr>
        <w:top w:val="none" w:sz="0" w:space="0" w:color="auto"/>
        <w:left w:val="none" w:sz="0" w:space="0" w:color="auto"/>
        <w:bottom w:val="none" w:sz="0" w:space="0" w:color="auto"/>
        <w:right w:val="none" w:sz="0" w:space="0" w:color="auto"/>
      </w:divBdr>
      <w:divsChild>
        <w:div w:id="277687650">
          <w:marLeft w:val="0"/>
          <w:marRight w:val="0"/>
          <w:marTop w:val="0"/>
          <w:marBottom w:val="0"/>
          <w:divBdr>
            <w:top w:val="none" w:sz="0" w:space="0" w:color="auto"/>
            <w:left w:val="none" w:sz="0" w:space="0" w:color="auto"/>
            <w:bottom w:val="none" w:sz="0" w:space="0" w:color="auto"/>
            <w:right w:val="none" w:sz="0" w:space="0" w:color="auto"/>
          </w:divBdr>
          <w:divsChild>
            <w:div w:id="30110638">
              <w:marLeft w:val="0"/>
              <w:marRight w:val="0"/>
              <w:marTop w:val="0"/>
              <w:marBottom w:val="0"/>
              <w:divBdr>
                <w:top w:val="none" w:sz="0" w:space="0" w:color="auto"/>
                <w:left w:val="none" w:sz="0" w:space="0" w:color="auto"/>
                <w:bottom w:val="none" w:sz="0" w:space="0" w:color="auto"/>
                <w:right w:val="none" w:sz="0" w:space="0" w:color="auto"/>
              </w:divBdr>
              <w:divsChild>
                <w:div w:id="110148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025388">
      <w:bodyDiv w:val="1"/>
      <w:marLeft w:val="0"/>
      <w:marRight w:val="0"/>
      <w:marTop w:val="0"/>
      <w:marBottom w:val="0"/>
      <w:divBdr>
        <w:top w:val="none" w:sz="0" w:space="0" w:color="auto"/>
        <w:left w:val="none" w:sz="0" w:space="0" w:color="auto"/>
        <w:bottom w:val="none" w:sz="0" w:space="0" w:color="auto"/>
        <w:right w:val="none" w:sz="0" w:space="0" w:color="auto"/>
      </w:divBdr>
      <w:divsChild>
        <w:div w:id="945188973">
          <w:marLeft w:val="0"/>
          <w:marRight w:val="0"/>
          <w:marTop w:val="0"/>
          <w:marBottom w:val="0"/>
          <w:divBdr>
            <w:top w:val="none" w:sz="0" w:space="0" w:color="auto"/>
            <w:left w:val="none" w:sz="0" w:space="0" w:color="auto"/>
            <w:bottom w:val="none" w:sz="0" w:space="0" w:color="auto"/>
            <w:right w:val="none" w:sz="0" w:space="0" w:color="auto"/>
          </w:divBdr>
          <w:divsChild>
            <w:div w:id="1704133267">
              <w:marLeft w:val="0"/>
              <w:marRight w:val="0"/>
              <w:marTop w:val="0"/>
              <w:marBottom w:val="0"/>
              <w:divBdr>
                <w:top w:val="none" w:sz="0" w:space="0" w:color="auto"/>
                <w:left w:val="none" w:sz="0" w:space="0" w:color="auto"/>
                <w:bottom w:val="none" w:sz="0" w:space="0" w:color="auto"/>
                <w:right w:val="none" w:sz="0" w:space="0" w:color="auto"/>
              </w:divBdr>
              <w:divsChild>
                <w:div w:id="12532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258141">
      <w:bodyDiv w:val="1"/>
      <w:marLeft w:val="0"/>
      <w:marRight w:val="0"/>
      <w:marTop w:val="0"/>
      <w:marBottom w:val="0"/>
      <w:divBdr>
        <w:top w:val="none" w:sz="0" w:space="0" w:color="auto"/>
        <w:left w:val="none" w:sz="0" w:space="0" w:color="auto"/>
        <w:bottom w:val="none" w:sz="0" w:space="0" w:color="auto"/>
        <w:right w:val="none" w:sz="0" w:space="0" w:color="auto"/>
      </w:divBdr>
    </w:div>
    <w:div w:id="783620196">
      <w:bodyDiv w:val="1"/>
      <w:marLeft w:val="0"/>
      <w:marRight w:val="0"/>
      <w:marTop w:val="0"/>
      <w:marBottom w:val="0"/>
      <w:divBdr>
        <w:top w:val="none" w:sz="0" w:space="0" w:color="auto"/>
        <w:left w:val="none" w:sz="0" w:space="0" w:color="auto"/>
        <w:bottom w:val="none" w:sz="0" w:space="0" w:color="auto"/>
        <w:right w:val="none" w:sz="0" w:space="0" w:color="auto"/>
      </w:divBdr>
      <w:divsChild>
        <w:div w:id="1835533497">
          <w:marLeft w:val="0"/>
          <w:marRight w:val="0"/>
          <w:marTop w:val="0"/>
          <w:marBottom w:val="0"/>
          <w:divBdr>
            <w:top w:val="none" w:sz="0" w:space="0" w:color="auto"/>
            <w:left w:val="none" w:sz="0" w:space="0" w:color="auto"/>
            <w:bottom w:val="none" w:sz="0" w:space="0" w:color="auto"/>
            <w:right w:val="none" w:sz="0" w:space="0" w:color="auto"/>
          </w:divBdr>
          <w:divsChild>
            <w:div w:id="138501059">
              <w:marLeft w:val="0"/>
              <w:marRight w:val="0"/>
              <w:marTop w:val="0"/>
              <w:marBottom w:val="0"/>
              <w:divBdr>
                <w:top w:val="none" w:sz="0" w:space="0" w:color="auto"/>
                <w:left w:val="none" w:sz="0" w:space="0" w:color="auto"/>
                <w:bottom w:val="none" w:sz="0" w:space="0" w:color="auto"/>
                <w:right w:val="none" w:sz="0" w:space="0" w:color="auto"/>
              </w:divBdr>
              <w:divsChild>
                <w:div w:id="201183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956811">
      <w:bodyDiv w:val="1"/>
      <w:marLeft w:val="0"/>
      <w:marRight w:val="0"/>
      <w:marTop w:val="0"/>
      <w:marBottom w:val="0"/>
      <w:divBdr>
        <w:top w:val="none" w:sz="0" w:space="0" w:color="auto"/>
        <w:left w:val="none" w:sz="0" w:space="0" w:color="auto"/>
        <w:bottom w:val="none" w:sz="0" w:space="0" w:color="auto"/>
        <w:right w:val="none" w:sz="0" w:space="0" w:color="auto"/>
      </w:divBdr>
    </w:div>
    <w:div w:id="848106902">
      <w:bodyDiv w:val="1"/>
      <w:marLeft w:val="0"/>
      <w:marRight w:val="0"/>
      <w:marTop w:val="0"/>
      <w:marBottom w:val="0"/>
      <w:divBdr>
        <w:top w:val="none" w:sz="0" w:space="0" w:color="auto"/>
        <w:left w:val="none" w:sz="0" w:space="0" w:color="auto"/>
        <w:bottom w:val="none" w:sz="0" w:space="0" w:color="auto"/>
        <w:right w:val="none" w:sz="0" w:space="0" w:color="auto"/>
      </w:divBdr>
    </w:div>
    <w:div w:id="924000242">
      <w:bodyDiv w:val="1"/>
      <w:marLeft w:val="0"/>
      <w:marRight w:val="0"/>
      <w:marTop w:val="0"/>
      <w:marBottom w:val="0"/>
      <w:divBdr>
        <w:top w:val="none" w:sz="0" w:space="0" w:color="auto"/>
        <w:left w:val="none" w:sz="0" w:space="0" w:color="auto"/>
        <w:bottom w:val="none" w:sz="0" w:space="0" w:color="auto"/>
        <w:right w:val="none" w:sz="0" w:space="0" w:color="auto"/>
      </w:divBdr>
      <w:divsChild>
        <w:div w:id="650864635">
          <w:marLeft w:val="0"/>
          <w:marRight w:val="0"/>
          <w:marTop w:val="0"/>
          <w:marBottom w:val="0"/>
          <w:divBdr>
            <w:top w:val="none" w:sz="0" w:space="0" w:color="auto"/>
            <w:left w:val="none" w:sz="0" w:space="0" w:color="auto"/>
            <w:bottom w:val="none" w:sz="0" w:space="0" w:color="auto"/>
            <w:right w:val="none" w:sz="0" w:space="0" w:color="auto"/>
          </w:divBdr>
          <w:divsChild>
            <w:div w:id="1745682603">
              <w:marLeft w:val="0"/>
              <w:marRight w:val="0"/>
              <w:marTop w:val="0"/>
              <w:marBottom w:val="0"/>
              <w:divBdr>
                <w:top w:val="none" w:sz="0" w:space="0" w:color="auto"/>
                <w:left w:val="none" w:sz="0" w:space="0" w:color="auto"/>
                <w:bottom w:val="none" w:sz="0" w:space="0" w:color="auto"/>
                <w:right w:val="none" w:sz="0" w:space="0" w:color="auto"/>
              </w:divBdr>
              <w:divsChild>
                <w:div w:id="96573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266499">
      <w:bodyDiv w:val="1"/>
      <w:marLeft w:val="0"/>
      <w:marRight w:val="0"/>
      <w:marTop w:val="0"/>
      <w:marBottom w:val="0"/>
      <w:divBdr>
        <w:top w:val="none" w:sz="0" w:space="0" w:color="auto"/>
        <w:left w:val="none" w:sz="0" w:space="0" w:color="auto"/>
        <w:bottom w:val="none" w:sz="0" w:space="0" w:color="auto"/>
        <w:right w:val="none" w:sz="0" w:space="0" w:color="auto"/>
      </w:divBdr>
    </w:div>
    <w:div w:id="1076131755">
      <w:bodyDiv w:val="1"/>
      <w:marLeft w:val="0"/>
      <w:marRight w:val="0"/>
      <w:marTop w:val="0"/>
      <w:marBottom w:val="0"/>
      <w:divBdr>
        <w:top w:val="none" w:sz="0" w:space="0" w:color="auto"/>
        <w:left w:val="none" w:sz="0" w:space="0" w:color="auto"/>
        <w:bottom w:val="none" w:sz="0" w:space="0" w:color="auto"/>
        <w:right w:val="none" w:sz="0" w:space="0" w:color="auto"/>
      </w:divBdr>
    </w:div>
    <w:div w:id="1143932329">
      <w:bodyDiv w:val="1"/>
      <w:marLeft w:val="0"/>
      <w:marRight w:val="0"/>
      <w:marTop w:val="0"/>
      <w:marBottom w:val="0"/>
      <w:divBdr>
        <w:top w:val="none" w:sz="0" w:space="0" w:color="auto"/>
        <w:left w:val="none" w:sz="0" w:space="0" w:color="auto"/>
        <w:bottom w:val="none" w:sz="0" w:space="0" w:color="auto"/>
        <w:right w:val="none" w:sz="0" w:space="0" w:color="auto"/>
      </w:divBdr>
      <w:divsChild>
        <w:div w:id="2124684903">
          <w:marLeft w:val="0"/>
          <w:marRight w:val="0"/>
          <w:marTop w:val="0"/>
          <w:marBottom w:val="0"/>
          <w:divBdr>
            <w:top w:val="none" w:sz="0" w:space="0" w:color="auto"/>
            <w:left w:val="none" w:sz="0" w:space="0" w:color="auto"/>
            <w:bottom w:val="none" w:sz="0" w:space="0" w:color="auto"/>
            <w:right w:val="none" w:sz="0" w:space="0" w:color="auto"/>
          </w:divBdr>
        </w:div>
        <w:div w:id="1542015290">
          <w:marLeft w:val="0"/>
          <w:marRight w:val="0"/>
          <w:marTop w:val="0"/>
          <w:marBottom w:val="0"/>
          <w:divBdr>
            <w:top w:val="none" w:sz="0" w:space="0" w:color="auto"/>
            <w:left w:val="none" w:sz="0" w:space="0" w:color="auto"/>
            <w:bottom w:val="none" w:sz="0" w:space="0" w:color="auto"/>
            <w:right w:val="none" w:sz="0" w:space="0" w:color="auto"/>
          </w:divBdr>
        </w:div>
      </w:divsChild>
    </w:div>
    <w:div w:id="1329869962">
      <w:bodyDiv w:val="1"/>
      <w:marLeft w:val="0"/>
      <w:marRight w:val="0"/>
      <w:marTop w:val="0"/>
      <w:marBottom w:val="0"/>
      <w:divBdr>
        <w:top w:val="none" w:sz="0" w:space="0" w:color="auto"/>
        <w:left w:val="none" w:sz="0" w:space="0" w:color="auto"/>
        <w:bottom w:val="none" w:sz="0" w:space="0" w:color="auto"/>
        <w:right w:val="none" w:sz="0" w:space="0" w:color="auto"/>
      </w:divBdr>
    </w:div>
    <w:div w:id="1620723825">
      <w:bodyDiv w:val="1"/>
      <w:marLeft w:val="0"/>
      <w:marRight w:val="0"/>
      <w:marTop w:val="0"/>
      <w:marBottom w:val="0"/>
      <w:divBdr>
        <w:top w:val="none" w:sz="0" w:space="0" w:color="auto"/>
        <w:left w:val="none" w:sz="0" w:space="0" w:color="auto"/>
        <w:bottom w:val="none" w:sz="0" w:space="0" w:color="auto"/>
        <w:right w:val="none" w:sz="0" w:space="0" w:color="auto"/>
      </w:divBdr>
    </w:div>
    <w:div w:id="1649744392">
      <w:bodyDiv w:val="1"/>
      <w:marLeft w:val="0"/>
      <w:marRight w:val="0"/>
      <w:marTop w:val="0"/>
      <w:marBottom w:val="0"/>
      <w:divBdr>
        <w:top w:val="none" w:sz="0" w:space="0" w:color="auto"/>
        <w:left w:val="none" w:sz="0" w:space="0" w:color="auto"/>
        <w:bottom w:val="none" w:sz="0" w:space="0" w:color="auto"/>
        <w:right w:val="none" w:sz="0" w:space="0" w:color="auto"/>
      </w:divBdr>
    </w:div>
    <w:div w:id="1666131227">
      <w:bodyDiv w:val="1"/>
      <w:marLeft w:val="0"/>
      <w:marRight w:val="0"/>
      <w:marTop w:val="0"/>
      <w:marBottom w:val="0"/>
      <w:divBdr>
        <w:top w:val="none" w:sz="0" w:space="0" w:color="auto"/>
        <w:left w:val="none" w:sz="0" w:space="0" w:color="auto"/>
        <w:bottom w:val="none" w:sz="0" w:space="0" w:color="auto"/>
        <w:right w:val="none" w:sz="0" w:space="0" w:color="auto"/>
      </w:divBdr>
    </w:div>
    <w:div w:id="1731490114">
      <w:bodyDiv w:val="1"/>
      <w:marLeft w:val="0"/>
      <w:marRight w:val="0"/>
      <w:marTop w:val="0"/>
      <w:marBottom w:val="0"/>
      <w:divBdr>
        <w:top w:val="none" w:sz="0" w:space="0" w:color="auto"/>
        <w:left w:val="none" w:sz="0" w:space="0" w:color="auto"/>
        <w:bottom w:val="none" w:sz="0" w:space="0" w:color="auto"/>
        <w:right w:val="none" w:sz="0" w:space="0" w:color="auto"/>
      </w:divBdr>
      <w:divsChild>
        <w:div w:id="724380160">
          <w:marLeft w:val="0"/>
          <w:marRight w:val="0"/>
          <w:marTop w:val="0"/>
          <w:marBottom w:val="0"/>
          <w:divBdr>
            <w:top w:val="none" w:sz="0" w:space="0" w:color="auto"/>
            <w:left w:val="none" w:sz="0" w:space="0" w:color="auto"/>
            <w:bottom w:val="none" w:sz="0" w:space="0" w:color="auto"/>
            <w:right w:val="none" w:sz="0" w:space="0" w:color="auto"/>
          </w:divBdr>
          <w:divsChild>
            <w:div w:id="2044673143">
              <w:marLeft w:val="0"/>
              <w:marRight w:val="0"/>
              <w:marTop w:val="0"/>
              <w:marBottom w:val="0"/>
              <w:divBdr>
                <w:top w:val="none" w:sz="0" w:space="0" w:color="auto"/>
                <w:left w:val="none" w:sz="0" w:space="0" w:color="auto"/>
                <w:bottom w:val="none" w:sz="0" w:space="0" w:color="auto"/>
                <w:right w:val="none" w:sz="0" w:space="0" w:color="auto"/>
              </w:divBdr>
              <w:divsChild>
                <w:div w:id="35272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722757">
      <w:bodyDiv w:val="1"/>
      <w:marLeft w:val="0"/>
      <w:marRight w:val="0"/>
      <w:marTop w:val="0"/>
      <w:marBottom w:val="0"/>
      <w:divBdr>
        <w:top w:val="none" w:sz="0" w:space="0" w:color="auto"/>
        <w:left w:val="none" w:sz="0" w:space="0" w:color="auto"/>
        <w:bottom w:val="none" w:sz="0" w:space="0" w:color="auto"/>
        <w:right w:val="none" w:sz="0" w:space="0" w:color="auto"/>
      </w:divBdr>
    </w:div>
    <w:div w:id="1935671981">
      <w:bodyDiv w:val="1"/>
      <w:marLeft w:val="0"/>
      <w:marRight w:val="0"/>
      <w:marTop w:val="0"/>
      <w:marBottom w:val="0"/>
      <w:divBdr>
        <w:top w:val="none" w:sz="0" w:space="0" w:color="auto"/>
        <w:left w:val="none" w:sz="0" w:space="0" w:color="auto"/>
        <w:bottom w:val="none" w:sz="0" w:space="0" w:color="auto"/>
        <w:right w:val="none" w:sz="0" w:space="0" w:color="auto"/>
      </w:divBdr>
    </w:div>
    <w:div w:id="2083596117">
      <w:bodyDiv w:val="1"/>
      <w:marLeft w:val="0"/>
      <w:marRight w:val="0"/>
      <w:marTop w:val="0"/>
      <w:marBottom w:val="0"/>
      <w:divBdr>
        <w:top w:val="none" w:sz="0" w:space="0" w:color="auto"/>
        <w:left w:val="none" w:sz="0" w:space="0" w:color="auto"/>
        <w:bottom w:val="none" w:sz="0" w:space="0" w:color="auto"/>
        <w:right w:val="none" w:sz="0" w:space="0" w:color="auto"/>
      </w:divBdr>
    </w:div>
    <w:div w:id="21075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标题排序" Version="2003"/>
</file>

<file path=customXml/itemProps1.xml><?xml version="1.0" encoding="utf-8"?>
<ds:datastoreItem xmlns:ds="http://schemas.openxmlformats.org/officeDocument/2006/customXml" ds:itemID="{DEDBD626-77AF-451E-9B7B-BDCF82430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1368</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涂 丽莎</dc:creator>
  <cp:keywords/>
  <dc:description/>
  <cp:lastModifiedBy>Administrator</cp:lastModifiedBy>
  <cp:revision>2</cp:revision>
  <dcterms:created xsi:type="dcterms:W3CDTF">2021-12-16T10:13:00Z</dcterms:created>
  <dcterms:modified xsi:type="dcterms:W3CDTF">2021-12-16T10:13:00Z</dcterms:modified>
</cp:coreProperties>
</file>