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pStyle w:val="NoSpacing"/>
        <w:spacing w:before="1540" w:after="240"/>
        <w:jc w:val="center"/>
        <w:rPr>
          <w:b/>
          <w:bCs/>
        </w:rPr>
      </w:pPr>
    </w:p>
    <w:p>
      <w:pPr>
        <w:pStyle w:val="NoSpacing"/>
        <w:pBdr>
          <w:top w:val="single" w:color="4472c4" w:themeColor="accent1" w:sz="6" w:space="6"/>
          <w:bottom w:val="single" w:color="4472c4" w:themeColor="accent1" w:sz="6" w:space="6"/>
        </w:pBdr>
        <w:spacing w:after="240"/>
        <w:jc w:val="center"/>
        <w:rPr>
          <w:rFonts w:asciiTheme="majorHAnsi" w:cstheme="majorBidi" w:eastAsiaTheme="majorEastAsia" w:hAnsiTheme="majorHAnsi"/>
          <w:b/>
          <w:bCs/>
          <w:caps/>
          <w:sz w:val="72"/>
          <w:szCs w:val="72"/>
        </w:rPr>
      </w:pPr>
      <w:r>
        <w:rPr>
          <w:rFonts w:asciiTheme="majorHAnsi" w:cstheme="majorBidi" w:eastAsiaTheme="majorEastAsia" w:hAnsiTheme="majorHAnsi"/>
          <w:b/>
          <w:bCs/>
          <w:caps/>
          <w:sz w:val="72"/>
          <w:szCs w:val="72"/>
        </w:rPr>
        <w:t>Assessment 2 Community Engagement</w:t>
      </w:r>
    </w:p>
    <w:p>
      <w:pPr>
        <w:pStyle w:val="NoSpacing"/>
        <w:pBdr>
          <w:top w:val="single" w:color="4472c4" w:themeColor="accent1" w:sz="6" w:space="6"/>
          <w:bottom w:val="single" w:color="4472c4" w:themeColor="accent1" w:sz="6" w:space="6"/>
        </w:pBdr>
        <w:spacing w:after="240"/>
        <w:jc w:val="center"/>
        <w:rPr>
          <w:rFonts w:asciiTheme="majorHAnsi" w:cstheme="majorBidi" w:eastAsiaTheme="majorEastAsia" w:hAnsiTheme="majorHAnsi"/>
          <w:b/>
          <w:bCs/>
          <w:caps/>
          <w:sz w:val="72"/>
          <w:szCs w:val="72"/>
        </w:rPr>
      </w:pPr>
      <w:r>
        <w:rPr>
          <w:rFonts w:asciiTheme="majorHAnsi" w:cstheme="majorBidi" w:eastAsiaTheme="majorEastAsia" w:hAnsiTheme="majorHAnsi"/>
          <w:b/>
          <w:bCs/>
          <w:caps/>
          <w:sz w:val="72"/>
          <w:szCs w:val="72"/>
        </w:rPr>
        <w:t>lbbc4002</w:t>
      </w:r>
    </w:p>
    <w:p>
      <w:pPr>
        <w:pStyle w:val="NoSpacing"/>
        <w:spacing w:before="480"/>
        <w:jc w:val="center"/>
        <w:rPr>
          <w:b/>
          <w:bCs/>
          <w:sz w:val="28"/>
          <w:szCs w:val="28"/>
        </w:rPr>
      </w:pPr>
      <w:r>
        <w:rPr>
          <w:b/>
          <w:bCs/>
          <w:sz w:val="28"/>
          <w:szCs w:val="28"/>
        </w:rPr>
        <w:t>STUDENT ID: 2114679</w:t>
      </w:r>
    </w:p>
    <w:p>
      <w:pPr>
        <w:pStyle w:val="NoSpacing"/>
        <w:spacing w:before="480"/>
        <w:jc w:val="center"/>
        <w:rPr>
          <w:b/>
          <w:bCs/>
          <w:sz w:val="28"/>
          <w:szCs w:val="28"/>
        </w:rPr>
      </w:pPr>
      <w:r>
        <w:rPr>
          <w:b/>
          <w:bCs/>
          <w:sz w:val="28"/>
          <w:szCs w:val="28"/>
        </w:rPr>
        <w:t>STUDENT NAME:PETRONELA HURMUZACHE</w:t>
      </w:r>
    </w:p>
    <w:p>
      <w:pPr>
        <w:pStyle w:val="NoSpacing"/>
        <w:spacing w:before="480"/>
        <w:jc w:val="center"/>
        <w:rPr>
          <w:b/>
          <w:bCs/>
          <w:sz w:val="28"/>
          <w:szCs w:val="28"/>
        </w:rPr>
      </w:pPr>
      <w:r>
        <w:rPr>
          <w:b/>
          <w:bCs/>
          <w:sz w:val="28"/>
          <w:szCs w:val="28"/>
        </w:rPr>
        <w:t>TUTOR NAME:DR MOLLY JACK</w:t>
      </w:r>
    </w:p>
    <w:p>
      <w:pPr>
        <w:pStyle w:val="NoSpacing"/>
        <w:spacing w:before="480"/>
        <w:jc w:val="center"/>
        <w:rPr>
          <w:b/>
          <w:bCs/>
          <w:sz w:val="28"/>
          <w:szCs w:val="28"/>
        </w:rPr>
      </w:pPr>
    </w:p>
    <w:p>
      <w:pPr>
        <w:pStyle w:val="NoSpacing"/>
        <w:spacing w:before="480"/>
        <w:jc w:val="center"/>
        <w:rPr>
          <w:color w:val="4472c4" w:themeColor="accent1"/>
        </w:rPr>
      </w:pPr>
    </w:p>
    <w:p>
      <w:r>
        <w:rPr/>
        <w:br w:type="page"/>
      </w:r>
    </w:p>
    <w:p>
      <w:pPr>
        <w:pStyle w:val="TOCHeading"/>
        <w:rPr/>
      </w:pPr>
      <w:r>
        <w:t>Table of Contents</w:t>
      </w:r>
    </w:p>
    <w:p>
      <w:pPr>
        <w:pStyle w:val="Toc1"/>
        <w:tabs>
          <w:tab w:val="right" w:leader="dot" w:pos="9350"/>
        </w:tabs>
        <w:rPr>
          <w:rFonts w:asciiTheme="minorHAnsi" w:cstheme="minorBidi" w:eastAsiaTheme="minorEastAsia" w:hAnsiTheme="minorHAnsi"/>
          <w:lang w:eastAsia="en-GB"/>
        </w:rPr>
      </w:pPr>
      <w:r>
        <w:fldChar w:fldCharType="begin"/>
      </w:r>
      <w:r>
        <w:instrText xml:space="preserve"> TOC \o "1-3" \h \z \u </w:instrText>
      </w:r>
      <w:r>
        <w:fldChar w:fldCharType="separate"/>
      </w:r>
      <w:r>
        <w:fldChar w:fldCharType="begin"/>
      </w:r>
      <w:r>
        <w:instrText xml:space="preserve">HYPERLINK \l "_Toc112610152" </w:instrText>
      </w:r>
      <w:r>
        <w:fldChar w:fldCharType="separate"/>
      </w:r>
      <w:r>
        <w:rPr>
          <w:rStyle w:val="Hyperlink"/>
        </w:rPr>
        <w:t>Introduction</w:t>
      </w:r>
      <w:r>
        <w:tab/>
      </w:r>
      <w:r>
        <w:fldChar w:fldCharType="begin"/>
      </w:r>
      <w:r>
        <w:instrText xml:space="preserve"> PAGEREF _Toc112610152 \h </w:instrText>
      </w:r>
      <w:r>
        <w:fldChar w:fldCharType="separate"/>
      </w:r>
      <w:r>
        <w:t>2</w:t>
      </w:r>
      <w:r>
        <w:fldChar w:fldCharType="end"/>
      </w:r>
      <w:r>
        <w:fldChar w:fldCharType="end"/>
      </w:r>
    </w:p>
    <w:p>
      <w:pPr>
        <w:pStyle w:val="Toc1"/>
        <w:tabs>
          <w:tab w:val="right" w:leader="dot" w:pos="9350"/>
        </w:tabs>
        <w:rPr>
          <w:rFonts w:asciiTheme="minorHAnsi" w:cstheme="minorBidi" w:eastAsiaTheme="minorEastAsia" w:hAnsiTheme="minorHAnsi"/>
          <w:lang w:eastAsia="en-GB"/>
        </w:rPr>
      </w:pPr>
      <w:r>
        <w:fldChar w:fldCharType="begin"/>
      </w:r>
      <w:r>
        <w:instrText xml:space="preserve">HYPERLINK \l "_Toc112610153" </w:instrText>
      </w:r>
      <w:r>
        <w:fldChar w:fldCharType="separate"/>
      </w:r>
      <w:r>
        <w:rPr>
          <w:rStyle w:val="Hyperlink"/>
        </w:rPr>
        <w:t>Discussion</w:t>
      </w:r>
      <w:r>
        <w:tab/>
      </w:r>
      <w:r>
        <w:fldChar w:fldCharType="end"/>
      </w:r>
      <w:r>
        <w:rPr>
          <w:rFonts w:asciiTheme="minorHAnsi" w:cstheme="minorBidi" w:eastAsiaTheme="minorEastAsia" w:hAnsiTheme="minorHAnsi"/>
          <w:lang w:eastAsia="en-GB"/>
        </w:rPr>
        <w:t>3</w:t>
      </w:r>
    </w:p>
    <w:p>
      <w:pPr>
        <w:pStyle w:val="Toc1"/>
        <w:tabs>
          <w:tab w:val="right" w:leader="dot" w:pos="9350"/>
        </w:tabs>
        <w:rPr>
          <w:rFonts w:asciiTheme="minorHAnsi" w:cstheme="minorBidi" w:eastAsiaTheme="minorEastAsia" w:hAnsiTheme="minorHAnsi"/>
          <w:lang w:eastAsia="en-GB"/>
        </w:rPr>
      </w:pPr>
      <w:r>
        <w:fldChar w:fldCharType="begin"/>
      </w:r>
      <w:r>
        <w:instrText xml:space="preserve">HYPERLINK \l "_Toc112610154" </w:instrText>
      </w:r>
      <w:r>
        <w:fldChar w:fldCharType="separate"/>
      </w:r>
      <w:r>
        <w:rPr>
          <w:rStyle w:val="Hyperlink"/>
        </w:rPr>
        <w:t>Reflection</w:t>
      </w:r>
      <w:r>
        <w:tab/>
      </w:r>
      <w:r>
        <w:fldChar w:fldCharType="end"/>
      </w:r>
      <w:r>
        <w:rPr>
          <w:rFonts w:asciiTheme="minorHAnsi" w:cstheme="minorBidi" w:eastAsiaTheme="minorEastAsia" w:hAnsiTheme="minorHAnsi"/>
          <w:lang w:eastAsia="en-GB"/>
        </w:rPr>
        <w:t>4</w:t>
      </w:r>
    </w:p>
    <w:p>
      <w:pPr>
        <w:pStyle w:val="Toc1"/>
        <w:tabs>
          <w:tab w:val="right" w:leader="dot" w:pos="9350"/>
        </w:tabs>
        <w:rPr>
          <w:rFonts w:asciiTheme="minorHAnsi" w:cstheme="minorBidi" w:eastAsiaTheme="minorEastAsia" w:hAnsiTheme="minorHAnsi"/>
          <w:lang w:eastAsia="en-GB"/>
        </w:rPr>
      </w:pPr>
      <w:r>
        <w:fldChar w:fldCharType="begin"/>
      </w:r>
      <w:r>
        <w:instrText xml:space="preserve">HYPERLINK \l "_Toc112610155" </w:instrText>
      </w:r>
      <w:r>
        <w:fldChar w:fldCharType="separate"/>
      </w:r>
      <w:r>
        <w:rPr>
          <w:rStyle w:val="Hyperlink"/>
        </w:rPr>
        <w:t>Conclusion</w:t>
      </w:r>
      <w:r>
        <w:tab/>
      </w:r>
      <w:r>
        <w:fldChar w:fldCharType="end"/>
      </w:r>
      <w:r>
        <w:rPr>
          <w:rFonts w:asciiTheme="minorHAnsi" w:cstheme="minorBidi" w:eastAsiaTheme="minorEastAsia" w:hAnsiTheme="minorHAnsi"/>
          <w:lang w:eastAsia="en-GB"/>
        </w:rPr>
        <w:t>7</w:t>
      </w:r>
    </w:p>
    <w:p>
      <w:pPr>
        <w:pStyle w:val="Toc1"/>
        <w:tabs>
          <w:tab w:val="right" w:leader="dot" w:pos="9350"/>
        </w:tabs>
        <w:rPr>
          <w:rFonts w:asciiTheme="minorHAnsi" w:cstheme="minorBidi" w:eastAsiaTheme="minorEastAsia" w:hAnsiTheme="minorHAnsi"/>
          <w:lang w:eastAsia="en-GB"/>
        </w:rPr>
      </w:pPr>
      <w:r>
        <w:fldChar w:fldCharType="begin"/>
      </w:r>
      <w:r>
        <w:instrText xml:space="preserve">HYPERLINK \l "_Toc112610156" </w:instrText>
      </w:r>
      <w:r>
        <w:fldChar w:fldCharType="separate"/>
      </w:r>
      <w:r>
        <w:rPr>
          <w:rStyle w:val="Hyperlink"/>
        </w:rPr>
        <w:t>References</w:t>
      </w:r>
      <w:r>
        <w:tab/>
      </w:r>
      <w:r>
        <w:fldChar w:fldCharType="end"/>
      </w:r>
      <w:r>
        <w:rPr>
          <w:rFonts w:asciiTheme="minorHAnsi" w:cstheme="minorBidi" w:eastAsiaTheme="minorEastAsia" w:hAnsiTheme="minorHAnsi"/>
          <w:lang w:eastAsia="en-GB"/>
        </w:rPr>
        <w:t>8</w:t>
      </w:r>
    </w:p>
    <w:p>
      <w:r>
        <w:fldChar w:fldCharType="end"/>
      </w:r>
    </w:p>
    <w:p/>
    <w:p/>
    <w:p/>
    <w:p/>
    <w:p/>
    <w:p/>
    <w:p/>
    <w:p/>
    <w:p/>
    <w:p/>
    <w:p/>
    <w:p/>
    <w:p/>
    <w:p/>
    <w:p/>
    <w:p/>
    <w:p>
      <w:pPr>
        <w:pStyle w:val="Heading1"/>
        <w:rPr/>
      </w:pPr>
      <w:bookmarkStart w:id="0" w:name="_Toc112610152"/>
      <w:r>
        <w:t>Introduction</w:t>
      </w:r>
      <w:bookmarkEnd w:id="0"/>
    </w:p>
    <w:p>
      <w:r>
        <w:t xml:space="preserve">My focus of attention will be on the standards of the assessment as well as the strategies that may be used to achieve greater levels of participation from the community. The purpose of this assessment is to discover how to successfully organise and coordinate the community engagement project by looking at a </w:t>
      </w:r>
      <w:r>
        <w:t xml:space="preserve">number of different concepts and models, which we will investigate as part of this study. </w:t>
      </w:r>
      <w:r>
        <w:t xml:space="preserve">As a result of this, you will have the opportunity to practise your reflective writing abilities throughout this portion of the project. With the knowledge that we now possess, we are in a position to </w:t>
      </w:r>
      <w:r>
        <w:t>decide</w:t>
      </w:r>
      <w:r>
        <w:t xml:space="preserve"> on the approach that will prove to be the most successful in terms of putting into action programmes that encourage community engage</w:t>
      </w:r>
      <w:r>
        <w:t>ment to solve the social problem that was previously described. This self-reflection was conducted with the intention of incorporating the newly acquired knowledge into the general group members' and shareholders' efforts to get more involved in their own local communities in order to foster individual growth. This growth might be achieved by paying greater attention to one's sense of self and the community around them.</w:t>
      </w:r>
      <w:r>
        <w:t xml:space="preserve"> In the course of this assessment, a number of hypotheses and models will be investigated in order to come up with a plan for the community participation programme that enables the greatest amount of efficient coordination. I will be thinking about many different aspects of how the criteria may be satisfied and how there may be a genuine impact from the strategies and activities that Age UK does to assist the senior populations that are in need of assistance. I will also be thinking about how I may be able to contribute to Age UK's mission.</w:t>
      </w:r>
    </w:p>
    <w:p>
      <w:pPr>
        <w:pStyle w:val="Heading1"/>
        <w:rPr/>
      </w:pPr>
      <w:bookmarkStart w:id="1" w:name="_Toc112610153"/>
      <w:r>
        <w:t>Discussion</w:t>
      </w:r>
      <w:bookmarkEnd w:id="1"/>
    </w:p>
    <w:p>
      <w:r>
        <w:t>Participating in fundamental activities that are connected to community participation, such as being an active member of the community and offering meaningful service to others, is one of the most important aspects of being involved in the community. As a result of the fact that the inhabitants of my neighbourhood are the only ones who can make it develop and prosper, I make it a point to participate in as many community activities as I possibly can</w:t>
      </w:r>
      <w:r>
        <w:t xml:space="preserve"> </w:t>
      </w:r>
      <w:r>
        <w:t>(Ryan et al. 2020). When a greater number of people in a society participate in its governance, a greater number of individuals will be driven to work together on problem-solving, which is beneficial for the community as a whole. If I do not actively engage in the process of making my city better, it is highly possible that the sort of progress that I wish to see in my city will be unavoidable.</w:t>
      </w:r>
    </w:p>
    <w:p>
      <w:r>
        <w:t>Although I feel that many different skills are crucial for local leaders, the ones that are related with working well with people, managing effectively, and being culturally sensitive stand out to me as being especially significant. It is essential that you do this since it is very important to demonstrate strong leadership abilities. As a direct consequence of having more education than most others, I have come to the conclusion that having more information gives me more power (Surenthirakumaran et al. 2020). This class has unquestionably enlarged my view on events taking on all over the globe, and it has also taught me how to better describe my own town and the people who live there to others who come from outside the community. It is my sincere desire that I will be able to get some value from the fact that I took part in this programme by being able to benefit from the information and skills that I have obtained and put them to use in my day-to-day life</w:t>
      </w:r>
      <w:r>
        <w:t xml:space="preserve"> (</w:t>
      </w:r>
      <w:r>
        <w:t>Ashworth</w:t>
      </w:r>
      <w:r>
        <w:t>, 2021)</w:t>
      </w:r>
      <w:r>
        <w:t>.</w:t>
      </w:r>
    </w:p>
    <w:p>
      <w:pPr>
        <w:pStyle w:val="Heading1"/>
        <w:rPr/>
      </w:pPr>
      <w:bookmarkStart w:id="2" w:name="_Toc112610154"/>
      <w:r>
        <w:t>Reflection</w:t>
      </w:r>
      <w:bookmarkEnd w:id="2"/>
    </w:p>
    <w:p>
      <w:r>
        <w:t xml:space="preserve">By doing a behaviour analysis of oneself in the context of a specific situation and then participating in reflective practise, a person has the ability to become a better version of themselves. </w:t>
      </w:r>
      <w:r>
        <w:t>R</w:t>
      </w:r>
      <w:r>
        <w:t xml:space="preserve">eflective practises that improve one's capacity to analyse past data and to make better decisions based on historical data are advantageous for enhancing one's capability to do both. Participation by community members and evaluation of present situations by those same persons are two sorts of evidence that demonstrate the need for change and cooperation among all relevant stakeholders. This is a good opportunity to introduce people to Gibbs' reflective cycle, which is arguably the most widely circulated model of reflective writing. </w:t>
      </w:r>
    </w:p>
    <w:p>
      <w:r>
        <w:t>As stated in the first section of the evaluation's description, it was my responsibility to assess the community outreach operations of a non-profit organisation and evaluate the success of its social and cultural tactics. After much consideration, I concluded that the best way for me to begin would be to undertake research on Age UK and then write about what I discovered. As a young person, I believe it is of the utmost importance to have a culturally positive view and to include the youth of the community in the process of making ethical decisions. Also, I believe that cultural optimism is very important. When it comes to the provision of social services in urban settings, the participation of young people in community-development-oriented activities is crucial. Those who are given this duty, on the other hand, may find themselves up against a formidable challenge, especially if they have no other career opportunities available (Memon, 2021). Those who are socially and economically disadvantaged are far less likely to be asked to participate in community-organized events as a result of cultural norms that have been in place for a considerable length of time and are well-established. The amount of time required to begin a certain endeavour depends on a range of diverse aspects and circumstances. Such criteria include a person's gender, financial status, educational level, and social standing, among others. Additional examples include a person's age and degree of education. It is usual for economic and political factors to have a significant influence on both the amount of participation and the outcomes. As I have developed this plan for the programme, I have gained confidence in my choice to do so since it will increase the organization's efficiency. As I worked through the process of formulating the plan, I came to this realisation</w:t>
      </w:r>
      <w:r>
        <w:t xml:space="preserve"> (</w:t>
      </w:r>
      <w:r>
        <w:t>Evans</w:t>
      </w:r>
      <w:r>
        <w:t>, 2018)</w:t>
      </w:r>
      <w:r>
        <w:t>.</w:t>
      </w:r>
    </w:p>
    <w:p>
      <w:r>
        <w:t>Because I've maintained a good attitude while working on these efforts, I feel like I've learned a great deal about how to get engaged in the community and how to persuade others of the value of your ideas. This is because I've kept a good outlook throughout the whole procedure. In addition, I received the feeling that my communication skills were adequate, and I had made significant progress in this area since the beginning of the year. In addition, I saw that doing the tests for the same module a second time was far simpler than it had been the first time. This was a substantial improvement over my previous experience. My intuition tells me that the most effective strategy would be to personalise each scenario to the individual in question and, where feasible, incorporate other individuals from the same cultural or religious background</w:t>
      </w:r>
      <w:r>
        <w:t>. P</w:t>
      </w:r>
      <w:r>
        <w:t>ersonnel training and development with the objective of achieving cultural and social norms is seen as a main approach and method for satisfying these needs. This is regarded as the most important path to pursue, both in terms of instruction and application. In addition, there will be a review of the many steps taken to guarantee health and safety, as well as a discussion of the most effective approaches to assure the protection of the elderly at all times. Older individuals are more vulnerable to being exploited in some manner, whether physically or financially, than younger individuals. My writing, problem-solving, and communication abilities are of the highest calibre; yet, I have space for growth in other areas, such as time management and public speaking</w:t>
      </w:r>
      <w:r>
        <w:t xml:space="preserve"> </w:t>
      </w:r>
      <w:r>
        <w:t>(Abram, 2018).</w:t>
      </w:r>
      <w:r>
        <w:t xml:space="preserve"> </w:t>
      </w:r>
      <w:r>
        <w:t>My capacity to effectively present information and communicate may need improvement in this regard. In addition, because I did not spend nearly enough time working on my report, it is vital that I improve my time management and prioritisation skills in order to reach my objectives. After doing research on the engagement programme, I realised that sufficient training and quality management are essential components of an effective strategy for achieving acceptable levels of care and security. Age UK should put a high priority on doing research and generating fresh ideas and trends that will appeal to a younger demographic if it want to achieve its goal of success. For Age UK to be effective, both of these responsibilities must be fulfilled. As a result, Age UK may be in a better position to persuade its workers to volunteer in a way that is advantageous to the organisation and meets their desire to help others in need. This will enable Age UK to fulfil their goal to assist individuals in need, while also benefitting the organisation. Participation from locals is essential for any business that aims to do good in the world by facing important social concerns head-on, regardless of the enterprise's industry.</w:t>
      </w:r>
      <w:r>
        <w:t xml:space="preserve"> As the process of establishing the community engagement programme progressed, it became abundantly evident that not all community members and locals were provided with the same chance to have their opinions heard and to be treated with the same level of decency and respect as others. I became aware of the problem as a direct consequence of the fact that the outcomes of the campaign to increase community participation did not meet the substantial criterion</w:t>
      </w:r>
      <w:r>
        <w:t xml:space="preserve"> (</w:t>
      </w:r>
      <w:r>
        <w:t>Dostilio</w:t>
      </w:r>
      <w:r>
        <w:t>, 2017)</w:t>
      </w:r>
      <w:r>
        <w:t xml:space="preserve">. After this, the entire team had a discussion in which they reached the conclusion that everyone on the team had an equal opportunity to not only voice their opinions, but also have those opinions taken into account and respected. This was the conclusion that was reached following the conversation that the entire team had. This will assist to guarantee that the primary objective of carrying out the community involvement strategy indicated in this work can be fulfilled and that the social problem can be zeroed in on and resolved to the highest possible standard. I discovered that two of the most important reasons to become active in your community are to make meaningful connections with the youth in your area and to help them make long-lasting changes in their life. My attention was called to this due to the fact that the objective of community engagement is to motivate individuals to become actively engaged in the areas in which they reside. Contributing any and all sorts of monetary and material support to the organisation will be of great assistance in the development of all concerns of community involvement in educational pursuits. I also have a better understanding of the ideas of communication and community engagement, which encourage the participation of all key stakeholders, the transmission of information to those stakeholders, and the collecting of feedback from them at all levels. A channel of communication between all of the parties concerned is now being created in order to facilitate the prompt resolution of any disagreements that may surface as a result of the discussion at hand. It has been brought to my attention that there was a breakdown in communication amongst the several parties who were engaged in the early stages of the program's development. </w:t>
      </w:r>
    </w:p>
    <w:p>
      <w:pPr>
        <w:pStyle w:val="Heading1"/>
        <w:rPr/>
      </w:pPr>
      <w:bookmarkStart w:id="3" w:name="_Toc112610155"/>
      <w:r>
        <w:t>Conclusion</w:t>
      </w:r>
      <w:bookmarkEnd w:id="3"/>
    </w:p>
    <w:p>
      <w:r>
        <w:t>In conclusion, I want to enhance the quality of my work by increasing my understanding of the relevance of civic engagement and obtaining access to new skills. In addition, I now have a greater understanding of what I should do differently and how I may be able to improve my performance next time, indicating that the experience was both positive and beneficial to me overall. Emotional intelligence and my ability to influence the thoughts and judgments of others are two areas in which I believe I may benefit by dedicating more time and energy to the study and examination of these topics. Given that I am keen to show that my personal devotion to the cause is real and that I am capable of having a beneficial impact on the community, I am fully aware that I must swiftly enhance these talents in order to achieve my goals.</w:t>
      </w:r>
      <w:r>
        <w:t xml:space="preserve"> One of my aims is to demonstrate via my actions that participating in regular events and making an effort to include others are two of the most important qualities of an active community member. This will help me achieve one of my objectives, which is to show that these are two of the most valued qualities of an engaged community member. It is essential that I concentrate the bulk of my time and effort to the presentation of my assessment; thus, one of my objectives is to improve my time management and organisational skills. I am eager to demonstrate that my personal devotion to the cause is genuine and that I can positively impact the community.</w:t>
      </w:r>
    </w:p>
    <w:p/>
    <w:p>
      <w:pPr>
        <w:pStyle w:val="Heading1"/>
        <w:rPr/>
      </w:pPr>
      <w:bookmarkStart w:id="4" w:name="_Toc112610156"/>
      <w:r>
        <w:t>References</w:t>
      </w:r>
      <w:bookmarkEnd w:id="4"/>
    </w:p>
    <w:p>
      <w:pPr>
        <w:pStyle w:val="ListParagraph"/>
        <w:numPr>
          <w:ilvl w:val="0"/>
          <w:numId w:val="1"/>
        </w:numPr>
        <w:rPr/>
      </w:pPr>
      <w:r>
        <w:t xml:space="preserve">Abram, S. 2018. 50 Essential Skills in Community Management. [Online]. Available from: </w:t>
      </w:r>
      <w:r>
        <w:fldChar w:fldCharType="begin"/>
      </w:r>
      <w:r>
        <w:instrText xml:space="preserve">HYPERLINK "https://communityroundtable.com/community-manager-role/50-%20essential-skills-in-community-management/" </w:instrText>
      </w:r>
      <w:r>
        <w:fldChar w:fldCharType="separate"/>
      </w:r>
      <w:r>
        <w:rPr>
          <w:rStyle w:val="Hyperlink"/>
        </w:rPr>
        <w:t>https://communityroundtable.com/community-manager-role/50- essential-skills-in-community-management/</w:t>
      </w:r>
      <w:r>
        <w:fldChar w:fldCharType="end"/>
      </w:r>
    </w:p>
    <w:p>
      <w:pPr>
        <w:pStyle w:val="ListParagraph"/>
        <w:numPr>
          <w:ilvl w:val="0"/>
          <w:numId w:val="1"/>
        </w:numPr>
        <w:rPr/>
      </w:pPr>
      <w:r>
        <w:t>Ashworth, H.C., Dada, S., Buggy, C. and Lees, S., 2021. The importance of developing rigorous social science methods for community engagement and behavior change during outbreak response. Disaster medicine and public health preparedness, 15(6), pp.685-690.</w:t>
      </w:r>
    </w:p>
    <w:p>
      <w:pPr>
        <w:pStyle w:val="ListParagraph"/>
        <w:numPr>
          <w:ilvl w:val="0"/>
          <w:numId w:val="1"/>
        </w:numPr>
        <w:rPr/>
      </w:pPr>
      <w:r>
        <w:t xml:space="preserve">Dostilio, L.D. ed., 2017. The community engagement professional in higher education: A competency model for an emerging field. Stylus Publishing, LLC. </w:t>
      </w:r>
    </w:p>
    <w:p>
      <w:pPr>
        <w:pStyle w:val="ListParagraph"/>
        <w:numPr>
          <w:ilvl w:val="0"/>
          <w:numId w:val="1"/>
        </w:numPr>
        <w:rPr/>
      </w:pPr>
      <w:r>
        <w:t xml:space="preserve">Evans, E., Funes, M., Hong, H., </w:t>
      </w:r>
      <w:r>
        <w:t xml:space="preserve"> </w:t>
      </w:r>
      <w:r>
        <w:t xml:space="preserve">Reuter, K., Ahmed, S., Calhoun, K., Corbie-Smith, G., Dave, G., DeFino, M., Harwood, E. and Kissack, A., 2018. Defining and measuring community engagement and community-engaged research: Clinical and translational science institutional practices. Progress in community health partnerships: research, education, and action, 12(2), pp.145-156. </w:t>
      </w:r>
    </w:p>
    <w:p>
      <w:pPr>
        <w:pStyle w:val="ListParagraph"/>
        <w:numPr>
          <w:ilvl w:val="0"/>
          <w:numId w:val="1"/>
        </w:numPr>
        <w:rPr/>
      </w:pPr>
      <w:r>
        <w:t xml:space="preserve">Memon, R., Asif, M., Khoso, A.B. et al. Recognising values and engaging communities across cultures: towards developing a cultural protocol for researchers. BMC Med Ethics 22, 47 (2021). </w:t>
      </w:r>
      <w:r>
        <w:fldChar w:fldCharType="begin"/>
      </w:r>
      <w:r>
        <w:instrText xml:space="preserve">HYPERLINK "https://doi.org/10.1186/s12910-021-00608-4" </w:instrText>
      </w:r>
      <w:r>
        <w:fldChar w:fldCharType="separate"/>
      </w:r>
      <w:r>
        <w:rPr>
          <w:rStyle w:val="Hyperlink"/>
        </w:rPr>
        <w:t>https://doi.org/10.1186/s12910-021-00608-4</w:t>
      </w:r>
      <w:r>
        <w:fldChar w:fldCharType="end"/>
      </w:r>
    </w:p>
    <w:p>
      <w:pPr>
        <w:pStyle w:val="ListParagraph"/>
        <w:numPr>
          <w:ilvl w:val="0"/>
          <w:numId w:val="1"/>
        </w:numPr>
        <w:rPr/>
      </w:pPr>
      <w:r>
        <w:t>Ryan, B., Johnston, K.A., Taylor, M. and McAndrew, R., 2020. Community engagement for disaster preparedness: A systematic literature review. International journal of disaster risk reduction, 49, p.101655.</w:t>
      </w:r>
    </w:p>
    <w:p>
      <w:pPr>
        <w:pStyle w:val="ListParagraph"/>
        <w:numPr>
          <w:ilvl w:val="0"/>
          <w:numId w:val="1"/>
        </w:numPr>
        <w:rPr/>
      </w:pPr>
      <w:r>
        <w:t>Surenthirakumaran, R., Kumaran, S., Shribavan, K. and Shanmuganathan, Y., 2020. Community engagement and involvement in research: a local experiences.</w:t>
      </w:r>
    </w:p>
    <w:sectPr>
      <w:footerReference w:type="default" r:id="rId1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r>
        <w:rPr/>
        <w:separator/>
      </w:r>
    </w:p>
  </w:endnote>
  <w:endnote w:type="continuationSeparator" w:id="1">
    <w:p>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decorative"/>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decorative"/>
    <w:pitch w:val="variable"/>
    <w:sig w:usb0="00000000" w:usb1="10000000" w:usb2="00000000" w:usb3="00000000" w:csb0="00000000" w:csb1="00000000"/>
  </w:font>
  <w:font w:name="Calibri">
    <w:panose1 w:val="020f0502020204030204"/>
    <w:charset w:val="00"/>
    <w:family w:val="swiss"/>
    <w:pitch w:val="variable"/>
    <w:sig w:usb0="00000000" w:usb1="4000acff" w:usb2="00000001" w:usb3="00000000" w:csb0="0000019f" w:csb1="00000000"/>
  </w:font>
  <w:font w:name="Arial">
    <w:panose1 w:val="020b060402020202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Footer"/>
      <w:rPr/>
    </w:pPr>
    <w:r>
      <w:fldChar w:fldCharType="begin"/>
    </w:r>
    <w:r>
      <w:instrText xml:space="preserve"> PAGE   \* MERGEFORMAT </w:instrText>
    </w:r>
    <w:r>
      <w:fldChar w:fldCharType="separate"/>
    </w:r>
    <w: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r>
        <w:rPr/>
        <w:separator/>
      </w:r>
    </w:p>
  </w:footnote>
  <w:footnote w:type="continuationSeparator" w:id="1">
    <w:p>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CB4"/>
    <w:rsid w:val="00035106"/>
    <w:rsid w:val="001320C6"/>
    <w:rsid w:val="002E1F1D"/>
    <w:rsid w:val="00326414"/>
    <w:rsid w:val="00350582"/>
    <w:rsid w:val="00372CB4"/>
    <w:rsid w:val="00377210"/>
    <w:rsid w:val="00411C30"/>
    <w:rsid w:val="00556F08"/>
    <w:rsid w:val="00587524"/>
    <w:rsid w:val="006606D0"/>
    <w:rsid w:val="006C2637"/>
    <w:rsid w:val="006E0788"/>
    <w:rsid w:val="0092523F"/>
    <w:rsid w:val="00AE4AF9"/>
    <w:rsid w:val="00B41113"/>
    <w:rsid w:val="00B84685"/>
    <w:rsid w:val="00BE6FDE"/>
    <w:rsid w:val="00C7636A"/>
    <w:rsid w:val="00CF041D"/>
    <w:rsid w:val="00D01694"/>
    <w:rsid w:val="00D95029"/>
    <w:rsid w:val="00DD2DD3"/>
    <w:rsid w:val="00EE530D"/>
    <w:rsid w:val="00F0250A"/>
    <w:rsid w:val="00F73315"/>
    <w:rsid w:val="00FC2D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7D2E9"/>
  <w15:chartTrackingRefBased/>
  <w15:docId w15:val="{449ABE57-DECC-4E86-80AE-7D76E0DA0781}"/>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1Char">
    <w:name w:val="Heading 1 Char"/>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Emphasis">
    <w:name w:val="Emphasis"/>
    <w:uiPriority w:val="20"/>
    <w:qFormat w:val="on"/>
    <w:rPr>
      <w:i/>
      <w:iCs/>
    </w:rPr>
  </w:style>
  <w:style w:type="character" w:styleId="IntenseEmphasis">
    <w:name w:val="Intense Emphasis"/>
    <w:uiPriority w:val="21"/>
    <w:qFormat w:val="on"/>
    <w:rPr>
      <w:b/>
      <w:bCs/>
      <w:i/>
      <w:iCs/>
      <w:color w:val="4472c4" w:themeColor="accent1"/>
    </w:rPr>
  </w:style>
  <w:style w:type="character" w:styleId="Strong">
    <w:name w:val="Strong"/>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link w:val="IntenseQuote"/>
    <w:uiPriority w:val="30"/>
    <w:rPr>
      <w:b/>
      <w:bCs/>
      <w:i/>
      <w:iCs/>
      <w:color w:val="4472c4"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styleId="BookTitle">
    <w:name w:val="Book Title"/>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default="1" w:styleId="Normal">
    <w:name w:val="Normal"/>
    <w:uiPriority w:val="99"/>
    <w:qFormat w:val="on"/>
    <w:pPr>
      <w:spacing w:line="360" w:lineRule="auto"/>
      <w:jc w:val="both"/>
    </w:pPr>
    <w:rPr>
      <w:rFonts w:ascii="Times New Roman" w:cs="Times New Roman" w:hAnsi="Times New Roman"/>
    </w:rPr>
  </w:style>
  <w:style w:type="paragraph" w:styleId="Heading1">
    <w:name w:val="Heading 1"/>
    <w:basedOn w:val="Normal"/>
    <w:next w:val="Normal"/>
    <w:link w:val="Titlu1Caracter"/>
    <w:uiPriority w:val="9"/>
    <w:qFormat w:val="on"/>
    <w:pPr>
      <w:keepNext w:val="on"/>
      <w:keepLines w:val="on"/>
      <w:spacing w:before="240" w:after="0"/>
    </w:pPr>
    <w:rPr>
      <w:rFonts w:asciiTheme="majorHAnsi" w:cstheme="majorBidi" w:eastAsiaTheme="majorEastAsia" w:hAnsiTheme="majorHAnsi"/>
      <w:b/>
      <w:bCs/>
      <w:sz w:val="26"/>
      <w:szCs w:val="26"/>
    </w:rPr>
  </w:style>
  <w:style w:type="paragraph" w:styleId="Heading2">
    <w:name w:val="Heading 2"/>
    <w:basedOn w:val="Normal"/>
    <w:next w:val="Normal"/>
    <w:link w:val="Titlu2Caracter"/>
    <w:uiPriority w:val="9"/>
    <w:unhideWhenUsed w:val="on"/>
    <w:qFormat w:val="on"/>
    <w:pPr>
      <w:keepNext w:val="on"/>
      <w:keepLines w:val="on"/>
      <w:spacing w:before="40" w:after="0"/>
    </w:pPr>
    <w:rPr>
      <w:rFonts w:asciiTheme="majorHAnsi" w:cstheme="majorBidi" w:eastAsiaTheme="majorEastAsia" w:hAnsiTheme="majorHAnsi"/>
      <w:color w:val="2f5395" w:themeColor="accent1" w:themeShade="bf"/>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link w:val="FărăspațiereCaracter"/>
    <w:uiPriority w:val="1"/>
    <w:qFormat w:val="on"/>
    <w:pPr>
      <w:spacing w:after="0" w:line="240" w:lineRule="auto"/>
    </w:pPr>
    <w:rPr>
      <w:rFonts w:eastAsiaTheme="minorEastAsia"/>
      <w:lang w:val="en-US"/>
    </w:rPr>
  </w:style>
  <w:style w:type="character" w:customStyle="1" w:styleId="FărăspațiereCaracter">
    <w:name w:val="Fără spațiere Caracter"/>
    <w:basedOn w:val="DefaultParagraphFont"/>
    <w:link w:val="NoSpacing"/>
    <w:uiPriority w:val="1"/>
    <w:rPr>
      <w:rFonts w:eastAsiaTheme="minorEastAsia"/>
      <w:lang w:val="en-US"/>
    </w:rPr>
  </w:style>
  <w:style w:type="character" w:customStyle="1" w:styleId="Titlu1Caracter">
    <w:name w:val="Titlu 1 Caracter"/>
    <w:basedOn w:val="DefaultParagraphFont"/>
    <w:link w:val="Heading1"/>
    <w:uiPriority w:val="9"/>
    <w:rPr>
      <w:rFonts w:asciiTheme="majorHAnsi" w:cstheme="majorBidi" w:eastAsiaTheme="majorEastAsia" w:hAnsiTheme="majorHAnsi"/>
      <w:b/>
      <w:bCs/>
      <w:sz w:val="26"/>
      <w:szCs w:val="26"/>
    </w:rPr>
  </w:style>
  <w:style w:type="paragraph" w:styleId="ListParagraph">
    <w:name w:val="List Paragraph"/>
    <w:basedOn w:val="Normal"/>
    <w:uiPriority w:val="34"/>
    <w:qFormat w:val="on"/>
    <w:pPr>
      <w:ind w:left="720"/>
      <w:contextualSpacing w:val="on"/>
    </w:pPr>
  </w:style>
  <w:style w:type="paragraph" w:styleId="TOCHeading">
    <w:name w:val="TOC Heading"/>
    <w:basedOn w:val="Heading1"/>
    <w:next w:val="Normal"/>
    <w:uiPriority w:val="39"/>
    <w:unhideWhenUsed w:val="on"/>
    <w:qFormat w:val="on"/>
    <w:pPr/>
    <w:rPr>
      <w:lang w:val="en-US"/>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 w:type="paragraph" w:styleId="Header">
    <w:name w:val="Header"/>
    <w:basedOn w:val="Normal"/>
    <w:link w:val="AntetCaracter"/>
    <w:uiPriority w:val="99"/>
    <w:unhideWhenUsed w:val="on"/>
    <w:pPr>
      <w:tabs>
        <w:tab w:val="center" w:pos="4513"/>
        <w:tab w:val="right" w:pos="9026"/>
      </w:tabs>
      <w:spacing w:after="0" w:line="240" w:lineRule="auto"/>
    </w:pPr>
  </w:style>
  <w:style w:type="character" w:customStyle="1" w:styleId="AntetCaracter">
    <w:name w:val="Antet Caracter"/>
    <w:basedOn w:val="DefaultParagraphFont"/>
    <w:link w:val="Header"/>
    <w:uiPriority w:val="99"/>
  </w:style>
  <w:style w:type="paragraph" w:styleId="Footer">
    <w:name w:val="Footer"/>
    <w:basedOn w:val="Normal"/>
    <w:link w:val="SubsolCaracter"/>
    <w:uiPriority w:val="99"/>
    <w:unhideWhenUsed w:val="on"/>
    <w:pPr>
      <w:tabs>
        <w:tab w:val="center" w:pos="4513"/>
        <w:tab w:val="right" w:pos="9026"/>
      </w:tabs>
      <w:spacing w:after="0" w:line="240" w:lineRule="auto"/>
    </w:pPr>
  </w:style>
  <w:style w:type="character" w:customStyle="1" w:styleId="SubsolCaracter">
    <w:name w:val="Subsol Caracter"/>
    <w:basedOn w:val="DefaultParagraphFont"/>
    <w:link w:val="Footer"/>
    <w:uiPriority w:val="99"/>
  </w:style>
  <w:style w:type="character" w:customStyle="1" w:styleId="Titlu2Caracter">
    <w:name w:val="Titlu 2 Caracter"/>
    <w:basedOn w:val="DefaultParagraphFont"/>
    <w:link w:val="Heading2"/>
    <w:uiPriority w:val="9"/>
    <w:rPr>
      <w:rFonts w:asciiTheme="majorHAnsi" w:cstheme="majorBidi" w:eastAsiaTheme="majorEastAsia" w:hAnsiTheme="majorHAnsi"/>
      <w:color w:val="2f5395" w:themeColor="accent1" w:themeShade="bf"/>
      <w:sz w:val="26"/>
      <w:szCs w:val="26"/>
    </w:rPr>
  </w:style>
  <w:style w:type="character" w:styleId="UnresolvedMention">
    <w:name w:val="Unresolved Mention"/>
    <w:basedOn w:val="DefaultParagraphFont"/>
    <w:uiPriority w:val="99"/>
    <w:semiHidden w:val="on"/>
    <w:unhideWhenUsed w:val="on"/>
    <w:rPr>
      <w:color w:val="605e5c"/>
      <w:shd w:val="clear" w:color="auto" w:fill="e1dfdd"/>
    </w:rPr>
  </w:style>
  <w:style w:type="paragraph" w:styleId="Toc2">
    <w:name w:val="Toc 2"/>
    <w:basedOn w:val="Normal"/>
    <w:next w:val="Normal"/>
    <w:uiPriority w:val="39"/>
    <w:unhideWhenUsed w:val="on"/>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5"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communityroundtable.com/community-manager-role/50-%20essential-skills-in-community-management/" TargetMode="External"/><Relationship Id="rId11" Type="http://schemas.openxmlformats.org/officeDocument/2006/relationships/hyperlink" Target="https://doi.org/10.1186/s12910-021-00608-4"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02BE1-F051-47B3-8F45-162613A075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2221</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Assessment 1 Blogging to communicate</vt:lpstr>
    </vt:vector>
  </TitlesOfParts>
  <Company/>
  <LinksUpToDate>false</LinksUpToDate>
  <CharactersWithSpaces>15079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Blogging to communicate</dc:title>
  <dc:subject>STUDENT ID:</dc:subject>
  <dc:creator>Diana-Rose Albu (Student)</dc:creator>
  <cp:lastModifiedBy>cristinadffdf</cp:lastModifiedBy>
</cp:coreProperties>
</file>