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EF91F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A5990">
              <w:rPr>
                <w:rFonts w:ascii="Times New Roman" w:hAnsi="Times New Roman" w:cs="Times New Roman"/>
                <w:b/>
                <w:color w:val="auto"/>
                <w:sz w:val="48"/>
              </w:rPr>
              <w:t>Katie Owens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6E85B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A5990">
              <w:rPr>
                <w:rFonts w:ascii="Times New Roman" w:hAnsi="Times New Roman" w:cs="Times New Roman"/>
                <w:b/>
                <w:color w:val="auto"/>
                <w:sz w:val="48"/>
              </w:rPr>
              <w:t xml:space="preserve"> </w:t>
            </w:r>
            <w:r w:rsidR="007A5990">
              <w:rPr>
                <w:rFonts w:ascii="Times New Roman" w:hAnsi="Times New Roman" w:cs="Times New Roman"/>
                <w:b/>
                <w:sz w:val="48"/>
              </w:rPr>
              <w:t>2524456@student.uwtsd.ac.uk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4ADC5F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A5990">
              <w:rPr>
                <w:rFonts w:ascii="Times New Roman" w:hAnsi="Times New Roman" w:cs="Times New Roman"/>
                <w:b/>
                <w:sz w:val="48"/>
              </w:rPr>
              <w:t xml:space="preserve"> 2524456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89845AC" w14:textId="77777777" w:rsidR="007A5990" w:rsidRPr="007A5990" w:rsidRDefault="007A5990" w:rsidP="007A5990">
            <w:pPr>
              <w:jc w:val="both"/>
              <w:rPr>
                <w:iCs/>
                <w:sz w:val="24"/>
                <w:szCs w:val="24"/>
              </w:rPr>
            </w:pPr>
            <w:r w:rsidRPr="007A5990">
              <w:rPr>
                <w:b/>
                <w:bCs/>
                <w:iCs/>
                <w:sz w:val="24"/>
                <w:szCs w:val="24"/>
              </w:rPr>
              <w:t>1. Introduction</w:t>
            </w:r>
          </w:p>
          <w:p w14:paraId="34B5CAA6" w14:textId="77777777" w:rsidR="007A5990" w:rsidRPr="007A5990" w:rsidRDefault="007A5990" w:rsidP="007A5990">
            <w:pPr>
              <w:jc w:val="both"/>
              <w:rPr>
                <w:iCs/>
                <w:sz w:val="24"/>
                <w:szCs w:val="24"/>
              </w:rPr>
            </w:pPr>
          </w:p>
          <w:p w14:paraId="3D2C231D" w14:textId="77777777" w:rsidR="007A5990" w:rsidRPr="007A5990" w:rsidRDefault="007A5990" w:rsidP="007A5990">
            <w:pPr>
              <w:jc w:val="both"/>
              <w:rPr>
                <w:iCs/>
                <w:sz w:val="24"/>
                <w:szCs w:val="24"/>
              </w:rPr>
            </w:pPr>
            <w:r w:rsidRPr="007A5990">
              <w:rPr>
                <w:iCs/>
                <w:sz w:val="24"/>
                <w:szCs w:val="24"/>
              </w:rPr>
              <w:t xml:space="preserve">This critically reflective case study examines my involvement in safeguarding a young adult female, referred to throughout as “A”, residing with her mother in Wales. A lived in a property characterised by significant structural disrepair, an absence of hot water and heating, and extensive hoarding behaviour. She had formal diagnoses of </w:t>
            </w:r>
            <w:proofErr w:type="gramStart"/>
            <w:r w:rsidRPr="007A5990">
              <w:rPr>
                <w:iCs/>
                <w:sz w:val="24"/>
                <w:szCs w:val="24"/>
              </w:rPr>
              <w:t>Obsessive Compulsive Disorder</w:t>
            </w:r>
            <w:proofErr w:type="gramEnd"/>
            <w:r w:rsidRPr="007A5990">
              <w:rPr>
                <w:iCs/>
                <w:sz w:val="24"/>
                <w:szCs w:val="24"/>
              </w:rPr>
              <w:t xml:space="preserve"> (OCD), Autism Spectrum Condition (ASC), and a personality disorder. Severe contamination fears prevented professionals from entering the home to address environmental risks. In addition, A had a chronic mobility issue affecting her lower limbs, placing her at significant risk of deterioration and physical health complications where her needs were not adequately managed.</w:t>
            </w:r>
          </w:p>
          <w:p w14:paraId="614BDD16" w14:textId="77777777" w:rsidR="007A5990" w:rsidRPr="007A5990" w:rsidRDefault="007A5990" w:rsidP="007A5990">
            <w:pPr>
              <w:jc w:val="both"/>
              <w:rPr>
                <w:iCs/>
                <w:sz w:val="24"/>
                <w:szCs w:val="24"/>
              </w:rPr>
            </w:pPr>
          </w:p>
          <w:p w14:paraId="366D6EC2" w14:textId="77777777" w:rsidR="007A5990" w:rsidRPr="007A5990" w:rsidRDefault="007A5990" w:rsidP="007A5990">
            <w:pPr>
              <w:jc w:val="both"/>
              <w:rPr>
                <w:iCs/>
                <w:sz w:val="24"/>
                <w:szCs w:val="24"/>
              </w:rPr>
            </w:pPr>
            <w:r w:rsidRPr="007A5990">
              <w:rPr>
                <w:iCs/>
                <w:sz w:val="24"/>
                <w:szCs w:val="24"/>
              </w:rPr>
              <w:t xml:space="preserve">A safeguarding referral was initiated under the Social Services and Well-being (Wales) Act 2014 (SSWBA 2014), as A appeared to meet the statutory definition of an “adult at risk”. Despite sustained attempts to engage her through relationship-based and preventative approaches, her circumstances deteriorated. Following multidisciplinary assessment, the statutory criteria for detention under section 3 of the Mental Health Act 1983 </w:t>
            </w:r>
            <w:proofErr w:type="gramStart"/>
            <w:r w:rsidRPr="007A5990">
              <w:rPr>
                <w:iCs/>
                <w:sz w:val="24"/>
                <w:szCs w:val="24"/>
              </w:rPr>
              <w:t>were considered to be</w:t>
            </w:r>
            <w:proofErr w:type="gramEnd"/>
            <w:r w:rsidRPr="007A5990">
              <w:rPr>
                <w:iCs/>
                <w:sz w:val="24"/>
                <w:szCs w:val="24"/>
              </w:rPr>
              <w:t xml:space="preserve"> met and A was admitted to hospital for treatment. She has subsequently been transferred to a mental health rehabilitation unit for longer-term therapeutic intervention.</w:t>
            </w:r>
          </w:p>
          <w:p w14:paraId="1F3ED32F" w14:textId="77777777" w:rsidR="007A5990" w:rsidRPr="007A5990" w:rsidRDefault="007A5990" w:rsidP="007A5990">
            <w:pPr>
              <w:jc w:val="both"/>
              <w:rPr>
                <w:iCs/>
                <w:sz w:val="24"/>
                <w:szCs w:val="24"/>
              </w:rPr>
            </w:pPr>
          </w:p>
          <w:p w14:paraId="48386939" w14:textId="77777777" w:rsidR="007A5990" w:rsidRPr="007A5990" w:rsidRDefault="007A5990" w:rsidP="007A5990">
            <w:pPr>
              <w:jc w:val="both"/>
              <w:rPr>
                <w:iCs/>
                <w:sz w:val="24"/>
                <w:szCs w:val="24"/>
              </w:rPr>
            </w:pPr>
            <w:r w:rsidRPr="007A5990">
              <w:rPr>
                <w:iCs/>
                <w:sz w:val="24"/>
                <w:szCs w:val="24"/>
              </w:rPr>
              <w:t xml:space="preserve">The case involved a complex safeguarding situation in which self-neglect intersected with mental disorder, neurodiversity, physical health needs, environmental risks, human rights, </w:t>
            </w:r>
            <w:r w:rsidRPr="007A5990">
              <w:rPr>
                <w:iCs/>
                <w:sz w:val="24"/>
                <w:szCs w:val="24"/>
              </w:rPr>
              <w:lastRenderedPageBreak/>
              <w:t>family dynamics and multi-agency working. It raised significant questions about the balance between autonomy and protection. A’s refusal of support could not be understood simply as either an autonomous lifestyle choice or evidence of incapacity. Professionals had to consider her wishes, diagnoses, decision-specific capacity, the seriousness and immediacy of the risks, and whether less restrictive alternatives were available.</w:t>
            </w:r>
          </w:p>
          <w:p w14:paraId="37297D8F" w14:textId="77777777" w:rsidR="007A5990" w:rsidRPr="007A5990" w:rsidRDefault="007A5990" w:rsidP="007A5990">
            <w:pPr>
              <w:jc w:val="both"/>
              <w:rPr>
                <w:iCs/>
                <w:sz w:val="24"/>
                <w:szCs w:val="24"/>
              </w:rPr>
            </w:pPr>
          </w:p>
          <w:p w14:paraId="4DC2A639" w14:textId="77777777" w:rsidR="007A5990" w:rsidRPr="007A5990" w:rsidRDefault="007A5990" w:rsidP="007A5990">
            <w:pPr>
              <w:jc w:val="both"/>
              <w:rPr>
                <w:iCs/>
                <w:sz w:val="24"/>
                <w:szCs w:val="24"/>
              </w:rPr>
            </w:pPr>
            <w:r w:rsidRPr="007A5990">
              <w:rPr>
                <w:iCs/>
                <w:sz w:val="24"/>
                <w:szCs w:val="24"/>
              </w:rPr>
              <w:t>This case study critically examines the legislative and policy framework applicable in Wales, including the SSWBA 2014, Well-being of Future Generations (Wales) Act 2015, Mental Health (Wales) Measure 2010 and Wales Safeguarding Procedures. It also considers the relationship between Welsh devolved legislation, UK-wide statutory frameworks and the European Convention on Human Rights (ECHR). The analysis incorporates theories of risk, ecological systems, anti-oppressive practice, person-centred practice and trauma-informed practice to examine how theory informed professional judgement.</w:t>
            </w:r>
          </w:p>
          <w:p w14:paraId="3F6FB94A" w14:textId="77777777" w:rsidR="007A5990" w:rsidRPr="007A5990" w:rsidRDefault="007A5990" w:rsidP="007A5990">
            <w:pPr>
              <w:jc w:val="both"/>
              <w:rPr>
                <w:iCs/>
                <w:sz w:val="24"/>
                <w:szCs w:val="24"/>
              </w:rPr>
            </w:pPr>
          </w:p>
          <w:p w14:paraId="3C242AE4" w14:textId="77777777" w:rsidR="007A5990" w:rsidRPr="007A5990" w:rsidRDefault="007A5990" w:rsidP="007A5990">
            <w:pPr>
              <w:jc w:val="both"/>
              <w:rPr>
                <w:iCs/>
                <w:sz w:val="24"/>
                <w:szCs w:val="24"/>
              </w:rPr>
            </w:pPr>
            <w:r w:rsidRPr="007A5990">
              <w:rPr>
                <w:iCs/>
                <w:sz w:val="24"/>
                <w:szCs w:val="24"/>
              </w:rPr>
              <w:t>The discussion further considers multi-agency collaboration and organisational and structural influences upon safeguarding decisions. Finally, it critically reflects upon the ethical tensions associated with compulsory intervention and examines how my assumptions concerning autonomy, protection and professional responsibility developed during the case.</w:t>
            </w:r>
          </w:p>
          <w:p w14:paraId="528E52F4" w14:textId="77777777" w:rsidR="007A5990" w:rsidRPr="007A5990" w:rsidRDefault="007A5990" w:rsidP="007A5990">
            <w:pPr>
              <w:jc w:val="both"/>
              <w:rPr>
                <w:iCs/>
                <w:sz w:val="24"/>
                <w:szCs w:val="24"/>
              </w:rPr>
            </w:pPr>
          </w:p>
          <w:p w14:paraId="39114A96" w14:textId="77777777" w:rsidR="007A5990" w:rsidRPr="007A5990" w:rsidRDefault="007A5990" w:rsidP="007A5990">
            <w:pPr>
              <w:jc w:val="both"/>
              <w:rPr>
                <w:iCs/>
                <w:sz w:val="24"/>
                <w:szCs w:val="24"/>
              </w:rPr>
            </w:pPr>
            <w:r w:rsidRPr="007A5990">
              <w:rPr>
                <w:iCs/>
                <w:sz w:val="24"/>
                <w:szCs w:val="24"/>
              </w:rPr>
              <w:t>The reflection adopts a critical social work perspective informed by Fook (2016). Critical reflection requires more than recounting events or demonstrating procedural compliance; it requires examination of assumptions, power relationships and contextual factors influencing professional knowledge and decision-making. This is particularly important in safeguarding, where assessments of risk can have profound consequences for autonomy, liberty and participation.</w:t>
            </w:r>
          </w:p>
          <w:p w14:paraId="67671E34" w14:textId="77777777" w:rsidR="007A5990" w:rsidRPr="007A5990" w:rsidRDefault="007A5990" w:rsidP="007A5990">
            <w:pPr>
              <w:jc w:val="both"/>
              <w:rPr>
                <w:iCs/>
                <w:sz w:val="24"/>
                <w:szCs w:val="24"/>
              </w:rPr>
            </w:pPr>
          </w:p>
          <w:p w14:paraId="79FE9631" w14:textId="77777777" w:rsidR="007A5990" w:rsidRPr="007A5990" w:rsidRDefault="007A5990" w:rsidP="007A5990">
            <w:pPr>
              <w:jc w:val="both"/>
              <w:rPr>
                <w:iCs/>
                <w:sz w:val="24"/>
                <w:szCs w:val="24"/>
              </w:rPr>
            </w:pPr>
            <w:r w:rsidRPr="007A5990">
              <w:rPr>
                <w:b/>
                <w:bCs/>
                <w:iCs/>
                <w:sz w:val="24"/>
                <w:szCs w:val="24"/>
              </w:rPr>
              <w:t>2. Legislative and Policy Framework in Wales</w:t>
            </w:r>
          </w:p>
          <w:p w14:paraId="36D4C5D2" w14:textId="77777777" w:rsidR="007A5990" w:rsidRPr="007A5990" w:rsidRDefault="007A5990" w:rsidP="007A5990">
            <w:pPr>
              <w:jc w:val="both"/>
              <w:rPr>
                <w:iCs/>
                <w:sz w:val="24"/>
                <w:szCs w:val="24"/>
              </w:rPr>
            </w:pPr>
          </w:p>
          <w:p w14:paraId="1BB5D20C" w14:textId="77777777" w:rsidR="007A5990" w:rsidRPr="007A5990" w:rsidRDefault="007A5990" w:rsidP="007A5990">
            <w:pPr>
              <w:jc w:val="both"/>
              <w:rPr>
                <w:iCs/>
                <w:sz w:val="24"/>
                <w:szCs w:val="24"/>
              </w:rPr>
            </w:pPr>
            <w:r w:rsidRPr="007A5990">
              <w:rPr>
                <w:b/>
                <w:bCs/>
                <w:iCs/>
                <w:sz w:val="24"/>
                <w:szCs w:val="24"/>
              </w:rPr>
              <w:t>2.1 The Social Services and Well-being (Wales) Act 2014</w:t>
            </w:r>
          </w:p>
          <w:p w14:paraId="2947D826" w14:textId="77777777" w:rsidR="007A5990" w:rsidRPr="007A5990" w:rsidRDefault="007A5990" w:rsidP="007A5990">
            <w:pPr>
              <w:jc w:val="both"/>
              <w:rPr>
                <w:iCs/>
                <w:sz w:val="24"/>
                <w:szCs w:val="24"/>
              </w:rPr>
            </w:pPr>
          </w:p>
          <w:p w14:paraId="443BEFB6" w14:textId="1B441BFC" w:rsidR="007A5990" w:rsidRPr="007A5990" w:rsidRDefault="007A5990" w:rsidP="007A5990">
            <w:pPr>
              <w:jc w:val="both"/>
              <w:rPr>
                <w:iCs/>
                <w:sz w:val="24"/>
                <w:szCs w:val="24"/>
              </w:rPr>
            </w:pPr>
            <w:r w:rsidRPr="007A5990">
              <w:rPr>
                <w:iCs/>
                <w:sz w:val="24"/>
                <w:szCs w:val="24"/>
              </w:rPr>
              <w:t xml:space="preserve">The SSWBA 2014 provides the primary statutory framework for social care and adult safeguarding in Wales. Section 126 defines an “adult at risk” as an adult experiencing or at risk of abuse or neglect, who has needs for care and support and, </w:t>
            </w:r>
            <w:proofErr w:type="gramStart"/>
            <w:r w:rsidRPr="007A5990">
              <w:rPr>
                <w:iCs/>
                <w:sz w:val="24"/>
                <w:szCs w:val="24"/>
              </w:rPr>
              <w:t>as a result of</w:t>
            </w:r>
            <w:proofErr w:type="gramEnd"/>
            <w:r w:rsidRPr="007A5990">
              <w:rPr>
                <w:iCs/>
                <w:sz w:val="24"/>
                <w:szCs w:val="24"/>
              </w:rPr>
              <w:t xml:space="preserve"> those needs, is unable to protect themselves (Social Services and Well-being (Wales) Act 2014) (SSWBA</w:t>
            </w:r>
            <w:r w:rsidR="00627992">
              <w:rPr>
                <w:iCs/>
                <w:sz w:val="24"/>
                <w:szCs w:val="24"/>
              </w:rPr>
              <w:t xml:space="preserve"> 2014</w:t>
            </w:r>
            <w:r w:rsidRPr="007A5990">
              <w:rPr>
                <w:iCs/>
                <w:sz w:val="24"/>
                <w:szCs w:val="24"/>
              </w:rPr>
              <w:t>)</w:t>
            </w:r>
          </w:p>
          <w:p w14:paraId="4A680503" w14:textId="77777777" w:rsidR="007A5990" w:rsidRPr="007A5990" w:rsidRDefault="007A5990" w:rsidP="007A5990">
            <w:pPr>
              <w:jc w:val="both"/>
              <w:rPr>
                <w:iCs/>
                <w:sz w:val="24"/>
                <w:szCs w:val="24"/>
              </w:rPr>
            </w:pPr>
          </w:p>
          <w:p w14:paraId="13953383" w14:textId="63AD533D" w:rsidR="007A5990" w:rsidRPr="007A5990" w:rsidRDefault="007A5990" w:rsidP="007A5990">
            <w:pPr>
              <w:jc w:val="both"/>
              <w:rPr>
                <w:iCs/>
                <w:sz w:val="24"/>
                <w:szCs w:val="24"/>
              </w:rPr>
            </w:pPr>
            <w:r w:rsidRPr="007A5990">
              <w:rPr>
                <w:iCs/>
                <w:sz w:val="24"/>
                <w:szCs w:val="24"/>
              </w:rPr>
              <w:t>This three-part definition provided by the SSWBA</w:t>
            </w:r>
            <w:r w:rsidR="00627992">
              <w:rPr>
                <w:iCs/>
                <w:sz w:val="24"/>
                <w:szCs w:val="24"/>
              </w:rPr>
              <w:t xml:space="preserve"> 2014</w:t>
            </w:r>
            <w:r w:rsidRPr="007A5990">
              <w:rPr>
                <w:iCs/>
                <w:sz w:val="24"/>
                <w:szCs w:val="24"/>
              </w:rPr>
              <w:t xml:space="preserve"> is significant because risk alone does not establish that a person is an adult at risk. Professionals must consider care and support needs and whether those needs contribute to an inability to protect oneself. In A’s circumstances, her mental health conditions, neurodivergence, physical health problems and environmental circumstances were therefore relevant collectively.</w:t>
            </w:r>
          </w:p>
          <w:p w14:paraId="5DE5DFE3" w14:textId="77777777" w:rsidR="007A5990" w:rsidRPr="007A5990" w:rsidRDefault="007A5990" w:rsidP="007A5990">
            <w:pPr>
              <w:jc w:val="both"/>
              <w:rPr>
                <w:iCs/>
                <w:sz w:val="24"/>
                <w:szCs w:val="24"/>
              </w:rPr>
            </w:pPr>
          </w:p>
          <w:p w14:paraId="56CAE340" w14:textId="738D0835" w:rsidR="007A5990" w:rsidRPr="007A5990" w:rsidRDefault="007A5990" w:rsidP="007A5990">
            <w:pPr>
              <w:jc w:val="both"/>
              <w:rPr>
                <w:iCs/>
                <w:sz w:val="24"/>
                <w:szCs w:val="24"/>
              </w:rPr>
            </w:pPr>
            <w:r w:rsidRPr="007A5990">
              <w:rPr>
                <w:iCs/>
                <w:sz w:val="24"/>
                <w:szCs w:val="24"/>
              </w:rPr>
              <w:t>The SSWBA</w:t>
            </w:r>
            <w:r w:rsidR="00627992">
              <w:rPr>
                <w:iCs/>
                <w:sz w:val="24"/>
                <w:szCs w:val="24"/>
              </w:rPr>
              <w:t xml:space="preserve"> 2014</w:t>
            </w:r>
            <w:r w:rsidRPr="007A5990">
              <w:rPr>
                <w:iCs/>
                <w:sz w:val="24"/>
                <w:szCs w:val="24"/>
              </w:rPr>
              <w:t xml:space="preserve"> embeds safeguarding within a broader well-being framework, emphasising voice, control, prevention, co-production and proportionate intervention (Welsh Government, 2014). This differs from approaches that conceptualise safeguarding solely as protection from </w:t>
            </w:r>
            <w:r w:rsidRPr="007A5990">
              <w:rPr>
                <w:iCs/>
                <w:sz w:val="24"/>
                <w:szCs w:val="24"/>
              </w:rPr>
              <w:lastRenderedPageBreak/>
              <w:t>harm. The Welsh framework seeks to support people to exercise control over their own lives while placing duties on public authorities to respond where safeguarding concerns arise.</w:t>
            </w:r>
          </w:p>
          <w:p w14:paraId="407CFBA5" w14:textId="77777777" w:rsidR="007A5990" w:rsidRPr="007A5990" w:rsidRDefault="007A5990" w:rsidP="007A5990">
            <w:pPr>
              <w:jc w:val="both"/>
              <w:rPr>
                <w:iCs/>
                <w:sz w:val="24"/>
                <w:szCs w:val="24"/>
              </w:rPr>
            </w:pPr>
          </w:p>
          <w:p w14:paraId="15CECA47" w14:textId="77777777" w:rsidR="007A5990" w:rsidRPr="007A5990" w:rsidRDefault="007A5990" w:rsidP="007A5990">
            <w:pPr>
              <w:jc w:val="both"/>
              <w:rPr>
                <w:iCs/>
                <w:sz w:val="24"/>
                <w:szCs w:val="24"/>
              </w:rPr>
            </w:pPr>
            <w:r w:rsidRPr="007A5990">
              <w:rPr>
                <w:iCs/>
                <w:sz w:val="24"/>
                <w:szCs w:val="24"/>
              </w:rPr>
              <w:t>Section 126 places a duty on the local authority to make enquiries where there is reasonable cause to suspect that a person is an adult at risk. This creates an important professional tension. Respect for A’s autonomy required her views and wishes to be taken seriously, while the statutory framework required professionals to investigate, when the threshold was met.</w:t>
            </w:r>
          </w:p>
          <w:p w14:paraId="3932B765" w14:textId="77777777" w:rsidR="007A5990" w:rsidRPr="007A5990" w:rsidRDefault="007A5990" w:rsidP="007A5990">
            <w:pPr>
              <w:jc w:val="both"/>
              <w:rPr>
                <w:iCs/>
                <w:sz w:val="24"/>
                <w:szCs w:val="24"/>
              </w:rPr>
            </w:pPr>
          </w:p>
          <w:p w14:paraId="69B280F8" w14:textId="77777777" w:rsidR="007A5990" w:rsidRPr="007A5990" w:rsidRDefault="007A5990" w:rsidP="007A5990">
            <w:pPr>
              <w:jc w:val="both"/>
              <w:rPr>
                <w:iCs/>
                <w:sz w:val="24"/>
                <w:szCs w:val="24"/>
              </w:rPr>
            </w:pPr>
            <w:r w:rsidRPr="007A5990">
              <w:rPr>
                <w:iCs/>
                <w:sz w:val="24"/>
                <w:szCs w:val="24"/>
              </w:rPr>
              <w:t>Self-neglect makes this tension particularly complex. Braye, Orr and Preston-Shoot (2015) identify self-neglect as challenging because behaviour may simultaneously be understood as an expression of autonomy and evidence of significant vulnerability. The absence of an obvious external perpetrator can make traditional safeguarding models difficult to apply. In A’s case, environmental risks arose through the interaction between mental health, contamination fears, hoarding behaviour and inability to accept professional access.</w:t>
            </w:r>
          </w:p>
          <w:p w14:paraId="000A9DCA" w14:textId="77777777" w:rsidR="007A5990" w:rsidRPr="007A5990" w:rsidRDefault="007A5990" w:rsidP="007A5990">
            <w:pPr>
              <w:jc w:val="both"/>
              <w:rPr>
                <w:iCs/>
                <w:sz w:val="24"/>
                <w:szCs w:val="24"/>
              </w:rPr>
            </w:pPr>
          </w:p>
          <w:p w14:paraId="3253ECE1" w14:textId="77777777" w:rsidR="007A5990" w:rsidRPr="007A5990" w:rsidRDefault="007A5990" w:rsidP="007A5990">
            <w:pPr>
              <w:jc w:val="both"/>
              <w:rPr>
                <w:iCs/>
                <w:sz w:val="24"/>
                <w:szCs w:val="24"/>
              </w:rPr>
            </w:pPr>
            <w:r w:rsidRPr="007A5990">
              <w:rPr>
                <w:iCs/>
                <w:sz w:val="24"/>
                <w:szCs w:val="24"/>
              </w:rPr>
              <w:t>It was therefore important not to conceptualise A simply as someone refusing help. Conversely, interpreting all behaviour as autonomous choice could minimise serious and foreseeable harm. The professional task was to maintain both perspectives and continually reassess the balance between autonomy and protection.</w:t>
            </w:r>
          </w:p>
          <w:p w14:paraId="58B34ACE" w14:textId="77777777" w:rsidR="007A5990" w:rsidRPr="007A5990" w:rsidRDefault="007A5990" w:rsidP="007A5990">
            <w:pPr>
              <w:jc w:val="both"/>
              <w:rPr>
                <w:iCs/>
                <w:sz w:val="24"/>
                <w:szCs w:val="24"/>
              </w:rPr>
            </w:pPr>
          </w:p>
          <w:p w14:paraId="7149AADB" w14:textId="77777777" w:rsidR="007A5990" w:rsidRPr="007A5990" w:rsidRDefault="007A5990" w:rsidP="007A5990">
            <w:pPr>
              <w:jc w:val="both"/>
              <w:rPr>
                <w:iCs/>
                <w:sz w:val="24"/>
                <w:szCs w:val="24"/>
              </w:rPr>
            </w:pPr>
            <w:r w:rsidRPr="007A5990">
              <w:rPr>
                <w:b/>
                <w:bCs/>
                <w:iCs/>
                <w:sz w:val="24"/>
                <w:szCs w:val="24"/>
              </w:rPr>
              <w:t>2.2 Welsh Preventative and Well-being Context</w:t>
            </w:r>
          </w:p>
          <w:p w14:paraId="322C9496" w14:textId="77777777" w:rsidR="007A5990" w:rsidRPr="007A5990" w:rsidRDefault="007A5990" w:rsidP="007A5990">
            <w:pPr>
              <w:jc w:val="both"/>
              <w:rPr>
                <w:iCs/>
                <w:sz w:val="24"/>
                <w:szCs w:val="24"/>
              </w:rPr>
            </w:pPr>
          </w:p>
          <w:p w14:paraId="734D103C" w14:textId="77777777" w:rsidR="007A5990" w:rsidRPr="007A5990" w:rsidRDefault="007A5990" w:rsidP="007A5990">
            <w:pPr>
              <w:jc w:val="both"/>
              <w:rPr>
                <w:iCs/>
                <w:sz w:val="24"/>
                <w:szCs w:val="24"/>
              </w:rPr>
            </w:pPr>
            <w:r w:rsidRPr="007A5990">
              <w:rPr>
                <w:iCs/>
                <w:sz w:val="24"/>
                <w:szCs w:val="24"/>
              </w:rPr>
              <w:t>The safeguarding response must also be understood within the Well-being of Future Generations (Wales) Act 2015, which promotes long-term thinking, prevention, collaboration, integration and involvement in public decision-making (Well-being of Future Generations (Wales) Act 2015).</w:t>
            </w:r>
          </w:p>
          <w:p w14:paraId="6E74D484" w14:textId="77777777" w:rsidR="007A5990" w:rsidRPr="007A5990" w:rsidRDefault="007A5990" w:rsidP="007A5990">
            <w:pPr>
              <w:jc w:val="both"/>
              <w:rPr>
                <w:iCs/>
                <w:sz w:val="24"/>
                <w:szCs w:val="24"/>
              </w:rPr>
            </w:pPr>
          </w:p>
          <w:p w14:paraId="1309BC93" w14:textId="77777777" w:rsidR="007A5990" w:rsidRPr="007A5990" w:rsidRDefault="007A5990" w:rsidP="007A5990">
            <w:pPr>
              <w:jc w:val="both"/>
              <w:rPr>
                <w:iCs/>
                <w:sz w:val="24"/>
                <w:szCs w:val="24"/>
              </w:rPr>
            </w:pPr>
            <w:r w:rsidRPr="007A5990">
              <w:rPr>
                <w:iCs/>
                <w:sz w:val="24"/>
                <w:szCs w:val="24"/>
              </w:rPr>
              <w:t>These principles were relevant to early attempts to engage A. Relationship-based outreach, efforts to understand her contamination fears and discussions concerning housing and environmental conditions reflected a preventative approach. Rather than immediately pursuing compulsory intervention, professionals attempted to work alongside A and identify ways of reducing risk while respecting her wishes.</w:t>
            </w:r>
          </w:p>
          <w:p w14:paraId="7794072D" w14:textId="77777777" w:rsidR="007A5990" w:rsidRPr="007A5990" w:rsidRDefault="007A5990" w:rsidP="007A5990">
            <w:pPr>
              <w:jc w:val="both"/>
              <w:rPr>
                <w:iCs/>
                <w:sz w:val="24"/>
                <w:szCs w:val="24"/>
              </w:rPr>
            </w:pPr>
          </w:p>
          <w:p w14:paraId="04E436E6" w14:textId="77777777" w:rsidR="007A5990" w:rsidRPr="007A5990" w:rsidRDefault="007A5990" w:rsidP="007A5990">
            <w:pPr>
              <w:jc w:val="both"/>
              <w:rPr>
                <w:iCs/>
                <w:sz w:val="24"/>
                <w:szCs w:val="24"/>
              </w:rPr>
            </w:pPr>
            <w:r w:rsidRPr="007A5990">
              <w:rPr>
                <w:iCs/>
                <w:sz w:val="24"/>
                <w:szCs w:val="24"/>
              </w:rPr>
              <w:t xml:space="preserve">This was important because compulsory intervention can have significant consequences for trust. For someone experiencing severe contamination fears and difficulties tolerating professional intrusion, an abrupt intervention could increase distress and resistance. A gradual, predictable and relationship-based approach therefore had both therapeutic and safeguarding value. </w:t>
            </w:r>
          </w:p>
          <w:p w14:paraId="421AB83F" w14:textId="77777777" w:rsidR="007A5990" w:rsidRPr="007A5990" w:rsidRDefault="007A5990" w:rsidP="007A5990">
            <w:pPr>
              <w:jc w:val="both"/>
              <w:rPr>
                <w:iCs/>
                <w:sz w:val="24"/>
                <w:szCs w:val="24"/>
              </w:rPr>
            </w:pPr>
          </w:p>
          <w:p w14:paraId="161B268D" w14:textId="77777777" w:rsidR="007A5990" w:rsidRPr="007A5990" w:rsidRDefault="007A5990" w:rsidP="007A5990">
            <w:pPr>
              <w:jc w:val="both"/>
              <w:rPr>
                <w:iCs/>
                <w:sz w:val="24"/>
                <w:szCs w:val="24"/>
              </w:rPr>
            </w:pPr>
            <w:r w:rsidRPr="007A5990">
              <w:rPr>
                <w:iCs/>
                <w:sz w:val="24"/>
                <w:szCs w:val="24"/>
              </w:rPr>
              <w:t>The Mental Health (Wales) Measure 2010 provides additional safeguards within Welsh mental health services, including statutory Care and Treatment Planning and independent mental health advocacy for eligible in-patients. These mechanisms are particularly relevant when a person becomes subject to compulsory intervention because they provide opportunities for participation, representation and review.</w:t>
            </w:r>
          </w:p>
          <w:p w14:paraId="2AA2A4A6" w14:textId="77777777" w:rsidR="007A5990" w:rsidRPr="007A5990" w:rsidRDefault="007A5990" w:rsidP="007A5990">
            <w:pPr>
              <w:jc w:val="both"/>
              <w:rPr>
                <w:iCs/>
                <w:sz w:val="24"/>
                <w:szCs w:val="24"/>
              </w:rPr>
            </w:pPr>
          </w:p>
          <w:p w14:paraId="3C933B56" w14:textId="77777777" w:rsidR="007A5990" w:rsidRPr="007A5990" w:rsidRDefault="007A5990" w:rsidP="007A5990">
            <w:pPr>
              <w:jc w:val="both"/>
              <w:rPr>
                <w:iCs/>
                <w:sz w:val="24"/>
                <w:szCs w:val="24"/>
              </w:rPr>
            </w:pPr>
            <w:r w:rsidRPr="007A5990">
              <w:rPr>
                <w:iCs/>
                <w:sz w:val="24"/>
                <w:szCs w:val="24"/>
              </w:rPr>
              <w:lastRenderedPageBreak/>
              <w:t>The Wales Safeguarding Procedures provide an operational framework for practitioners, emphasising information gathering, assessment, analysis, decision-making, intervention, review and multi-agency working (Wales Safeguarding Procedures, 2019). Their structured approach supports practitioners to move beyond identifying risk towards analysing contributing factors and evaluating whether interventions are effective and proportionate.</w:t>
            </w:r>
          </w:p>
          <w:p w14:paraId="77583392" w14:textId="77777777" w:rsidR="007A5990" w:rsidRPr="007A5990" w:rsidRDefault="007A5990" w:rsidP="007A5990">
            <w:pPr>
              <w:jc w:val="both"/>
              <w:rPr>
                <w:iCs/>
                <w:sz w:val="24"/>
                <w:szCs w:val="24"/>
              </w:rPr>
            </w:pPr>
          </w:p>
          <w:p w14:paraId="0DBF665F" w14:textId="77777777" w:rsidR="007A5990" w:rsidRPr="007A5990" w:rsidRDefault="007A5990" w:rsidP="007A5990">
            <w:pPr>
              <w:jc w:val="both"/>
              <w:rPr>
                <w:iCs/>
                <w:sz w:val="24"/>
                <w:szCs w:val="24"/>
              </w:rPr>
            </w:pPr>
            <w:r w:rsidRPr="007A5990">
              <w:rPr>
                <w:iCs/>
                <w:sz w:val="24"/>
                <w:szCs w:val="24"/>
              </w:rPr>
              <w:t>Organisational pressures, including workforce capacity, availability of specialist services and mental health bed provision, can also influence professional decision-making. Critical reflection therefore requires consideration not only of individual decisions but of the systems in which they occur.</w:t>
            </w:r>
          </w:p>
          <w:p w14:paraId="02C70795" w14:textId="77777777" w:rsidR="007A5990" w:rsidRPr="007A5990" w:rsidRDefault="007A5990" w:rsidP="007A5990">
            <w:pPr>
              <w:jc w:val="both"/>
              <w:rPr>
                <w:iCs/>
                <w:sz w:val="24"/>
                <w:szCs w:val="24"/>
              </w:rPr>
            </w:pPr>
          </w:p>
          <w:p w14:paraId="287A9408" w14:textId="77777777" w:rsidR="007A5990" w:rsidRPr="007A5990" w:rsidRDefault="007A5990" w:rsidP="007A5990">
            <w:pPr>
              <w:jc w:val="both"/>
              <w:rPr>
                <w:iCs/>
                <w:sz w:val="24"/>
                <w:szCs w:val="24"/>
              </w:rPr>
            </w:pPr>
            <w:r w:rsidRPr="007A5990">
              <w:rPr>
                <w:b/>
                <w:bCs/>
                <w:iCs/>
                <w:sz w:val="24"/>
                <w:szCs w:val="24"/>
              </w:rPr>
              <w:t>2.3 Capacity, Compulsion and Human Rights</w:t>
            </w:r>
          </w:p>
          <w:p w14:paraId="018DB388" w14:textId="77777777" w:rsidR="007A5990" w:rsidRPr="007A5990" w:rsidRDefault="007A5990" w:rsidP="007A5990">
            <w:pPr>
              <w:jc w:val="both"/>
              <w:rPr>
                <w:iCs/>
                <w:sz w:val="24"/>
                <w:szCs w:val="24"/>
              </w:rPr>
            </w:pPr>
          </w:p>
          <w:p w14:paraId="342D0A80" w14:textId="77777777" w:rsidR="007A5990" w:rsidRPr="007A5990" w:rsidRDefault="007A5990" w:rsidP="007A5990">
            <w:pPr>
              <w:jc w:val="both"/>
              <w:rPr>
                <w:iCs/>
                <w:sz w:val="24"/>
                <w:szCs w:val="24"/>
              </w:rPr>
            </w:pPr>
            <w:r w:rsidRPr="007A5990">
              <w:rPr>
                <w:iCs/>
                <w:sz w:val="24"/>
                <w:szCs w:val="24"/>
              </w:rPr>
              <w:t>Assessment of A’s refusal to allow intervention required careful application of the Mental Capacity Act 2005 (MCA). The MCA establishes a presumption of capacity and requires capacity to be assessed in relation to a specific decision at a particular time (Department for Constitutional Affairs, 2007).</w:t>
            </w:r>
          </w:p>
          <w:p w14:paraId="3EF89CC7" w14:textId="77777777" w:rsidR="007A5990" w:rsidRPr="007A5990" w:rsidRDefault="007A5990" w:rsidP="007A5990">
            <w:pPr>
              <w:jc w:val="both"/>
              <w:rPr>
                <w:iCs/>
                <w:sz w:val="24"/>
                <w:szCs w:val="24"/>
              </w:rPr>
            </w:pPr>
          </w:p>
          <w:p w14:paraId="62A3602F" w14:textId="77777777" w:rsidR="007A5990" w:rsidRPr="007A5990" w:rsidRDefault="007A5990" w:rsidP="007A5990">
            <w:pPr>
              <w:jc w:val="both"/>
              <w:rPr>
                <w:iCs/>
                <w:sz w:val="24"/>
                <w:szCs w:val="24"/>
              </w:rPr>
            </w:pPr>
            <w:r w:rsidRPr="007A5990">
              <w:rPr>
                <w:iCs/>
                <w:sz w:val="24"/>
                <w:szCs w:val="24"/>
              </w:rPr>
              <w:t>This was particularly important because A had several formal diagnoses. It would have been inappropriate to infer incapacity from diagnosis alone. OCD, ASC or a personality disorder did not automatically mean that A was unable to make decisions.</w:t>
            </w:r>
          </w:p>
          <w:p w14:paraId="30ADE429" w14:textId="77777777" w:rsidR="007A5990" w:rsidRPr="007A5990" w:rsidRDefault="007A5990" w:rsidP="007A5990">
            <w:pPr>
              <w:jc w:val="both"/>
              <w:rPr>
                <w:iCs/>
                <w:sz w:val="24"/>
                <w:szCs w:val="24"/>
              </w:rPr>
            </w:pPr>
          </w:p>
          <w:p w14:paraId="1A16C0C1" w14:textId="77777777" w:rsidR="007A5990" w:rsidRPr="007A5990" w:rsidRDefault="007A5990" w:rsidP="007A5990">
            <w:pPr>
              <w:jc w:val="both"/>
              <w:rPr>
                <w:iCs/>
                <w:sz w:val="24"/>
                <w:szCs w:val="24"/>
              </w:rPr>
            </w:pPr>
            <w:r w:rsidRPr="007A5990">
              <w:rPr>
                <w:iCs/>
                <w:sz w:val="24"/>
                <w:szCs w:val="24"/>
              </w:rPr>
              <w:t xml:space="preserve">The assessment therefore needed to distinguish between an unwise decision and an inability to </w:t>
            </w:r>
            <w:proofErr w:type="gramStart"/>
            <w:r w:rsidRPr="007A5990">
              <w:rPr>
                <w:iCs/>
                <w:sz w:val="24"/>
                <w:szCs w:val="24"/>
              </w:rPr>
              <w:t>make a decision</w:t>
            </w:r>
            <w:proofErr w:type="gramEnd"/>
            <w:r w:rsidRPr="007A5990">
              <w:rPr>
                <w:iCs/>
                <w:sz w:val="24"/>
                <w:szCs w:val="24"/>
              </w:rPr>
              <w:t>. A person is entitled to make decisions others consider risky or unwise. The MCA Code of Practice confirms that an unwise decision does not</w:t>
            </w:r>
            <w:proofErr w:type="gramStart"/>
            <w:r w:rsidRPr="007A5990">
              <w:rPr>
                <w:iCs/>
                <w:sz w:val="24"/>
                <w:szCs w:val="24"/>
              </w:rPr>
              <w:t>, in itself, establish</w:t>
            </w:r>
            <w:proofErr w:type="gramEnd"/>
            <w:r w:rsidRPr="007A5990">
              <w:rPr>
                <w:iCs/>
                <w:sz w:val="24"/>
                <w:szCs w:val="24"/>
              </w:rPr>
              <w:t xml:space="preserve"> incapacity (Department for Constitutional Affairs, 2007).</w:t>
            </w:r>
          </w:p>
          <w:p w14:paraId="75ED6701" w14:textId="77777777" w:rsidR="007A5990" w:rsidRPr="007A5990" w:rsidRDefault="007A5990" w:rsidP="007A5990">
            <w:pPr>
              <w:jc w:val="both"/>
              <w:rPr>
                <w:iCs/>
                <w:sz w:val="24"/>
                <w:szCs w:val="24"/>
              </w:rPr>
            </w:pPr>
          </w:p>
          <w:p w14:paraId="2F9588BA" w14:textId="53246253" w:rsidR="007A5990" w:rsidRPr="007A5990" w:rsidRDefault="00A66BAE" w:rsidP="007A5990">
            <w:pPr>
              <w:jc w:val="both"/>
              <w:rPr>
                <w:iCs/>
                <w:sz w:val="24"/>
                <w:szCs w:val="24"/>
              </w:rPr>
            </w:pPr>
            <w:r w:rsidRPr="007A5990">
              <w:rPr>
                <w:iCs/>
                <w:sz w:val="24"/>
                <w:szCs w:val="24"/>
              </w:rPr>
              <w:t>However</w:t>
            </w:r>
            <w:r w:rsidR="007A5990" w:rsidRPr="007A5990">
              <w:rPr>
                <w:iCs/>
                <w:sz w:val="24"/>
                <w:szCs w:val="24"/>
              </w:rPr>
              <w:t>, A’s OCD and associated anxiety were relevant to whether she could understand and, particularly, use or weigh information concerning the consequences of refusing assistance. The professional challenge was to determine whether the effects of her mental disorder impaired her ability to make a particular decision.</w:t>
            </w:r>
          </w:p>
          <w:p w14:paraId="16AB08B0" w14:textId="77777777" w:rsidR="007A5990" w:rsidRPr="007A5990" w:rsidRDefault="007A5990" w:rsidP="007A5990">
            <w:pPr>
              <w:jc w:val="both"/>
              <w:rPr>
                <w:iCs/>
                <w:sz w:val="24"/>
                <w:szCs w:val="24"/>
              </w:rPr>
            </w:pPr>
          </w:p>
          <w:p w14:paraId="3A78F57F" w14:textId="77777777" w:rsidR="007A5990" w:rsidRPr="007A5990" w:rsidRDefault="007A5990" w:rsidP="007A5990">
            <w:pPr>
              <w:jc w:val="both"/>
              <w:rPr>
                <w:iCs/>
                <w:sz w:val="24"/>
                <w:szCs w:val="24"/>
              </w:rPr>
            </w:pPr>
            <w:r w:rsidRPr="007A5990">
              <w:rPr>
                <w:iCs/>
                <w:sz w:val="24"/>
                <w:szCs w:val="24"/>
              </w:rPr>
              <w:t xml:space="preserve">The Mental Health Act 1983 provided a separate legal framework. Following multidisciplinary assessment, the statutory criteria for detention under section 3 </w:t>
            </w:r>
            <w:proofErr w:type="gramStart"/>
            <w:r w:rsidRPr="007A5990">
              <w:rPr>
                <w:iCs/>
                <w:sz w:val="24"/>
                <w:szCs w:val="24"/>
              </w:rPr>
              <w:t>was considered to be</w:t>
            </w:r>
            <w:proofErr w:type="gramEnd"/>
            <w:r w:rsidRPr="007A5990">
              <w:rPr>
                <w:iCs/>
                <w:sz w:val="24"/>
                <w:szCs w:val="24"/>
              </w:rPr>
              <w:t xml:space="preserve"> met. Detention was regarded as necessary for A’s health or </w:t>
            </w:r>
            <w:proofErr w:type="gramStart"/>
            <w:r w:rsidRPr="007A5990">
              <w:rPr>
                <w:iCs/>
                <w:sz w:val="24"/>
                <w:szCs w:val="24"/>
              </w:rPr>
              <w:t>safety</w:t>
            </w:r>
            <w:proofErr w:type="gramEnd"/>
            <w:r w:rsidRPr="007A5990">
              <w:rPr>
                <w:iCs/>
                <w:sz w:val="24"/>
                <w:szCs w:val="24"/>
              </w:rPr>
              <w:t xml:space="preserve"> and appropriate medical treatment was available (Mental Health Act 1983).</w:t>
            </w:r>
          </w:p>
          <w:p w14:paraId="4D6ECD65" w14:textId="77777777" w:rsidR="007A5990" w:rsidRPr="007A5990" w:rsidRDefault="007A5990" w:rsidP="007A5990">
            <w:pPr>
              <w:jc w:val="both"/>
              <w:rPr>
                <w:iCs/>
                <w:sz w:val="24"/>
                <w:szCs w:val="24"/>
              </w:rPr>
            </w:pPr>
          </w:p>
          <w:p w14:paraId="2ECA87BD" w14:textId="77777777" w:rsidR="007A5990" w:rsidRPr="007A5990" w:rsidRDefault="007A5990" w:rsidP="007A5990">
            <w:pPr>
              <w:jc w:val="both"/>
              <w:rPr>
                <w:iCs/>
                <w:sz w:val="24"/>
                <w:szCs w:val="24"/>
              </w:rPr>
            </w:pPr>
            <w:r w:rsidRPr="007A5990">
              <w:rPr>
                <w:iCs/>
                <w:sz w:val="24"/>
                <w:szCs w:val="24"/>
              </w:rPr>
              <w:t>The Mental Health Act Code of Practice for Wales reinforces patient involvement, human rights, least restrictive practice and consideration of the MCA principles (Welsh Government, 2016). These principles were relevant because compulsory intervention represented a significant restriction upon A’s autonomy and liberty.</w:t>
            </w:r>
          </w:p>
          <w:p w14:paraId="2AC634A7" w14:textId="77777777" w:rsidR="007A5990" w:rsidRPr="007A5990" w:rsidRDefault="007A5990" w:rsidP="007A5990">
            <w:pPr>
              <w:jc w:val="both"/>
              <w:rPr>
                <w:iCs/>
                <w:sz w:val="24"/>
                <w:szCs w:val="24"/>
              </w:rPr>
            </w:pPr>
          </w:p>
          <w:p w14:paraId="10DEC017" w14:textId="77777777" w:rsidR="007A5990" w:rsidRPr="007A5990" w:rsidRDefault="007A5990" w:rsidP="007A5990">
            <w:pPr>
              <w:jc w:val="both"/>
              <w:rPr>
                <w:iCs/>
                <w:sz w:val="24"/>
                <w:szCs w:val="24"/>
              </w:rPr>
            </w:pPr>
            <w:r w:rsidRPr="007A5990">
              <w:rPr>
                <w:iCs/>
                <w:sz w:val="24"/>
                <w:szCs w:val="24"/>
              </w:rPr>
              <w:t>It is important to distinguish the safeguarding threshold from the Mental Health Act threshold. Safeguarding concerns did not themselves provide authority for detention. Rather, they formed part of the wider evidential and risk context within which mental health professionals considered whether the statutory criteria were satisfied.</w:t>
            </w:r>
          </w:p>
          <w:p w14:paraId="4C7BE887" w14:textId="77777777" w:rsidR="007A5990" w:rsidRPr="007A5990" w:rsidRDefault="007A5990" w:rsidP="007A5990">
            <w:pPr>
              <w:jc w:val="both"/>
              <w:rPr>
                <w:iCs/>
                <w:sz w:val="24"/>
                <w:szCs w:val="24"/>
              </w:rPr>
            </w:pPr>
          </w:p>
          <w:p w14:paraId="48946965" w14:textId="6E3D8EAE" w:rsidR="007A5990" w:rsidRPr="007A5990" w:rsidRDefault="007A5990" w:rsidP="007A5990">
            <w:pPr>
              <w:jc w:val="both"/>
              <w:rPr>
                <w:iCs/>
                <w:sz w:val="24"/>
                <w:szCs w:val="24"/>
              </w:rPr>
            </w:pPr>
            <w:r w:rsidRPr="007A5990">
              <w:rPr>
                <w:iCs/>
                <w:sz w:val="24"/>
                <w:szCs w:val="24"/>
              </w:rPr>
              <w:t xml:space="preserve">Human rights considerations were central. Article 8 of the ECHR protects private and family life, including respect for personal autonomy and the home (Council of Europe, 1950). A’s home was central to her sense of safety, and professional attempts to enter it represented a significant </w:t>
            </w:r>
            <w:r w:rsidR="00DA5662" w:rsidRPr="007A5990">
              <w:rPr>
                <w:iCs/>
                <w:sz w:val="24"/>
                <w:szCs w:val="24"/>
              </w:rPr>
              <w:t>interference</w:t>
            </w:r>
            <w:r w:rsidRPr="007A5990">
              <w:rPr>
                <w:iCs/>
                <w:sz w:val="24"/>
                <w:szCs w:val="24"/>
              </w:rPr>
              <w:t xml:space="preserve"> into her private life. Any interference therefore required a lawful basis and needed to be necessary and proportionate.</w:t>
            </w:r>
          </w:p>
          <w:p w14:paraId="009C262E" w14:textId="77777777" w:rsidR="007A5990" w:rsidRPr="007A5990" w:rsidRDefault="007A5990" w:rsidP="007A5990">
            <w:pPr>
              <w:jc w:val="both"/>
              <w:rPr>
                <w:iCs/>
                <w:sz w:val="24"/>
                <w:szCs w:val="24"/>
              </w:rPr>
            </w:pPr>
          </w:p>
          <w:p w14:paraId="01716810" w14:textId="77777777" w:rsidR="007A5990" w:rsidRPr="007A5990" w:rsidRDefault="007A5990" w:rsidP="007A5990">
            <w:pPr>
              <w:jc w:val="both"/>
              <w:rPr>
                <w:iCs/>
                <w:sz w:val="24"/>
                <w:szCs w:val="24"/>
              </w:rPr>
            </w:pPr>
            <w:r w:rsidRPr="007A5990">
              <w:rPr>
                <w:iCs/>
                <w:sz w:val="24"/>
                <w:szCs w:val="24"/>
              </w:rPr>
              <w:t>Article 5 was directly relevant because detention engages the right to liberty and security. Articles 2 and 3 also required consideration in relation to serious risks to health and life. However, it would be inappropriate to conclude automatically that non-intervention would have constituted a breach. The professional task was to consider the seriousness and foreseeability of risks alongside the rights affected by intervention.</w:t>
            </w:r>
          </w:p>
          <w:p w14:paraId="76B1EDE0" w14:textId="77777777" w:rsidR="007A5990" w:rsidRPr="007A5990" w:rsidRDefault="007A5990" w:rsidP="007A5990">
            <w:pPr>
              <w:jc w:val="both"/>
              <w:rPr>
                <w:iCs/>
                <w:sz w:val="24"/>
                <w:szCs w:val="24"/>
              </w:rPr>
            </w:pPr>
          </w:p>
          <w:p w14:paraId="22FF9B54" w14:textId="77777777" w:rsidR="007A5990" w:rsidRPr="007A5990" w:rsidRDefault="007A5990" w:rsidP="007A5990">
            <w:pPr>
              <w:jc w:val="both"/>
              <w:rPr>
                <w:iCs/>
                <w:sz w:val="24"/>
                <w:szCs w:val="24"/>
              </w:rPr>
            </w:pPr>
            <w:r w:rsidRPr="007A5990">
              <w:rPr>
                <w:iCs/>
                <w:sz w:val="24"/>
                <w:szCs w:val="24"/>
              </w:rPr>
              <w:t>The competing rights therefore required a proportionality assessment. Intervention needed a lawful basis and legitimate purpose while remaining necessary and proportionate. The least restrictive but effective option remained important.</w:t>
            </w:r>
          </w:p>
          <w:p w14:paraId="42F6B4DD" w14:textId="77777777" w:rsidR="007A5990" w:rsidRPr="007A5990" w:rsidRDefault="007A5990" w:rsidP="007A5990">
            <w:pPr>
              <w:jc w:val="both"/>
              <w:rPr>
                <w:iCs/>
                <w:sz w:val="24"/>
                <w:szCs w:val="24"/>
              </w:rPr>
            </w:pPr>
          </w:p>
          <w:p w14:paraId="0D8569D7" w14:textId="77777777" w:rsidR="007A5990" w:rsidRPr="007A5990" w:rsidRDefault="007A5990" w:rsidP="007A5990">
            <w:pPr>
              <w:jc w:val="both"/>
              <w:rPr>
                <w:iCs/>
                <w:sz w:val="24"/>
                <w:szCs w:val="24"/>
              </w:rPr>
            </w:pPr>
            <w:r w:rsidRPr="007A5990">
              <w:rPr>
                <w:b/>
                <w:bCs/>
                <w:iCs/>
                <w:sz w:val="24"/>
                <w:szCs w:val="24"/>
              </w:rPr>
              <w:t>3. Assessment, Analysis and the Integration of Professional Judgement</w:t>
            </w:r>
          </w:p>
          <w:p w14:paraId="523A11A1" w14:textId="77777777" w:rsidR="007A5990" w:rsidRPr="007A5990" w:rsidRDefault="007A5990" w:rsidP="007A5990">
            <w:pPr>
              <w:jc w:val="both"/>
              <w:rPr>
                <w:iCs/>
                <w:sz w:val="24"/>
                <w:szCs w:val="24"/>
              </w:rPr>
            </w:pPr>
          </w:p>
          <w:p w14:paraId="18C333FE" w14:textId="77777777" w:rsidR="007A5990" w:rsidRPr="007A5990" w:rsidRDefault="007A5990" w:rsidP="007A5990">
            <w:pPr>
              <w:jc w:val="both"/>
              <w:rPr>
                <w:iCs/>
                <w:sz w:val="24"/>
                <w:szCs w:val="24"/>
              </w:rPr>
            </w:pPr>
            <w:r w:rsidRPr="007A5990">
              <w:rPr>
                <w:iCs/>
                <w:sz w:val="24"/>
                <w:szCs w:val="24"/>
              </w:rPr>
              <w:t>Milner and O’Byrne (2009) argue that effective social work assessment requires analytical reasoning rather than simply descriptive recording. This was particularly relevant because A’s risks were interconnected and changed over time.</w:t>
            </w:r>
          </w:p>
          <w:p w14:paraId="13AE5D56" w14:textId="77777777" w:rsidR="007A5990" w:rsidRPr="007A5990" w:rsidRDefault="007A5990" w:rsidP="007A5990">
            <w:pPr>
              <w:jc w:val="both"/>
              <w:rPr>
                <w:iCs/>
                <w:sz w:val="24"/>
                <w:szCs w:val="24"/>
              </w:rPr>
            </w:pPr>
          </w:p>
          <w:p w14:paraId="233F595A" w14:textId="77777777" w:rsidR="007A5990" w:rsidRPr="007A5990" w:rsidRDefault="007A5990" w:rsidP="007A5990">
            <w:pPr>
              <w:jc w:val="both"/>
              <w:rPr>
                <w:iCs/>
                <w:sz w:val="24"/>
                <w:szCs w:val="24"/>
              </w:rPr>
            </w:pPr>
            <w:r w:rsidRPr="007A5990">
              <w:rPr>
                <w:iCs/>
                <w:sz w:val="24"/>
                <w:szCs w:val="24"/>
              </w:rPr>
              <w:t>An assessment focused solely on the property might have characterised the problem as housing-related; one focused exclusively on diagnoses could have medicalised it. Conversely, focusing solely on autonomy could have underestimated physical health risks. Assessment therefore required consideration of physical and mental health, neurodiversity, family relationships, housing, social circumstances and service availability.</w:t>
            </w:r>
          </w:p>
          <w:p w14:paraId="50539282" w14:textId="77777777" w:rsidR="007A5990" w:rsidRPr="007A5990" w:rsidRDefault="007A5990" w:rsidP="007A5990">
            <w:pPr>
              <w:jc w:val="both"/>
              <w:rPr>
                <w:iCs/>
                <w:sz w:val="24"/>
                <w:szCs w:val="24"/>
              </w:rPr>
            </w:pPr>
          </w:p>
          <w:p w14:paraId="312863A3" w14:textId="77777777" w:rsidR="007A5990" w:rsidRPr="007A5990" w:rsidRDefault="007A5990" w:rsidP="007A5990">
            <w:pPr>
              <w:jc w:val="both"/>
              <w:rPr>
                <w:iCs/>
                <w:sz w:val="24"/>
                <w:szCs w:val="24"/>
              </w:rPr>
            </w:pPr>
            <w:r w:rsidRPr="007A5990">
              <w:rPr>
                <w:b/>
                <w:bCs/>
                <w:iCs/>
                <w:sz w:val="24"/>
                <w:szCs w:val="24"/>
              </w:rPr>
              <w:t>3.1 Environmental and Physical Risk</w:t>
            </w:r>
          </w:p>
          <w:p w14:paraId="758338F5" w14:textId="77777777" w:rsidR="007A5990" w:rsidRPr="007A5990" w:rsidRDefault="007A5990" w:rsidP="007A5990">
            <w:pPr>
              <w:jc w:val="both"/>
              <w:rPr>
                <w:iCs/>
                <w:sz w:val="24"/>
                <w:szCs w:val="24"/>
              </w:rPr>
            </w:pPr>
          </w:p>
          <w:p w14:paraId="462CF98D" w14:textId="77777777" w:rsidR="007A5990" w:rsidRPr="007A5990" w:rsidRDefault="007A5990" w:rsidP="007A5990">
            <w:pPr>
              <w:jc w:val="both"/>
              <w:rPr>
                <w:iCs/>
                <w:sz w:val="24"/>
                <w:szCs w:val="24"/>
              </w:rPr>
            </w:pPr>
            <w:r w:rsidRPr="007A5990">
              <w:rPr>
                <w:iCs/>
                <w:sz w:val="24"/>
                <w:szCs w:val="24"/>
              </w:rPr>
              <w:t>The absence of heating and hot water created immediate health and welfare risks. A’s chronic mobility issue affecting her lower limbs required appropriate care and ongoing management to minimise further physical health complications. The environmental conditions further compromised her ability to maintain hygiene.</w:t>
            </w:r>
          </w:p>
          <w:p w14:paraId="466E7B73" w14:textId="77777777" w:rsidR="007A5990" w:rsidRPr="007A5990" w:rsidRDefault="007A5990" w:rsidP="007A5990">
            <w:pPr>
              <w:jc w:val="both"/>
              <w:rPr>
                <w:iCs/>
                <w:sz w:val="24"/>
                <w:szCs w:val="24"/>
              </w:rPr>
            </w:pPr>
          </w:p>
          <w:p w14:paraId="1782D3D4" w14:textId="77777777" w:rsidR="007A5990" w:rsidRPr="007A5990" w:rsidRDefault="007A5990" w:rsidP="007A5990">
            <w:pPr>
              <w:jc w:val="both"/>
              <w:rPr>
                <w:iCs/>
                <w:sz w:val="24"/>
                <w:szCs w:val="24"/>
              </w:rPr>
            </w:pPr>
            <w:r w:rsidRPr="007A5990">
              <w:rPr>
                <w:iCs/>
                <w:sz w:val="24"/>
                <w:szCs w:val="24"/>
              </w:rPr>
              <w:t>Extensive hoarding created trip hazards, potential fire risks and restricted movement and sanitation. It also prevented professionals from entering the property and limited their ability to assess A’s circumstances directly.</w:t>
            </w:r>
          </w:p>
          <w:p w14:paraId="110538D2" w14:textId="77777777" w:rsidR="007A5990" w:rsidRPr="007A5990" w:rsidRDefault="007A5990" w:rsidP="007A5990">
            <w:pPr>
              <w:jc w:val="both"/>
              <w:rPr>
                <w:iCs/>
                <w:sz w:val="24"/>
                <w:szCs w:val="24"/>
              </w:rPr>
            </w:pPr>
          </w:p>
          <w:p w14:paraId="10618ABD" w14:textId="77777777" w:rsidR="007A5990" w:rsidRPr="007A5990" w:rsidRDefault="007A5990" w:rsidP="007A5990">
            <w:pPr>
              <w:jc w:val="both"/>
              <w:rPr>
                <w:iCs/>
                <w:sz w:val="24"/>
                <w:szCs w:val="24"/>
              </w:rPr>
            </w:pPr>
            <w:r w:rsidRPr="007A5990">
              <w:rPr>
                <w:iCs/>
                <w:sz w:val="24"/>
                <w:szCs w:val="24"/>
              </w:rPr>
              <w:t>The cumulative nature of these risks was important. No single factor necessarily justified compulsory intervention, but the interaction between physical illness, environmental neglect, mental disorder and refusal of support created an increasingly concerning picture.</w:t>
            </w:r>
          </w:p>
          <w:p w14:paraId="09141BDA" w14:textId="77777777" w:rsidR="007A5990" w:rsidRPr="007A5990" w:rsidRDefault="007A5990" w:rsidP="007A5990">
            <w:pPr>
              <w:jc w:val="both"/>
              <w:rPr>
                <w:iCs/>
                <w:sz w:val="24"/>
                <w:szCs w:val="24"/>
              </w:rPr>
            </w:pPr>
          </w:p>
          <w:p w14:paraId="637D2D98" w14:textId="77777777" w:rsidR="007A5990" w:rsidRPr="007A5990" w:rsidRDefault="007A5990" w:rsidP="007A5990">
            <w:pPr>
              <w:jc w:val="both"/>
              <w:rPr>
                <w:iCs/>
                <w:sz w:val="24"/>
                <w:szCs w:val="24"/>
              </w:rPr>
            </w:pPr>
            <w:r w:rsidRPr="007A5990">
              <w:rPr>
                <w:iCs/>
                <w:sz w:val="24"/>
                <w:szCs w:val="24"/>
              </w:rPr>
              <w:t xml:space="preserve">Beck’s (1992) concept of the “risk society” provides a useful theoretical lens. Contemporary professionals frequently make decisions where risk is uncertain, cumulative and </w:t>
            </w:r>
            <w:r w:rsidRPr="007A5990">
              <w:rPr>
                <w:iCs/>
                <w:sz w:val="24"/>
                <w:szCs w:val="24"/>
              </w:rPr>
              <w:lastRenderedPageBreak/>
              <w:t>interconnected. The traditional distinction between perpetrator and victim may be less useful in self-neglect because harm can emerge from interactions between individual circumstances and wider systems.</w:t>
            </w:r>
          </w:p>
          <w:p w14:paraId="544B1149" w14:textId="77777777" w:rsidR="007A5990" w:rsidRPr="007A5990" w:rsidRDefault="007A5990" w:rsidP="007A5990">
            <w:pPr>
              <w:jc w:val="both"/>
              <w:rPr>
                <w:iCs/>
                <w:sz w:val="24"/>
                <w:szCs w:val="24"/>
              </w:rPr>
            </w:pPr>
          </w:p>
          <w:p w14:paraId="5EE2FB07" w14:textId="77777777" w:rsidR="007A5990" w:rsidRPr="007A5990" w:rsidRDefault="007A5990" w:rsidP="007A5990">
            <w:pPr>
              <w:jc w:val="both"/>
              <w:rPr>
                <w:iCs/>
                <w:sz w:val="24"/>
                <w:szCs w:val="24"/>
              </w:rPr>
            </w:pPr>
            <w:r w:rsidRPr="007A5990">
              <w:rPr>
                <w:iCs/>
                <w:sz w:val="24"/>
                <w:szCs w:val="24"/>
              </w:rPr>
              <w:t>Tolin et al. (2008) identify significant physical and social consequences associated with compulsive hoarding, including health problems, poor sanitation, fire and falling risks and substantial social-service involvement. Their work demonstrates why environmental conditions associated with hoarding should not be dismissed as merely lifestyle preference.</w:t>
            </w:r>
          </w:p>
          <w:p w14:paraId="44C52FC2" w14:textId="77777777" w:rsidR="007A5990" w:rsidRPr="007A5990" w:rsidRDefault="007A5990" w:rsidP="007A5990">
            <w:pPr>
              <w:jc w:val="both"/>
              <w:rPr>
                <w:iCs/>
                <w:sz w:val="24"/>
                <w:szCs w:val="24"/>
              </w:rPr>
            </w:pPr>
          </w:p>
          <w:p w14:paraId="5BC5F4C0" w14:textId="77777777" w:rsidR="007A5990" w:rsidRPr="007A5990" w:rsidRDefault="007A5990" w:rsidP="007A5990">
            <w:pPr>
              <w:jc w:val="both"/>
              <w:rPr>
                <w:iCs/>
                <w:sz w:val="24"/>
                <w:szCs w:val="24"/>
              </w:rPr>
            </w:pPr>
            <w:r w:rsidRPr="007A5990">
              <w:rPr>
                <w:iCs/>
                <w:sz w:val="24"/>
                <w:szCs w:val="24"/>
              </w:rPr>
              <w:t>In A’s case, professionals had to make decisions despite incomplete information. Her contamination fears prevented normal access to the home, making uncertainty itself part of the safeguarding problem.</w:t>
            </w:r>
          </w:p>
          <w:p w14:paraId="544B4A55" w14:textId="77777777" w:rsidR="007A5990" w:rsidRPr="007A5990" w:rsidRDefault="007A5990" w:rsidP="007A5990">
            <w:pPr>
              <w:jc w:val="both"/>
              <w:rPr>
                <w:iCs/>
                <w:sz w:val="24"/>
                <w:szCs w:val="24"/>
              </w:rPr>
            </w:pPr>
          </w:p>
          <w:p w14:paraId="676F7DE3" w14:textId="77777777" w:rsidR="007A5990" w:rsidRPr="007A5990" w:rsidRDefault="007A5990" w:rsidP="007A5990">
            <w:pPr>
              <w:jc w:val="both"/>
              <w:rPr>
                <w:iCs/>
                <w:sz w:val="24"/>
                <w:szCs w:val="24"/>
              </w:rPr>
            </w:pPr>
            <w:r w:rsidRPr="007A5990">
              <w:rPr>
                <w:b/>
                <w:bCs/>
                <w:iCs/>
                <w:sz w:val="24"/>
                <w:szCs w:val="24"/>
              </w:rPr>
              <w:t>3.2 Psychological and Neurodiversity Considerations</w:t>
            </w:r>
          </w:p>
          <w:p w14:paraId="3B3D5398" w14:textId="77777777" w:rsidR="007A5990" w:rsidRPr="007A5990" w:rsidRDefault="007A5990" w:rsidP="007A5990">
            <w:pPr>
              <w:jc w:val="both"/>
              <w:rPr>
                <w:iCs/>
                <w:sz w:val="24"/>
                <w:szCs w:val="24"/>
              </w:rPr>
            </w:pPr>
          </w:p>
          <w:p w14:paraId="3ABCB7CD" w14:textId="77777777" w:rsidR="007A5990" w:rsidRPr="007A5990" w:rsidRDefault="007A5990" w:rsidP="007A5990">
            <w:pPr>
              <w:jc w:val="both"/>
              <w:rPr>
                <w:iCs/>
                <w:sz w:val="24"/>
                <w:szCs w:val="24"/>
              </w:rPr>
            </w:pPr>
            <w:r w:rsidRPr="007A5990">
              <w:rPr>
                <w:iCs/>
                <w:sz w:val="24"/>
                <w:szCs w:val="24"/>
              </w:rPr>
              <w:t>A’s contamination fears appeared to function as powerful compulsions rather than simply preferences. Her ASC was also relevant to how she experienced change, uncertainty and professional intervention. Autism-related sensory sensitivities and a need for predictability may have intensified distress when environmental changes were proposed.</w:t>
            </w:r>
          </w:p>
          <w:p w14:paraId="74E3F52F" w14:textId="77777777" w:rsidR="007A5990" w:rsidRPr="007A5990" w:rsidRDefault="007A5990" w:rsidP="007A5990">
            <w:pPr>
              <w:jc w:val="both"/>
              <w:rPr>
                <w:iCs/>
                <w:sz w:val="24"/>
                <w:szCs w:val="24"/>
              </w:rPr>
            </w:pPr>
          </w:p>
          <w:p w14:paraId="6841F160" w14:textId="77777777" w:rsidR="007A5990" w:rsidRPr="007A5990" w:rsidRDefault="007A5990" w:rsidP="007A5990">
            <w:pPr>
              <w:jc w:val="both"/>
              <w:rPr>
                <w:iCs/>
                <w:sz w:val="24"/>
                <w:szCs w:val="24"/>
              </w:rPr>
            </w:pPr>
            <w:r w:rsidRPr="007A5990">
              <w:rPr>
                <w:iCs/>
                <w:sz w:val="24"/>
                <w:szCs w:val="24"/>
              </w:rPr>
              <w:t>This required practitioners to avoid interpreting resistance as wilful non-compliance. Such language can create a deficit-based narrative and encourage professionals to focus on overcoming resistance rather than understanding its function.</w:t>
            </w:r>
          </w:p>
          <w:p w14:paraId="44D5DFE5" w14:textId="77777777" w:rsidR="007A5990" w:rsidRPr="007A5990" w:rsidRDefault="007A5990" w:rsidP="007A5990">
            <w:pPr>
              <w:jc w:val="both"/>
              <w:rPr>
                <w:iCs/>
                <w:sz w:val="24"/>
                <w:szCs w:val="24"/>
              </w:rPr>
            </w:pPr>
          </w:p>
          <w:p w14:paraId="5BFB1CDF" w14:textId="77777777" w:rsidR="007A5990" w:rsidRPr="007A5990" w:rsidRDefault="007A5990" w:rsidP="007A5990">
            <w:pPr>
              <w:jc w:val="both"/>
              <w:rPr>
                <w:iCs/>
                <w:sz w:val="24"/>
                <w:szCs w:val="24"/>
              </w:rPr>
            </w:pPr>
            <w:r w:rsidRPr="007A5990">
              <w:rPr>
                <w:iCs/>
                <w:sz w:val="24"/>
                <w:szCs w:val="24"/>
              </w:rPr>
              <w:t>Tolin et al. (2008) demonstrate that compulsive hoarding can have significant psychological, physical and social consequences. However, it was important not to reduce A’s behaviour to a single explanation or assume trauma was responsible without supporting evidence.</w:t>
            </w:r>
          </w:p>
          <w:p w14:paraId="4B8F7831" w14:textId="77777777" w:rsidR="007A5990" w:rsidRPr="007A5990" w:rsidRDefault="007A5990" w:rsidP="007A5990">
            <w:pPr>
              <w:jc w:val="both"/>
              <w:rPr>
                <w:iCs/>
                <w:sz w:val="24"/>
                <w:szCs w:val="24"/>
              </w:rPr>
            </w:pPr>
          </w:p>
          <w:p w14:paraId="5A02E031" w14:textId="77777777" w:rsidR="007A5990" w:rsidRPr="007A5990" w:rsidRDefault="007A5990" w:rsidP="007A5990">
            <w:pPr>
              <w:jc w:val="both"/>
              <w:rPr>
                <w:iCs/>
                <w:sz w:val="24"/>
                <w:szCs w:val="24"/>
              </w:rPr>
            </w:pPr>
            <w:r w:rsidRPr="007A5990">
              <w:rPr>
                <w:iCs/>
                <w:sz w:val="24"/>
                <w:szCs w:val="24"/>
              </w:rPr>
              <w:t>Trauma-informed practice was nevertheless useful in considering how intervention might affect A. SAMHSA (2014) identifies safety, trust, collaboration, empowerment and choice as important principles. Although compulsory intervention ultimately became necessary, these principles remained relevant. Compulsion did not make communication, dignity and participation irrelevant.</w:t>
            </w:r>
          </w:p>
          <w:p w14:paraId="3B5FA353" w14:textId="77777777" w:rsidR="007A5990" w:rsidRPr="007A5990" w:rsidRDefault="007A5990" w:rsidP="007A5990">
            <w:pPr>
              <w:jc w:val="both"/>
              <w:rPr>
                <w:iCs/>
                <w:sz w:val="24"/>
                <w:szCs w:val="24"/>
              </w:rPr>
            </w:pPr>
          </w:p>
          <w:p w14:paraId="5F0973BA" w14:textId="77777777" w:rsidR="007A5990" w:rsidRPr="007A5990" w:rsidRDefault="007A5990" w:rsidP="007A5990">
            <w:pPr>
              <w:jc w:val="both"/>
              <w:rPr>
                <w:iCs/>
                <w:sz w:val="24"/>
                <w:szCs w:val="24"/>
              </w:rPr>
            </w:pPr>
            <w:r w:rsidRPr="007A5990">
              <w:rPr>
                <w:iCs/>
                <w:sz w:val="24"/>
                <w:szCs w:val="24"/>
              </w:rPr>
              <w:t>Anti-oppressive practice similarly required professionals to examine the power inherent in their role (Dominelli, 2002). A was a young disabled woman whose behaviour was being assessed by multiple professionals and whose home was considered unsafe. There was a risk that professional descriptions could define her primarily through diagnoses and risk rather than identity, wishes and strengths.</w:t>
            </w:r>
          </w:p>
          <w:p w14:paraId="08A998D7" w14:textId="77777777" w:rsidR="007A5990" w:rsidRPr="007A5990" w:rsidRDefault="007A5990" w:rsidP="007A5990">
            <w:pPr>
              <w:jc w:val="both"/>
              <w:rPr>
                <w:iCs/>
                <w:sz w:val="24"/>
                <w:szCs w:val="24"/>
              </w:rPr>
            </w:pPr>
          </w:p>
          <w:p w14:paraId="6D5923A7" w14:textId="77777777" w:rsidR="007A5990" w:rsidRPr="007A5990" w:rsidRDefault="007A5990" w:rsidP="007A5990">
            <w:pPr>
              <w:jc w:val="both"/>
              <w:rPr>
                <w:iCs/>
                <w:sz w:val="24"/>
                <w:szCs w:val="24"/>
              </w:rPr>
            </w:pPr>
            <w:r w:rsidRPr="007A5990">
              <w:rPr>
                <w:iCs/>
                <w:sz w:val="24"/>
                <w:szCs w:val="24"/>
              </w:rPr>
              <w:t>Reasonable adjustments to communication, pacing and predictability were therefore important. These adjustments did not mean reducing safeguarding expectations but sought to maximise A’s opportunity to participate.</w:t>
            </w:r>
          </w:p>
          <w:p w14:paraId="268280C5" w14:textId="77777777" w:rsidR="007A5990" w:rsidRPr="007A5990" w:rsidRDefault="007A5990" w:rsidP="007A5990">
            <w:pPr>
              <w:jc w:val="both"/>
              <w:rPr>
                <w:iCs/>
                <w:sz w:val="24"/>
                <w:szCs w:val="24"/>
              </w:rPr>
            </w:pPr>
            <w:r>
              <w:rPr>
                <w:iCs/>
                <w:sz w:val="24"/>
                <w:szCs w:val="24"/>
              </w:rPr>
              <w:t xml:space="preserve">Language and cultural considerations were also important to my assessment. Although no specific language or cultural barrier was identified within this case, I recognised the importance of not making assumptions about A’s communication needs, beliefs, values or </w:t>
            </w:r>
            <w:r>
              <w:rPr>
                <w:iCs/>
                <w:sz w:val="24"/>
                <w:szCs w:val="24"/>
              </w:rPr>
              <w:lastRenderedPageBreak/>
              <w:t>understanding of professional intervention. Safeguarding practice should remain culturally responsive and should consider whether communication, professional expectations or service responses could be influenced by cultural or individual differences. I would therefore ensure that A was given appropriate opportunities to express her views in a way that was accessible to her and that any communication needs were identified rather than assumed. This is consistent with anti-oppressive practice, as it requires practitioners to recognise how professional assumptions can influence assessment and decision-making.</w:t>
            </w:r>
          </w:p>
          <w:p w14:paraId="0FB9BCAD" w14:textId="77777777" w:rsidR="007A5990" w:rsidRPr="007A5990" w:rsidRDefault="007A5990" w:rsidP="007A5990">
            <w:pPr>
              <w:jc w:val="both"/>
              <w:rPr>
                <w:iCs/>
                <w:sz w:val="24"/>
                <w:szCs w:val="24"/>
              </w:rPr>
            </w:pPr>
          </w:p>
          <w:p w14:paraId="6387E7D3" w14:textId="77777777" w:rsidR="007A5990" w:rsidRPr="007A5990" w:rsidRDefault="007A5990" w:rsidP="007A5990">
            <w:pPr>
              <w:jc w:val="both"/>
              <w:rPr>
                <w:iCs/>
                <w:sz w:val="24"/>
                <w:szCs w:val="24"/>
              </w:rPr>
            </w:pPr>
            <w:r w:rsidRPr="007A5990">
              <w:rPr>
                <w:b/>
                <w:bCs/>
                <w:iCs/>
                <w:sz w:val="24"/>
                <w:szCs w:val="24"/>
              </w:rPr>
              <w:t>3.3 Family Systems and Relational Dynamics</w:t>
            </w:r>
          </w:p>
          <w:p w14:paraId="6FD58595" w14:textId="77777777" w:rsidR="007A5990" w:rsidRPr="007A5990" w:rsidRDefault="007A5990" w:rsidP="007A5990">
            <w:pPr>
              <w:jc w:val="both"/>
              <w:rPr>
                <w:iCs/>
                <w:sz w:val="24"/>
                <w:szCs w:val="24"/>
              </w:rPr>
            </w:pPr>
          </w:p>
          <w:p w14:paraId="6D728F99" w14:textId="77777777" w:rsidR="007A5990" w:rsidRPr="007A5990" w:rsidRDefault="007A5990" w:rsidP="007A5990">
            <w:pPr>
              <w:jc w:val="both"/>
              <w:rPr>
                <w:iCs/>
                <w:sz w:val="24"/>
                <w:szCs w:val="24"/>
              </w:rPr>
            </w:pPr>
            <w:r w:rsidRPr="007A5990">
              <w:rPr>
                <w:iCs/>
                <w:sz w:val="24"/>
                <w:szCs w:val="24"/>
              </w:rPr>
              <w:t>Bronfenbrenner’s (1979) ecological systems theory provides a framework for understanding A within interconnected systems. Her behaviour could not be understood solely at an individual level. Her relationship with her mother, home environment, housing services, health services and wider social circumstances all contributed.</w:t>
            </w:r>
          </w:p>
          <w:p w14:paraId="5EFBE521" w14:textId="77777777" w:rsidR="007A5990" w:rsidRPr="007A5990" w:rsidRDefault="007A5990" w:rsidP="007A5990">
            <w:pPr>
              <w:jc w:val="both"/>
              <w:rPr>
                <w:iCs/>
                <w:sz w:val="24"/>
                <w:szCs w:val="24"/>
              </w:rPr>
            </w:pPr>
          </w:p>
          <w:p w14:paraId="00920945" w14:textId="77777777" w:rsidR="007A5990" w:rsidRPr="007A5990" w:rsidRDefault="007A5990" w:rsidP="007A5990">
            <w:pPr>
              <w:jc w:val="both"/>
              <w:rPr>
                <w:iCs/>
                <w:sz w:val="24"/>
                <w:szCs w:val="24"/>
              </w:rPr>
            </w:pPr>
            <w:r w:rsidRPr="007A5990">
              <w:rPr>
                <w:iCs/>
                <w:sz w:val="24"/>
                <w:szCs w:val="24"/>
              </w:rPr>
              <w:t>The mother’s tolerance of the deteriorating environment may have contributed to established relational patterns. However, attributing responsibility solely to the mother would have been simplistic and potentially oppressive. Poverty, housing conditions, service availability and barriers to support may also have contributed.</w:t>
            </w:r>
          </w:p>
          <w:p w14:paraId="7D7A4D37" w14:textId="77777777" w:rsidR="007A5990" w:rsidRPr="007A5990" w:rsidRDefault="007A5990" w:rsidP="007A5990">
            <w:pPr>
              <w:jc w:val="both"/>
              <w:rPr>
                <w:iCs/>
                <w:sz w:val="24"/>
                <w:szCs w:val="24"/>
              </w:rPr>
            </w:pPr>
          </w:p>
          <w:p w14:paraId="57F13D2D" w14:textId="77777777" w:rsidR="007A5990" w:rsidRPr="007A5990" w:rsidRDefault="007A5990" w:rsidP="007A5990">
            <w:pPr>
              <w:jc w:val="both"/>
              <w:rPr>
                <w:iCs/>
                <w:sz w:val="24"/>
                <w:szCs w:val="24"/>
              </w:rPr>
            </w:pPr>
            <w:r w:rsidRPr="007A5990">
              <w:rPr>
                <w:iCs/>
                <w:sz w:val="24"/>
                <w:szCs w:val="24"/>
              </w:rPr>
              <w:t>This illustrates the importance of avoiding an overly individualised safeguarding model. Social work must consider structural as well as personal explanations. Dominelli (2002) argues that anti-oppressive practice requires attention to how social inequalities and institutional power shape experiences.</w:t>
            </w:r>
          </w:p>
          <w:p w14:paraId="5CC4D903" w14:textId="77777777" w:rsidR="007A5990" w:rsidRPr="007A5990" w:rsidRDefault="007A5990" w:rsidP="007A5990">
            <w:pPr>
              <w:jc w:val="both"/>
              <w:rPr>
                <w:iCs/>
                <w:sz w:val="24"/>
                <w:szCs w:val="24"/>
              </w:rPr>
            </w:pPr>
          </w:p>
          <w:p w14:paraId="06C636FD" w14:textId="77777777" w:rsidR="007A5990" w:rsidRPr="007A5990" w:rsidRDefault="007A5990" w:rsidP="007A5990">
            <w:pPr>
              <w:jc w:val="both"/>
              <w:rPr>
                <w:iCs/>
                <w:sz w:val="24"/>
                <w:szCs w:val="24"/>
              </w:rPr>
            </w:pPr>
            <w:r w:rsidRPr="007A5990">
              <w:rPr>
                <w:iCs/>
                <w:sz w:val="24"/>
                <w:szCs w:val="24"/>
              </w:rPr>
              <w:t>The case therefore required professionals to consider not only what A was doing, but what circumstances contributed to the situation and what barriers prevented change.</w:t>
            </w:r>
          </w:p>
          <w:p w14:paraId="7D3834CA" w14:textId="77777777" w:rsidR="007A5990" w:rsidRPr="007A5990" w:rsidRDefault="007A5990" w:rsidP="007A5990">
            <w:pPr>
              <w:jc w:val="both"/>
              <w:rPr>
                <w:iCs/>
                <w:sz w:val="24"/>
                <w:szCs w:val="24"/>
              </w:rPr>
            </w:pPr>
          </w:p>
          <w:p w14:paraId="704E2204" w14:textId="77777777" w:rsidR="007A5990" w:rsidRPr="007A5990" w:rsidRDefault="007A5990" w:rsidP="007A5990">
            <w:pPr>
              <w:jc w:val="both"/>
              <w:rPr>
                <w:iCs/>
                <w:sz w:val="24"/>
                <w:szCs w:val="24"/>
              </w:rPr>
            </w:pPr>
            <w:r w:rsidRPr="007A5990">
              <w:rPr>
                <w:b/>
                <w:bCs/>
                <w:iCs/>
                <w:sz w:val="24"/>
                <w:szCs w:val="24"/>
              </w:rPr>
              <w:t>3.4 Capacity and Threshold Decision</w:t>
            </w:r>
          </w:p>
          <w:p w14:paraId="007BDE61" w14:textId="77777777" w:rsidR="007A5990" w:rsidRPr="007A5990" w:rsidRDefault="007A5990" w:rsidP="007A5990">
            <w:pPr>
              <w:jc w:val="both"/>
              <w:rPr>
                <w:iCs/>
                <w:sz w:val="24"/>
                <w:szCs w:val="24"/>
              </w:rPr>
            </w:pPr>
          </w:p>
          <w:p w14:paraId="2B0EEA82" w14:textId="77777777" w:rsidR="007A5990" w:rsidRPr="007A5990" w:rsidRDefault="007A5990" w:rsidP="007A5990">
            <w:pPr>
              <w:jc w:val="both"/>
              <w:rPr>
                <w:iCs/>
                <w:sz w:val="24"/>
                <w:szCs w:val="24"/>
              </w:rPr>
            </w:pPr>
            <w:r w:rsidRPr="007A5990">
              <w:rPr>
                <w:iCs/>
                <w:sz w:val="24"/>
                <w:szCs w:val="24"/>
              </w:rPr>
              <w:t>The pivotal professional judgement concerned whether A’s refusal represented capacious autonomy and, separately, whether escalating risks required consideration of compulsory mental health intervention.</w:t>
            </w:r>
          </w:p>
          <w:p w14:paraId="76474AB3" w14:textId="77777777" w:rsidR="007A5990" w:rsidRPr="007A5990" w:rsidRDefault="007A5990" w:rsidP="007A5990">
            <w:pPr>
              <w:jc w:val="both"/>
              <w:rPr>
                <w:iCs/>
                <w:sz w:val="24"/>
                <w:szCs w:val="24"/>
              </w:rPr>
            </w:pPr>
          </w:p>
          <w:p w14:paraId="2809B9B1" w14:textId="77777777" w:rsidR="007A5990" w:rsidRPr="007A5990" w:rsidRDefault="007A5990" w:rsidP="007A5990">
            <w:pPr>
              <w:jc w:val="both"/>
              <w:rPr>
                <w:iCs/>
                <w:sz w:val="24"/>
                <w:szCs w:val="24"/>
              </w:rPr>
            </w:pPr>
            <w:r w:rsidRPr="007A5990">
              <w:rPr>
                <w:iCs/>
                <w:sz w:val="24"/>
                <w:szCs w:val="24"/>
              </w:rPr>
              <w:t>A could communicate reasons for refusing intervention, and these views could not simply be disregarded. However, those reasons were deeply connected to contamination fears and anxiety. Assessment therefore needed to consider whether these symptoms impaired her ability to use or weigh information about the consequences of refusing assistance.</w:t>
            </w:r>
          </w:p>
          <w:p w14:paraId="18257287" w14:textId="77777777" w:rsidR="007A5990" w:rsidRPr="007A5990" w:rsidRDefault="007A5990" w:rsidP="007A5990">
            <w:pPr>
              <w:jc w:val="both"/>
              <w:rPr>
                <w:iCs/>
                <w:sz w:val="24"/>
                <w:szCs w:val="24"/>
              </w:rPr>
            </w:pPr>
          </w:p>
          <w:p w14:paraId="6FA7537F" w14:textId="77777777" w:rsidR="007A5990" w:rsidRPr="007A5990" w:rsidRDefault="007A5990" w:rsidP="007A5990">
            <w:pPr>
              <w:jc w:val="both"/>
              <w:rPr>
                <w:iCs/>
                <w:sz w:val="24"/>
                <w:szCs w:val="24"/>
              </w:rPr>
            </w:pPr>
            <w:r w:rsidRPr="007A5990">
              <w:rPr>
                <w:iCs/>
                <w:sz w:val="24"/>
                <w:szCs w:val="24"/>
              </w:rPr>
              <w:t>The threshold for escalation was considered to have been reached when physical health risks had escalated, repeated engagement attempts had failed to reduce risk sufficiently, A’s mental state had deteriorated, and less restrictive alternatives had been explored and considered insufficient.</w:t>
            </w:r>
          </w:p>
          <w:p w14:paraId="013B20A8" w14:textId="77777777" w:rsidR="007A5990" w:rsidRPr="007A5990" w:rsidRDefault="007A5990" w:rsidP="007A5990">
            <w:pPr>
              <w:jc w:val="both"/>
              <w:rPr>
                <w:iCs/>
                <w:sz w:val="24"/>
                <w:szCs w:val="24"/>
              </w:rPr>
            </w:pPr>
          </w:p>
          <w:p w14:paraId="546087B3" w14:textId="77777777" w:rsidR="007A5990" w:rsidRPr="007A5990" w:rsidRDefault="007A5990" w:rsidP="007A5990">
            <w:pPr>
              <w:jc w:val="both"/>
              <w:rPr>
                <w:iCs/>
                <w:sz w:val="24"/>
                <w:szCs w:val="24"/>
              </w:rPr>
            </w:pPr>
            <w:r w:rsidRPr="007A5990">
              <w:rPr>
                <w:iCs/>
                <w:sz w:val="24"/>
                <w:szCs w:val="24"/>
              </w:rPr>
              <w:lastRenderedPageBreak/>
              <w:t>Taylor (2013) argues that professional judgement is shaped by evidence, legislation, ethics and organisational context. The decision to escalate to Mental Health Act assessment therefore reflected collective professional reasoning rather than one practitioner’s judgement.</w:t>
            </w:r>
          </w:p>
          <w:p w14:paraId="1642C07D" w14:textId="77777777" w:rsidR="007A5990" w:rsidRPr="007A5990" w:rsidRDefault="007A5990" w:rsidP="007A5990">
            <w:pPr>
              <w:jc w:val="both"/>
              <w:rPr>
                <w:iCs/>
                <w:sz w:val="24"/>
                <w:szCs w:val="24"/>
              </w:rPr>
            </w:pPr>
          </w:p>
          <w:p w14:paraId="19DF2DEA" w14:textId="77777777" w:rsidR="007A5990" w:rsidRPr="007A5990" w:rsidRDefault="007A5990" w:rsidP="007A5990">
            <w:pPr>
              <w:jc w:val="both"/>
              <w:rPr>
                <w:iCs/>
                <w:sz w:val="24"/>
                <w:szCs w:val="24"/>
              </w:rPr>
            </w:pPr>
            <w:r w:rsidRPr="007A5990">
              <w:rPr>
                <w:iCs/>
                <w:sz w:val="24"/>
                <w:szCs w:val="24"/>
              </w:rPr>
              <w:t xml:space="preserve">However, multi-agency agreement does not automatically </w:t>
            </w:r>
            <w:proofErr w:type="gramStart"/>
            <w:r w:rsidRPr="007A5990">
              <w:rPr>
                <w:iCs/>
                <w:sz w:val="24"/>
                <w:szCs w:val="24"/>
              </w:rPr>
              <w:t>make a decision</w:t>
            </w:r>
            <w:proofErr w:type="gramEnd"/>
            <w:r w:rsidRPr="007A5990">
              <w:rPr>
                <w:iCs/>
                <w:sz w:val="24"/>
                <w:szCs w:val="24"/>
              </w:rPr>
              <w:t xml:space="preserve"> correct. Group decision-making can provide challenge but may also encourage conformity where professionals become increasingly concerned about risk. Critical reflection therefore reinforced the importance of recording the evidence underpinning conclusions rather than relying upon consensus alone.</w:t>
            </w:r>
          </w:p>
          <w:p w14:paraId="21F12DD2" w14:textId="77777777" w:rsidR="007A5990" w:rsidRPr="007A5990" w:rsidRDefault="007A5990" w:rsidP="007A5990">
            <w:pPr>
              <w:jc w:val="both"/>
              <w:rPr>
                <w:iCs/>
                <w:sz w:val="24"/>
                <w:szCs w:val="24"/>
              </w:rPr>
            </w:pPr>
          </w:p>
          <w:p w14:paraId="3C779387" w14:textId="77777777" w:rsidR="007A5990" w:rsidRPr="007A5990" w:rsidRDefault="007A5990" w:rsidP="007A5990">
            <w:pPr>
              <w:jc w:val="both"/>
              <w:rPr>
                <w:iCs/>
                <w:sz w:val="24"/>
                <w:szCs w:val="24"/>
              </w:rPr>
            </w:pPr>
            <w:r w:rsidRPr="007A5990">
              <w:rPr>
                <w:iCs/>
                <w:sz w:val="24"/>
                <w:szCs w:val="24"/>
              </w:rPr>
              <w:t>Using Fook’s (2016) critical reflection approach, I examined my initial reluctance to escalate. I was concerned that compulsory intervention could damage the relationship with A and undermine autonomy. Reflection revealed that this concern also contained an assumption that avoiding coercion was inherently more ethical.</w:t>
            </w:r>
          </w:p>
          <w:p w14:paraId="52636B66" w14:textId="77777777" w:rsidR="007A5990" w:rsidRPr="007A5990" w:rsidRDefault="007A5990" w:rsidP="007A5990">
            <w:pPr>
              <w:jc w:val="both"/>
              <w:rPr>
                <w:iCs/>
                <w:sz w:val="24"/>
                <w:szCs w:val="24"/>
              </w:rPr>
            </w:pPr>
          </w:p>
          <w:p w14:paraId="4B1BFB3A" w14:textId="77777777" w:rsidR="007A5990" w:rsidRPr="007A5990" w:rsidRDefault="007A5990" w:rsidP="007A5990">
            <w:pPr>
              <w:jc w:val="both"/>
              <w:rPr>
                <w:iCs/>
                <w:sz w:val="24"/>
                <w:szCs w:val="24"/>
              </w:rPr>
            </w:pPr>
            <w:r w:rsidRPr="007A5990">
              <w:rPr>
                <w:iCs/>
                <w:sz w:val="24"/>
                <w:szCs w:val="24"/>
              </w:rPr>
              <w:t>Inaction is not necessarily neutral. Where serious risks are escalating, choosing not to intervene is itself a professional decision with consequences. The critical issue is whether intervention is lawful, necessary and proportionate to the identified risk.</w:t>
            </w:r>
          </w:p>
          <w:p w14:paraId="0B81AB60" w14:textId="77777777" w:rsidR="007A5990" w:rsidRPr="007A5990" w:rsidRDefault="007A5990" w:rsidP="007A5990">
            <w:pPr>
              <w:jc w:val="both"/>
              <w:rPr>
                <w:iCs/>
                <w:sz w:val="24"/>
                <w:szCs w:val="24"/>
              </w:rPr>
            </w:pPr>
          </w:p>
          <w:p w14:paraId="08984A69" w14:textId="77777777" w:rsidR="007A5990" w:rsidRPr="007A5990" w:rsidRDefault="007A5990" w:rsidP="007A5990">
            <w:pPr>
              <w:jc w:val="both"/>
              <w:rPr>
                <w:iCs/>
                <w:sz w:val="24"/>
                <w:szCs w:val="24"/>
              </w:rPr>
            </w:pPr>
            <w:r w:rsidRPr="007A5990">
              <w:rPr>
                <w:iCs/>
                <w:sz w:val="24"/>
                <w:szCs w:val="24"/>
              </w:rPr>
              <w:t>This case deepened my understanding that safeguarding requires tolerance of ambiguity. Professionals rarely possess complete information or certainty. The role is to make defensible decisions based upon available evidence while remaining open to review and challenge.</w:t>
            </w:r>
          </w:p>
          <w:p w14:paraId="556B4B07" w14:textId="77777777" w:rsidR="007A5990" w:rsidRPr="007A5990" w:rsidRDefault="007A5990" w:rsidP="007A5990">
            <w:pPr>
              <w:jc w:val="both"/>
              <w:rPr>
                <w:iCs/>
                <w:sz w:val="24"/>
                <w:szCs w:val="24"/>
              </w:rPr>
            </w:pPr>
          </w:p>
          <w:p w14:paraId="102A1DD1" w14:textId="77777777" w:rsidR="007A5990" w:rsidRPr="007A5990" w:rsidRDefault="007A5990" w:rsidP="007A5990">
            <w:pPr>
              <w:jc w:val="both"/>
              <w:rPr>
                <w:iCs/>
                <w:sz w:val="24"/>
                <w:szCs w:val="24"/>
              </w:rPr>
            </w:pPr>
            <w:r w:rsidRPr="007A5990">
              <w:rPr>
                <w:b/>
                <w:bCs/>
                <w:iCs/>
                <w:sz w:val="24"/>
                <w:szCs w:val="24"/>
              </w:rPr>
              <w:t>4. Theoretical Integration in Complex Safeguarding</w:t>
            </w:r>
          </w:p>
          <w:p w14:paraId="3AC69F56" w14:textId="77777777" w:rsidR="007A5990" w:rsidRPr="007A5990" w:rsidRDefault="007A5990" w:rsidP="007A5990">
            <w:pPr>
              <w:jc w:val="both"/>
              <w:rPr>
                <w:iCs/>
                <w:sz w:val="24"/>
                <w:szCs w:val="24"/>
              </w:rPr>
            </w:pPr>
          </w:p>
          <w:p w14:paraId="70DB79DC" w14:textId="77777777" w:rsidR="007A5990" w:rsidRPr="007A5990" w:rsidRDefault="007A5990" w:rsidP="007A5990">
            <w:pPr>
              <w:jc w:val="both"/>
              <w:rPr>
                <w:iCs/>
                <w:sz w:val="24"/>
                <w:szCs w:val="24"/>
              </w:rPr>
            </w:pPr>
            <w:r w:rsidRPr="007A5990">
              <w:rPr>
                <w:iCs/>
                <w:sz w:val="24"/>
                <w:szCs w:val="24"/>
              </w:rPr>
              <w:t>The integration of theory strengthened the analysis by preventing the case from becoming purely procedural.</w:t>
            </w:r>
          </w:p>
          <w:p w14:paraId="2EDEE209" w14:textId="77777777" w:rsidR="007A5990" w:rsidRPr="007A5990" w:rsidRDefault="007A5990" w:rsidP="007A5990">
            <w:pPr>
              <w:jc w:val="both"/>
              <w:rPr>
                <w:iCs/>
                <w:sz w:val="24"/>
                <w:szCs w:val="24"/>
              </w:rPr>
            </w:pPr>
          </w:p>
          <w:p w14:paraId="37924983" w14:textId="77777777" w:rsidR="007A5990" w:rsidRPr="007A5990" w:rsidRDefault="007A5990" w:rsidP="007A5990">
            <w:pPr>
              <w:jc w:val="both"/>
              <w:rPr>
                <w:iCs/>
                <w:sz w:val="24"/>
                <w:szCs w:val="24"/>
              </w:rPr>
            </w:pPr>
            <w:r w:rsidRPr="007A5990">
              <w:rPr>
                <w:iCs/>
                <w:sz w:val="24"/>
                <w:szCs w:val="24"/>
              </w:rPr>
              <w:t>Person-centred theory, associated with Rogers (1951), reinforced empathy, dignity and respect for A’s subjective experience. Although intervention became compulsory, person-centred principles remained relevant because compulsion does not remove an individual’s humanity or right to respectful treatment.</w:t>
            </w:r>
          </w:p>
          <w:p w14:paraId="021B030E" w14:textId="77777777" w:rsidR="007A5990" w:rsidRPr="007A5990" w:rsidRDefault="007A5990" w:rsidP="007A5990">
            <w:pPr>
              <w:jc w:val="both"/>
              <w:rPr>
                <w:iCs/>
                <w:sz w:val="24"/>
                <w:szCs w:val="24"/>
              </w:rPr>
            </w:pPr>
          </w:p>
          <w:p w14:paraId="6150E91B" w14:textId="77777777" w:rsidR="007A5990" w:rsidRPr="007A5990" w:rsidRDefault="007A5990" w:rsidP="007A5990">
            <w:pPr>
              <w:jc w:val="both"/>
              <w:rPr>
                <w:iCs/>
                <w:sz w:val="24"/>
                <w:szCs w:val="24"/>
              </w:rPr>
            </w:pPr>
            <w:r w:rsidRPr="007A5990">
              <w:rPr>
                <w:iCs/>
                <w:sz w:val="24"/>
                <w:szCs w:val="24"/>
              </w:rPr>
              <w:t>Trauma-informed practice provided a framework for considering how professional actions might affect A’s sense of safety and control (SAMHSA, 2014). Predictability, clear communication and involvement were particularly important given her contamination fears and difficulties with change.</w:t>
            </w:r>
          </w:p>
          <w:p w14:paraId="780B936A" w14:textId="77777777" w:rsidR="007A5990" w:rsidRPr="007A5990" w:rsidRDefault="007A5990" w:rsidP="007A5990">
            <w:pPr>
              <w:jc w:val="both"/>
              <w:rPr>
                <w:iCs/>
                <w:sz w:val="24"/>
                <w:szCs w:val="24"/>
              </w:rPr>
            </w:pPr>
          </w:p>
          <w:p w14:paraId="6F233BD9" w14:textId="77777777" w:rsidR="007A5990" w:rsidRPr="007A5990" w:rsidRDefault="007A5990" w:rsidP="007A5990">
            <w:pPr>
              <w:jc w:val="both"/>
              <w:rPr>
                <w:iCs/>
                <w:sz w:val="24"/>
                <w:szCs w:val="24"/>
              </w:rPr>
            </w:pPr>
            <w:r w:rsidRPr="007A5990">
              <w:rPr>
                <w:iCs/>
                <w:sz w:val="24"/>
                <w:szCs w:val="24"/>
              </w:rPr>
              <w:t>Anti-oppressive practice required examination of the unequal power relationship between A and professionals (Dominelli, 2002). Professionals possessed authority to assess, record, recommend and contribute to processes leading to compulsory detention. This power needed careful exercise because professional definitions of “risk” can significantly shape a person’s future.</w:t>
            </w:r>
          </w:p>
          <w:p w14:paraId="35BBD4DD" w14:textId="77777777" w:rsidR="007A5990" w:rsidRPr="007A5990" w:rsidRDefault="007A5990" w:rsidP="007A5990">
            <w:pPr>
              <w:jc w:val="both"/>
              <w:rPr>
                <w:iCs/>
                <w:sz w:val="24"/>
                <w:szCs w:val="24"/>
              </w:rPr>
            </w:pPr>
          </w:p>
          <w:p w14:paraId="01E204D2" w14:textId="77777777" w:rsidR="007A5990" w:rsidRPr="007A5990" w:rsidRDefault="007A5990" w:rsidP="007A5990">
            <w:pPr>
              <w:jc w:val="both"/>
              <w:rPr>
                <w:iCs/>
                <w:sz w:val="24"/>
                <w:szCs w:val="24"/>
              </w:rPr>
            </w:pPr>
            <w:r w:rsidRPr="007A5990">
              <w:rPr>
                <w:iCs/>
                <w:sz w:val="24"/>
                <w:szCs w:val="24"/>
              </w:rPr>
              <w:lastRenderedPageBreak/>
              <w:t>Beck’s (1992) risk theory helped explain the uncertainty surrounding A’s situation, while Bronfenbrenner’s (1979) ecological systems theory located her within family, community, housing and service environments.</w:t>
            </w:r>
          </w:p>
          <w:p w14:paraId="56DF9A4B" w14:textId="77777777" w:rsidR="007A5990" w:rsidRPr="007A5990" w:rsidRDefault="007A5990" w:rsidP="007A5990">
            <w:pPr>
              <w:jc w:val="both"/>
              <w:rPr>
                <w:iCs/>
                <w:sz w:val="24"/>
                <w:szCs w:val="24"/>
              </w:rPr>
            </w:pPr>
          </w:p>
          <w:p w14:paraId="5B2F1D51" w14:textId="77777777" w:rsidR="007A5990" w:rsidRPr="007A5990" w:rsidRDefault="007A5990" w:rsidP="007A5990">
            <w:pPr>
              <w:jc w:val="both"/>
              <w:rPr>
                <w:iCs/>
                <w:sz w:val="24"/>
                <w:szCs w:val="24"/>
              </w:rPr>
            </w:pPr>
            <w:r w:rsidRPr="007A5990">
              <w:rPr>
                <w:iCs/>
                <w:sz w:val="24"/>
                <w:szCs w:val="24"/>
              </w:rPr>
              <w:t>Together, these theories supported a holistic approach. They encouraged professionals to consider A as a person rather than simply a collection of risks and diagnoses. Theory did not replace statutory duties; rather, it informed how those duties were interpreted and implemented.</w:t>
            </w:r>
          </w:p>
          <w:p w14:paraId="398496C0" w14:textId="77777777" w:rsidR="007A5990" w:rsidRPr="007A5990" w:rsidRDefault="007A5990" w:rsidP="007A5990">
            <w:pPr>
              <w:jc w:val="both"/>
              <w:rPr>
                <w:iCs/>
                <w:sz w:val="24"/>
                <w:szCs w:val="24"/>
              </w:rPr>
            </w:pPr>
          </w:p>
          <w:p w14:paraId="2E9813ED" w14:textId="77777777" w:rsidR="007A5990" w:rsidRPr="007A5990" w:rsidRDefault="007A5990" w:rsidP="007A5990">
            <w:pPr>
              <w:jc w:val="both"/>
              <w:rPr>
                <w:iCs/>
                <w:sz w:val="24"/>
                <w:szCs w:val="24"/>
              </w:rPr>
            </w:pPr>
            <w:r w:rsidRPr="007A5990">
              <w:rPr>
                <w:b/>
                <w:bCs/>
                <w:iCs/>
                <w:sz w:val="24"/>
                <w:szCs w:val="24"/>
              </w:rPr>
              <w:t>5. Multi-Agency Collaboration and Structural Context in Wales</w:t>
            </w:r>
          </w:p>
          <w:p w14:paraId="1B412C37" w14:textId="77777777" w:rsidR="007A5990" w:rsidRPr="007A5990" w:rsidRDefault="007A5990" w:rsidP="007A5990">
            <w:pPr>
              <w:jc w:val="both"/>
              <w:rPr>
                <w:iCs/>
                <w:sz w:val="24"/>
                <w:szCs w:val="24"/>
              </w:rPr>
            </w:pPr>
          </w:p>
          <w:p w14:paraId="2E49E78A" w14:textId="77777777" w:rsidR="007A5990" w:rsidRPr="007A5990" w:rsidRDefault="007A5990" w:rsidP="007A5990">
            <w:pPr>
              <w:jc w:val="both"/>
              <w:rPr>
                <w:iCs/>
                <w:sz w:val="24"/>
                <w:szCs w:val="24"/>
              </w:rPr>
            </w:pPr>
            <w:r w:rsidRPr="007A5990">
              <w:rPr>
                <w:iCs/>
                <w:sz w:val="24"/>
                <w:szCs w:val="24"/>
              </w:rPr>
              <w:t>The SSWBA 2014 promotes collaboration between local authorities, health services and other relevant agencies. A’s situation required contributions from adult social services, the Community Mental Health Team, housing services, GP, relevant physical health specialists, an Approved Mental Health Professional and police.</w:t>
            </w:r>
          </w:p>
          <w:p w14:paraId="64445D64" w14:textId="77777777" w:rsidR="007A5990" w:rsidRPr="007A5990" w:rsidRDefault="007A5990" w:rsidP="007A5990">
            <w:pPr>
              <w:jc w:val="both"/>
              <w:rPr>
                <w:iCs/>
                <w:sz w:val="24"/>
                <w:szCs w:val="24"/>
              </w:rPr>
            </w:pPr>
          </w:p>
          <w:p w14:paraId="2DBFB160" w14:textId="77777777" w:rsidR="007A5990" w:rsidRPr="007A5990" w:rsidRDefault="007A5990" w:rsidP="007A5990">
            <w:pPr>
              <w:jc w:val="both"/>
              <w:rPr>
                <w:iCs/>
                <w:sz w:val="24"/>
                <w:szCs w:val="24"/>
              </w:rPr>
            </w:pPr>
            <w:r w:rsidRPr="007A5990">
              <w:rPr>
                <w:iCs/>
                <w:sz w:val="24"/>
                <w:szCs w:val="24"/>
              </w:rPr>
              <w:t>No single agency possessed the expertise or authority required to address every dimension of the case. Health professionals contributed knowledge regarding physical and mental health; social services provided safeguarding oversight; housing services could address environmental issues; relevant physical health specialists understood the physical health risks; and mental health professionals considered compulsory treatment.</w:t>
            </w:r>
          </w:p>
          <w:p w14:paraId="2E0486DE" w14:textId="77777777" w:rsidR="007A5990" w:rsidRPr="007A5990" w:rsidRDefault="007A5990" w:rsidP="007A5990">
            <w:pPr>
              <w:jc w:val="both"/>
              <w:rPr>
                <w:iCs/>
                <w:sz w:val="24"/>
                <w:szCs w:val="24"/>
              </w:rPr>
            </w:pPr>
          </w:p>
          <w:p w14:paraId="7EB6C810" w14:textId="77777777" w:rsidR="007A5990" w:rsidRPr="007A5990" w:rsidRDefault="007A5990" w:rsidP="007A5990">
            <w:pPr>
              <w:jc w:val="both"/>
              <w:rPr>
                <w:iCs/>
                <w:sz w:val="24"/>
                <w:szCs w:val="24"/>
              </w:rPr>
            </w:pPr>
            <w:r w:rsidRPr="007A5990">
              <w:rPr>
                <w:iCs/>
                <w:sz w:val="24"/>
                <w:szCs w:val="24"/>
              </w:rPr>
              <w:t>The AMHP role was particularly important because the Mental Health Act framework requires consideration of the person’s circumstances and available alternatives alongside medical evidence. The process therefore involved more than determining whether A had a mental disorder; it required consideration of whether detention was necessary and whether appropriate treatment was available (Welsh Government, 2016).</w:t>
            </w:r>
          </w:p>
          <w:p w14:paraId="452610B6" w14:textId="77777777" w:rsidR="007A5990" w:rsidRPr="007A5990" w:rsidRDefault="007A5990" w:rsidP="007A5990">
            <w:pPr>
              <w:jc w:val="both"/>
              <w:rPr>
                <w:iCs/>
                <w:sz w:val="24"/>
                <w:szCs w:val="24"/>
              </w:rPr>
            </w:pPr>
          </w:p>
          <w:p w14:paraId="605BFC8B" w14:textId="77777777" w:rsidR="007A5990" w:rsidRPr="007A5990" w:rsidRDefault="007A5990" w:rsidP="007A5990">
            <w:pPr>
              <w:jc w:val="both"/>
              <w:rPr>
                <w:iCs/>
                <w:sz w:val="24"/>
                <w:szCs w:val="24"/>
              </w:rPr>
            </w:pPr>
            <w:r w:rsidRPr="007A5990">
              <w:rPr>
                <w:iCs/>
                <w:sz w:val="24"/>
                <w:szCs w:val="24"/>
              </w:rPr>
              <w:t>Effective information sharing was crucial. Where access to A’s home was restricted, agencies needed to combine their knowledge to develop an accurate picture of risk. However, information sharing also raises ethical questions concerning privacy and consent. Information therefore needed to be shared lawfully, proportionately and for legitimate safeguarding purposes.</w:t>
            </w:r>
          </w:p>
          <w:p w14:paraId="43F445F3" w14:textId="77777777" w:rsidR="007A5990" w:rsidRPr="007A5990" w:rsidRDefault="007A5990" w:rsidP="007A5990">
            <w:pPr>
              <w:jc w:val="both"/>
              <w:rPr>
                <w:iCs/>
                <w:sz w:val="24"/>
                <w:szCs w:val="24"/>
              </w:rPr>
            </w:pPr>
          </w:p>
          <w:p w14:paraId="0D2C52DF" w14:textId="77777777" w:rsidR="007A5990" w:rsidRPr="007A5990" w:rsidRDefault="007A5990" w:rsidP="007A5990">
            <w:pPr>
              <w:jc w:val="both"/>
              <w:rPr>
                <w:iCs/>
                <w:sz w:val="24"/>
                <w:szCs w:val="24"/>
              </w:rPr>
            </w:pPr>
            <w:r w:rsidRPr="007A5990">
              <w:rPr>
                <w:iCs/>
                <w:sz w:val="24"/>
                <w:szCs w:val="24"/>
              </w:rPr>
              <w:t>Structural factors also influenced the professional context. Limited availability of appropriate mental health beds and workforce pressures can affect the range and timing of interventions. Resource constraints should not determine whether liberty is restricted, but they form part of the context in which practitioners operate and reinforce the need for transparent recording and professional challenge.</w:t>
            </w:r>
          </w:p>
          <w:p w14:paraId="7873F572" w14:textId="77777777" w:rsidR="007A5990" w:rsidRPr="007A5990" w:rsidRDefault="007A5990" w:rsidP="007A5990">
            <w:pPr>
              <w:jc w:val="both"/>
              <w:rPr>
                <w:iCs/>
                <w:sz w:val="24"/>
                <w:szCs w:val="24"/>
              </w:rPr>
            </w:pPr>
          </w:p>
          <w:p w14:paraId="139C1EB6" w14:textId="77777777" w:rsidR="007A5990" w:rsidRPr="007A5990" w:rsidRDefault="007A5990" w:rsidP="007A5990">
            <w:pPr>
              <w:jc w:val="both"/>
              <w:rPr>
                <w:iCs/>
                <w:sz w:val="24"/>
                <w:szCs w:val="24"/>
              </w:rPr>
            </w:pPr>
            <w:r w:rsidRPr="007A5990">
              <w:rPr>
                <w:iCs/>
                <w:sz w:val="24"/>
                <w:szCs w:val="24"/>
              </w:rPr>
              <w:t>The subsequent transfer to rehabilitation provides an opportunity to address wider factors underlying A’s circumstances. Recovery-oriented practice should consider housing, physical health, relationships, communication needs, autonomy and community participation alongside symptom reduction.</w:t>
            </w:r>
          </w:p>
          <w:p w14:paraId="6752EF2D" w14:textId="77777777" w:rsidR="007A5990" w:rsidRPr="007A5990" w:rsidRDefault="007A5990" w:rsidP="007A5990">
            <w:pPr>
              <w:jc w:val="both"/>
              <w:rPr>
                <w:iCs/>
                <w:sz w:val="24"/>
                <w:szCs w:val="24"/>
              </w:rPr>
            </w:pPr>
          </w:p>
          <w:p w14:paraId="73AE80FD" w14:textId="77777777" w:rsidR="007A5990" w:rsidRPr="007A5990" w:rsidRDefault="007A5990" w:rsidP="007A5990">
            <w:pPr>
              <w:jc w:val="both"/>
              <w:rPr>
                <w:iCs/>
                <w:sz w:val="24"/>
                <w:szCs w:val="24"/>
              </w:rPr>
            </w:pPr>
            <w:r w:rsidRPr="007A5990">
              <w:rPr>
                <w:iCs/>
                <w:sz w:val="24"/>
                <w:szCs w:val="24"/>
              </w:rPr>
              <w:lastRenderedPageBreak/>
              <w:t>This creates an opportunity to ensure that the safeguarding response does not become permanently defined by the crisis resulting in detention. A’s identity must extend beyond the circumstances that led to intervention.</w:t>
            </w:r>
          </w:p>
          <w:p w14:paraId="08975C7B" w14:textId="77777777" w:rsidR="007A5990" w:rsidRPr="007A5990" w:rsidRDefault="007A5990" w:rsidP="007A5990">
            <w:pPr>
              <w:jc w:val="both"/>
              <w:rPr>
                <w:iCs/>
                <w:sz w:val="24"/>
                <w:szCs w:val="24"/>
              </w:rPr>
            </w:pPr>
          </w:p>
          <w:p w14:paraId="31C383D2" w14:textId="77777777" w:rsidR="007A5990" w:rsidRPr="007A5990" w:rsidRDefault="007A5990" w:rsidP="007A5990">
            <w:pPr>
              <w:jc w:val="both"/>
              <w:rPr>
                <w:iCs/>
                <w:sz w:val="24"/>
                <w:szCs w:val="24"/>
              </w:rPr>
            </w:pPr>
            <w:r w:rsidRPr="007A5990">
              <w:rPr>
                <w:b/>
                <w:bCs/>
                <w:iCs/>
                <w:sz w:val="24"/>
                <w:szCs w:val="24"/>
              </w:rPr>
              <w:t>6. Ethical Tensions, Power and Critical Reflection</w:t>
            </w:r>
          </w:p>
          <w:p w14:paraId="34A4DE6A" w14:textId="77777777" w:rsidR="007A5990" w:rsidRPr="007A5990" w:rsidRDefault="007A5990" w:rsidP="007A5990">
            <w:pPr>
              <w:jc w:val="both"/>
              <w:rPr>
                <w:iCs/>
                <w:sz w:val="24"/>
                <w:szCs w:val="24"/>
              </w:rPr>
            </w:pPr>
          </w:p>
          <w:p w14:paraId="33F55B28" w14:textId="77777777" w:rsidR="007A5990" w:rsidRPr="007A5990" w:rsidRDefault="007A5990" w:rsidP="007A5990">
            <w:pPr>
              <w:jc w:val="both"/>
              <w:rPr>
                <w:iCs/>
                <w:sz w:val="24"/>
                <w:szCs w:val="24"/>
              </w:rPr>
            </w:pPr>
            <w:r w:rsidRPr="007A5990">
              <w:rPr>
                <w:iCs/>
                <w:sz w:val="24"/>
                <w:szCs w:val="24"/>
              </w:rPr>
              <w:t>The ethical tension between autonomy and protection remained central. Article 8 supported A’s right to privacy, autonomy and respect for her home, while Article 5 was engaged by compulsory detention. Articles 2 and 3 also required consideration regarding serious risks to health and life (Council of Europe, 1950).</w:t>
            </w:r>
          </w:p>
          <w:p w14:paraId="66B6CE6B" w14:textId="77777777" w:rsidR="007A5990" w:rsidRPr="007A5990" w:rsidRDefault="007A5990" w:rsidP="007A5990">
            <w:pPr>
              <w:jc w:val="both"/>
              <w:rPr>
                <w:iCs/>
                <w:sz w:val="24"/>
                <w:szCs w:val="24"/>
              </w:rPr>
            </w:pPr>
          </w:p>
          <w:p w14:paraId="0E19C441" w14:textId="77777777" w:rsidR="007A5990" w:rsidRPr="007A5990" w:rsidRDefault="007A5990" w:rsidP="007A5990">
            <w:pPr>
              <w:jc w:val="both"/>
              <w:rPr>
                <w:iCs/>
                <w:sz w:val="24"/>
                <w:szCs w:val="24"/>
              </w:rPr>
            </w:pPr>
            <w:r w:rsidRPr="007A5990">
              <w:rPr>
                <w:iCs/>
                <w:sz w:val="24"/>
                <w:szCs w:val="24"/>
              </w:rPr>
              <w:t>The ethical challenge was therefore not simply whether to intervene but how far intervention should extend. A response could be legally permissible but ethically disproportionate. Conversely, a strong commitment to autonomy could become problematic if it resulted in professionals tolerating preventable and serious harm.</w:t>
            </w:r>
          </w:p>
          <w:p w14:paraId="0D8A9BE0" w14:textId="77777777" w:rsidR="007A5990" w:rsidRPr="007A5990" w:rsidRDefault="007A5990" w:rsidP="007A5990">
            <w:pPr>
              <w:jc w:val="both"/>
              <w:rPr>
                <w:iCs/>
                <w:sz w:val="24"/>
                <w:szCs w:val="24"/>
              </w:rPr>
            </w:pPr>
          </w:p>
          <w:p w14:paraId="198AA4F0" w14:textId="77777777" w:rsidR="007A5990" w:rsidRPr="007A5990" w:rsidRDefault="007A5990" w:rsidP="007A5990">
            <w:pPr>
              <w:jc w:val="both"/>
              <w:rPr>
                <w:iCs/>
                <w:sz w:val="24"/>
                <w:szCs w:val="24"/>
              </w:rPr>
            </w:pPr>
            <w:r w:rsidRPr="007A5990">
              <w:rPr>
                <w:iCs/>
                <w:sz w:val="24"/>
                <w:szCs w:val="24"/>
              </w:rPr>
              <w:t>Fook (2016) emphasises examining how power operates within social work. The Mental Health Act gives professionals significant coercive authority. This can create paternalistic practice if professionals begin to view their understanding of a person’s best interests as more important than the person’s expressed wishes.</w:t>
            </w:r>
          </w:p>
          <w:p w14:paraId="76E64661" w14:textId="77777777" w:rsidR="007A5990" w:rsidRPr="007A5990" w:rsidRDefault="007A5990" w:rsidP="007A5990">
            <w:pPr>
              <w:jc w:val="both"/>
              <w:rPr>
                <w:iCs/>
                <w:sz w:val="24"/>
                <w:szCs w:val="24"/>
              </w:rPr>
            </w:pPr>
          </w:p>
          <w:p w14:paraId="7B26E41B" w14:textId="77777777" w:rsidR="007A5990" w:rsidRPr="007A5990" w:rsidRDefault="007A5990" w:rsidP="007A5990">
            <w:pPr>
              <w:jc w:val="both"/>
              <w:rPr>
                <w:iCs/>
                <w:sz w:val="24"/>
                <w:szCs w:val="24"/>
              </w:rPr>
            </w:pPr>
            <w:r w:rsidRPr="007A5990">
              <w:rPr>
                <w:iCs/>
                <w:sz w:val="24"/>
                <w:szCs w:val="24"/>
              </w:rPr>
              <w:t>In A’s case, compulsory intervention was considered proportionate because previous approaches had not sufficiently reduced escalating risks and her circumstances had deteriorated. However, this did not mean her autonomy ceased to matter. Instead, autonomy needed to be supported within the restrictions imposed by the legal framework.</w:t>
            </w:r>
          </w:p>
          <w:p w14:paraId="1E09DD2B" w14:textId="77777777" w:rsidR="007A5990" w:rsidRPr="007A5990" w:rsidRDefault="007A5990" w:rsidP="007A5990">
            <w:pPr>
              <w:jc w:val="both"/>
              <w:rPr>
                <w:iCs/>
                <w:sz w:val="24"/>
                <w:szCs w:val="24"/>
              </w:rPr>
            </w:pPr>
          </w:p>
          <w:p w14:paraId="7B7669BF" w14:textId="77777777" w:rsidR="007A5990" w:rsidRPr="007A5990" w:rsidRDefault="007A5990" w:rsidP="007A5990">
            <w:pPr>
              <w:jc w:val="both"/>
              <w:rPr>
                <w:iCs/>
                <w:sz w:val="24"/>
                <w:szCs w:val="24"/>
              </w:rPr>
            </w:pPr>
            <w:r w:rsidRPr="007A5990">
              <w:rPr>
                <w:iCs/>
                <w:sz w:val="24"/>
                <w:szCs w:val="24"/>
              </w:rPr>
              <w:t>The experience caused me to reflect on “risk”. Professionals often feel pressure to prevent adverse outcomes, particularly where serious physical harm is foreseeable. However, eliminating all risk is neither realistic nor consistent with a rights-based approach. Adults with capacity have the right to make decisions involving risk. The professional challenge is to distinguish tolerable risk from unacceptable risk requiring intervention.</w:t>
            </w:r>
          </w:p>
          <w:p w14:paraId="08C3CE42" w14:textId="77777777" w:rsidR="007A5990" w:rsidRPr="007A5990" w:rsidRDefault="007A5990" w:rsidP="007A5990">
            <w:pPr>
              <w:jc w:val="both"/>
              <w:rPr>
                <w:iCs/>
                <w:sz w:val="24"/>
                <w:szCs w:val="24"/>
              </w:rPr>
            </w:pPr>
          </w:p>
          <w:p w14:paraId="5ACC75D8" w14:textId="77777777" w:rsidR="007A5990" w:rsidRPr="007A5990" w:rsidRDefault="007A5990" w:rsidP="007A5990">
            <w:pPr>
              <w:jc w:val="both"/>
              <w:rPr>
                <w:iCs/>
                <w:sz w:val="24"/>
                <w:szCs w:val="24"/>
              </w:rPr>
            </w:pPr>
            <w:r w:rsidRPr="007A5990">
              <w:rPr>
                <w:iCs/>
                <w:sz w:val="24"/>
                <w:szCs w:val="24"/>
              </w:rPr>
              <w:t>My initial hesitation reflected a strong commitment to autonomy and relationship-based practice. I now recognise that this could have become an unintended form of inaction if concern about coercion prevented appropriate escalation. Conversely, I recognise the danger of allowing anxiety about risk to drive increasingly restrictive intervention. This reinforced the importance of continually asking whether the current level of intervention remains necessary and proportionate.</w:t>
            </w:r>
          </w:p>
          <w:p w14:paraId="70D1BE53" w14:textId="77777777" w:rsidR="007A5990" w:rsidRPr="007A5990" w:rsidRDefault="007A5990" w:rsidP="007A5990">
            <w:pPr>
              <w:jc w:val="both"/>
              <w:rPr>
                <w:iCs/>
                <w:sz w:val="24"/>
                <w:szCs w:val="24"/>
              </w:rPr>
            </w:pPr>
          </w:p>
          <w:p w14:paraId="397F74B5" w14:textId="77777777" w:rsidR="007A5990" w:rsidRPr="007A5990" w:rsidRDefault="007A5990" w:rsidP="007A5990">
            <w:pPr>
              <w:jc w:val="both"/>
              <w:rPr>
                <w:iCs/>
                <w:sz w:val="24"/>
                <w:szCs w:val="24"/>
              </w:rPr>
            </w:pPr>
            <w:r w:rsidRPr="007A5990">
              <w:rPr>
                <w:iCs/>
                <w:sz w:val="24"/>
                <w:szCs w:val="24"/>
              </w:rPr>
              <w:t>The case changed my understanding of professional confidence. Confidence does not mean certainty that a decision is correct; it involves articulating the evidence, legislation, ethical reasoning and professional judgement supporting a decision while remaining open to challenge.</w:t>
            </w:r>
          </w:p>
          <w:p w14:paraId="69AD15A6" w14:textId="77777777" w:rsidR="007A5990" w:rsidRPr="007A5990" w:rsidRDefault="007A5990" w:rsidP="007A5990">
            <w:pPr>
              <w:jc w:val="both"/>
              <w:rPr>
                <w:iCs/>
                <w:sz w:val="24"/>
                <w:szCs w:val="24"/>
              </w:rPr>
            </w:pPr>
          </w:p>
          <w:p w14:paraId="30246F9A" w14:textId="77777777" w:rsidR="007A5990" w:rsidRPr="007A5990" w:rsidRDefault="007A5990" w:rsidP="007A5990">
            <w:pPr>
              <w:jc w:val="both"/>
              <w:rPr>
                <w:iCs/>
                <w:sz w:val="24"/>
                <w:szCs w:val="24"/>
              </w:rPr>
            </w:pPr>
            <w:r w:rsidRPr="007A5990">
              <w:rPr>
                <w:iCs/>
                <w:sz w:val="24"/>
                <w:szCs w:val="24"/>
              </w:rPr>
              <w:t xml:space="preserve">In future practice, I would identify earlier when engagement strategies are not producing meaningful change and ensure that capacity, proportionality and less restrictive alternatives </w:t>
            </w:r>
            <w:r w:rsidRPr="007A5990">
              <w:rPr>
                <w:iCs/>
                <w:sz w:val="24"/>
                <w:szCs w:val="24"/>
              </w:rPr>
              <w:lastRenderedPageBreak/>
              <w:t>are explicitly revisited. I would also place greater emphasis on documenting the person’s explanation for apparently risky behaviour, as understanding its function may identify alternatives otherwise overlooked.</w:t>
            </w:r>
          </w:p>
          <w:p w14:paraId="00DA28D0" w14:textId="77777777" w:rsidR="007A5990" w:rsidRPr="007A5990" w:rsidRDefault="007A5990" w:rsidP="007A5990">
            <w:pPr>
              <w:jc w:val="both"/>
              <w:rPr>
                <w:iCs/>
                <w:sz w:val="24"/>
                <w:szCs w:val="24"/>
              </w:rPr>
            </w:pPr>
          </w:p>
          <w:p w14:paraId="4C5C5A13" w14:textId="77777777" w:rsidR="007A5990" w:rsidRPr="007A5990" w:rsidRDefault="007A5990" w:rsidP="007A5990">
            <w:pPr>
              <w:jc w:val="both"/>
              <w:rPr>
                <w:iCs/>
                <w:sz w:val="24"/>
                <w:szCs w:val="24"/>
              </w:rPr>
            </w:pPr>
            <w:r w:rsidRPr="007A5990">
              <w:rPr>
                <w:iCs/>
                <w:sz w:val="24"/>
                <w:szCs w:val="24"/>
              </w:rPr>
              <w:t>Most importantly, the experience reinforced that the person must remain visible behind the risk assessment. Safeguarding requires attention to danger, but effective social work also requires curiosity about the person’s experience, relationships, history and aspirations.</w:t>
            </w:r>
          </w:p>
          <w:p w14:paraId="0DF872AF" w14:textId="77777777" w:rsidR="007A5990" w:rsidRPr="007A5990" w:rsidRDefault="007A5990" w:rsidP="007A5990">
            <w:pPr>
              <w:jc w:val="both"/>
              <w:rPr>
                <w:iCs/>
                <w:sz w:val="24"/>
                <w:szCs w:val="24"/>
              </w:rPr>
            </w:pPr>
          </w:p>
          <w:p w14:paraId="0F54521C" w14:textId="77777777" w:rsidR="007A5990" w:rsidRPr="007A5990" w:rsidRDefault="007A5990" w:rsidP="007A5990">
            <w:pPr>
              <w:jc w:val="both"/>
              <w:rPr>
                <w:iCs/>
                <w:sz w:val="24"/>
                <w:szCs w:val="24"/>
              </w:rPr>
            </w:pPr>
            <w:r w:rsidRPr="007A5990">
              <w:rPr>
                <w:iCs/>
                <w:sz w:val="24"/>
                <w:szCs w:val="24"/>
              </w:rPr>
              <w:t>The case also highlighted professional humility. It would be easy retrospectively to view detention as inevitable because A’s circumstances deteriorated. However, earlier less restrictive intervention remained legitimate and appropriate. The eventual need for compulsory intervention did not mean earlier collaborative approaches had failed; circumstances changed and required proportionality to be reassessed.</w:t>
            </w:r>
          </w:p>
          <w:p w14:paraId="30DEA7EE" w14:textId="77777777" w:rsidR="007A5990" w:rsidRPr="007A5990" w:rsidRDefault="007A5990" w:rsidP="007A5990">
            <w:pPr>
              <w:jc w:val="both"/>
              <w:rPr>
                <w:iCs/>
                <w:sz w:val="24"/>
                <w:szCs w:val="24"/>
              </w:rPr>
            </w:pPr>
          </w:p>
          <w:p w14:paraId="68DD324C" w14:textId="77777777" w:rsidR="007A5990" w:rsidRPr="007A5990" w:rsidRDefault="007A5990" w:rsidP="007A5990">
            <w:pPr>
              <w:jc w:val="both"/>
              <w:rPr>
                <w:iCs/>
                <w:sz w:val="24"/>
                <w:szCs w:val="24"/>
              </w:rPr>
            </w:pPr>
            <w:r w:rsidRPr="007A5990">
              <w:rPr>
                <w:iCs/>
                <w:sz w:val="24"/>
                <w:szCs w:val="24"/>
              </w:rPr>
              <w:t>Safeguarding decisions should therefore be understood as dynamic rather than fixed. An intervention proportionate at one point may later become insufficient or excessive. Regular review is essential.</w:t>
            </w:r>
          </w:p>
          <w:p w14:paraId="08DF697A" w14:textId="77777777" w:rsidR="007A5990" w:rsidRPr="007A5990" w:rsidRDefault="007A5990" w:rsidP="007A5990">
            <w:pPr>
              <w:jc w:val="both"/>
              <w:rPr>
                <w:iCs/>
                <w:sz w:val="24"/>
                <w:szCs w:val="24"/>
              </w:rPr>
            </w:pPr>
          </w:p>
          <w:p w14:paraId="7DDE14F4" w14:textId="77777777" w:rsidR="007A5990" w:rsidRPr="007A5990" w:rsidRDefault="007A5990" w:rsidP="007A5990">
            <w:pPr>
              <w:jc w:val="both"/>
              <w:rPr>
                <w:iCs/>
                <w:sz w:val="24"/>
                <w:szCs w:val="24"/>
              </w:rPr>
            </w:pPr>
            <w:r w:rsidRPr="007A5990">
              <w:rPr>
                <w:b/>
                <w:bCs/>
                <w:iCs/>
                <w:sz w:val="24"/>
                <w:szCs w:val="24"/>
              </w:rPr>
              <w:t>7. Conclusion</w:t>
            </w:r>
          </w:p>
          <w:p w14:paraId="4BD6D837" w14:textId="77777777" w:rsidR="007A5990" w:rsidRPr="007A5990" w:rsidRDefault="007A5990" w:rsidP="007A5990">
            <w:pPr>
              <w:jc w:val="both"/>
              <w:rPr>
                <w:iCs/>
                <w:sz w:val="24"/>
                <w:szCs w:val="24"/>
              </w:rPr>
            </w:pPr>
          </w:p>
          <w:p w14:paraId="0C318E53" w14:textId="77777777" w:rsidR="007A5990" w:rsidRPr="007A5990" w:rsidRDefault="007A5990" w:rsidP="007A5990">
            <w:pPr>
              <w:jc w:val="both"/>
              <w:rPr>
                <w:iCs/>
                <w:sz w:val="24"/>
                <w:szCs w:val="24"/>
              </w:rPr>
            </w:pPr>
            <w:r w:rsidRPr="007A5990">
              <w:rPr>
                <w:iCs/>
                <w:sz w:val="24"/>
                <w:szCs w:val="24"/>
              </w:rPr>
              <w:t>This case demonstrates the multifaceted nature of safeguarding adults in Wales. It required integration of devolved Welsh legislation, UK statutory frameworks, human rights obligations, theory-informed analysis and collaborative professional judgement in circumstances characterised by uncertainty.</w:t>
            </w:r>
          </w:p>
          <w:p w14:paraId="642DBF8C" w14:textId="77777777" w:rsidR="007A5990" w:rsidRPr="007A5990" w:rsidRDefault="007A5990" w:rsidP="007A5990">
            <w:pPr>
              <w:jc w:val="both"/>
              <w:rPr>
                <w:iCs/>
                <w:sz w:val="24"/>
                <w:szCs w:val="24"/>
              </w:rPr>
            </w:pPr>
          </w:p>
          <w:p w14:paraId="4A1A3CF1" w14:textId="77777777" w:rsidR="007A5990" w:rsidRPr="007A5990" w:rsidRDefault="007A5990" w:rsidP="007A5990">
            <w:pPr>
              <w:jc w:val="both"/>
              <w:rPr>
                <w:iCs/>
                <w:sz w:val="24"/>
                <w:szCs w:val="24"/>
              </w:rPr>
            </w:pPr>
            <w:r w:rsidRPr="007A5990">
              <w:rPr>
                <w:iCs/>
                <w:sz w:val="24"/>
                <w:szCs w:val="24"/>
              </w:rPr>
              <w:t>The Welsh safeguarding framework, grounded in well-being, prevention and partnership, supports relational and strengths-based practice. However, A’s circumstances demonstrated that empowerment and statutory protection exist in dynamic tension.</w:t>
            </w:r>
          </w:p>
          <w:p w14:paraId="6BA0D6A5" w14:textId="77777777" w:rsidR="007A5990" w:rsidRPr="007A5990" w:rsidRDefault="007A5990" w:rsidP="007A5990">
            <w:pPr>
              <w:jc w:val="both"/>
              <w:rPr>
                <w:iCs/>
                <w:sz w:val="24"/>
                <w:szCs w:val="24"/>
              </w:rPr>
            </w:pPr>
          </w:p>
          <w:p w14:paraId="145763C4" w14:textId="77777777" w:rsidR="007A5990" w:rsidRPr="007A5990" w:rsidRDefault="007A5990" w:rsidP="007A5990">
            <w:pPr>
              <w:jc w:val="both"/>
              <w:rPr>
                <w:iCs/>
                <w:sz w:val="24"/>
                <w:szCs w:val="24"/>
              </w:rPr>
            </w:pPr>
            <w:r w:rsidRPr="007A5990">
              <w:rPr>
                <w:iCs/>
                <w:sz w:val="24"/>
                <w:szCs w:val="24"/>
              </w:rPr>
              <w:t>Respect for autonomy does not require professional inaction where serious risks escalate, while the presence of risk does not automatically justify coercion. The distinction between an unwise decision and incapacity was particularly important, as was distinguishing safeguarding duties from the separate statutory criteria governing Mental Health Act detention.</w:t>
            </w:r>
          </w:p>
          <w:p w14:paraId="779B185D" w14:textId="77777777" w:rsidR="007A5990" w:rsidRPr="007A5990" w:rsidRDefault="007A5990" w:rsidP="007A5990">
            <w:pPr>
              <w:jc w:val="both"/>
              <w:rPr>
                <w:iCs/>
                <w:sz w:val="24"/>
                <w:szCs w:val="24"/>
              </w:rPr>
            </w:pPr>
          </w:p>
          <w:p w14:paraId="1402908A" w14:textId="77777777" w:rsidR="007A5990" w:rsidRPr="007A5990" w:rsidRDefault="007A5990" w:rsidP="007A5990">
            <w:pPr>
              <w:jc w:val="both"/>
              <w:rPr>
                <w:iCs/>
                <w:sz w:val="24"/>
                <w:szCs w:val="24"/>
              </w:rPr>
            </w:pPr>
            <w:r w:rsidRPr="007A5990">
              <w:rPr>
                <w:iCs/>
                <w:sz w:val="24"/>
                <w:szCs w:val="24"/>
              </w:rPr>
              <w:t>A’s detention under section 3 followed multidisciplinary consideration of the statutory criteria and provided access to treatment that could not be achieved through previous less restrictive approaches. Her subsequent transfer to rehabilitation provides an opportunity to address the psychological, physical, social and environmental factors contributing to her vulnerability.</w:t>
            </w:r>
          </w:p>
          <w:p w14:paraId="416FAF36" w14:textId="77777777" w:rsidR="007A5990" w:rsidRPr="007A5990" w:rsidRDefault="007A5990" w:rsidP="007A5990">
            <w:pPr>
              <w:jc w:val="both"/>
              <w:rPr>
                <w:iCs/>
                <w:sz w:val="24"/>
                <w:szCs w:val="24"/>
              </w:rPr>
            </w:pPr>
          </w:p>
          <w:p w14:paraId="74A1837B" w14:textId="77777777" w:rsidR="007A5990" w:rsidRPr="007A5990" w:rsidRDefault="007A5990" w:rsidP="007A5990">
            <w:pPr>
              <w:jc w:val="both"/>
              <w:rPr>
                <w:iCs/>
                <w:sz w:val="24"/>
                <w:szCs w:val="24"/>
              </w:rPr>
            </w:pPr>
            <w:r w:rsidRPr="007A5990">
              <w:rPr>
                <w:iCs/>
                <w:sz w:val="24"/>
                <w:szCs w:val="24"/>
              </w:rPr>
              <w:t>The case has reinforced for me that effective safeguarding requires more than procedural compliance. It requires critical examination of power, risk, structural context, professional assumptions and the consequences of intervention.</w:t>
            </w:r>
          </w:p>
          <w:p w14:paraId="733DEFDB" w14:textId="77777777" w:rsidR="007A5990" w:rsidRPr="007A5990" w:rsidRDefault="007A5990" w:rsidP="007A5990">
            <w:pPr>
              <w:jc w:val="both"/>
              <w:rPr>
                <w:iCs/>
                <w:sz w:val="24"/>
                <w:szCs w:val="24"/>
              </w:rPr>
            </w:pPr>
          </w:p>
          <w:p w14:paraId="2A278D3C" w14:textId="77777777" w:rsidR="007A5990" w:rsidRPr="007A5990" w:rsidRDefault="007A5990" w:rsidP="007A5990">
            <w:pPr>
              <w:jc w:val="both"/>
              <w:rPr>
                <w:iCs/>
                <w:sz w:val="24"/>
                <w:szCs w:val="24"/>
              </w:rPr>
            </w:pPr>
            <w:r w:rsidRPr="007A5990">
              <w:rPr>
                <w:iCs/>
                <w:sz w:val="24"/>
                <w:szCs w:val="24"/>
              </w:rPr>
              <w:t xml:space="preserve">My reflection demonstrates that professional judgement is not simply the application of legislation to facts. It involves interpreting incomplete information, balancing competing rights, </w:t>
            </w:r>
            <w:r w:rsidRPr="007A5990">
              <w:rPr>
                <w:iCs/>
                <w:sz w:val="24"/>
                <w:szCs w:val="24"/>
              </w:rPr>
              <w:lastRenderedPageBreak/>
              <w:t>recognising uncertainty and making proportionate decisions within complex organisational systems.</w:t>
            </w:r>
          </w:p>
          <w:p w14:paraId="4A620732" w14:textId="77777777" w:rsidR="007A5990" w:rsidRPr="007A5990" w:rsidRDefault="007A5990" w:rsidP="007A5990">
            <w:pPr>
              <w:jc w:val="both"/>
              <w:rPr>
                <w:iCs/>
                <w:sz w:val="24"/>
                <w:szCs w:val="24"/>
              </w:rPr>
            </w:pPr>
          </w:p>
          <w:p w14:paraId="2DBADF2F" w14:textId="77777777" w:rsidR="007A5990" w:rsidRPr="007A5990" w:rsidRDefault="007A5990" w:rsidP="007A5990">
            <w:pPr>
              <w:jc w:val="both"/>
              <w:rPr>
                <w:iCs/>
                <w:sz w:val="24"/>
                <w:szCs w:val="24"/>
              </w:rPr>
            </w:pPr>
            <w:r w:rsidRPr="007A5990">
              <w:rPr>
                <w:iCs/>
                <w:sz w:val="24"/>
                <w:szCs w:val="24"/>
              </w:rPr>
              <w:t>Ultimately, safeguarding should neither be understood as protecting people from all risk nor as leaving people entirely to their own choices. It involves working alongside people for as long as possible, adapting approaches to individual needs, and intervening proportionately when serious risks can no longer be managed through less restrictive means.</w:t>
            </w:r>
          </w:p>
          <w:p w14:paraId="7510D5A1" w14:textId="77777777" w:rsidR="007A5990" w:rsidRPr="007A5990" w:rsidRDefault="007A5990" w:rsidP="007A5990">
            <w:pPr>
              <w:jc w:val="both"/>
              <w:rPr>
                <w:iCs/>
                <w:sz w:val="24"/>
                <w:szCs w:val="24"/>
              </w:rPr>
            </w:pPr>
          </w:p>
          <w:p w14:paraId="21E06D3D" w14:textId="77777777" w:rsidR="007A5990" w:rsidRDefault="007A5990" w:rsidP="007A5990">
            <w:pPr>
              <w:jc w:val="both"/>
              <w:rPr>
                <w:iCs/>
                <w:sz w:val="24"/>
                <w:szCs w:val="24"/>
              </w:rPr>
            </w:pPr>
            <w:r w:rsidRPr="007A5990">
              <w:rPr>
                <w:iCs/>
                <w:sz w:val="24"/>
                <w:szCs w:val="24"/>
              </w:rPr>
              <w:t>Ongoing critical reflection will remain essential to ensure that my future safeguarding practice remains lawful, person-centred, anti-oppressive and proportionate, while recognising that effective protection and respect for autonomy must continue to coexist rather than being treated as mutually exclusive principles.</w:t>
            </w:r>
          </w:p>
          <w:p w14:paraId="6E04D9B7" w14:textId="77777777" w:rsidR="007A5990" w:rsidRPr="007A5990" w:rsidRDefault="007A5990" w:rsidP="007A5990">
            <w:pPr>
              <w:jc w:val="both"/>
              <w:rPr>
                <w:iCs/>
                <w:sz w:val="24"/>
                <w:szCs w:val="24"/>
              </w:rPr>
            </w:pPr>
          </w:p>
          <w:p w14:paraId="0E7BBCC9" w14:textId="78B2DFDD" w:rsidR="00D3203C" w:rsidRPr="007A5990" w:rsidRDefault="007A5990" w:rsidP="00FF7EBB">
            <w:pPr>
              <w:jc w:val="both"/>
              <w:rPr>
                <w:iCs/>
                <w:sz w:val="24"/>
                <w:szCs w:val="24"/>
              </w:rPr>
            </w:pPr>
            <w:r>
              <w:rPr>
                <w:iCs/>
                <w:sz w:val="24"/>
                <w:szCs w:val="24"/>
              </w:rPr>
              <w:t xml:space="preserve">Word count </w:t>
            </w:r>
            <w:r w:rsidR="00DA5662">
              <w:rPr>
                <w:iCs/>
                <w:sz w:val="24"/>
                <w:szCs w:val="24"/>
              </w:rPr>
              <w:t>4063</w:t>
            </w:r>
          </w:p>
          <w:p w14:paraId="47F21B6A" w14:textId="007FFCCE" w:rsidR="007A628F" w:rsidRPr="008B28E7" w:rsidRDefault="007A628F" w:rsidP="00FF7EBB">
            <w:pPr>
              <w:jc w:val="both"/>
              <w:rPr>
                <w:sz w:val="24"/>
                <w:szCs w:val="24"/>
              </w:rPr>
            </w:pPr>
          </w:p>
        </w:tc>
      </w:tr>
    </w:tbl>
    <w:p w14:paraId="7F4433FA" w14:textId="4431205B" w:rsidR="00CC135E" w:rsidRDefault="007A5990" w:rsidP="003B29BC">
      <w:pPr>
        <w:rPr>
          <w:color w:val="auto"/>
          <w:sz w:val="24"/>
          <w:szCs w:val="24"/>
        </w:rPr>
      </w:pPr>
      <w:r>
        <w:rPr>
          <w:color w:val="auto"/>
          <w:sz w:val="24"/>
          <w:szCs w:val="24"/>
        </w:rPr>
        <w:lastRenderedPageBreak/>
        <w:t xml:space="preserve"> </w:t>
      </w:r>
    </w:p>
    <w:p w14:paraId="7E3C9E32" w14:textId="77777777" w:rsidR="007A5990" w:rsidRDefault="007A5990" w:rsidP="003B29BC">
      <w:pPr>
        <w:rPr>
          <w:color w:val="auto"/>
          <w:sz w:val="24"/>
          <w:szCs w:val="24"/>
        </w:rPr>
      </w:pPr>
    </w:p>
    <w:p w14:paraId="3DA10EC2" w14:textId="77777777" w:rsidR="007A5990" w:rsidRPr="003B29BC" w:rsidRDefault="007A5990" w:rsidP="003B29BC">
      <w:pPr>
        <w:rPr>
          <w:color w:val="auto"/>
          <w:sz w:val="24"/>
          <w:szCs w:val="24"/>
        </w:rPr>
      </w:pPr>
    </w:p>
    <w:sectPr w:rsidR="007A5990"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F7A4B" w14:textId="77777777" w:rsidR="00841434" w:rsidRDefault="00841434">
      <w:r>
        <w:separator/>
      </w:r>
    </w:p>
  </w:endnote>
  <w:endnote w:type="continuationSeparator" w:id="0">
    <w:p w14:paraId="6F12544E" w14:textId="77777777" w:rsidR="00841434" w:rsidRDefault="008414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C5B08" w14:textId="77777777" w:rsidR="00841434" w:rsidRDefault="00841434">
      <w:r>
        <w:separator/>
      </w:r>
    </w:p>
  </w:footnote>
  <w:footnote w:type="continuationSeparator" w:id="0">
    <w:p w14:paraId="4467D86E" w14:textId="77777777" w:rsidR="00841434" w:rsidRDefault="008414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7992"/>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990"/>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434"/>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BAE"/>
    <w:rsid w:val="00A732EA"/>
    <w:rsid w:val="00A7489E"/>
    <w:rsid w:val="00A8015F"/>
    <w:rsid w:val="00A85039"/>
    <w:rsid w:val="00A906AA"/>
    <w:rsid w:val="00A93D43"/>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298F"/>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F52"/>
    <w:rsid w:val="00DA1025"/>
    <w:rsid w:val="00DA22EC"/>
    <w:rsid w:val="00DA5662"/>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287"/>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4285</Words>
  <Characters>27939</Characters>
  <Application>Microsoft Office Word</Application>
  <DocSecurity>0</DocSecurity>
  <Lines>547</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Owens</cp:lastModifiedBy>
  <cp:revision>2</cp:revision>
  <cp:lastPrinted>2020-02-11T19:20:00Z</cp:lastPrinted>
  <dcterms:created xsi:type="dcterms:W3CDTF">2026-10-05T16:26:00Z</dcterms:created>
  <dcterms:modified xsi:type="dcterms:W3CDTF">2026-10-05T16:26:00Z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