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3AE0B" w14:textId="578F9127" w:rsidR="00EF1BD9" w:rsidRPr="00EF1BD9" w:rsidRDefault="00EF1BD9" w:rsidP="00EF1BD9">
      <w:pPr>
        <w:spacing w:beforeAutospacing="1" w:afterAutospacing="1"/>
        <w:rPr>
          <w:rFonts w:ascii="Calibri" w:eastAsia="Times New Roman" w:hAnsi="Calibri" w:cs="Calibri"/>
          <w:b/>
          <w:bCs/>
          <w:kern w:val="0"/>
          <w:sz w:val="36"/>
          <w:szCs w:val="36"/>
          <w:lang w:eastAsia="en-GB"/>
          <w14:ligatures w14:val="none"/>
        </w:rPr>
      </w:pPr>
      <w:r w:rsidRPr="00EF1BD9">
        <w:rPr>
          <w:rFonts w:ascii="Calibri" w:eastAsia="Times New Roman" w:hAnsi="Calibri" w:cs="Calibri"/>
          <w:b/>
          <w:bCs/>
          <w:kern w:val="0"/>
          <w:lang w:eastAsia="en-GB"/>
          <w14:ligatures w14:val="none"/>
        </w:rPr>
        <w:t>To what extent did the settlement of Westerners in the Holy Land inspire new ways of thinking and behaving?</w:t>
      </w:r>
    </w:p>
    <w:p w14:paraId="5228C1D3" w14:textId="16DADAAE"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When Fulcher of Chartres observed that “we who were once Westerners have become Orientals,” he offered an unexpectedly candid reflection on the cultural transformation unfolding in the Crusader states of the Levant during the early twelfth century</w:t>
      </w:r>
      <w:r w:rsidRPr="00EF1BD9">
        <w:rPr>
          <w:rFonts w:ascii="Calibri" w:eastAsia="Times New Roman" w:hAnsi="Calibri" w:cs="Calibri"/>
          <w:kern w:val="0"/>
          <w:lang w:eastAsia="en-GB"/>
          <w14:ligatures w14:val="none"/>
        </w:rPr>
        <w:t>.</w:t>
      </w:r>
      <w:r w:rsidRPr="00EF1BD9">
        <w:rPr>
          <w:rStyle w:val="FootnoteReference"/>
          <w:rFonts w:ascii="Calibri" w:eastAsia="Times New Roman" w:hAnsi="Calibri" w:cs="Calibri"/>
          <w:kern w:val="0"/>
          <w:lang w:eastAsia="en-GB"/>
          <w14:ligatures w14:val="none"/>
        </w:rPr>
        <w:footnoteReference w:id="1"/>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 xml:space="preserve">His words, penned from within the Latin Kingdom of Jerusalem, </w:t>
      </w:r>
      <w:r w:rsidRPr="00EF1BD9">
        <w:rPr>
          <w:rFonts w:ascii="Calibri" w:eastAsia="Times New Roman" w:hAnsi="Calibri" w:cs="Calibri"/>
          <w:kern w:val="0"/>
          <w:lang w:eastAsia="en-GB"/>
          <w14:ligatures w14:val="none"/>
        </w:rPr>
        <w:t>highlight</w:t>
      </w:r>
      <w:r w:rsidRPr="00EF1BD9">
        <w:rPr>
          <w:rFonts w:ascii="Calibri" w:eastAsia="Times New Roman" w:hAnsi="Calibri" w:cs="Calibri"/>
          <w:kern w:val="0"/>
          <w:lang w:eastAsia="en-GB"/>
          <w14:ligatures w14:val="none"/>
        </w:rPr>
        <w:t xml:space="preserve"> the central question </w:t>
      </w:r>
      <w:r w:rsidRPr="00EF1BD9">
        <w:rPr>
          <w:rFonts w:ascii="Calibri" w:eastAsia="Times New Roman" w:hAnsi="Calibri" w:cs="Calibri"/>
          <w:kern w:val="0"/>
          <w:lang w:eastAsia="en-GB"/>
          <w14:ligatures w14:val="none"/>
        </w:rPr>
        <w:t xml:space="preserve">of </w:t>
      </w:r>
      <w:r w:rsidRPr="00EF1BD9">
        <w:rPr>
          <w:rFonts w:ascii="Calibri" w:eastAsia="Times New Roman" w:hAnsi="Calibri" w:cs="Calibri"/>
          <w:kern w:val="0"/>
          <w:lang w:eastAsia="en-GB"/>
          <w14:ligatures w14:val="none"/>
        </w:rPr>
        <w:t>this essay: to what extent did Western settlement in the Holy Land inspire new ways of thinking and behaving among Latin Christians? The traditional historiography of the Crusades has long emphasized the military and religious character of the Latin presence, portraying the Crusader states as isolated outposts of European Christendom. However, recent scholars ha</w:t>
      </w:r>
      <w:r w:rsidRPr="00EF1BD9">
        <w:rPr>
          <w:rFonts w:ascii="Calibri" w:eastAsia="Times New Roman" w:hAnsi="Calibri" w:cs="Calibri"/>
          <w:kern w:val="0"/>
          <w:lang w:eastAsia="en-GB"/>
          <w14:ligatures w14:val="none"/>
        </w:rPr>
        <w:t>ve</w:t>
      </w:r>
      <w:r w:rsidRPr="00EF1BD9">
        <w:rPr>
          <w:rFonts w:ascii="Calibri" w:eastAsia="Times New Roman" w:hAnsi="Calibri" w:cs="Calibri"/>
          <w:kern w:val="0"/>
          <w:lang w:eastAsia="en-GB"/>
          <w14:ligatures w14:val="none"/>
        </w:rPr>
        <w:t xml:space="preserve"> challenged this model, suggesting that cultural adaptation, hybridity, and interfaith interaction were not only present but essential features of Crusader society.</w:t>
      </w:r>
    </w:p>
    <w:p w14:paraId="00A08FBA" w14:textId="58E835C6"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Between 1099 and 1291, thousands of Western Europeans—nobles, knights, clergy, pilgrims, and merchants—settled in the Holy Land, establishing political entities such as the Kingdom of Jerusalem, the Principality of Antioch, and the County of Tripoli. These were not temporary </w:t>
      </w:r>
      <w:r w:rsidRPr="00EF1BD9">
        <w:rPr>
          <w:rFonts w:ascii="Calibri" w:eastAsia="Times New Roman" w:hAnsi="Calibri" w:cs="Calibri"/>
          <w:kern w:val="0"/>
          <w:lang w:eastAsia="en-GB"/>
          <w14:ligatures w14:val="none"/>
        </w:rPr>
        <w:t>garrisons,</w:t>
      </w:r>
      <w:r w:rsidRPr="00EF1BD9">
        <w:rPr>
          <w:rFonts w:ascii="Calibri" w:eastAsia="Times New Roman" w:hAnsi="Calibri" w:cs="Calibri"/>
          <w:kern w:val="0"/>
          <w:lang w:eastAsia="en-GB"/>
          <w14:ligatures w14:val="none"/>
        </w:rPr>
        <w:t xml:space="preserve"> but permanent settler societies embedded in a complex and multi-faith Levantine environment. While Latin Christians initially sought to transplant European institutions and norms into this new setting, they inevitably encountered—and in some domains, adopted—Eastern architectural styles, legal customs, languages, and modes of cohabitation.</w:t>
      </w:r>
    </w:p>
    <w:p w14:paraId="2AB67E68" w14:textId="18C3C24D"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This essay argues that while Western settlers in the Holy Land preserved core elements of Latin Christian identity, their prolonged contact with Eastern societies led to significant but selective cultural adaptations—in architecture, law, and social interaction—that reshaped both local </w:t>
      </w:r>
      <w:r w:rsidRPr="00EF1BD9">
        <w:rPr>
          <w:rFonts w:ascii="Calibri" w:eastAsia="Times New Roman" w:hAnsi="Calibri" w:cs="Calibri"/>
          <w:kern w:val="0"/>
          <w:lang w:eastAsia="en-GB"/>
          <w14:ligatures w14:val="none"/>
        </w:rPr>
        <w:t>behaviour</w:t>
      </w:r>
      <w:r w:rsidRPr="00EF1BD9">
        <w:rPr>
          <w:rFonts w:ascii="Calibri" w:eastAsia="Times New Roman" w:hAnsi="Calibri" w:cs="Calibri"/>
          <w:kern w:val="0"/>
          <w:lang w:eastAsia="en-GB"/>
          <w14:ligatures w14:val="none"/>
        </w:rPr>
        <w:t xml:space="preserve"> and Western perceptions of the ‘Other’. </w:t>
      </w:r>
    </w:p>
    <w:p w14:paraId="51EAB102" w14:textId="29A05859"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One of the most visible domains in which Latin settlers engaged with their new environment was in the realm of architecture and visual culture. As the Franks built churches, castles, and civic infrastructure, they drew not only on Romanesque and Gothic traditions but also on Byzantine, Islamic, and Armenian models, resulting in hybrid forms that embodied the cultural complexity of the Crusader states.</w:t>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 xml:space="preserve">The architecture of the Church of the Holy Sepulchre in Jerusalem offers a compelling example. Restored and expanded under the Latin Patriarchs in the early twelfth century, the church retained its Byzantine structure while incorporating Latin liturgical spaces and Romanesque ornamentation. According to Jaroslav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this fusion did not signal aesthetic compromise but rather a creative adaptation to the religious and cultural setting of the East.</w:t>
      </w:r>
      <w:r w:rsidRPr="00EF1BD9">
        <w:rPr>
          <w:rFonts w:ascii="Calibri" w:eastAsia="Times New Roman" w:hAnsi="Calibri" w:cs="Calibri"/>
          <w:kern w:val="0"/>
          <w:lang w:eastAsia="en-GB"/>
          <w14:ligatures w14:val="none"/>
        </w:rPr>
        <w:t xml:space="preserve"> </w:t>
      </w:r>
      <w:proofErr w:type="spellStart"/>
      <w:r w:rsidRPr="00EF1BD9">
        <w:rPr>
          <w:rFonts w:ascii="Calibri" w:eastAsia="Times New Roman" w:hAnsi="Calibri" w:cs="Calibri"/>
          <w:kern w:val="0"/>
          <w:lang w:eastAsia="en-GB"/>
          <w14:ligatures w14:val="none"/>
        </w:rPr>
        <w:t>Folda’s</w:t>
      </w:r>
      <w:proofErr w:type="spellEnd"/>
      <w:r w:rsidRPr="00EF1BD9">
        <w:rPr>
          <w:rFonts w:ascii="Calibri" w:eastAsia="Times New Roman" w:hAnsi="Calibri" w:cs="Calibri"/>
          <w:kern w:val="0"/>
          <w:lang w:eastAsia="en-GB"/>
          <w14:ligatures w14:val="none"/>
        </w:rPr>
        <w:t xml:space="preserve"> extensive survey of Crusader art reveals repeated instances of stylistic borrowing, from iconography </w:t>
      </w:r>
      <w:r w:rsidRPr="00EF1BD9">
        <w:rPr>
          <w:rFonts w:ascii="Calibri" w:eastAsia="Times New Roman" w:hAnsi="Calibri" w:cs="Calibri"/>
          <w:kern w:val="0"/>
          <w:lang w:eastAsia="en-GB"/>
          <w14:ligatures w14:val="none"/>
        </w:rPr>
        <w:t>modelled</w:t>
      </w:r>
      <w:r w:rsidRPr="00EF1BD9">
        <w:rPr>
          <w:rFonts w:ascii="Calibri" w:eastAsia="Times New Roman" w:hAnsi="Calibri" w:cs="Calibri"/>
          <w:kern w:val="0"/>
          <w:lang w:eastAsia="en-GB"/>
          <w14:ligatures w14:val="none"/>
        </w:rPr>
        <w:t xml:space="preserve"> on Eastern Orthodox prototypes to mosaic techniques and domes that reflected local craftsmanship and artistic vocabulary.</w:t>
      </w:r>
      <w:r w:rsidRPr="00EF1BD9">
        <w:rPr>
          <w:rStyle w:val="FootnoteReference"/>
          <w:rFonts w:ascii="Calibri" w:eastAsia="Times New Roman" w:hAnsi="Calibri" w:cs="Calibri"/>
          <w:kern w:val="0"/>
          <w:lang w:eastAsia="en-GB"/>
          <w14:ligatures w14:val="none"/>
        </w:rPr>
        <w:footnoteReference w:id="2"/>
      </w:r>
    </w:p>
    <w:p w14:paraId="339581BB" w14:textId="31870D75"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lastRenderedPageBreak/>
        <w:t xml:space="preserve">Crusader castles also provide archaeological testimony to functional and symbolic borrowing from Islamic and Eastern Christian architectural traditions. The fortress of </w:t>
      </w:r>
      <w:proofErr w:type="spellStart"/>
      <w:r w:rsidRPr="00EF1BD9">
        <w:rPr>
          <w:rFonts w:ascii="Calibri" w:eastAsia="Times New Roman" w:hAnsi="Calibri" w:cs="Calibri"/>
          <w:kern w:val="0"/>
          <w:lang w:eastAsia="en-GB"/>
          <w14:ligatures w14:val="none"/>
        </w:rPr>
        <w:t>Krak</w:t>
      </w:r>
      <w:proofErr w:type="spellEnd"/>
      <w:r w:rsidRPr="00EF1BD9">
        <w:rPr>
          <w:rFonts w:ascii="Calibri" w:eastAsia="Times New Roman" w:hAnsi="Calibri" w:cs="Calibri"/>
          <w:kern w:val="0"/>
          <w:lang w:eastAsia="en-GB"/>
          <w14:ligatures w14:val="none"/>
        </w:rPr>
        <w:t xml:space="preserve"> des Chevaliers, held by the Hospitallers from 1142, combined European defensive strategies with features drawn from Arabic and Byzantine fortifications, such as concentric walls, vaulted cisterns, and horseshoe arches.</w:t>
      </w:r>
      <w:r w:rsidRPr="00EF1BD9">
        <w:rPr>
          <w:rStyle w:val="FootnoteReference"/>
          <w:rFonts w:ascii="Calibri" w:eastAsia="Times New Roman" w:hAnsi="Calibri" w:cs="Calibri"/>
          <w:kern w:val="0"/>
          <w:lang w:eastAsia="en-GB"/>
          <w14:ligatures w14:val="none"/>
        </w:rPr>
        <w:footnoteReference w:id="3"/>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 xml:space="preserve">This blending was not merely aesthetic but reflected a practical engagement with local building knowledge and materials. As Ronnie </w:t>
      </w:r>
      <w:proofErr w:type="spellStart"/>
      <w:r w:rsidRPr="00EF1BD9">
        <w:rPr>
          <w:rFonts w:ascii="Calibri" w:eastAsia="Times New Roman" w:hAnsi="Calibri" w:cs="Calibri"/>
          <w:kern w:val="0"/>
          <w:lang w:eastAsia="en-GB"/>
          <w14:ligatures w14:val="none"/>
        </w:rPr>
        <w:t>Ellenblum</w:t>
      </w:r>
      <w:proofErr w:type="spellEnd"/>
      <w:r w:rsidRPr="00EF1BD9">
        <w:rPr>
          <w:rFonts w:ascii="Calibri" w:eastAsia="Times New Roman" w:hAnsi="Calibri" w:cs="Calibri"/>
          <w:kern w:val="0"/>
          <w:lang w:eastAsia="en-GB"/>
          <w14:ligatures w14:val="none"/>
        </w:rPr>
        <w:t xml:space="preserve"> has shown, Crusader builders often employed local masons and adapted site plans to reflect Levantine terrain and weather conditions.</w:t>
      </w:r>
      <w:r w:rsidRPr="00EF1BD9">
        <w:rPr>
          <w:rStyle w:val="FootnoteReference"/>
          <w:rFonts w:ascii="Calibri" w:eastAsia="Times New Roman" w:hAnsi="Calibri" w:cs="Calibri"/>
          <w:kern w:val="0"/>
          <w:lang w:eastAsia="en-GB"/>
          <w14:ligatures w14:val="none"/>
        </w:rPr>
        <w:footnoteReference w:id="4"/>
      </w:r>
    </w:p>
    <w:p w14:paraId="099EB1E9" w14:textId="6D1993A6"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Beyond monumental structures, visual culture—such as manuscript illumination, frescoes, and sculpture—also reflected a syncretic aesthetic. Latin churches in Nablus, Nazareth, and Bethlehem display Byzantine-style icons, Arabic calligraphic motifs, and Armenian inscriptions, suggesting the confluence of artistic communities under Crusader patronage.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refers to this as a “visual lingua franca” that developed across sacred and secular spaces.</w:t>
      </w:r>
      <w:r w:rsidRPr="00EF1BD9">
        <w:rPr>
          <w:rStyle w:val="FootnoteReference"/>
          <w:rFonts w:ascii="Calibri" w:eastAsia="Times New Roman" w:hAnsi="Calibri" w:cs="Calibri"/>
          <w:kern w:val="0"/>
          <w:lang w:eastAsia="en-GB"/>
          <w14:ligatures w14:val="none"/>
        </w:rPr>
        <w:footnoteReference w:id="5"/>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These works complicate the notion of rigid cultural boundaries and suggest a more porous frontier of artistic exchange.</w:t>
      </w:r>
    </w:p>
    <w:p w14:paraId="281BFC5B" w14:textId="185AF585"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However, this adaptation was not uniform. While some ecclesiastical and military elites embraced hybrid forms, others remained ideologically resistant. The Templars, for example, often constructed stark, unornamented chapels that emphasized Latin purity and simplicity. Yet even they adopted Islamic features in fortress design, particularly in later constructions like </w:t>
      </w:r>
      <w:proofErr w:type="spellStart"/>
      <w:r w:rsidRPr="00EF1BD9">
        <w:rPr>
          <w:rFonts w:ascii="Calibri" w:eastAsia="Times New Roman" w:hAnsi="Calibri" w:cs="Calibri"/>
          <w:kern w:val="0"/>
          <w:lang w:eastAsia="en-GB"/>
          <w14:ligatures w14:val="none"/>
        </w:rPr>
        <w:t>Chastel</w:t>
      </w:r>
      <w:proofErr w:type="spellEnd"/>
      <w:r w:rsidRPr="00EF1BD9">
        <w:rPr>
          <w:rFonts w:ascii="Calibri" w:eastAsia="Times New Roman" w:hAnsi="Calibri" w:cs="Calibri"/>
          <w:kern w:val="0"/>
          <w:lang w:eastAsia="en-GB"/>
          <w14:ligatures w14:val="none"/>
        </w:rPr>
        <w:t xml:space="preserve"> Blanc and </w:t>
      </w:r>
      <w:proofErr w:type="spellStart"/>
      <w:r w:rsidRPr="00EF1BD9">
        <w:rPr>
          <w:rFonts w:ascii="Calibri" w:eastAsia="Times New Roman" w:hAnsi="Calibri" w:cs="Calibri"/>
          <w:kern w:val="0"/>
          <w:lang w:eastAsia="en-GB"/>
          <w14:ligatures w14:val="none"/>
        </w:rPr>
        <w:t>Tortosa</w:t>
      </w:r>
      <w:proofErr w:type="spellEnd"/>
      <w:r w:rsidRPr="00EF1BD9">
        <w:rPr>
          <w:rFonts w:ascii="Calibri" w:eastAsia="Times New Roman" w:hAnsi="Calibri" w:cs="Calibri"/>
          <w:kern w:val="0"/>
          <w:lang w:eastAsia="en-GB"/>
          <w14:ligatures w14:val="none"/>
        </w:rPr>
        <w:t>.</w:t>
      </w:r>
      <w:r w:rsidRPr="00EF1BD9">
        <w:rPr>
          <w:rStyle w:val="FootnoteReference"/>
          <w:rFonts w:ascii="Calibri" w:eastAsia="Times New Roman" w:hAnsi="Calibri" w:cs="Calibri"/>
          <w:kern w:val="0"/>
          <w:lang w:eastAsia="en-GB"/>
          <w14:ligatures w14:val="none"/>
        </w:rPr>
        <w:footnoteReference w:id="6"/>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Thus, even the most ideologically rigid orders could not entirely insulate themselves from their environment.</w:t>
      </w:r>
    </w:p>
    <w:p w14:paraId="54ACF830" w14:textId="117A130D"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Taken together, the evidence from architecture and art demonstrates that Crusader settlement did inspire new ways of building, seeing, and inhabiting sacred space. These adaptations were not merely aesthetic but reflected broader changes in </w:t>
      </w:r>
      <w:r w:rsidRPr="00EF1BD9">
        <w:rPr>
          <w:rFonts w:ascii="Calibri" w:eastAsia="Times New Roman" w:hAnsi="Calibri" w:cs="Calibri"/>
          <w:kern w:val="0"/>
          <w:lang w:eastAsia="en-GB"/>
          <w14:ligatures w14:val="none"/>
        </w:rPr>
        <w:t>behaviour</w:t>
      </w:r>
      <w:r w:rsidRPr="00EF1BD9">
        <w:rPr>
          <w:rFonts w:ascii="Calibri" w:eastAsia="Times New Roman" w:hAnsi="Calibri" w:cs="Calibri"/>
          <w:kern w:val="0"/>
          <w:lang w:eastAsia="en-GB"/>
          <w14:ligatures w14:val="none"/>
        </w:rPr>
        <w:t xml:space="preserve"> and thought, including pragmatic tolerance, the necessity of cooperation with local artisans, and the emergence of a settler identity shaped by place as well as faith. As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argues, </w:t>
      </w:r>
      <w:r w:rsidRPr="00EF1BD9">
        <w:rPr>
          <w:rFonts w:ascii="Calibri" w:eastAsia="Times New Roman" w:hAnsi="Calibri" w:cs="Calibri"/>
          <w:kern w:val="0"/>
          <w:lang w:eastAsia="en-GB"/>
          <w14:ligatures w14:val="none"/>
        </w:rPr>
        <w:t>‘</w:t>
      </w:r>
      <w:r w:rsidRPr="00EF1BD9">
        <w:rPr>
          <w:rFonts w:ascii="Calibri" w:eastAsia="Times New Roman" w:hAnsi="Calibri" w:cs="Calibri"/>
          <w:kern w:val="0"/>
          <w:lang w:eastAsia="en-GB"/>
          <w14:ligatures w14:val="none"/>
        </w:rPr>
        <w:t>this art was certainly not a European transplant: It was something different and distinctive.</w:t>
      </w:r>
      <w:r w:rsidRPr="00EF1BD9">
        <w:rPr>
          <w:rFonts w:ascii="Calibri" w:eastAsia="Times New Roman" w:hAnsi="Calibri" w:cs="Calibri"/>
          <w:kern w:val="0"/>
          <w:lang w:eastAsia="en-GB"/>
          <w14:ligatures w14:val="none"/>
        </w:rPr>
        <w:t>’</w:t>
      </w:r>
      <w:r w:rsidRPr="00EF1BD9">
        <w:rPr>
          <w:rStyle w:val="FootnoteReference"/>
          <w:rFonts w:ascii="Calibri" w:eastAsia="Times New Roman" w:hAnsi="Calibri" w:cs="Calibri"/>
          <w:kern w:val="0"/>
          <w:lang w:eastAsia="en-GB"/>
          <w14:ligatures w14:val="none"/>
        </w:rPr>
        <w:footnoteReference w:id="7"/>
      </w:r>
    </w:p>
    <w:p w14:paraId="59C1654C" w14:textId="77777777"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In addition to artistic adaptation, the legal and administrative structures of the Crusader states reflected a significant degree of cultural negotiation and functional hybridity. Although the Western settlers brought with them a corpus of feudal law and Latin Christian norms, the complexities of governing a multi-ethnic and multi-religious population in the Levant compelled them to adopt local legal customs, institutions, and personnel. The resulting legal framework was not a wholesale imposition of Frankish models but rather a dynamic and composite system that combined Latin, Byzantine, and Islamic traditions.</w:t>
      </w:r>
    </w:p>
    <w:p w14:paraId="6B5809F2" w14:textId="56F43445"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The most important documentary evidence for this process is the Assizes of Jerusalem, a legal code compiled and expanded over the twelfth and thirteenth centuries. Though often </w:t>
      </w:r>
      <w:r w:rsidRPr="00EF1BD9">
        <w:rPr>
          <w:rFonts w:ascii="Calibri" w:eastAsia="Times New Roman" w:hAnsi="Calibri" w:cs="Calibri"/>
          <w:kern w:val="0"/>
          <w:lang w:eastAsia="en-GB"/>
          <w14:ligatures w14:val="none"/>
        </w:rPr>
        <w:lastRenderedPageBreak/>
        <w:t xml:space="preserve">presented as a pure expression of Western feudal jurisprudence, modern scholarship has revealed that the Assizes were shaped by the realities of local practice and Eastern influence. According to Peter </w:t>
      </w:r>
      <w:proofErr w:type="spellStart"/>
      <w:r w:rsidRPr="00EF1BD9">
        <w:rPr>
          <w:rFonts w:ascii="Calibri" w:eastAsia="Times New Roman" w:hAnsi="Calibri" w:cs="Calibri"/>
          <w:kern w:val="0"/>
          <w:lang w:eastAsia="en-GB"/>
          <w14:ligatures w14:val="none"/>
        </w:rPr>
        <w:t>Edbury</w:t>
      </w:r>
      <w:proofErr w:type="spellEnd"/>
      <w:r w:rsidRPr="00EF1BD9">
        <w:rPr>
          <w:rFonts w:ascii="Calibri" w:eastAsia="Times New Roman" w:hAnsi="Calibri" w:cs="Calibri"/>
          <w:kern w:val="0"/>
          <w:lang w:eastAsia="en-GB"/>
          <w14:ligatures w14:val="none"/>
        </w:rPr>
        <w:t>, the law of the kingdom evolved not in isolation but through continuous engagement with the Levantine context—political, legal, and religious.</w:t>
      </w:r>
      <w:r w:rsidRPr="00EF1BD9">
        <w:rPr>
          <w:rStyle w:val="FootnoteReference"/>
          <w:rFonts w:ascii="Calibri" w:eastAsia="Times New Roman" w:hAnsi="Calibri" w:cs="Calibri"/>
          <w:kern w:val="0"/>
          <w:lang w:eastAsia="en-GB"/>
          <w14:ligatures w14:val="none"/>
        </w:rPr>
        <w:footnoteReference w:id="8"/>
      </w:r>
      <w:r w:rsidRPr="00EF1BD9">
        <w:rPr>
          <w:rFonts w:ascii="Calibri" w:eastAsia="Times New Roman" w:hAnsi="Calibri" w:cs="Calibri"/>
          <w:kern w:val="0"/>
          <w:lang w:eastAsia="en-GB"/>
          <w14:ligatures w14:val="none"/>
        </w:rPr>
        <w:t xml:space="preserve"> For example, provisions in the Assizes allowed Muslims and Eastern Christians to retain jurisdiction over personal matters and to appear before Latin courts through intermediaries or representatives.</w:t>
      </w:r>
      <w:r w:rsidRPr="00EF1BD9">
        <w:rPr>
          <w:rFonts w:ascii="Calibri" w:eastAsia="Times New Roman" w:hAnsi="Calibri" w:cs="Calibri"/>
          <w:kern w:val="0"/>
          <w:lang w:eastAsia="en-GB"/>
          <w14:ligatures w14:val="none"/>
        </w:rPr>
        <w:t xml:space="preserve"> </w:t>
      </w:r>
    </w:p>
    <w:p w14:paraId="2B8273FD" w14:textId="40B84509"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The incorporation of non-Latin customs and personnel into the judicial and administrative machinery further illustrates this hybridity. In cities like Acre and Tyre, where Latins lived alongside Greek Orthodox, Armenian, Syrian, and Muslim communities, legal pluralism was institutionalized. Separate courts administered religious law, while joint municipal councils adjudicated commercial and civic disputes across ethnic lines. Documents from Acre’s Latin court archives show Arab Christian and Muslim witnesses participating in property disputes and commercial arbitration, often in cooperation with Latin notaries.</w:t>
      </w:r>
      <w:r w:rsidRPr="00EF1BD9">
        <w:rPr>
          <w:rStyle w:val="FootnoteReference"/>
          <w:rFonts w:ascii="Calibri" w:eastAsia="Times New Roman" w:hAnsi="Calibri" w:cs="Calibri"/>
          <w:kern w:val="0"/>
          <w:lang w:eastAsia="en-GB"/>
          <w14:ligatures w14:val="none"/>
        </w:rPr>
        <w:footnoteReference w:id="9"/>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This indicates not only pragmatic tolerance but also the administrative necessity of working within a pluralistic legal environment.</w:t>
      </w:r>
    </w:p>
    <w:p w14:paraId="46A87A1D" w14:textId="6C26861D"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Moreover, Latin rulers frequently engaged in diplomatic and treaty-making practices that drew on Islamic legal traditions. For instance, the Pact of Nablus (1120) included legal provisions concerning the protection of property and religious freedom for local populations, echoing dhimmi principles found in Islamic law</w:t>
      </w:r>
      <w:r w:rsidRPr="00EF1BD9">
        <w:rPr>
          <w:rStyle w:val="FootnoteReference"/>
          <w:rFonts w:ascii="Calibri" w:eastAsia="Times New Roman" w:hAnsi="Calibri" w:cs="Calibri"/>
          <w:kern w:val="0"/>
          <w:lang w:eastAsia="en-GB"/>
          <w14:ligatures w14:val="none"/>
        </w:rPr>
        <w:footnoteReference w:id="10"/>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These agreements were often written in both Latin and Arabic, suggesting a bilingual legal consciousness among Crusader administrators and an understanding of the legitimacy of Islamic legal models in the local context.</w:t>
      </w:r>
    </w:p>
    <w:p w14:paraId="48619622" w14:textId="1BEC5D10"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Scholars such as Benjamin Z. </w:t>
      </w:r>
      <w:proofErr w:type="spellStart"/>
      <w:r w:rsidRPr="00EF1BD9">
        <w:rPr>
          <w:rFonts w:ascii="Calibri" w:eastAsia="Times New Roman" w:hAnsi="Calibri" w:cs="Calibri"/>
          <w:kern w:val="0"/>
          <w:lang w:eastAsia="en-GB"/>
          <w14:ligatures w14:val="none"/>
        </w:rPr>
        <w:t>Kedar</w:t>
      </w:r>
      <w:proofErr w:type="spellEnd"/>
      <w:r w:rsidRPr="00EF1BD9">
        <w:rPr>
          <w:rFonts w:ascii="Calibri" w:eastAsia="Times New Roman" w:hAnsi="Calibri" w:cs="Calibri"/>
          <w:kern w:val="0"/>
          <w:lang w:eastAsia="en-GB"/>
          <w14:ligatures w14:val="none"/>
        </w:rPr>
        <w:t xml:space="preserve"> have emphasized that the cross-cultural legal practices of the Latin East were not merely concessions to demographics but reflect a broader process of acculturation and mutual dependence. In his seminal study </w:t>
      </w:r>
      <w:r w:rsidRPr="00EF1BD9">
        <w:rPr>
          <w:rFonts w:ascii="Calibri" w:eastAsia="Times New Roman" w:hAnsi="Calibri" w:cs="Calibri"/>
          <w:i/>
          <w:iCs/>
          <w:kern w:val="0"/>
          <w:lang w:eastAsia="en-GB"/>
          <w14:ligatures w14:val="none"/>
        </w:rPr>
        <w:t xml:space="preserve">Franks, </w:t>
      </w:r>
      <w:proofErr w:type="gramStart"/>
      <w:r w:rsidRPr="00EF1BD9">
        <w:rPr>
          <w:rFonts w:ascii="Calibri" w:eastAsia="Times New Roman" w:hAnsi="Calibri" w:cs="Calibri"/>
          <w:i/>
          <w:iCs/>
          <w:kern w:val="0"/>
          <w:lang w:eastAsia="en-GB"/>
          <w14:ligatures w14:val="none"/>
        </w:rPr>
        <w:t>Muslims</w:t>
      </w:r>
      <w:proofErr w:type="gramEnd"/>
      <w:r w:rsidRPr="00EF1BD9">
        <w:rPr>
          <w:rFonts w:ascii="Calibri" w:eastAsia="Times New Roman" w:hAnsi="Calibri" w:cs="Calibri"/>
          <w:i/>
          <w:iCs/>
          <w:kern w:val="0"/>
          <w:lang w:eastAsia="en-GB"/>
          <w14:ligatures w14:val="none"/>
        </w:rPr>
        <w:t xml:space="preserve"> and Oriental Christians in the Latin Levant</w:t>
      </w:r>
      <w:r w:rsidRPr="00EF1BD9">
        <w:rPr>
          <w:rFonts w:ascii="Calibri" w:eastAsia="Times New Roman" w:hAnsi="Calibri" w:cs="Calibri"/>
          <w:kern w:val="0"/>
          <w:lang w:eastAsia="en-GB"/>
          <w14:ligatures w14:val="none"/>
        </w:rPr>
        <w:t xml:space="preserve">, </w:t>
      </w:r>
      <w:proofErr w:type="spellStart"/>
      <w:r w:rsidRPr="00EF1BD9">
        <w:rPr>
          <w:rFonts w:ascii="Calibri" w:eastAsia="Times New Roman" w:hAnsi="Calibri" w:cs="Calibri"/>
          <w:kern w:val="0"/>
          <w:lang w:eastAsia="en-GB"/>
          <w14:ligatures w14:val="none"/>
        </w:rPr>
        <w:t>Kedar</w:t>
      </w:r>
      <w:proofErr w:type="spellEnd"/>
      <w:r w:rsidRPr="00EF1BD9">
        <w:rPr>
          <w:rFonts w:ascii="Calibri" w:eastAsia="Times New Roman" w:hAnsi="Calibri" w:cs="Calibri"/>
          <w:kern w:val="0"/>
          <w:lang w:eastAsia="en-GB"/>
          <w14:ligatures w14:val="none"/>
        </w:rPr>
        <w:t xml:space="preserve"> argues that Crusader rule produced a “frontier society” where law became a site of cultural fusion and negotiation of power. This is especially evident in rural areas, where Latin lords relied on Muslim peasants to till the land and often allowed customary Islamic agricultural law to govern disputes.</w:t>
      </w:r>
      <w:r w:rsidRPr="00EF1BD9">
        <w:rPr>
          <w:rFonts w:ascii="Calibri" w:eastAsia="Times New Roman" w:hAnsi="Calibri" w:cs="Calibri"/>
          <w:kern w:val="0"/>
          <w:lang w:eastAsia="en-GB"/>
          <w14:ligatures w14:val="none"/>
        </w:rPr>
        <w:t xml:space="preserve"> </w:t>
      </w:r>
    </w:p>
    <w:p w14:paraId="62C969E5" w14:textId="6465EDA8"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However, this legal pluralism did not erase the hierarchical structures of Latin authority. The Assizes of Jerusalem clearly privilege Latin Christian rights and property, and Muslim and Jewish litigants could only appear in court under restricted terms. The Latin nobility maintained exclusive control over the </w:t>
      </w:r>
      <w:r w:rsidRPr="00EF1BD9">
        <w:rPr>
          <w:rFonts w:ascii="Calibri" w:eastAsia="Times New Roman" w:hAnsi="Calibri" w:cs="Calibri"/>
          <w:kern w:val="0"/>
          <w:lang w:eastAsia="en-GB"/>
          <w14:ligatures w14:val="none"/>
        </w:rPr>
        <w:t>supposedly inferior locals</w:t>
      </w:r>
      <w:r w:rsidRPr="00EF1BD9">
        <w:rPr>
          <w:rFonts w:ascii="Calibri" w:eastAsia="Times New Roman" w:hAnsi="Calibri" w:cs="Calibri"/>
          <w:kern w:val="0"/>
          <w:lang w:eastAsia="en-GB"/>
          <w14:ligatures w14:val="none"/>
        </w:rPr>
        <w:t>, and only Latin Christians could hold high office. Thus, while there was significant functional adaptation, it coexisted with structural inequality and cultural boundaries.</w:t>
      </w:r>
    </w:p>
    <w:p w14:paraId="63F06456" w14:textId="45C4E19C"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lastRenderedPageBreak/>
        <w:t>Nevertheless, the selective incorporation of Eastern legal practices into a Latin-dominated system represents a clear departure from the monocultural models of law prevalent in Western Europe at the time. Unlike England or France, where legal centrali</w:t>
      </w:r>
      <w:r w:rsidRPr="00EF1BD9">
        <w:rPr>
          <w:rFonts w:ascii="Calibri" w:eastAsia="Times New Roman" w:hAnsi="Calibri" w:cs="Calibri"/>
          <w:kern w:val="0"/>
          <w:lang w:eastAsia="en-GB"/>
          <w14:ligatures w14:val="none"/>
        </w:rPr>
        <w:t>s</w:t>
      </w:r>
      <w:r w:rsidRPr="00EF1BD9">
        <w:rPr>
          <w:rFonts w:ascii="Calibri" w:eastAsia="Times New Roman" w:hAnsi="Calibri" w:cs="Calibri"/>
          <w:kern w:val="0"/>
          <w:lang w:eastAsia="en-GB"/>
          <w14:ligatures w14:val="none"/>
        </w:rPr>
        <w:t>ation was the norm, the Latin East displayed a degree of legal pluralism and administrative multiculturalism that was both pragmatic and formative. This suggests that Crusader settlement did indeed inspire new ways of governing and thinking about law, particularly in contexts of cultural diversity and legal ambiguity.</w:t>
      </w:r>
    </w:p>
    <w:p w14:paraId="74C12EB3" w14:textId="3E8544C0"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In addition to architectural and legal adaptation, one of the most profound ways in which Crusader settlement reshaped thought and </w:t>
      </w:r>
      <w:r w:rsidRPr="00EF1BD9">
        <w:rPr>
          <w:rFonts w:ascii="Calibri" w:eastAsia="Times New Roman" w:hAnsi="Calibri" w:cs="Calibri"/>
          <w:kern w:val="0"/>
          <w:lang w:eastAsia="en-GB"/>
          <w14:ligatures w14:val="none"/>
        </w:rPr>
        <w:t>behaviour</w:t>
      </w:r>
      <w:r w:rsidRPr="00EF1BD9">
        <w:rPr>
          <w:rFonts w:ascii="Calibri" w:eastAsia="Times New Roman" w:hAnsi="Calibri" w:cs="Calibri"/>
          <w:kern w:val="0"/>
          <w:lang w:eastAsia="en-GB"/>
          <w14:ligatures w14:val="none"/>
        </w:rPr>
        <w:t xml:space="preserve"> was through social and interfaith interaction. Although Latin Christians arrived in the Holy Land with a strong ideological commitment to religious exclusivity and superiority, daily life in the Levant required pragmatic cooperation with Muslim, Jewish, and Eastern Christian populations. Over time, these encounters led to new social arrangements, intercommunal norms, and evolving perceptions of religious difference, especially among settlers and non-elite groups.</w:t>
      </w:r>
    </w:p>
    <w:p w14:paraId="32298A48" w14:textId="0BAC1B78"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The term “rough tolerance,” coined by historian Christopher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captures this dynamic well. While Latin Christians did not abandon their claims to religious and cultural supremacy, they nonetheless engaged in routine, negotiated coexistence with local populations, especially Eastern Christians such as Armenians, Greeks, and Syriacs</w:t>
      </w:r>
      <w:r w:rsidRPr="00EF1BD9">
        <w:rPr>
          <w:rStyle w:val="FootnoteReference"/>
          <w:rFonts w:ascii="Calibri" w:eastAsia="Times New Roman" w:hAnsi="Calibri" w:cs="Calibri"/>
          <w:kern w:val="0"/>
          <w:lang w:eastAsia="en-GB"/>
          <w14:ligatures w14:val="none"/>
        </w:rPr>
        <w:footnoteReference w:id="11"/>
      </w:r>
      <w:r w:rsidRPr="00EF1BD9">
        <w:rPr>
          <w:rFonts w:ascii="Calibri" w:eastAsia="Times New Roman" w:hAnsi="Calibri" w:cs="Calibri"/>
          <w:kern w:val="0"/>
          <w:lang w:eastAsia="en-GB"/>
          <w14:ligatures w14:val="none"/>
        </w:rPr>
        <w:t>.</w:t>
      </w:r>
      <w:r w:rsidRPr="00EF1BD9">
        <w:rPr>
          <w:rFonts w:ascii="Calibri" w:eastAsia="Times New Roman" w:hAnsi="Calibri" w:cs="Calibri"/>
          <w:kern w:val="0"/>
          <w:lang w:eastAsia="en-GB"/>
          <w14:ligatures w14:val="none"/>
        </w:rPr>
        <w:t xml:space="preserve"> In urban centres like Jerusalem, Nablus, and Acre, Christian communities of different rites often shared </w:t>
      </w:r>
      <w:r w:rsidRPr="00EF1BD9">
        <w:rPr>
          <w:rFonts w:ascii="Calibri" w:eastAsia="Times New Roman" w:hAnsi="Calibri" w:cs="Calibri"/>
          <w:kern w:val="0"/>
          <w:lang w:eastAsia="en-GB"/>
          <w14:ligatures w14:val="none"/>
        </w:rPr>
        <w:t>neighbourhoods</w:t>
      </w:r>
      <w:r w:rsidRPr="00EF1BD9">
        <w:rPr>
          <w:rFonts w:ascii="Calibri" w:eastAsia="Times New Roman" w:hAnsi="Calibri" w:cs="Calibri"/>
          <w:kern w:val="0"/>
          <w:lang w:eastAsia="en-GB"/>
          <w14:ligatures w14:val="none"/>
        </w:rPr>
        <w:t xml:space="preserve">, markets, and even churches, albeit under the dominant authority of the Latin clergy. As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explains, “tolerance was rarely ideological but always practical, emerging from the need to coexist rather than the desire to reconcile”</w:t>
      </w:r>
      <w:r w:rsidRPr="00EF1BD9">
        <w:rPr>
          <w:rStyle w:val="FootnoteReference"/>
          <w:rFonts w:ascii="Calibri" w:eastAsia="Times New Roman" w:hAnsi="Calibri" w:cs="Calibri"/>
          <w:kern w:val="0"/>
          <w:lang w:eastAsia="en-GB"/>
          <w14:ligatures w14:val="none"/>
        </w:rPr>
        <w:footnoteReference w:id="12"/>
      </w:r>
      <w:r w:rsidRPr="00EF1BD9">
        <w:rPr>
          <w:rFonts w:ascii="Calibri" w:eastAsia="Times New Roman" w:hAnsi="Calibri" w:cs="Calibri"/>
          <w:kern w:val="0"/>
          <w:lang w:eastAsia="en-GB"/>
          <w14:ligatures w14:val="none"/>
        </w:rPr>
        <w:t>.</w:t>
      </w:r>
    </w:p>
    <w:p w14:paraId="7EAAAC5E" w14:textId="312DF01D"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Such coexistence extended beyond Christians. Muslims and Jews, though subordinated under Latin rule, were often allowed to retain property, conduct trade, and live in designated quarters. In some cases, Muslim villagers even served as agricultural tenants on Frankish estates, and evidence from charters and tax rolls confirms that Muslim farmers contributed to the local economy under negotiated terms</w:t>
      </w:r>
      <w:r w:rsidRPr="00EF1BD9">
        <w:rPr>
          <w:rStyle w:val="FootnoteReference"/>
          <w:rFonts w:ascii="Calibri" w:eastAsia="Times New Roman" w:hAnsi="Calibri" w:cs="Calibri"/>
          <w:kern w:val="0"/>
          <w:lang w:eastAsia="en-GB"/>
          <w14:ligatures w14:val="none"/>
        </w:rPr>
        <w:footnoteReference w:id="13"/>
      </w:r>
      <w:r w:rsidRPr="00EF1BD9">
        <w:rPr>
          <w:rFonts w:ascii="Calibri" w:eastAsia="Times New Roman" w:hAnsi="Calibri" w:cs="Calibri"/>
          <w:kern w:val="0"/>
          <w:lang w:eastAsia="en-GB"/>
          <w14:ligatures w14:val="none"/>
        </w:rPr>
        <w:t xml:space="preserve"> While these relationships were clearly unequal, they suggest a mutual interdependence that contradicts older narratives of absolute segregation.</w:t>
      </w:r>
    </w:p>
    <w:p w14:paraId="4046CE7B" w14:textId="39AD13AD"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Interfaith interaction also took the form of diplomacy and medical collaboration. The Hospitallers and Templars, though military orders, often employed Muslim physicians and conducted truce negotiations with </w:t>
      </w:r>
      <w:r w:rsidRPr="00EF1BD9">
        <w:rPr>
          <w:rFonts w:ascii="Calibri" w:eastAsia="Times New Roman" w:hAnsi="Calibri" w:cs="Calibri"/>
          <w:kern w:val="0"/>
          <w:lang w:eastAsia="en-GB"/>
          <w14:ligatures w14:val="none"/>
        </w:rPr>
        <w:t>neighbouring</w:t>
      </w:r>
      <w:r w:rsidRPr="00EF1BD9">
        <w:rPr>
          <w:rFonts w:ascii="Calibri" w:eastAsia="Times New Roman" w:hAnsi="Calibri" w:cs="Calibri"/>
          <w:kern w:val="0"/>
          <w:lang w:eastAsia="en-GB"/>
          <w14:ligatures w14:val="none"/>
        </w:rPr>
        <w:t xml:space="preserve"> Muslim rulers. Notably, Saladin’s court and Latin nobles exchanged letters, gifts, and even physicians, particularly during the Third Crusade</w:t>
      </w:r>
      <w:r w:rsidRPr="00EF1BD9">
        <w:rPr>
          <w:rStyle w:val="FootnoteReference"/>
          <w:rFonts w:ascii="Calibri" w:eastAsia="Times New Roman" w:hAnsi="Calibri" w:cs="Calibri"/>
          <w:kern w:val="0"/>
          <w:lang w:eastAsia="en-GB"/>
          <w14:ligatures w14:val="none"/>
        </w:rPr>
        <w:footnoteReference w:id="14"/>
      </w:r>
      <w:r w:rsidRPr="00EF1BD9">
        <w:rPr>
          <w:rFonts w:ascii="Calibri" w:eastAsia="Times New Roman" w:hAnsi="Calibri" w:cs="Calibri"/>
          <w:kern w:val="0"/>
          <w:lang w:eastAsia="en-GB"/>
          <w14:ligatures w14:val="none"/>
        </w:rPr>
        <w:t>.</w:t>
      </w:r>
      <w:r w:rsidRPr="00EF1BD9">
        <w:rPr>
          <w:rFonts w:ascii="Calibri" w:eastAsia="Times New Roman" w:hAnsi="Calibri" w:cs="Calibri"/>
          <w:kern w:val="0"/>
          <w:lang w:eastAsia="en-GB"/>
          <w14:ligatures w14:val="none"/>
        </w:rPr>
        <w:t xml:space="preserve"> These forms of elite diplomacy created spaces for mutual respect, even amid ongoing conflict. According to Carole Hillenbrand, such interactions “complicated the binary </w:t>
      </w:r>
      <w:r w:rsidRPr="00EF1BD9">
        <w:rPr>
          <w:rFonts w:ascii="Calibri" w:eastAsia="Times New Roman" w:hAnsi="Calibri" w:cs="Calibri"/>
          <w:kern w:val="0"/>
          <w:lang w:eastAsia="en-GB"/>
          <w14:ligatures w14:val="none"/>
        </w:rPr>
        <w:lastRenderedPageBreak/>
        <w:t>view of the Saracen as enemy,” and fostered a more nuanced, albeit strategic, appreciation of Islamic civilization</w:t>
      </w:r>
      <w:r w:rsidRPr="00EF1BD9">
        <w:rPr>
          <w:rStyle w:val="FootnoteReference"/>
          <w:rFonts w:ascii="Calibri" w:eastAsia="Times New Roman" w:hAnsi="Calibri" w:cs="Calibri"/>
          <w:kern w:val="0"/>
          <w:lang w:eastAsia="en-GB"/>
          <w14:ligatures w14:val="none"/>
        </w:rPr>
        <w:footnoteReference w:id="15"/>
      </w:r>
      <w:r w:rsidRPr="00EF1BD9">
        <w:rPr>
          <w:rFonts w:ascii="Calibri" w:eastAsia="Times New Roman" w:hAnsi="Calibri" w:cs="Calibri"/>
          <w:kern w:val="0"/>
          <w:lang w:eastAsia="en-GB"/>
          <w14:ligatures w14:val="none"/>
        </w:rPr>
        <w:t>.</w:t>
      </w:r>
    </w:p>
    <w:p w14:paraId="776C2C4E" w14:textId="7D7DE025"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Yet, it would be misleading to frame this period as one of harmony. Religious violence, forced conversions, and systemic discrimination persisted throughout the Crusader period. Latin ecclesiastical authorities often sought to restrict interfaith contact, and accusations of heresy or collaboration were common. Nonetheless, the daily, ground-level realities of life in the Levant required a level of flexibility and intercultural exchange that reshaped social </w:t>
      </w:r>
      <w:r w:rsidRPr="00EF1BD9">
        <w:rPr>
          <w:rFonts w:ascii="Calibri" w:eastAsia="Times New Roman" w:hAnsi="Calibri" w:cs="Calibri"/>
          <w:kern w:val="0"/>
          <w:lang w:eastAsia="en-GB"/>
          <w14:ligatures w14:val="none"/>
        </w:rPr>
        <w:t>behaviour</w:t>
      </w:r>
      <w:r w:rsidRPr="00EF1BD9">
        <w:rPr>
          <w:rFonts w:ascii="Calibri" w:eastAsia="Times New Roman" w:hAnsi="Calibri" w:cs="Calibri"/>
          <w:kern w:val="0"/>
          <w:lang w:eastAsia="en-GB"/>
          <w14:ligatures w14:val="none"/>
        </w:rPr>
        <w:t xml:space="preserve"> and challenged rigid conceptual boundaries. As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argues, even when tolerance was not embraced ideologically, it was enacted through necessity</w:t>
      </w:r>
      <w:r w:rsidRPr="00EF1BD9">
        <w:rPr>
          <w:rStyle w:val="FootnoteReference"/>
          <w:rFonts w:ascii="Calibri" w:eastAsia="Times New Roman" w:hAnsi="Calibri" w:cs="Calibri"/>
          <w:kern w:val="0"/>
          <w:lang w:eastAsia="en-GB"/>
          <w14:ligatures w14:val="none"/>
        </w:rPr>
        <w:footnoteReference w:id="16"/>
      </w:r>
    </w:p>
    <w:p w14:paraId="0BECB48F" w14:textId="48D0F571"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Therefore, the settlement of Westerners in the Holy Land did not merely involve the transplantation of European norms but initiated a new social model shaped by cultural contact, coexistence, and negotiation. In towns and villages across the Latin East, Frankish settlers gradually adjusted to a pluralistic reality, leading to new </w:t>
      </w:r>
      <w:r w:rsidRPr="00EF1BD9">
        <w:rPr>
          <w:rFonts w:ascii="Calibri" w:eastAsia="Times New Roman" w:hAnsi="Calibri" w:cs="Calibri"/>
          <w:kern w:val="0"/>
          <w:lang w:eastAsia="en-GB"/>
          <w14:ligatures w14:val="none"/>
        </w:rPr>
        <w:t>behaviours</w:t>
      </w:r>
      <w:r w:rsidRPr="00EF1BD9">
        <w:rPr>
          <w:rFonts w:ascii="Calibri" w:eastAsia="Times New Roman" w:hAnsi="Calibri" w:cs="Calibri"/>
          <w:kern w:val="0"/>
          <w:lang w:eastAsia="en-GB"/>
          <w14:ligatures w14:val="none"/>
        </w:rPr>
        <w:t>, legal arrangements, and conceptual categories that reflected both separation and interaction.</w:t>
      </w:r>
    </w:p>
    <w:p w14:paraId="16EC70B3" w14:textId="77777777"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The Crusader settlement of the Holy Land between 1099 and 1291 did not merely export European norms into a foreign landscape—it forged a new frontier society where cultural contact, adaptation, and negotiation were inevitable and, at times, transformative. While the Latin Christian elites who dominated the Crusader states maintained strong attachments to Western institutions—feudal law, Latin liturgy, and hierarchical governance—they could not remain entirely insulated from their environment. The prolonged presence of Western settlers in the Levant inspired new ways of thinking and behaving that were shaped by the realities of coexistence, the demands of governance, and the benefits of local knowledge.</w:t>
      </w:r>
    </w:p>
    <w:p w14:paraId="07AC541B" w14:textId="6C5C25B6"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In the realm of architecture and art, Western builders and patrons incorporated Byzantine, Armenian, and Islamic techniques, creating hybrid visual cultures that expressed both religious ambition and geographic adaptation. In legal and administrative practice, Latin institutions absorbed local norms, producing a composite legal order grounded in pragmatism and pluralism. And in social and interfaith life, daily interaction among Franks, Muslims, Jews, and Eastern Christians gave rise to new patterns of coexistence, linguistic exchange, and diplomatic understanding. This did not amount to full assimilation, nor did it eliminate tensions and inequalities, but it did constitute a meaningful recalibration of Latin Christian identity and </w:t>
      </w:r>
      <w:r w:rsidRPr="00EF1BD9">
        <w:rPr>
          <w:rFonts w:ascii="Calibri" w:eastAsia="Times New Roman" w:hAnsi="Calibri" w:cs="Calibri"/>
          <w:kern w:val="0"/>
          <w:lang w:eastAsia="en-GB"/>
          <w14:ligatures w14:val="none"/>
        </w:rPr>
        <w:t>behaviour</w:t>
      </w:r>
      <w:r w:rsidRPr="00EF1BD9">
        <w:rPr>
          <w:rFonts w:ascii="Calibri" w:eastAsia="Times New Roman" w:hAnsi="Calibri" w:cs="Calibri"/>
          <w:kern w:val="0"/>
          <w:lang w:eastAsia="en-GB"/>
          <w14:ligatures w14:val="none"/>
        </w:rPr>
        <w:t>.</w:t>
      </w:r>
    </w:p>
    <w:p w14:paraId="79233173" w14:textId="77777777"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Modern historians continue to debate the extent and depth of this transformation. Some, such as </w:t>
      </w:r>
      <w:proofErr w:type="spellStart"/>
      <w:r w:rsidRPr="00EF1BD9">
        <w:rPr>
          <w:rFonts w:ascii="Calibri" w:eastAsia="Times New Roman" w:hAnsi="Calibri" w:cs="Calibri"/>
          <w:kern w:val="0"/>
          <w:lang w:eastAsia="en-GB"/>
          <w14:ligatures w14:val="none"/>
        </w:rPr>
        <w:t>Kedar</w:t>
      </w:r>
      <w:proofErr w:type="spellEnd"/>
      <w:r w:rsidRPr="00EF1BD9">
        <w:rPr>
          <w:rFonts w:ascii="Calibri" w:eastAsia="Times New Roman" w:hAnsi="Calibri" w:cs="Calibri"/>
          <w:kern w:val="0"/>
          <w:lang w:eastAsia="en-GB"/>
          <w14:ligatures w14:val="none"/>
        </w:rPr>
        <w:t xml:space="preserve"> and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emphasize the cultural fusion and shared social spaces that defined the Latin East, while others, like Mayer and Tyerman, caution against overstating assimilation in the face of persistent ideological boundaries. However, the evidence presented here suggests that settlement itself—not simply crusading—was the crucible of change. In building homes, courts, and cities, Westerners encountered the practical limits of cultural isolation and, often unconsciously, adjusted to their surroundings.</w:t>
      </w:r>
    </w:p>
    <w:p w14:paraId="562CF7F8" w14:textId="77777777" w:rsidR="00EF1BD9" w:rsidRPr="00EF1BD9" w:rsidRDefault="00EF1BD9" w:rsidP="00EF1BD9">
      <w:pPr>
        <w:spacing w:before="100" w:beforeAutospacing="1" w:after="100" w:afterAutospacing="1"/>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lastRenderedPageBreak/>
        <w:t>The significance of this adaptation extends beyond the medieval Levant. It challenges simplistic narratives of the Crusades as pure cultural confrontation and invites a more nuanced view of the Latin East as a zone of contested hybridity, where difference and dependency coexisted. It also sheds light on how ideas of the “Other” evolved not only through war, but through shared markets, mutual obligations, and everyday negotiation. In this light, the Crusader states appear not just as extensions of medieval Europe, but as laboratories of intercultural contact that prefigured later encounters in the Mediterranean and colonial worlds.</w:t>
      </w:r>
    </w:p>
    <w:p w14:paraId="2E759A4D" w14:textId="201B5B2D" w:rsidR="00FA55EE" w:rsidRPr="00EF1BD9" w:rsidRDefault="00EF1BD9">
      <w:pPr>
        <w:rPr>
          <w:rFonts w:ascii="Calibri" w:hAnsi="Calibri" w:cs="Calibri"/>
        </w:rPr>
      </w:pPr>
      <w:r>
        <w:rPr>
          <w:rFonts w:ascii="Calibri" w:hAnsi="Calibri" w:cs="Calibri"/>
        </w:rPr>
        <w:t>References</w:t>
      </w:r>
    </w:p>
    <w:p w14:paraId="17E7DD73" w14:textId="77777777" w:rsidR="00EF1BD9" w:rsidRDefault="00EF1BD9">
      <w:pPr>
        <w:rPr>
          <w:rFonts w:ascii="Calibri" w:hAnsi="Calibri" w:cs="Calibri"/>
        </w:rPr>
      </w:pPr>
    </w:p>
    <w:p w14:paraId="159D5CA8" w14:textId="77777777" w:rsidR="00EF1BD9" w:rsidRPr="00EF1BD9" w:rsidRDefault="00EF1BD9" w:rsidP="00EF1BD9">
      <w:pPr>
        <w:spacing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Barber, Malcolm. </w:t>
      </w:r>
      <w:r w:rsidRPr="00EF1BD9">
        <w:rPr>
          <w:rFonts w:ascii="Calibri" w:eastAsia="Times New Roman" w:hAnsi="Calibri" w:cs="Calibri"/>
          <w:i/>
          <w:iCs/>
          <w:kern w:val="0"/>
          <w:lang w:eastAsia="en-GB"/>
          <w14:ligatures w14:val="none"/>
        </w:rPr>
        <w:t>The Crusader States</w:t>
      </w:r>
      <w:r w:rsidRPr="00EF1BD9">
        <w:rPr>
          <w:rFonts w:ascii="Calibri" w:eastAsia="Times New Roman" w:hAnsi="Calibri" w:cs="Calibri"/>
          <w:kern w:val="0"/>
          <w:lang w:eastAsia="en-GB"/>
          <w14:ligatures w14:val="none"/>
        </w:rPr>
        <w:t xml:space="preserve"> (New Haven: Yale University Press, 2012)</w:t>
      </w:r>
    </w:p>
    <w:p w14:paraId="50BB54A1" w14:textId="77777777" w:rsidR="00EF1BD9" w:rsidRDefault="00EF1BD9" w:rsidP="00EF1BD9">
      <w:pPr>
        <w:pStyle w:val="FootnoteText"/>
        <w:spacing w:after="240"/>
        <w:ind w:left="360"/>
        <w:rPr>
          <w:rFonts w:ascii="Calibri" w:eastAsia="Times New Roman" w:hAnsi="Calibri" w:cs="Calibri"/>
          <w:kern w:val="0"/>
          <w:sz w:val="24"/>
          <w:szCs w:val="24"/>
          <w:lang w:eastAsia="en-GB"/>
          <w14:ligatures w14:val="none"/>
        </w:rPr>
      </w:pPr>
      <w:proofErr w:type="spellStart"/>
      <w:r w:rsidRPr="00EF1BD9">
        <w:rPr>
          <w:rFonts w:ascii="Calibri" w:eastAsia="Times New Roman" w:hAnsi="Calibri" w:cs="Calibri"/>
          <w:kern w:val="0"/>
          <w:sz w:val="24"/>
          <w:szCs w:val="24"/>
          <w:lang w:eastAsia="en-GB"/>
          <w14:ligatures w14:val="none"/>
        </w:rPr>
        <w:t>Edbury</w:t>
      </w:r>
      <w:proofErr w:type="spellEnd"/>
      <w:r w:rsidRPr="00EF1BD9">
        <w:rPr>
          <w:rFonts w:ascii="Calibri" w:eastAsia="Times New Roman" w:hAnsi="Calibri" w:cs="Calibri"/>
          <w:kern w:val="0"/>
          <w:sz w:val="24"/>
          <w:szCs w:val="24"/>
          <w:lang w:eastAsia="en-GB"/>
          <w14:ligatures w14:val="none"/>
        </w:rPr>
        <w:t xml:space="preserve">, Peter W. </w:t>
      </w:r>
      <w:r w:rsidRPr="00EF1BD9">
        <w:rPr>
          <w:rFonts w:ascii="Calibri" w:eastAsia="Times New Roman" w:hAnsi="Calibri" w:cs="Calibri"/>
          <w:i/>
          <w:iCs/>
          <w:kern w:val="0"/>
          <w:sz w:val="24"/>
          <w:szCs w:val="24"/>
          <w:lang w:eastAsia="en-GB"/>
          <w14:ligatures w14:val="none"/>
        </w:rPr>
        <w:t>The Laws of the Kingdom of Jerusalem: The Assizes of Jerusalem</w:t>
      </w:r>
      <w:r w:rsidRPr="00EF1BD9">
        <w:rPr>
          <w:rFonts w:ascii="Calibri" w:eastAsia="Times New Roman" w:hAnsi="Calibri" w:cs="Calibri"/>
          <w:kern w:val="0"/>
          <w:sz w:val="24"/>
          <w:szCs w:val="24"/>
          <w:lang w:eastAsia="en-GB"/>
          <w14:ligatures w14:val="none"/>
        </w:rPr>
        <w:t xml:space="preserve"> (Oxford: Oxford University Press, 2000)</w:t>
      </w:r>
    </w:p>
    <w:p w14:paraId="45B4B664" w14:textId="77777777" w:rsidR="00EF1BD9" w:rsidRPr="00EF1BD9" w:rsidRDefault="00EF1BD9" w:rsidP="00EF1BD9">
      <w:pPr>
        <w:spacing w:after="240"/>
        <w:ind w:left="360"/>
        <w:rPr>
          <w:rFonts w:ascii="Calibri" w:hAnsi="Calibri" w:cs="Calibri"/>
        </w:rPr>
      </w:pP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Jaroslav, </w:t>
      </w:r>
      <w:r w:rsidRPr="00EF1BD9">
        <w:rPr>
          <w:rFonts w:ascii="Calibri" w:eastAsia="Times New Roman" w:hAnsi="Calibri" w:cs="Calibri"/>
          <w:i/>
          <w:iCs/>
          <w:kern w:val="0"/>
          <w:lang w:eastAsia="en-GB"/>
          <w14:ligatures w14:val="none"/>
        </w:rPr>
        <w:t>Crusader Art in the Holy Land, From the Third Crusade to the Fall of Acre, 1187–1291</w:t>
      </w:r>
      <w:r w:rsidRPr="00EF1BD9">
        <w:rPr>
          <w:rFonts w:ascii="Calibri" w:eastAsia="Times New Roman" w:hAnsi="Calibri" w:cs="Calibri"/>
          <w:kern w:val="0"/>
          <w:lang w:eastAsia="en-GB"/>
          <w14:ligatures w14:val="none"/>
        </w:rPr>
        <w:t xml:space="preserve"> (Cambridge: Ronnie </w:t>
      </w:r>
      <w:proofErr w:type="spellStart"/>
      <w:r w:rsidRPr="00EF1BD9">
        <w:rPr>
          <w:rFonts w:ascii="Calibri" w:eastAsia="Times New Roman" w:hAnsi="Calibri" w:cs="Calibri"/>
          <w:kern w:val="0"/>
          <w:lang w:eastAsia="en-GB"/>
          <w14:ligatures w14:val="none"/>
        </w:rPr>
        <w:t>Ellenblum</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Frankish Rural Settlement in the Latin Kingdom of Jerusalem</w:t>
      </w:r>
      <w:r w:rsidRPr="00EF1BD9">
        <w:rPr>
          <w:rFonts w:ascii="Calibri" w:eastAsia="Times New Roman" w:hAnsi="Calibri" w:cs="Calibri"/>
          <w:kern w:val="0"/>
          <w:lang w:eastAsia="en-GB"/>
          <w14:ligatures w14:val="none"/>
        </w:rPr>
        <w:t xml:space="preserve"> (Cambridge: Cambridge University Press, 1998)</w:t>
      </w:r>
    </w:p>
    <w:p w14:paraId="1CE8B597" w14:textId="75EA160F" w:rsidR="00EF1BD9" w:rsidRPr="00EF1BD9" w:rsidRDefault="00EF1BD9" w:rsidP="00EF1BD9">
      <w:pPr>
        <w:pStyle w:val="FootnoteText"/>
        <w:spacing w:after="240"/>
        <w:ind w:left="360"/>
        <w:rPr>
          <w:rFonts w:ascii="Calibri" w:hAnsi="Calibri" w:cs="Calibri"/>
          <w:sz w:val="24"/>
          <w:szCs w:val="24"/>
        </w:rPr>
      </w:pPr>
      <w:r w:rsidRPr="00EF1BD9">
        <w:rPr>
          <w:rFonts w:ascii="Calibri" w:eastAsia="Times New Roman" w:hAnsi="Calibri" w:cs="Calibri"/>
          <w:kern w:val="0"/>
          <w:sz w:val="24"/>
          <w:szCs w:val="24"/>
          <w:lang w:eastAsia="en-GB"/>
          <w14:ligatures w14:val="none"/>
        </w:rPr>
        <w:t xml:space="preserve">Fulcher of Chartres, </w:t>
      </w:r>
      <w:r w:rsidRPr="00EF1BD9">
        <w:rPr>
          <w:rFonts w:ascii="Calibri" w:eastAsia="Times New Roman" w:hAnsi="Calibri" w:cs="Calibri"/>
          <w:i/>
          <w:iCs/>
          <w:kern w:val="0"/>
          <w:sz w:val="24"/>
          <w:szCs w:val="24"/>
          <w:lang w:eastAsia="en-GB"/>
          <w14:ligatures w14:val="none"/>
        </w:rPr>
        <w:t>A History of the Expedition to Jerusalem, 1095–1127</w:t>
      </w:r>
      <w:r w:rsidRPr="00EF1BD9">
        <w:rPr>
          <w:rFonts w:ascii="Calibri" w:eastAsia="Times New Roman" w:hAnsi="Calibri" w:cs="Calibri"/>
          <w:kern w:val="0"/>
          <w:sz w:val="24"/>
          <w:szCs w:val="24"/>
          <w:lang w:eastAsia="en-GB"/>
          <w14:ligatures w14:val="none"/>
        </w:rPr>
        <w:t>, trans. by Frances Rita Ryan (New York: Columbia University Press, 1969)</w:t>
      </w:r>
    </w:p>
    <w:p w14:paraId="45969F3C" w14:textId="77777777" w:rsidR="00EF1BD9" w:rsidRPr="00EF1BD9" w:rsidRDefault="00EF1BD9" w:rsidP="00EF1BD9">
      <w:pPr>
        <w:spacing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 xml:space="preserve">Hillenbrand, Carole. </w:t>
      </w:r>
      <w:r w:rsidRPr="00EF1BD9">
        <w:rPr>
          <w:rFonts w:ascii="Calibri" w:eastAsia="Times New Roman" w:hAnsi="Calibri" w:cs="Calibri"/>
          <w:i/>
          <w:iCs/>
          <w:kern w:val="0"/>
          <w:lang w:eastAsia="en-GB"/>
          <w14:ligatures w14:val="none"/>
        </w:rPr>
        <w:t>The Crusades: Islamic Perspectives</w:t>
      </w:r>
      <w:r w:rsidRPr="00EF1BD9">
        <w:rPr>
          <w:rFonts w:ascii="Calibri" w:eastAsia="Times New Roman" w:hAnsi="Calibri" w:cs="Calibri"/>
          <w:kern w:val="0"/>
          <w:lang w:eastAsia="en-GB"/>
          <w14:ligatures w14:val="none"/>
        </w:rPr>
        <w:t xml:space="preserve"> (Edinburgh: Edinburgh University Press, 1999)</w:t>
      </w:r>
    </w:p>
    <w:p w14:paraId="72498C76" w14:textId="77777777" w:rsidR="00EF1BD9" w:rsidRPr="00EF1BD9" w:rsidRDefault="00EF1BD9" w:rsidP="00EF1BD9">
      <w:pPr>
        <w:spacing w:after="240"/>
        <w:ind w:left="360"/>
        <w:rPr>
          <w:rFonts w:ascii="Calibri" w:eastAsia="Times New Roman" w:hAnsi="Calibri" w:cs="Calibri"/>
          <w:kern w:val="0"/>
          <w:lang w:eastAsia="en-GB"/>
          <w14:ligatures w14:val="none"/>
        </w:rPr>
      </w:pPr>
      <w:proofErr w:type="spellStart"/>
      <w:r w:rsidRPr="00EF1BD9">
        <w:rPr>
          <w:rFonts w:ascii="Calibri" w:eastAsia="Times New Roman" w:hAnsi="Calibri" w:cs="Calibri"/>
          <w:kern w:val="0"/>
          <w:lang w:eastAsia="en-GB"/>
          <w14:ligatures w14:val="none"/>
        </w:rPr>
        <w:t>Kedar</w:t>
      </w:r>
      <w:proofErr w:type="spellEnd"/>
      <w:r w:rsidRPr="00EF1BD9">
        <w:rPr>
          <w:rFonts w:ascii="Calibri" w:eastAsia="Times New Roman" w:hAnsi="Calibri" w:cs="Calibri"/>
          <w:kern w:val="0"/>
          <w:lang w:eastAsia="en-GB"/>
          <w14:ligatures w14:val="none"/>
        </w:rPr>
        <w:t xml:space="preserve">, Benjamin Z. </w:t>
      </w:r>
      <w:r w:rsidRPr="00EF1BD9">
        <w:rPr>
          <w:rFonts w:ascii="Calibri" w:eastAsia="Times New Roman" w:hAnsi="Calibri" w:cs="Calibri"/>
          <w:i/>
          <w:iCs/>
          <w:kern w:val="0"/>
          <w:lang w:eastAsia="en-GB"/>
          <w14:ligatures w14:val="none"/>
        </w:rPr>
        <w:t xml:space="preserve">Franks, </w:t>
      </w:r>
      <w:proofErr w:type="gramStart"/>
      <w:r w:rsidRPr="00EF1BD9">
        <w:rPr>
          <w:rFonts w:ascii="Calibri" w:eastAsia="Times New Roman" w:hAnsi="Calibri" w:cs="Calibri"/>
          <w:i/>
          <w:iCs/>
          <w:kern w:val="0"/>
          <w:lang w:eastAsia="en-GB"/>
          <w14:ligatures w14:val="none"/>
        </w:rPr>
        <w:t>Muslims</w:t>
      </w:r>
      <w:proofErr w:type="gramEnd"/>
      <w:r w:rsidRPr="00EF1BD9">
        <w:rPr>
          <w:rFonts w:ascii="Calibri" w:eastAsia="Times New Roman" w:hAnsi="Calibri" w:cs="Calibri"/>
          <w:i/>
          <w:iCs/>
          <w:kern w:val="0"/>
          <w:lang w:eastAsia="en-GB"/>
          <w14:ligatures w14:val="none"/>
        </w:rPr>
        <w:t xml:space="preserve"> and Oriental Christians in the Latin Levant: Studies in Frontier Acculturation</w:t>
      </w:r>
      <w:r w:rsidRPr="00EF1BD9">
        <w:rPr>
          <w:rFonts w:ascii="Calibri" w:eastAsia="Times New Roman" w:hAnsi="Calibri" w:cs="Calibri"/>
          <w:kern w:val="0"/>
          <w:lang w:eastAsia="en-GB"/>
          <w14:ligatures w14:val="none"/>
        </w:rPr>
        <w:t xml:space="preserve"> (Aldershot: Variorum, 2006)</w:t>
      </w:r>
    </w:p>
    <w:p w14:paraId="62CA9A92" w14:textId="2C887EBE" w:rsidR="00EF1BD9" w:rsidRPr="00EF1BD9" w:rsidRDefault="00EF1BD9" w:rsidP="00EF1BD9">
      <w:pPr>
        <w:spacing w:after="240"/>
        <w:ind w:left="360"/>
        <w:rPr>
          <w:rFonts w:ascii="Calibri" w:eastAsia="Times New Roman" w:hAnsi="Calibri" w:cs="Calibri"/>
          <w:kern w:val="0"/>
          <w:lang w:eastAsia="en-GB"/>
          <w14:ligatures w14:val="none"/>
        </w:rPr>
      </w:pP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Christopher. </w:t>
      </w:r>
      <w:r w:rsidRPr="00EF1BD9">
        <w:rPr>
          <w:rFonts w:ascii="Calibri" w:eastAsia="Times New Roman" w:hAnsi="Calibri" w:cs="Calibri"/>
          <w:i/>
          <w:iCs/>
          <w:kern w:val="0"/>
          <w:lang w:eastAsia="en-GB"/>
          <w14:ligatures w14:val="none"/>
        </w:rPr>
        <w:t>The Crusades and the Christian World of the East: Rough Tolerance</w:t>
      </w:r>
      <w:r w:rsidRPr="00EF1BD9">
        <w:rPr>
          <w:rFonts w:ascii="Calibri" w:eastAsia="Times New Roman" w:hAnsi="Calibri" w:cs="Calibri"/>
          <w:kern w:val="0"/>
          <w:lang w:eastAsia="en-GB"/>
          <w14:ligatures w14:val="none"/>
        </w:rPr>
        <w:t xml:space="preserve"> (Philadelphia: University of Pennsylvania Press, 2008)</w:t>
      </w:r>
    </w:p>
    <w:p w14:paraId="007304CE" w14:textId="5D08A38C" w:rsidR="00EF1BD9" w:rsidRPr="00EF1BD9" w:rsidRDefault="00EF1BD9" w:rsidP="00EF1BD9">
      <w:pPr>
        <w:spacing w:before="100" w:beforeAutospacing="1"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Madden, Thomas F. </w:t>
      </w:r>
      <w:r w:rsidRPr="00EF1BD9">
        <w:rPr>
          <w:rFonts w:ascii="Calibri" w:eastAsia="Times New Roman" w:hAnsi="Calibri" w:cs="Calibri"/>
          <w:i/>
          <w:iCs/>
          <w:kern w:val="0"/>
          <w:lang w:eastAsia="en-GB"/>
          <w14:ligatures w14:val="none"/>
        </w:rPr>
        <w:t>The New Concise History of the Crusades</w:t>
      </w:r>
      <w:r w:rsidRPr="00EF1BD9">
        <w:rPr>
          <w:rFonts w:ascii="Calibri" w:eastAsia="Times New Roman" w:hAnsi="Calibri" w:cs="Calibri"/>
          <w:kern w:val="0"/>
          <w:lang w:eastAsia="en-GB"/>
          <w14:ligatures w14:val="none"/>
        </w:rPr>
        <w:t> (Lanham, MD: Rowman &amp; Littlefield, 2005)</w:t>
      </w:r>
    </w:p>
    <w:p w14:paraId="67AA9184" w14:textId="65BE7EEB" w:rsidR="00EF1BD9" w:rsidRPr="00EF1BD9" w:rsidRDefault="00EF1BD9" w:rsidP="00EF1BD9">
      <w:pPr>
        <w:spacing w:before="100" w:beforeAutospacing="1"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Morton, Nicholas. </w:t>
      </w:r>
      <w:r w:rsidRPr="00EF1BD9">
        <w:rPr>
          <w:rFonts w:ascii="Calibri" w:eastAsia="Times New Roman" w:hAnsi="Calibri" w:cs="Calibri"/>
          <w:i/>
          <w:iCs/>
          <w:kern w:val="0"/>
          <w:lang w:eastAsia="en-GB"/>
          <w14:ligatures w14:val="none"/>
        </w:rPr>
        <w:t>Encountering Islam on the First Crusade</w:t>
      </w:r>
      <w:r w:rsidRPr="00EF1BD9">
        <w:rPr>
          <w:rFonts w:ascii="Calibri" w:eastAsia="Times New Roman" w:hAnsi="Calibri" w:cs="Calibri"/>
          <w:kern w:val="0"/>
          <w:lang w:eastAsia="en-GB"/>
          <w14:ligatures w14:val="none"/>
        </w:rPr>
        <w:t> (Cambridge, England: Cambridge University Press, 2017)</w:t>
      </w:r>
    </w:p>
    <w:p w14:paraId="2A37D0C4" w14:textId="28909525" w:rsidR="00EF1BD9" w:rsidRPr="00EF1BD9" w:rsidRDefault="00EF1BD9" w:rsidP="00EF1BD9">
      <w:pPr>
        <w:spacing w:after="240"/>
        <w:ind w:left="360"/>
        <w:rPr>
          <w:rFonts w:ascii="Calibri" w:hAnsi="Calibri" w:cs="Calibri"/>
        </w:rPr>
      </w:pPr>
      <w:r w:rsidRPr="00EF1BD9">
        <w:rPr>
          <w:rFonts w:ascii="Calibri" w:hAnsi="Calibri" w:cs="Calibri"/>
        </w:rPr>
        <w:t>Peters, Edward (ed.). 1998. The First Crusade: “The Chronicle of Fulcher of Chartres” and Other Source Materials (Baltimore, MD: University of Pennsylvania Press) &lt;https://doi.org/10.9783/9780812204728&gt;</w:t>
      </w:r>
    </w:p>
    <w:p w14:paraId="669F1C10" w14:textId="4D04A8F1" w:rsidR="00EF1BD9" w:rsidRPr="00EF1BD9" w:rsidRDefault="00EF1BD9" w:rsidP="00EF1BD9">
      <w:pPr>
        <w:spacing w:before="100" w:beforeAutospacing="1"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Riley-Smith, Jonathan. </w:t>
      </w:r>
      <w:r w:rsidRPr="00EF1BD9">
        <w:rPr>
          <w:rFonts w:ascii="Calibri" w:eastAsia="Times New Roman" w:hAnsi="Calibri" w:cs="Calibri"/>
          <w:i/>
          <w:iCs/>
          <w:kern w:val="0"/>
          <w:lang w:eastAsia="en-GB"/>
          <w14:ligatures w14:val="none"/>
        </w:rPr>
        <w:t>The First Crusade and the Idea of Crusading</w:t>
      </w:r>
      <w:r w:rsidRPr="00EF1BD9">
        <w:rPr>
          <w:rFonts w:ascii="Calibri" w:eastAsia="Times New Roman" w:hAnsi="Calibri" w:cs="Calibri"/>
          <w:kern w:val="0"/>
          <w:lang w:eastAsia="en-GB"/>
          <w14:ligatures w14:val="none"/>
        </w:rPr>
        <w:t> (London, England: Leicester University Press</w:t>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2003)</w:t>
      </w:r>
    </w:p>
    <w:p w14:paraId="5947BB90" w14:textId="484A0FEF" w:rsidR="00EF1BD9" w:rsidRPr="00EF1BD9" w:rsidRDefault="00EF1BD9" w:rsidP="00EF1BD9">
      <w:pPr>
        <w:spacing w:before="100" w:beforeAutospacing="1" w:after="240"/>
        <w:ind w:left="360"/>
        <w:rPr>
          <w:rFonts w:ascii="Calibri" w:eastAsia="Times New Roman" w:hAnsi="Calibri" w:cs="Calibri"/>
          <w:kern w:val="0"/>
          <w:lang w:eastAsia="en-GB"/>
          <w14:ligatures w14:val="none"/>
        </w:rPr>
      </w:pPr>
      <w:r w:rsidRPr="00EF1BD9">
        <w:rPr>
          <w:rFonts w:ascii="Calibri" w:eastAsia="Times New Roman" w:hAnsi="Calibri" w:cs="Calibri"/>
          <w:kern w:val="0"/>
          <w:lang w:eastAsia="en-GB"/>
          <w14:ligatures w14:val="none"/>
        </w:rPr>
        <w:t>Tyerman, Christopher. </w:t>
      </w:r>
      <w:r w:rsidRPr="00EF1BD9">
        <w:rPr>
          <w:rFonts w:ascii="Calibri" w:eastAsia="Times New Roman" w:hAnsi="Calibri" w:cs="Calibri"/>
          <w:i/>
          <w:iCs/>
          <w:kern w:val="0"/>
          <w:lang w:eastAsia="en-GB"/>
          <w14:ligatures w14:val="none"/>
        </w:rPr>
        <w:t>God’s War: A New History of the Crusades</w:t>
      </w:r>
      <w:r w:rsidRPr="00EF1BD9">
        <w:rPr>
          <w:rFonts w:ascii="Calibri" w:eastAsia="Times New Roman" w:hAnsi="Calibri" w:cs="Calibri"/>
          <w:kern w:val="0"/>
          <w:lang w:eastAsia="en-GB"/>
          <w14:ligatures w14:val="none"/>
        </w:rPr>
        <w:t> (New Delhi, India: Allen Lane</w:t>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kern w:val="0"/>
          <w:lang w:eastAsia="en-GB"/>
          <w14:ligatures w14:val="none"/>
        </w:rPr>
        <w:t>2006)</w:t>
      </w:r>
    </w:p>
    <w:p w14:paraId="671F7977" w14:textId="77777777" w:rsidR="00EF1BD9" w:rsidRPr="00EF1BD9" w:rsidRDefault="00EF1BD9" w:rsidP="00EF1BD9">
      <w:pPr>
        <w:rPr>
          <w:rFonts w:ascii="Calibri" w:eastAsia="Times New Roman" w:hAnsi="Calibri" w:cs="Calibri"/>
          <w:kern w:val="0"/>
          <w:lang w:eastAsia="en-GB"/>
          <w14:ligatures w14:val="none"/>
        </w:rPr>
      </w:pPr>
    </w:p>
    <w:sectPr w:rsidR="00EF1BD9" w:rsidRPr="00EF1B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3C256" w14:textId="77777777" w:rsidR="0044680E" w:rsidRDefault="0044680E" w:rsidP="00EF1BD9">
      <w:r>
        <w:separator/>
      </w:r>
    </w:p>
  </w:endnote>
  <w:endnote w:type="continuationSeparator" w:id="0">
    <w:p w14:paraId="3855AEFF" w14:textId="77777777" w:rsidR="0044680E" w:rsidRDefault="0044680E" w:rsidP="00EF1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CACD4" w14:textId="77777777" w:rsidR="0044680E" w:rsidRDefault="0044680E" w:rsidP="00EF1BD9">
      <w:r>
        <w:separator/>
      </w:r>
    </w:p>
  </w:footnote>
  <w:footnote w:type="continuationSeparator" w:id="0">
    <w:p w14:paraId="0AA58E74" w14:textId="77777777" w:rsidR="0044680E" w:rsidRDefault="0044680E" w:rsidP="00EF1BD9">
      <w:r>
        <w:continuationSeparator/>
      </w:r>
    </w:p>
  </w:footnote>
  <w:footnote w:id="1">
    <w:p w14:paraId="0D7ABCF8" w14:textId="13A33A86"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Fulcher of Chartres, </w:t>
      </w:r>
      <w:r w:rsidRPr="00EF1BD9">
        <w:rPr>
          <w:rFonts w:ascii="Calibri" w:eastAsia="Times New Roman" w:hAnsi="Calibri" w:cs="Calibri"/>
          <w:i/>
          <w:iCs/>
          <w:kern w:val="0"/>
          <w:lang w:eastAsia="en-GB"/>
          <w14:ligatures w14:val="none"/>
        </w:rPr>
        <w:t>A History of the Expedition to Jerusalem, 1095–1127</w:t>
      </w:r>
      <w:r w:rsidRPr="00EF1BD9">
        <w:rPr>
          <w:rFonts w:ascii="Calibri" w:eastAsia="Times New Roman" w:hAnsi="Calibri" w:cs="Calibri"/>
          <w:kern w:val="0"/>
          <w:lang w:eastAsia="en-GB"/>
          <w14:ligatures w14:val="none"/>
        </w:rPr>
        <w:t>, trans. by Frances Rita Ryan (New York: Columbia University Press, 1969), p. 229</w:t>
      </w:r>
    </w:p>
  </w:footnote>
  <w:footnote w:id="2">
    <w:p w14:paraId="329A84DB" w14:textId="186A457D" w:rsidR="00EF1BD9" w:rsidRDefault="00EF1BD9">
      <w:pPr>
        <w:pStyle w:val="FootnoteText"/>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Jaroslav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Crusader Art in the Holy Land, From the Third Crusade to the Fall of Acre, 1187–1291</w:t>
      </w:r>
      <w:r w:rsidRPr="00EF1BD9">
        <w:rPr>
          <w:rFonts w:ascii="Calibri" w:eastAsia="Times New Roman" w:hAnsi="Calibri" w:cs="Calibri"/>
          <w:kern w:val="0"/>
          <w:lang w:eastAsia="en-GB"/>
          <w14:ligatures w14:val="none"/>
        </w:rPr>
        <w:t xml:space="preserve"> (Cambridge: Cambridge University Press, 2005), pp. 112–134.</w:t>
      </w:r>
    </w:p>
  </w:footnote>
  <w:footnote w:id="3">
    <w:p w14:paraId="2F77CBD5" w14:textId="63B3DFFF"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Malcolm Barber, </w:t>
      </w:r>
      <w:r w:rsidRPr="00EF1BD9">
        <w:rPr>
          <w:rFonts w:ascii="Calibri" w:eastAsia="Times New Roman" w:hAnsi="Calibri" w:cs="Calibri"/>
          <w:i/>
          <w:iCs/>
          <w:kern w:val="0"/>
          <w:lang w:eastAsia="en-GB"/>
          <w14:ligatures w14:val="none"/>
        </w:rPr>
        <w:t>The Crusader States</w:t>
      </w:r>
      <w:r w:rsidRPr="00EF1BD9">
        <w:rPr>
          <w:rFonts w:ascii="Calibri" w:eastAsia="Times New Roman" w:hAnsi="Calibri" w:cs="Calibri"/>
          <w:kern w:val="0"/>
          <w:lang w:eastAsia="en-GB"/>
          <w14:ligatures w14:val="none"/>
        </w:rPr>
        <w:t xml:space="preserve"> (New Haven: Yale University Press, 2012), p. 145.</w:t>
      </w:r>
    </w:p>
  </w:footnote>
  <w:footnote w:id="4">
    <w:p w14:paraId="251C1221" w14:textId="18F3FB62"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Ronnie </w:t>
      </w:r>
      <w:proofErr w:type="spellStart"/>
      <w:r w:rsidRPr="00EF1BD9">
        <w:rPr>
          <w:rFonts w:ascii="Calibri" w:eastAsia="Times New Roman" w:hAnsi="Calibri" w:cs="Calibri"/>
          <w:kern w:val="0"/>
          <w:lang w:eastAsia="en-GB"/>
          <w14:ligatures w14:val="none"/>
        </w:rPr>
        <w:t>Ellenblum</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Frankish Rural Settlement in the Latin Kingdom of Jerusalem</w:t>
      </w:r>
      <w:r w:rsidRPr="00EF1BD9">
        <w:rPr>
          <w:rFonts w:ascii="Calibri" w:eastAsia="Times New Roman" w:hAnsi="Calibri" w:cs="Calibri"/>
          <w:kern w:val="0"/>
          <w:lang w:eastAsia="en-GB"/>
          <w14:ligatures w14:val="none"/>
        </w:rPr>
        <w:t xml:space="preserve"> (Cambridge: Cambridge University Press, 1998), pp. 97–99.</w:t>
      </w:r>
    </w:p>
  </w:footnote>
  <w:footnote w:id="5">
    <w:p w14:paraId="32B57ED2" w14:textId="3534A64F"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Crusader Art</w:t>
      </w:r>
      <w:r w:rsidRPr="00EF1BD9">
        <w:rPr>
          <w:rFonts w:ascii="Calibri" w:eastAsia="Times New Roman" w:hAnsi="Calibri" w:cs="Calibri"/>
          <w:kern w:val="0"/>
          <w:lang w:eastAsia="en-GB"/>
          <w14:ligatures w14:val="none"/>
        </w:rPr>
        <w:t>, p. 452.</w:t>
      </w:r>
    </w:p>
  </w:footnote>
  <w:footnote w:id="6">
    <w:p w14:paraId="7489B585" w14:textId="5240D78C"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Barber, </w:t>
      </w:r>
      <w:r w:rsidRPr="00EF1BD9">
        <w:rPr>
          <w:rFonts w:ascii="Calibri" w:eastAsia="Times New Roman" w:hAnsi="Calibri" w:cs="Calibri"/>
          <w:i/>
          <w:iCs/>
          <w:kern w:val="0"/>
          <w:lang w:eastAsia="en-GB"/>
          <w14:ligatures w14:val="none"/>
        </w:rPr>
        <w:t>The Crusader States</w:t>
      </w:r>
      <w:r w:rsidRPr="00EF1BD9">
        <w:rPr>
          <w:rFonts w:ascii="Calibri" w:eastAsia="Times New Roman" w:hAnsi="Calibri" w:cs="Calibri"/>
          <w:kern w:val="0"/>
          <w:lang w:eastAsia="en-GB"/>
          <w14:ligatures w14:val="none"/>
        </w:rPr>
        <w:t>, pp. 139–140.</w:t>
      </w:r>
    </w:p>
  </w:footnote>
  <w:footnote w:id="7">
    <w:p w14:paraId="1D5F0BE1" w14:textId="0F4A9E84" w:rsidR="00EF1BD9" w:rsidRDefault="00EF1BD9">
      <w:pPr>
        <w:pStyle w:val="FootnoteText"/>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eastAsia="Times New Roman" w:hAnsi="Calibri" w:cs="Calibri"/>
          <w:kern w:val="0"/>
          <w:lang w:eastAsia="en-GB"/>
          <w14:ligatures w14:val="none"/>
        </w:rPr>
        <w:t>Folda</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Crusader Art</w:t>
      </w:r>
      <w:r w:rsidRPr="00EF1BD9">
        <w:rPr>
          <w:rFonts w:ascii="Calibri" w:eastAsia="Times New Roman" w:hAnsi="Calibri" w:cs="Calibri"/>
          <w:kern w:val="0"/>
          <w:lang w:eastAsia="en-GB"/>
          <w14:ligatures w14:val="none"/>
        </w:rPr>
        <w:t>, p. 516.</w:t>
      </w:r>
    </w:p>
  </w:footnote>
  <w:footnote w:id="8">
    <w:p w14:paraId="166D901F" w14:textId="61D30FE6"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Peter W. </w:t>
      </w:r>
      <w:proofErr w:type="spellStart"/>
      <w:r w:rsidRPr="00EF1BD9">
        <w:rPr>
          <w:rFonts w:ascii="Calibri" w:eastAsia="Times New Roman" w:hAnsi="Calibri" w:cs="Calibri"/>
          <w:kern w:val="0"/>
          <w:lang w:eastAsia="en-GB"/>
          <w14:ligatures w14:val="none"/>
        </w:rPr>
        <w:t>Edbury</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The Laws of the Kingdom of Jerusalem: The Assizes of Jerusalem</w:t>
      </w:r>
      <w:r w:rsidRPr="00EF1BD9">
        <w:rPr>
          <w:rFonts w:ascii="Calibri" w:eastAsia="Times New Roman" w:hAnsi="Calibri" w:cs="Calibri"/>
          <w:kern w:val="0"/>
          <w:lang w:eastAsia="en-GB"/>
          <w14:ligatures w14:val="none"/>
        </w:rPr>
        <w:t xml:space="preserve"> (Oxford: Oxford University Press, 2000), p. 19.</w:t>
      </w:r>
    </w:p>
  </w:footnote>
  <w:footnote w:id="9">
    <w:p w14:paraId="783D3F9C" w14:textId="39C6A3FB"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Benjamin Z. </w:t>
      </w:r>
      <w:proofErr w:type="spellStart"/>
      <w:r w:rsidRPr="00EF1BD9">
        <w:rPr>
          <w:rFonts w:ascii="Calibri" w:eastAsia="Times New Roman" w:hAnsi="Calibri" w:cs="Calibri"/>
          <w:kern w:val="0"/>
          <w:lang w:eastAsia="en-GB"/>
          <w14:ligatures w14:val="none"/>
        </w:rPr>
        <w:t>Kedar</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 xml:space="preserve">Franks, </w:t>
      </w:r>
      <w:proofErr w:type="gramStart"/>
      <w:r w:rsidRPr="00EF1BD9">
        <w:rPr>
          <w:rFonts w:ascii="Calibri" w:eastAsia="Times New Roman" w:hAnsi="Calibri" w:cs="Calibri"/>
          <w:i/>
          <w:iCs/>
          <w:kern w:val="0"/>
          <w:lang w:eastAsia="en-GB"/>
          <w14:ligatures w14:val="none"/>
        </w:rPr>
        <w:t>Muslims</w:t>
      </w:r>
      <w:proofErr w:type="gramEnd"/>
      <w:r w:rsidRPr="00EF1BD9">
        <w:rPr>
          <w:rFonts w:ascii="Calibri" w:eastAsia="Times New Roman" w:hAnsi="Calibri" w:cs="Calibri"/>
          <w:i/>
          <w:iCs/>
          <w:kern w:val="0"/>
          <w:lang w:eastAsia="en-GB"/>
          <w14:ligatures w14:val="none"/>
        </w:rPr>
        <w:t xml:space="preserve"> and Oriental Christians in the Latin Levant: Studies in Frontier Acculturation</w:t>
      </w:r>
      <w:r w:rsidRPr="00EF1BD9">
        <w:rPr>
          <w:rFonts w:ascii="Calibri" w:eastAsia="Times New Roman" w:hAnsi="Calibri" w:cs="Calibri"/>
          <w:kern w:val="0"/>
          <w:lang w:eastAsia="en-GB"/>
          <w14:ligatures w14:val="none"/>
        </w:rPr>
        <w:t xml:space="preserve"> (Aldershot: Variorum, 2006), pp. 72–74.</w:t>
      </w:r>
    </w:p>
  </w:footnote>
  <w:footnote w:id="10">
    <w:p w14:paraId="49E46C3B" w14:textId="24F9EA3C" w:rsidR="00EF1BD9" w:rsidRPr="00EF1BD9" w:rsidRDefault="00EF1BD9">
      <w:pPr>
        <w:pStyle w:val="FootnoteText"/>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hAnsi="Calibri" w:cs="Calibri"/>
        </w:rPr>
        <w:t>Kedar</w:t>
      </w:r>
      <w:proofErr w:type="spellEnd"/>
      <w:r w:rsidRPr="00EF1BD9">
        <w:rPr>
          <w:rFonts w:ascii="Calibri" w:hAnsi="Calibri" w:cs="Calibri"/>
        </w:rPr>
        <w:t xml:space="preserve">, </w:t>
      </w:r>
      <w:r w:rsidRPr="00EF1BD9">
        <w:rPr>
          <w:rFonts w:ascii="Calibri" w:hAnsi="Calibri" w:cs="Calibri"/>
          <w:i/>
          <w:iCs/>
        </w:rPr>
        <w:t>On the origins of the earliest laws of Frankish Jerusalem: the canons of the Council of Nablus, 1120 Speculum 74. Cambridge, MA: The Medieval Academy of America, 1999</w:t>
      </w:r>
      <w:r w:rsidRPr="00EF1BD9">
        <w:rPr>
          <w:rFonts w:ascii="Calibri" w:hAnsi="Calibri" w:cs="Calibri"/>
          <w:i/>
          <w:iCs/>
        </w:rPr>
        <w:t xml:space="preserve"> </w:t>
      </w:r>
      <w:r w:rsidRPr="00EF1BD9">
        <w:rPr>
          <w:rFonts w:ascii="Calibri" w:hAnsi="Calibri" w:cs="Calibri"/>
        </w:rPr>
        <w:t>in</w:t>
      </w:r>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Frontier Acculturation</w:t>
      </w:r>
    </w:p>
  </w:footnote>
  <w:footnote w:id="11">
    <w:p w14:paraId="5ACCB831" w14:textId="70698D4F"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Christopher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 xml:space="preserve">The </w:t>
      </w:r>
      <w:proofErr w:type="gramStart"/>
      <w:r w:rsidRPr="00EF1BD9">
        <w:rPr>
          <w:rFonts w:ascii="Calibri" w:eastAsia="Times New Roman" w:hAnsi="Calibri" w:cs="Calibri"/>
          <w:i/>
          <w:iCs/>
          <w:kern w:val="0"/>
          <w:lang w:eastAsia="en-GB"/>
          <w14:ligatures w14:val="none"/>
        </w:rPr>
        <w:t>Crusades</w:t>
      </w:r>
      <w:proofErr w:type="gramEnd"/>
      <w:r w:rsidRPr="00EF1BD9">
        <w:rPr>
          <w:rFonts w:ascii="Calibri" w:eastAsia="Times New Roman" w:hAnsi="Calibri" w:cs="Calibri"/>
          <w:i/>
          <w:iCs/>
          <w:kern w:val="0"/>
          <w:lang w:eastAsia="en-GB"/>
          <w14:ligatures w14:val="none"/>
        </w:rPr>
        <w:t xml:space="preserve"> and the Christian World of the East: Rough Tolerance</w:t>
      </w:r>
      <w:r w:rsidRPr="00EF1BD9">
        <w:rPr>
          <w:rFonts w:ascii="Calibri" w:eastAsia="Times New Roman" w:hAnsi="Calibri" w:cs="Calibri"/>
          <w:kern w:val="0"/>
          <w:lang w:eastAsia="en-GB"/>
          <w14:ligatures w14:val="none"/>
        </w:rPr>
        <w:t xml:space="preserve"> (Philadelphia: University of Pennsylvania Press, 2008), p. 5</w:t>
      </w:r>
    </w:p>
  </w:footnote>
  <w:footnote w:id="12">
    <w:p w14:paraId="4E287190" w14:textId="0A7F9C27"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Rough Tolerance</w:t>
      </w:r>
      <w:r w:rsidRPr="00EF1BD9">
        <w:rPr>
          <w:rFonts w:ascii="Calibri" w:eastAsia="Times New Roman" w:hAnsi="Calibri" w:cs="Calibri"/>
          <w:kern w:val="0"/>
          <w:lang w:eastAsia="en-GB"/>
          <w14:ligatures w14:val="none"/>
        </w:rPr>
        <w:t>, p. 17.</w:t>
      </w:r>
    </w:p>
  </w:footnote>
  <w:footnote w:id="13">
    <w:p w14:paraId="4A6164C6" w14:textId="234F71EF" w:rsidR="00EF1BD9" w:rsidRPr="00EF1BD9" w:rsidRDefault="00EF1BD9" w:rsidP="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hAnsi="Calibri" w:cs="Calibri"/>
        </w:rPr>
        <w:t>K</w:t>
      </w:r>
      <w:r>
        <w:rPr>
          <w:rFonts w:ascii="Calibri" w:hAnsi="Calibri" w:cs="Calibri"/>
        </w:rPr>
        <w:t>e</w:t>
      </w:r>
      <w:r w:rsidRPr="00EF1BD9">
        <w:rPr>
          <w:rFonts w:ascii="Calibri" w:hAnsi="Calibri" w:cs="Calibri"/>
        </w:rPr>
        <w:t>dar</w:t>
      </w:r>
      <w:proofErr w:type="spellEnd"/>
      <w:r w:rsidRPr="00EF1BD9">
        <w:rPr>
          <w:rFonts w:ascii="Calibri" w:hAnsi="Calibri" w:cs="Calibri"/>
        </w:rPr>
        <w:t xml:space="preserve">, </w:t>
      </w:r>
      <w:r w:rsidRPr="00EF1BD9">
        <w:rPr>
          <w:rFonts w:ascii="Calibri" w:hAnsi="Calibri" w:cs="Calibri"/>
          <w:i/>
          <w:iCs/>
        </w:rPr>
        <w:t>Muslim villagers of the Frankish Kingdom of Jerusalem: some demographic and onomastic data</w:t>
      </w:r>
      <w:r w:rsidRPr="00EF1BD9">
        <w:rPr>
          <w:rFonts w:ascii="Calibri" w:hAnsi="Calibri" w:cs="Calibri"/>
          <w:i/>
          <w:iCs/>
        </w:rPr>
        <w:t xml:space="preserve"> </w:t>
      </w:r>
      <w:r w:rsidRPr="00EF1BD9">
        <w:rPr>
          <w:rFonts w:ascii="Calibri" w:hAnsi="Calibri" w:cs="Calibri"/>
          <w:i/>
          <w:iCs/>
        </w:rPr>
        <w:t>(with Muhammad al-</w:t>
      </w:r>
      <w:proofErr w:type="spellStart"/>
      <w:r w:rsidRPr="00EF1BD9">
        <w:rPr>
          <w:rFonts w:ascii="Calibri" w:hAnsi="Calibri" w:cs="Calibri"/>
          <w:i/>
          <w:iCs/>
        </w:rPr>
        <w:t>Hajjüj</w:t>
      </w:r>
      <w:proofErr w:type="spellEnd"/>
      <w:r w:rsidRPr="00EF1BD9">
        <w:rPr>
          <w:rFonts w:ascii="Calibri" w:hAnsi="Calibri" w:cs="Calibri"/>
          <w:i/>
          <w:iCs/>
        </w:rPr>
        <w:t>)</w:t>
      </w:r>
      <w:r w:rsidRPr="00EF1BD9">
        <w:rPr>
          <w:rFonts w:ascii="Calibri" w:hAnsi="Calibri" w:cs="Calibri"/>
          <w:i/>
          <w:iCs/>
        </w:rPr>
        <w:t xml:space="preserve">, </w:t>
      </w:r>
      <w:proofErr w:type="spellStart"/>
      <w:r w:rsidRPr="00EF1BD9">
        <w:rPr>
          <w:rFonts w:ascii="Calibri" w:hAnsi="Calibri" w:cs="Calibri"/>
          <w:i/>
          <w:iCs/>
        </w:rPr>
        <w:t>Itinéraires</w:t>
      </w:r>
      <w:proofErr w:type="spellEnd"/>
      <w:r w:rsidRPr="00EF1BD9">
        <w:rPr>
          <w:rFonts w:ascii="Calibri" w:hAnsi="Calibri" w:cs="Calibri"/>
          <w:i/>
          <w:iCs/>
        </w:rPr>
        <w:t xml:space="preserve"> </w:t>
      </w:r>
      <w:proofErr w:type="spellStart"/>
      <w:r w:rsidRPr="00EF1BD9">
        <w:rPr>
          <w:rFonts w:ascii="Calibri" w:hAnsi="Calibri" w:cs="Calibri"/>
          <w:i/>
          <w:iCs/>
        </w:rPr>
        <w:t>d'Orient</w:t>
      </w:r>
      <w:proofErr w:type="spellEnd"/>
      <w:r w:rsidRPr="00EF1BD9">
        <w:rPr>
          <w:rFonts w:ascii="Calibri" w:hAnsi="Calibri" w:cs="Calibri"/>
          <w:i/>
          <w:iCs/>
        </w:rPr>
        <w:t xml:space="preserve">. </w:t>
      </w:r>
      <w:proofErr w:type="spellStart"/>
      <w:r w:rsidRPr="00EF1BD9">
        <w:rPr>
          <w:rFonts w:ascii="Calibri" w:hAnsi="Calibri" w:cs="Calibri"/>
          <w:i/>
          <w:iCs/>
        </w:rPr>
        <w:t>Hommages</w:t>
      </w:r>
      <w:proofErr w:type="spellEnd"/>
      <w:r w:rsidRPr="00EF1BD9">
        <w:rPr>
          <w:rFonts w:ascii="Calibri" w:hAnsi="Calibri" w:cs="Calibri"/>
          <w:i/>
          <w:iCs/>
        </w:rPr>
        <w:t xml:space="preserve"> </w:t>
      </w:r>
      <w:proofErr w:type="spellStart"/>
      <w:r w:rsidRPr="00EF1BD9">
        <w:rPr>
          <w:rFonts w:ascii="Calibri" w:hAnsi="Calibri" w:cs="Calibri"/>
          <w:i/>
          <w:iCs/>
        </w:rPr>
        <w:t>àClaude</w:t>
      </w:r>
      <w:proofErr w:type="spellEnd"/>
      <w:r w:rsidRPr="00EF1BD9">
        <w:rPr>
          <w:rFonts w:ascii="Calibri" w:hAnsi="Calibri" w:cs="Calibri"/>
          <w:i/>
          <w:iCs/>
        </w:rPr>
        <w:t xml:space="preserve"> </w:t>
      </w:r>
      <w:proofErr w:type="spellStart"/>
      <w:r w:rsidRPr="00EF1BD9">
        <w:rPr>
          <w:rFonts w:ascii="Calibri" w:hAnsi="Calibri" w:cs="Calibri"/>
          <w:i/>
          <w:iCs/>
        </w:rPr>
        <w:t>Cahen</w:t>
      </w:r>
      <w:proofErr w:type="spellEnd"/>
      <w:r w:rsidRPr="00EF1BD9">
        <w:rPr>
          <w:rFonts w:ascii="Calibri" w:hAnsi="Calibri" w:cs="Calibri"/>
          <w:i/>
          <w:iCs/>
        </w:rPr>
        <w:t xml:space="preserve">. Res </w:t>
      </w:r>
      <w:proofErr w:type="spellStart"/>
      <w:r w:rsidRPr="00EF1BD9">
        <w:rPr>
          <w:rFonts w:ascii="Calibri" w:hAnsi="Calibri" w:cs="Calibri"/>
          <w:i/>
          <w:iCs/>
        </w:rPr>
        <w:t>Orientales</w:t>
      </w:r>
      <w:proofErr w:type="spellEnd"/>
      <w:r w:rsidRPr="00EF1BD9">
        <w:rPr>
          <w:rFonts w:ascii="Calibri" w:hAnsi="Calibri" w:cs="Calibri"/>
          <w:i/>
          <w:iCs/>
        </w:rPr>
        <w:t xml:space="preserve"> 6. Bures-sur-</w:t>
      </w:r>
      <w:proofErr w:type="spellStart"/>
      <w:r w:rsidRPr="00EF1BD9">
        <w:rPr>
          <w:rFonts w:ascii="Calibri" w:hAnsi="Calibri" w:cs="Calibri"/>
          <w:i/>
          <w:iCs/>
        </w:rPr>
        <w:t>Yvete</w:t>
      </w:r>
      <w:proofErr w:type="spellEnd"/>
      <w:r w:rsidRPr="00EF1BD9">
        <w:rPr>
          <w:rFonts w:ascii="Calibri" w:hAnsi="Calibri" w:cs="Calibri"/>
          <w:i/>
          <w:iCs/>
        </w:rPr>
        <w:t>, 194</w:t>
      </w:r>
      <w:r w:rsidRPr="00EF1BD9">
        <w:rPr>
          <w:rFonts w:ascii="Calibri" w:hAnsi="Calibri" w:cs="Calibri"/>
        </w:rPr>
        <w:t xml:space="preserve"> in </w:t>
      </w:r>
      <w:r w:rsidRPr="00EF1BD9">
        <w:rPr>
          <w:rFonts w:ascii="Calibri" w:eastAsia="Times New Roman" w:hAnsi="Calibri" w:cs="Calibri"/>
          <w:i/>
          <w:iCs/>
          <w:kern w:val="0"/>
          <w:lang w:eastAsia="en-GB"/>
          <w14:ligatures w14:val="none"/>
        </w:rPr>
        <w:t>Frontier Acculturation</w:t>
      </w:r>
    </w:p>
  </w:footnote>
  <w:footnote w:id="14">
    <w:p w14:paraId="58994386" w14:textId="4C76409F" w:rsidR="00EF1BD9" w:rsidRDefault="00EF1BD9">
      <w:pPr>
        <w:pStyle w:val="FootnoteText"/>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Malcolm Barber, </w:t>
      </w:r>
      <w:r w:rsidRPr="00EF1BD9">
        <w:rPr>
          <w:rFonts w:ascii="Calibri" w:eastAsia="Times New Roman" w:hAnsi="Calibri" w:cs="Calibri"/>
          <w:i/>
          <w:iCs/>
          <w:kern w:val="0"/>
          <w:lang w:eastAsia="en-GB"/>
          <w14:ligatures w14:val="none"/>
        </w:rPr>
        <w:t>The Crusader States</w:t>
      </w:r>
      <w:r w:rsidRPr="00EF1BD9">
        <w:rPr>
          <w:rFonts w:ascii="Calibri" w:eastAsia="Times New Roman" w:hAnsi="Calibri" w:cs="Calibri"/>
          <w:kern w:val="0"/>
          <w:lang w:eastAsia="en-GB"/>
          <w14:ligatures w14:val="none"/>
        </w:rPr>
        <w:t xml:space="preserve"> (New Haven: Yale University Press, 2012), p. 163.</w:t>
      </w:r>
    </w:p>
  </w:footnote>
  <w:footnote w:id="15">
    <w:p w14:paraId="624C474E" w14:textId="5B955CD3" w:rsidR="00EF1BD9" w:rsidRPr="00EF1BD9" w:rsidRDefault="00EF1BD9">
      <w:pPr>
        <w:pStyle w:val="FootnoteText"/>
        <w:rPr>
          <w:rFonts w:ascii="Calibri" w:hAnsi="Calibri" w:cs="Calibri"/>
        </w:rPr>
      </w:pPr>
      <w:r w:rsidRPr="00EF1BD9">
        <w:rPr>
          <w:rStyle w:val="FootnoteReference"/>
          <w:rFonts w:ascii="Calibri" w:hAnsi="Calibri" w:cs="Calibri"/>
        </w:rPr>
        <w:footnoteRef/>
      </w:r>
      <w:r w:rsidRPr="00EF1BD9">
        <w:rPr>
          <w:rFonts w:ascii="Calibri" w:hAnsi="Calibri" w:cs="Calibri"/>
        </w:rPr>
        <w:t xml:space="preserve"> </w:t>
      </w:r>
      <w:r w:rsidRPr="00EF1BD9">
        <w:rPr>
          <w:rFonts w:ascii="Calibri" w:eastAsia="Times New Roman" w:hAnsi="Calibri" w:cs="Calibri"/>
          <w:kern w:val="0"/>
          <w:lang w:eastAsia="en-GB"/>
          <w14:ligatures w14:val="none"/>
        </w:rPr>
        <w:t xml:space="preserve">Carole Hillenbrand, </w:t>
      </w:r>
      <w:r w:rsidRPr="00EF1BD9">
        <w:rPr>
          <w:rFonts w:ascii="Calibri" w:eastAsia="Times New Roman" w:hAnsi="Calibri" w:cs="Calibri"/>
          <w:i/>
          <w:iCs/>
          <w:kern w:val="0"/>
          <w:lang w:eastAsia="en-GB"/>
          <w14:ligatures w14:val="none"/>
        </w:rPr>
        <w:t>The Crusades: Islamic Perspectives</w:t>
      </w:r>
      <w:r w:rsidRPr="00EF1BD9">
        <w:rPr>
          <w:rFonts w:ascii="Calibri" w:eastAsia="Times New Roman" w:hAnsi="Calibri" w:cs="Calibri"/>
          <w:kern w:val="0"/>
          <w:lang w:eastAsia="en-GB"/>
          <w14:ligatures w14:val="none"/>
        </w:rPr>
        <w:t xml:space="preserve"> (Edinburgh: Edinburgh University Press, 1999), p. 321.</w:t>
      </w:r>
    </w:p>
  </w:footnote>
  <w:footnote w:id="16">
    <w:p w14:paraId="610CF6BB" w14:textId="1EEA85BA" w:rsidR="00EF1BD9" w:rsidRDefault="00EF1BD9">
      <w:pPr>
        <w:pStyle w:val="FootnoteText"/>
      </w:pPr>
      <w:r w:rsidRPr="00EF1BD9">
        <w:rPr>
          <w:rStyle w:val="FootnoteReference"/>
          <w:rFonts w:ascii="Calibri" w:hAnsi="Calibri" w:cs="Calibri"/>
        </w:rPr>
        <w:footnoteRef/>
      </w:r>
      <w:r w:rsidRPr="00EF1BD9">
        <w:rPr>
          <w:rFonts w:ascii="Calibri" w:hAnsi="Calibri" w:cs="Calibri"/>
        </w:rPr>
        <w:t xml:space="preserve"> </w:t>
      </w:r>
      <w:proofErr w:type="spellStart"/>
      <w:r w:rsidRPr="00EF1BD9">
        <w:rPr>
          <w:rFonts w:ascii="Calibri" w:eastAsia="Times New Roman" w:hAnsi="Calibri" w:cs="Calibri"/>
          <w:kern w:val="0"/>
          <w:lang w:eastAsia="en-GB"/>
          <w14:ligatures w14:val="none"/>
        </w:rPr>
        <w:t>MacEvitt</w:t>
      </w:r>
      <w:proofErr w:type="spellEnd"/>
      <w:r w:rsidRPr="00EF1BD9">
        <w:rPr>
          <w:rFonts w:ascii="Calibri" w:eastAsia="Times New Roman" w:hAnsi="Calibri" w:cs="Calibri"/>
          <w:kern w:val="0"/>
          <w:lang w:eastAsia="en-GB"/>
          <w14:ligatures w14:val="none"/>
        </w:rPr>
        <w:t xml:space="preserve">, </w:t>
      </w:r>
      <w:r w:rsidRPr="00EF1BD9">
        <w:rPr>
          <w:rFonts w:ascii="Calibri" w:eastAsia="Times New Roman" w:hAnsi="Calibri" w:cs="Calibri"/>
          <w:i/>
          <w:iCs/>
          <w:kern w:val="0"/>
          <w:lang w:eastAsia="en-GB"/>
          <w14:ligatures w14:val="none"/>
        </w:rPr>
        <w:t>Rough Tolerance</w:t>
      </w:r>
      <w:r w:rsidRPr="00EF1BD9">
        <w:rPr>
          <w:rFonts w:ascii="Calibri" w:eastAsia="Times New Roman" w:hAnsi="Calibri" w:cs="Calibri"/>
          <w:kern w:val="0"/>
          <w:lang w:eastAsia="en-GB"/>
          <w14:ligatures w14:val="none"/>
        </w:rPr>
        <w:t>, p. 103.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665A"/>
    <w:multiLevelType w:val="multilevel"/>
    <w:tmpl w:val="D2FA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DD20E2"/>
    <w:multiLevelType w:val="multilevel"/>
    <w:tmpl w:val="84C8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5F1159"/>
    <w:multiLevelType w:val="hybridMultilevel"/>
    <w:tmpl w:val="7518A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82E7D"/>
    <w:multiLevelType w:val="multilevel"/>
    <w:tmpl w:val="5D78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E87B8D"/>
    <w:multiLevelType w:val="multilevel"/>
    <w:tmpl w:val="2DF0B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562F8E"/>
    <w:multiLevelType w:val="hybridMultilevel"/>
    <w:tmpl w:val="52F847BA"/>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CC50B16"/>
    <w:multiLevelType w:val="multilevel"/>
    <w:tmpl w:val="FFB43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3357270">
    <w:abstractNumId w:val="0"/>
  </w:num>
  <w:num w:numId="2" w16cid:durableId="1099064563">
    <w:abstractNumId w:val="4"/>
  </w:num>
  <w:num w:numId="3" w16cid:durableId="1478565953">
    <w:abstractNumId w:val="6"/>
  </w:num>
  <w:num w:numId="4" w16cid:durableId="1325015606">
    <w:abstractNumId w:val="3"/>
  </w:num>
  <w:num w:numId="5" w16cid:durableId="488062726">
    <w:abstractNumId w:val="1"/>
  </w:num>
  <w:num w:numId="6" w16cid:durableId="1221095526">
    <w:abstractNumId w:val="2"/>
  </w:num>
  <w:num w:numId="7" w16cid:durableId="361515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D9"/>
    <w:rsid w:val="0044680E"/>
    <w:rsid w:val="004F7216"/>
    <w:rsid w:val="009116FB"/>
    <w:rsid w:val="00EF1BD9"/>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E95AF"/>
  <w15:chartTrackingRefBased/>
  <w15:docId w15:val="{919F55D1-B1EA-6C4E-A1BD-B171A0C50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B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B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1B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B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B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B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B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B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B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B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B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1B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B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B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BD9"/>
    <w:rPr>
      <w:rFonts w:eastAsiaTheme="majorEastAsia" w:cstheme="majorBidi"/>
      <w:color w:val="272727" w:themeColor="text1" w:themeTint="D8"/>
    </w:rPr>
  </w:style>
  <w:style w:type="paragraph" w:styleId="Title">
    <w:name w:val="Title"/>
    <w:basedOn w:val="Normal"/>
    <w:next w:val="Normal"/>
    <w:link w:val="TitleChar"/>
    <w:uiPriority w:val="10"/>
    <w:qFormat/>
    <w:rsid w:val="00EF1B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B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B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1BD9"/>
    <w:rPr>
      <w:i/>
      <w:iCs/>
      <w:color w:val="404040" w:themeColor="text1" w:themeTint="BF"/>
    </w:rPr>
  </w:style>
  <w:style w:type="paragraph" w:styleId="ListParagraph">
    <w:name w:val="List Paragraph"/>
    <w:basedOn w:val="Normal"/>
    <w:uiPriority w:val="34"/>
    <w:qFormat/>
    <w:rsid w:val="00EF1BD9"/>
    <w:pPr>
      <w:ind w:left="720"/>
      <w:contextualSpacing/>
    </w:pPr>
  </w:style>
  <w:style w:type="character" w:styleId="IntenseEmphasis">
    <w:name w:val="Intense Emphasis"/>
    <w:basedOn w:val="DefaultParagraphFont"/>
    <w:uiPriority w:val="21"/>
    <w:qFormat/>
    <w:rsid w:val="00EF1BD9"/>
    <w:rPr>
      <w:i/>
      <w:iCs/>
      <w:color w:val="0F4761" w:themeColor="accent1" w:themeShade="BF"/>
    </w:rPr>
  </w:style>
  <w:style w:type="paragraph" w:styleId="IntenseQuote">
    <w:name w:val="Intense Quote"/>
    <w:basedOn w:val="Normal"/>
    <w:next w:val="Normal"/>
    <w:link w:val="IntenseQuoteChar"/>
    <w:uiPriority w:val="30"/>
    <w:qFormat/>
    <w:rsid w:val="00EF1B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BD9"/>
    <w:rPr>
      <w:i/>
      <w:iCs/>
      <w:color w:val="0F4761" w:themeColor="accent1" w:themeShade="BF"/>
    </w:rPr>
  </w:style>
  <w:style w:type="character" w:styleId="IntenseReference">
    <w:name w:val="Intense Reference"/>
    <w:basedOn w:val="DefaultParagraphFont"/>
    <w:uiPriority w:val="32"/>
    <w:qFormat/>
    <w:rsid w:val="00EF1BD9"/>
    <w:rPr>
      <w:b/>
      <w:bCs/>
      <w:smallCaps/>
      <w:color w:val="0F4761" w:themeColor="accent1" w:themeShade="BF"/>
      <w:spacing w:val="5"/>
    </w:rPr>
  </w:style>
  <w:style w:type="paragraph" w:styleId="NormalWeb">
    <w:name w:val="Normal (Web)"/>
    <w:basedOn w:val="Normal"/>
    <w:uiPriority w:val="99"/>
    <w:semiHidden/>
    <w:unhideWhenUsed/>
    <w:rsid w:val="00EF1BD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F1BD9"/>
    <w:rPr>
      <w:b/>
      <w:bCs/>
    </w:rPr>
  </w:style>
  <w:style w:type="character" w:styleId="Emphasis">
    <w:name w:val="Emphasis"/>
    <w:basedOn w:val="DefaultParagraphFont"/>
    <w:uiPriority w:val="20"/>
    <w:qFormat/>
    <w:rsid w:val="00EF1BD9"/>
    <w:rPr>
      <w:i/>
      <w:iCs/>
    </w:rPr>
  </w:style>
  <w:style w:type="character" w:styleId="Hyperlink">
    <w:name w:val="Hyperlink"/>
    <w:basedOn w:val="DefaultParagraphFont"/>
    <w:uiPriority w:val="99"/>
    <w:semiHidden/>
    <w:unhideWhenUsed/>
    <w:rsid w:val="00EF1BD9"/>
    <w:rPr>
      <w:color w:val="0000FF"/>
      <w:u w:val="single"/>
    </w:rPr>
  </w:style>
  <w:style w:type="paragraph" w:styleId="FootnoteText">
    <w:name w:val="footnote text"/>
    <w:basedOn w:val="Normal"/>
    <w:link w:val="FootnoteTextChar"/>
    <w:uiPriority w:val="99"/>
    <w:semiHidden/>
    <w:unhideWhenUsed/>
    <w:rsid w:val="00EF1BD9"/>
    <w:rPr>
      <w:sz w:val="20"/>
      <w:szCs w:val="20"/>
    </w:rPr>
  </w:style>
  <w:style w:type="character" w:customStyle="1" w:styleId="FootnoteTextChar">
    <w:name w:val="Footnote Text Char"/>
    <w:basedOn w:val="DefaultParagraphFont"/>
    <w:link w:val="FootnoteText"/>
    <w:uiPriority w:val="99"/>
    <w:semiHidden/>
    <w:rsid w:val="00EF1BD9"/>
    <w:rPr>
      <w:sz w:val="20"/>
      <w:szCs w:val="20"/>
    </w:rPr>
  </w:style>
  <w:style w:type="character" w:styleId="FootnoteReference">
    <w:name w:val="footnote reference"/>
    <w:basedOn w:val="DefaultParagraphFont"/>
    <w:uiPriority w:val="99"/>
    <w:semiHidden/>
    <w:unhideWhenUsed/>
    <w:rsid w:val="00EF1B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4293">
      <w:bodyDiv w:val="1"/>
      <w:marLeft w:val="0"/>
      <w:marRight w:val="0"/>
      <w:marTop w:val="0"/>
      <w:marBottom w:val="0"/>
      <w:divBdr>
        <w:top w:val="none" w:sz="0" w:space="0" w:color="auto"/>
        <w:left w:val="none" w:sz="0" w:space="0" w:color="auto"/>
        <w:bottom w:val="none" w:sz="0" w:space="0" w:color="auto"/>
        <w:right w:val="none" w:sz="0" w:space="0" w:color="auto"/>
      </w:divBdr>
      <w:divsChild>
        <w:div w:id="1592617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79510">
      <w:bodyDiv w:val="1"/>
      <w:marLeft w:val="0"/>
      <w:marRight w:val="0"/>
      <w:marTop w:val="0"/>
      <w:marBottom w:val="0"/>
      <w:divBdr>
        <w:top w:val="none" w:sz="0" w:space="0" w:color="auto"/>
        <w:left w:val="none" w:sz="0" w:space="0" w:color="auto"/>
        <w:bottom w:val="none" w:sz="0" w:space="0" w:color="auto"/>
        <w:right w:val="none" w:sz="0" w:space="0" w:color="auto"/>
      </w:divBdr>
      <w:divsChild>
        <w:div w:id="2082368283">
          <w:marLeft w:val="0"/>
          <w:marRight w:val="0"/>
          <w:marTop w:val="0"/>
          <w:marBottom w:val="0"/>
          <w:divBdr>
            <w:top w:val="none" w:sz="0" w:space="0" w:color="auto"/>
            <w:left w:val="none" w:sz="0" w:space="0" w:color="auto"/>
            <w:bottom w:val="none" w:sz="0" w:space="0" w:color="auto"/>
            <w:right w:val="none" w:sz="0" w:space="0" w:color="auto"/>
          </w:divBdr>
        </w:div>
      </w:divsChild>
    </w:div>
    <w:div w:id="228469684">
      <w:bodyDiv w:val="1"/>
      <w:marLeft w:val="0"/>
      <w:marRight w:val="0"/>
      <w:marTop w:val="0"/>
      <w:marBottom w:val="0"/>
      <w:divBdr>
        <w:top w:val="none" w:sz="0" w:space="0" w:color="auto"/>
        <w:left w:val="none" w:sz="0" w:space="0" w:color="auto"/>
        <w:bottom w:val="none" w:sz="0" w:space="0" w:color="auto"/>
        <w:right w:val="none" w:sz="0" w:space="0" w:color="auto"/>
      </w:divBdr>
      <w:divsChild>
        <w:div w:id="641429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3592208">
      <w:bodyDiv w:val="1"/>
      <w:marLeft w:val="0"/>
      <w:marRight w:val="0"/>
      <w:marTop w:val="0"/>
      <w:marBottom w:val="0"/>
      <w:divBdr>
        <w:top w:val="none" w:sz="0" w:space="0" w:color="auto"/>
        <w:left w:val="none" w:sz="0" w:space="0" w:color="auto"/>
        <w:bottom w:val="none" w:sz="0" w:space="0" w:color="auto"/>
        <w:right w:val="none" w:sz="0" w:space="0" w:color="auto"/>
      </w:divBdr>
      <w:divsChild>
        <w:div w:id="12928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871983">
      <w:bodyDiv w:val="1"/>
      <w:marLeft w:val="0"/>
      <w:marRight w:val="0"/>
      <w:marTop w:val="0"/>
      <w:marBottom w:val="0"/>
      <w:divBdr>
        <w:top w:val="none" w:sz="0" w:space="0" w:color="auto"/>
        <w:left w:val="none" w:sz="0" w:space="0" w:color="auto"/>
        <w:bottom w:val="none" w:sz="0" w:space="0" w:color="auto"/>
        <w:right w:val="none" w:sz="0" w:space="0" w:color="auto"/>
      </w:divBdr>
      <w:divsChild>
        <w:div w:id="799301012">
          <w:marLeft w:val="0"/>
          <w:marRight w:val="0"/>
          <w:marTop w:val="0"/>
          <w:marBottom w:val="0"/>
          <w:divBdr>
            <w:top w:val="none" w:sz="0" w:space="0" w:color="auto"/>
            <w:left w:val="none" w:sz="0" w:space="0" w:color="auto"/>
            <w:bottom w:val="none" w:sz="0" w:space="0" w:color="auto"/>
            <w:right w:val="none" w:sz="0" w:space="0" w:color="auto"/>
          </w:divBdr>
        </w:div>
      </w:divsChild>
    </w:div>
    <w:div w:id="774835134">
      <w:bodyDiv w:val="1"/>
      <w:marLeft w:val="0"/>
      <w:marRight w:val="0"/>
      <w:marTop w:val="0"/>
      <w:marBottom w:val="0"/>
      <w:divBdr>
        <w:top w:val="none" w:sz="0" w:space="0" w:color="auto"/>
        <w:left w:val="none" w:sz="0" w:space="0" w:color="auto"/>
        <w:bottom w:val="none" w:sz="0" w:space="0" w:color="auto"/>
        <w:right w:val="none" w:sz="0" w:space="0" w:color="auto"/>
      </w:divBdr>
      <w:divsChild>
        <w:div w:id="1726835454">
          <w:marLeft w:val="0"/>
          <w:marRight w:val="0"/>
          <w:marTop w:val="0"/>
          <w:marBottom w:val="0"/>
          <w:divBdr>
            <w:top w:val="none" w:sz="0" w:space="0" w:color="auto"/>
            <w:left w:val="none" w:sz="0" w:space="0" w:color="auto"/>
            <w:bottom w:val="none" w:sz="0" w:space="0" w:color="auto"/>
            <w:right w:val="none" w:sz="0" w:space="0" w:color="auto"/>
          </w:divBdr>
        </w:div>
      </w:divsChild>
    </w:div>
    <w:div w:id="1036537926">
      <w:bodyDiv w:val="1"/>
      <w:marLeft w:val="0"/>
      <w:marRight w:val="0"/>
      <w:marTop w:val="0"/>
      <w:marBottom w:val="0"/>
      <w:divBdr>
        <w:top w:val="none" w:sz="0" w:space="0" w:color="auto"/>
        <w:left w:val="none" w:sz="0" w:space="0" w:color="auto"/>
        <w:bottom w:val="none" w:sz="0" w:space="0" w:color="auto"/>
        <w:right w:val="none" w:sz="0" w:space="0" w:color="auto"/>
      </w:divBdr>
      <w:divsChild>
        <w:div w:id="199517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402532">
      <w:bodyDiv w:val="1"/>
      <w:marLeft w:val="0"/>
      <w:marRight w:val="0"/>
      <w:marTop w:val="0"/>
      <w:marBottom w:val="0"/>
      <w:divBdr>
        <w:top w:val="none" w:sz="0" w:space="0" w:color="auto"/>
        <w:left w:val="none" w:sz="0" w:space="0" w:color="auto"/>
        <w:bottom w:val="none" w:sz="0" w:space="0" w:color="auto"/>
        <w:right w:val="none" w:sz="0" w:space="0" w:color="auto"/>
      </w:divBdr>
      <w:divsChild>
        <w:div w:id="1332442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52F83B-FAE9-0E49-A592-F3BAC725C628}">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8B8DA-265A-0640-AB2E-6E486F28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6</Pages>
  <Words>2478</Words>
  <Characters>15097</Characters>
  <Application>Microsoft Office Word</Application>
  <DocSecurity>0</DocSecurity>
  <Lines>209</Lines>
  <Paragraphs>33</Paragraphs>
  <ScaleCrop>false</ScaleCrop>
  <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1</cp:revision>
  <dcterms:created xsi:type="dcterms:W3CDTF">2025-04-11T16:19:00Z</dcterms:created>
  <dcterms:modified xsi:type="dcterms:W3CDTF">2025-04-12T22:51:00Z</dcterms:modified>
</cp:coreProperties>
</file>