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1D78C0" w14:textId="3E58A4C8" w:rsidR="00C917B3" w:rsidRDefault="003D00D7" w:rsidP="00FB7B21">
      <w:pPr>
        <w:spacing w:before="0"/>
      </w:pPr>
      <w:r>
        <w:rPr>
          <w:noProof/>
          <w:lang w:val="en-GB" w:eastAsia="en-GB" w:bidi="si-LK"/>
        </w:rPr>
        <w:drawing>
          <wp:inline distT="0" distB="0" distL="0" distR="0" wp14:anchorId="1CC3758F" wp14:editId="11819E62">
            <wp:extent cx="1666875" cy="7524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1666875" cy="752475"/>
                    </a:xfrm>
                    <a:prstGeom prst="rect">
                      <a:avLst/>
                    </a:prstGeom>
                  </pic:spPr>
                </pic:pic>
              </a:graphicData>
            </a:graphic>
          </wp:inline>
        </w:drawing>
      </w:r>
    </w:p>
    <w:p w14:paraId="69B656C2" w14:textId="3257C934" w:rsidR="003D00D7" w:rsidRPr="00DB5313" w:rsidRDefault="003D00D7" w:rsidP="00DB5313">
      <w:pPr>
        <w:spacing w:before="0"/>
        <w:jc w:val="center"/>
        <w:rPr>
          <w:b/>
          <w:bCs/>
          <w:sz w:val="32"/>
          <w:szCs w:val="28"/>
        </w:rPr>
      </w:pPr>
      <w:r w:rsidRPr="00DB5313">
        <w:rPr>
          <w:b/>
          <w:bCs/>
          <w:sz w:val="32"/>
          <w:szCs w:val="28"/>
        </w:rPr>
        <w:t xml:space="preserve">MBA – </w:t>
      </w:r>
      <w:r w:rsidR="00EF0EF5" w:rsidRPr="00DB5313">
        <w:rPr>
          <w:b/>
          <w:bCs/>
          <w:sz w:val="32"/>
          <w:szCs w:val="28"/>
        </w:rPr>
        <w:t>Master of Business Administration</w:t>
      </w:r>
    </w:p>
    <w:p w14:paraId="54F88739" w14:textId="6F66F832" w:rsidR="003D00D7" w:rsidRPr="00DB5313" w:rsidRDefault="003D00D7" w:rsidP="00DB5313">
      <w:pPr>
        <w:spacing w:before="0"/>
        <w:jc w:val="center"/>
        <w:rPr>
          <w:b/>
          <w:bCs/>
          <w:sz w:val="32"/>
          <w:szCs w:val="28"/>
        </w:rPr>
      </w:pPr>
      <w:r w:rsidRPr="00DB5313">
        <w:rPr>
          <w:b/>
          <w:bCs/>
          <w:sz w:val="32"/>
          <w:szCs w:val="28"/>
        </w:rPr>
        <w:t>Human Resource Management</w:t>
      </w:r>
    </w:p>
    <w:p w14:paraId="5C4C8E59" w14:textId="4D49634C" w:rsidR="003D00D7" w:rsidRDefault="003D00D7" w:rsidP="00DB5313">
      <w:pPr>
        <w:spacing w:before="0"/>
        <w:jc w:val="center"/>
        <w:rPr>
          <w:b/>
          <w:bCs/>
          <w:sz w:val="32"/>
          <w:szCs w:val="28"/>
        </w:rPr>
      </w:pPr>
      <w:r w:rsidRPr="00DB5313">
        <w:rPr>
          <w:b/>
          <w:bCs/>
          <w:sz w:val="32"/>
          <w:szCs w:val="28"/>
        </w:rPr>
        <w:t>LCMB7000</w:t>
      </w:r>
    </w:p>
    <w:p w14:paraId="13733E6B" w14:textId="472E4040" w:rsidR="00DB5313" w:rsidRDefault="00DB5313" w:rsidP="00DB5313">
      <w:pPr>
        <w:spacing w:before="0"/>
        <w:jc w:val="center"/>
        <w:rPr>
          <w:b/>
          <w:bCs/>
          <w:sz w:val="32"/>
          <w:szCs w:val="28"/>
        </w:rPr>
      </w:pPr>
    </w:p>
    <w:p w14:paraId="5463A5A0" w14:textId="0DD5C4D1" w:rsidR="00DB5313" w:rsidRDefault="00DB5313" w:rsidP="00DB5313">
      <w:pPr>
        <w:spacing w:before="0"/>
        <w:jc w:val="center"/>
        <w:rPr>
          <w:b/>
          <w:bCs/>
          <w:sz w:val="32"/>
          <w:szCs w:val="28"/>
        </w:rPr>
      </w:pPr>
    </w:p>
    <w:p w14:paraId="5CEC49A9" w14:textId="7A79594A" w:rsidR="00DB5313" w:rsidRDefault="00DB5313" w:rsidP="00DB5313">
      <w:pPr>
        <w:spacing w:before="0"/>
        <w:jc w:val="center"/>
        <w:rPr>
          <w:b/>
          <w:bCs/>
          <w:sz w:val="32"/>
          <w:szCs w:val="28"/>
        </w:rPr>
      </w:pPr>
      <w:r>
        <w:rPr>
          <w:b/>
          <w:bCs/>
          <w:sz w:val="32"/>
          <w:szCs w:val="28"/>
        </w:rPr>
        <w:t>Assessment 1</w:t>
      </w:r>
    </w:p>
    <w:p w14:paraId="1C636C9D" w14:textId="2D4A78E9" w:rsidR="00DB5313" w:rsidRDefault="00DB5313" w:rsidP="00DB5313">
      <w:pPr>
        <w:spacing w:before="0"/>
        <w:jc w:val="center"/>
        <w:rPr>
          <w:b/>
          <w:bCs/>
          <w:sz w:val="32"/>
          <w:szCs w:val="28"/>
        </w:rPr>
      </w:pPr>
    </w:p>
    <w:p w14:paraId="1D0D4D20" w14:textId="22548D3C" w:rsidR="00DB5313" w:rsidRDefault="00DB5313" w:rsidP="00DB5313">
      <w:pPr>
        <w:spacing w:before="0"/>
        <w:jc w:val="center"/>
        <w:rPr>
          <w:b/>
          <w:bCs/>
          <w:sz w:val="32"/>
          <w:szCs w:val="28"/>
        </w:rPr>
      </w:pPr>
    </w:p>
    <w:p w14:paraId="20BAEAA6" w14:textId="3DC8B075" w:rsidR="00DB5313" w:rsidRDefault="00DB5313" w:rsidP="00DB5313">
      <w:pPr>
        <w:spacing w:before="0"/>
        <w:jc w:val="center"/>
        <w:rPr>
          <w:b/>
          <w:bCs/>
          <w:sz w:val="32"/>
          <w:szCs w:val="28"/>
        </w:rPr>
      </w:pPr>
    </w:p>
    <w:p w14:paraId="57263D49" w14:textId="710A0FFA" w:rsidR="00DB5313" w:rsidRDefault="00DB5313" w:rsidP="00DB5313">
      <w:pPr>
        <w:spacing w:before="0"/>
        <w:jc w:val="center"/>
        <w:rPr>
          <w:b/>
          <w:bCs/>
          <w:sz w:val="32"/>
          <w:szCs w:val="28"/>
        </w:rPr>
      </w:pPr>
    </w:p>
    <w:p w14:paraId="4A16E705" w14:textId="27CB6F97" w:rsidR="00DB5313" w:rsidRDefault="00DB5313" w:rsidP="00DB5313">
      <w:pPr>
        <w:spacing w:before="0"/>
        <w:jc w:val="left"/>
        <w:rPr>
          <w:b/>
          <w:bCs/>
        </w:rPr>
      </w:pPr>
      <w:r>
        <w:rPr>
          <w:b/>
          <w:bCs/>
        </w:rPr>
        <w:t>Student name:</w:t>
      </w:r>
      <w:r w:rsidR="00191729">
        <w:rPr>
          <w:b/>
          <w:bCs/>
        </w:rPr>
        <w:t xml:space="preserve"> Sibi Christopher</w:t>
      </w:r>
    </w:p>
    <w:p w14:paraId="7D825354" w14:textId="0115CBDD" w:rsidR="00DB5313" w:rsidRPr="00DB5313" w:rsidRDefault="00DB5313" w:rsidP="00DB5313">
      <w:pPr>
        <w:spacing w:before="0"/>
        <w:jc w:val="left"/>
        <w:rPr>
          <w:b/>
          <w:bCs/>
        </w:rPr>
      </w:pPr>
      <w:r>
        <w:rPr>
          <w:b/>
          <w:bCs/>
        </w:rPr>
        <w:t>Student ID:</w:t>
      </w:r>
      <w:r w:rsidR="00191729">
        <w:rPr>
          <w:b/>
          <w:bCs/>
        </w:rPr>
        <w:t xml:space="preserve"> 2129158</w:t>
      </w:r>
    </w:p>
    <w:p w14:paraId="024D336D" w14:textId="77777777" w:rsidR="00C917B3" w:rsidRDefault="00C917B3">
      <w:pPr>
        <w:spacing w:before="0" w:after="160" w:line="259" w:lineRule="auto"/>
        <w:jc w:val="left"/>
      </w:pPr>
      <w:r>
        <w:br w:type="page"/>
      </w:r>
    </w:p>
    <w:sdt>
      <w:sdtPr>
        <w:rPr>
          <w:rFonts w:eastAsiaTheme="minorHAnsi" w:cstheme="minorBidi"/>
          <w:b w:val="0"/>
          <w:color w:val="000000" w:themeColor="text1"/>
          <w:sz w:val="24"/>
          <w:szCs w:val="22"/>
        </w:rPr>
        <w:id w:val="1138236119"/>
        <w:docPartObj>
          <w:docPartGallery w:val="Table of Contents"/>
          <w:docPartUnique/>
        </w:docPartObj>
      </w:sdtPr>
      <w:sdtEndPr>
        <w:rPr>
          <w:bCs/>
          <w:noProof/>
        </w:rPr>
      </w:sdtEndPr>
      <w:sdtContent>
        <w:p w14:paraId="66BA7B77" w14:textId="77777777" w:rsidR="00C917B3" w:rsidRDefault="00C917B3" w:rsidP="00EF0EF5">
          <w:pPr>
            <w:pStyle w:val="TOCHeading"/>
          </w:pPr>
          <w:r>
            <w:t>Table of Contents</w:t>
          </w:r>
        </w:p>
        <w:p w14:paraId="434D1BC8" w14:textId="073A2BB2" w:rsidR="003B430C" w:rsidRDefault="00424D45">
          <w:pPr>
            <w:pStyle w:val="TOC1"/>
            <w:tabs>
              <w:tab w:val="right" w:leader="dot" w:pos="9016"/>
            </w:tabs>
            <w:rPr>
              <w:noProof/>
            </w:rPr>
          </w:pPr>
          <w:r>
            <w:fldChar w:fldCharType="begin"/>
          </w:r>
          <w:r>
            <w:instrText xml:space="preserve"> TOC \o "1-3" \h \z \u </w:instrText>
          </w:r>
          <w:r>
            <w:fldChar w:fldCharType="separate"/>
          </w:r>
          <w:hyperlink w:anchor="_Toc111970615" w:history="1">
            <w:r w:rsidR="003B430C" w:rsidRPr="00071BB4">
              <w:rPr>
                <w:rStyle w:val="Hyperlink"/>
                <w:noProof/>
              </w:rPr>
              <w:t>Introduction</w:t>
            </w:r>
            <w:r w:rsidR="003B430C">
              <w:rPr>
                <w:noProof/>
                <w:webHidden/>
              </w:rPr>
              <w:tab/>
            </w:r>
            <w:r w:rsidR="003B430C">
              <w:rPr>
                <w:noProof/>
                <w:webHidden/>
              </w:rPr>
              <w:fldChar w:fldCharType="begin"/>
            </w:r>
            <w:r w:rsidR="003B430C">
              <w:rPr>
                <w:noProof/>
                <w:webHidden/>
              </w:rPr>
              <w:instrText xml:space="preserve"> PAGEREF _Toc111970615 \h </w:instrText>
            </w:r>
            <w:r w:rsidR="003B430C">
              <w:rPr>
                <w:noProof/>
                <w:webHidden/>
              </w:rPr>
            </w:r>
            <w:r w:rsidR="003B430C">
              <w:rPr>
                <w:noProof/>
                <w:webHidden/>
              </w:rPr>
              <w:fldChar w:fldCharType="separate"/>
            </w:r>
            <w:r w:rsidR="003B430C">
              <w:rPr>
                <w:noProof/>
                <w:webHidden/>
              </w:rPr>
              <w:t>2</w:t>
            </w:r>
            <w:r w:rsidR="003B430C">
              <w:rPr>
                <w:noProof/>
                <w:webHidden/>
              </w:rPr>
              <w:fldChar w:fldCharType="end"/>
            </w:r>
          </w:hyperlink>
        </w:p>
        <w:p w14:paraId="002FA578" w14:textId="7D0C3590" w:rsidR="003B430C" w:rsidRDefault="00000000">
          <w:pPr>
            <w:pStyle w:val="TOC1"/>
            <w:tabs>
              <w:tab w:val="right" w:leader="dot" w:pos="9016"/>
            </w:tabs>
            <w:rPr>
              <w:noProof/>
            </w:rPr>
          </w:pPr>
          <w:hyperlink w:anchor="_Toc111970616" w:history="1">
            <w:r w:rsidR="003B430C" w:rsidRPr="00071BB4">
              <w:rPr>
                <w:rStyle w:val="Hyperlink"/>
                <w:noProof/>
              </w:rPr>
              <w:t>Current state of the labor market in the UK</w:t>
            </w:r>
            <w:r w:rsidR="003B430C">
              <w:rPr>
                <w:noProof/>
                <w:webHidden/>
              </w:rPr>
              <w:tab/>
            </w:r>
            <w:r w:rsidR="003B430C">
              <w:rPr>
                <w:noProof/>
                <w:webHidden/>
              </w:rPr>
              <w:fldChar w:fldCharType="begin"/>
            </w:r>
            <w:r w:rsidR="003B430C">
              <w:rPr>
                <w:noProof/>
                <w:webHidden/>
              </w:rPr>
              <w:instrText xml:space="preserve"> PAGEREF _Toc111970616 \h </w:instrText>
            </w:r>
            <w:r w:rsidR="003B430C">
              <w:rPr>
                <w:noProof/>
                <w:webHidden/>
              </w:rPr>
            </w:r>
            <w:r w:rsidR="003B430C">
              <w:rPr>
                <w:noProof/>
                <w:webHidden/>
              </w:rPr>
              <w:fldChar w:fldCharType="separate"/>
            </w:r>
            <w:r w:rsidR="003B430C">
              <w:rPr>
                <w:noProof/>
                <w:webHidden/>
              </w:rPr>
              <w:t>2</w:t>
            </w:r>
            <w:r w:rsidR="003B430C">
              <w:rPr>
                <w:noProof/>
                <w:webHidden/>
              </w:rPr>
              <w:fldChar w:fldCharType="end"/>
            </w:r>
          </w:hyperlink>
        </w:p>
        <w:p w14:paraId="3EEBAFF4" w14:textId="1AE7023A" w:rsidR="003B430C" w:rsidRDefault="00000000">
          <w:pPr>
            <w:pStyle w:val="TOC2"/>
            <w:tabs>
              <w:tab w:val="right" w:leader="dot" w:pos="9016"/>
            </w:tabs>
            <w:rPr>
              <w:noProof/>
            </w:rPr>
          </w:pPr>
          <w:hyperlink w:anchor="_Toc111970617" w:history="1">
            <w:r w:rsidR="003B430C" w:rsidRPr="00071BB4">
              <w:rPr>
                <w:rStyle w:val="Hyperlink"/>
                <w:noProof/>
              </w:rPr>
              <w:t>Changes to external environment, due to the Covid pandemic and Brexit</w:t>
            </w:r>
            <w:r w:rsidR="003B430C">
              <w:rPr>
                <w:noProof/>
                <w:webHidden/>
              </w:rPr>
              <w:tab/>
            </w:r>
            <w:r w:rsidR="003B430C">
              <w:rPr>
                <w:noProof/>
                <w:webHidden/>
              </w:rPr>
              <w:fldChar w:fldCharType="begin"/>
            </w:r>
            <w:r w:rsidR="003B430C">
              <w:rPr>
                <w:noProof/>
                <w:webHidden/>
              </w:rPr>
              <w:instrText xml:space="preserve"> PAGEREF _Toc111970617 \h </w:instrText>
            </w:r>
            <w:r w:rsidR="003B430C">
              <w:rPr>
                <w:noProof/>
                <w:webHidden/>
              </w:rPr>
            </w:r>
            <w:r w:rsidR="003B430C">
              <w:rPr>
                <w:noProof/>
                <w:webHidden/>
              </w:rPr>
              <w:fldChar w:fldCharType="separate"/>
            </w:r>
            <w:r w:rsidR="003B430C">
              <w:rPr>
                <w:noProof/>
                <w:webHidden/>
              </w:rPr>
              <w:t>3</w:t>
            </w:r>
            <w:r w:rsidR="003B430C">
              <w:rPr>
                <w:noProof/>
                <w:webHidden/>
              </w:rPr>
              <w:fldChar w:fldCharType="end"/>
            </w:r>
          </w:hyperlink>
        </w:p>
        <w:p w14:paraId="72CA08CB" w14:textId="46C70D22" w:rsidR="003B430C" w:rsidRDefault="00000000">
          <w:pPr>
            <w:pStyle w:val="TOC3"/>
            <w:tabs>
              <w:tab w:val="right" w:leader="dot" w:pos="9016"/>
            </w:tabs>
            <w:rPr>
              <w:noProof/>
            </w:rPr>
          </w:pPr>
          <w:hyperlink w:anchor="_Toc111970618" w:history="1">
            <w:r w:rsidR="003B430C" w:rsidRPr="00071BB4">
              <w:rPr>
                <w:rStyle w:val="Hyperlink"/>
                <w:noProof/>
              </w:rPr>
              <w:t>Falling wage growth, increasing costs, and rising prices</w:t>
            </w:r>
            <w:r w:rsidR="003B430C">
              <w:rPr>
                <w:noProof/>
                <w:webHidden/>
              </w:rPr>
              <w:tab/>
            </w:r>
            <w:r w:rsidR="003B430C">
              <w:rPr>
                <w:noProof/>
                <w:webHidden/>
              </w:rPr>
              <w:fldChar w:fldCharType="begin"/>
            </w:r>
            <w:r w:rsidR="003B430C">
              <w:rPr>
                <w:noProof/>
                <w:webHidden/>
              </w:rPr>
              <w:instrText xml:space="preserve"> PAGEREF _Toc111970618 \h </w:instrText>
            </w:r>
            <w:r w:rsidR="003B430C">
              <w:rPr>
                <w:noProof/>
                <w:webHidden/>
              </w:rPr>
            </w:r>
            <w:r w:rsidR="003B430C">
              <w:rPr>
                <w:noProof/>
                <w:webHidden/>
              </w:rPr>
              <w:fldChar w:fldCharType="separate"/>
            </w:r>
            <w:r w:rsidR="003B430C">
              <w:rPr>
                <w:noProof/>
                <w:webHidden/>
              </w:rPr>
              <w:t>4</w:t>
            </w:r>
            <w:r w:rsidR="003B430C">
              <w:rPr>
                <w:noProof/>
                <w:webHidden/>
              </w:rPr>
              <w:fldChar w:fldCharType="end"/>
            </w:r>
          </w:hyperlink>
        </w:p>
        <w:p w14:paraId="4BC04437" w14:textId="701222ED" w:rsidR="003B430C" w:rsidRDefault="00000000">
          <w:pPr>
            <w:pStyle w:val="TOC1"/>
            <w:tabs>
              <w:tab w:val="right" w:leader="dot" w:pos="9016"/>
            </w:tabs>
            <w:rPr>
              <w:noProof/>
            </w:rPr>
          </w:pPr>
          <w:hyperlink w:anchor="_Toc111970619" w:history="1">
            <w:r w:rsidR="003B430C" w:rsidRPr="00071BB4">
              <w:rPr>
                <w:rStyle w:val="Hyperlink"/>
                <w:noProof/>
              </w:rPr>
              <w:t>The emerging changes in Human Resourcing Strategies</w:t>
            </w:r>
            <w:r w:rsidR="003B430C">
              <w:rPr>
                <w:noProof/>
                <w:webHidden/>
              </w:rPr>
              <w:tab/>
            </w:r>
            <w:r w:rsidR="003B430C">
              <w:rPr>
                <w:noProof/>
                <w:webHidden/>
              </w:rPr>
              <w:fldChar w:fldCharType="begin"/>
            </w:r>
            <w:r w:rsidR="003B430C">
              <w:rPr>
                <w:noProof/>
                <w:webHidden/>
              </w:rPr>
              <w:instrText xml:space="preserve"> PAGEREF _Toc111970619 \h </w:instrText>
            </w:r>
            <w:r w:rsidR="003B430C">
              <w:rPr>
                <w:noProof/>
                <w:webHidden/>
              </w:rPr>
            </w:r>
            <w:r w:rsidR="003B430C">
              <w:rPr>
                <w:noProof/>
                <w:webHidden/>
              </w:rPr>
              <w:fldChar w:fldCharType="separate"/>
            </w:r>
            <w:r w:rsidR="003B430C">
              <w:rPr>
                <w:noProof/>
                <w:webHidden/>
              </w:rPr>
              <w:t>6</w:t>
            </w:r>
            <w:r w:rsidR="003B430C">
              <w:rPr>
                <w:noProof/>
                <w:webHidden/>
              </w:rPr>
              <w:fldChar w:fldCharType="end"/>
            </w:r>
          </w:hyperlink>
        </w:p>
        <w:p w14:paraId="2A05BE2F" w14:textId="709850F6" w:rsidR="003B430C" w:rsidRDefault="00000000">
          <w:pPr>
            <w:pStyle w:val="TOC3"/>
            <w:tabs>
              <w:tab w:val="right" w:leader="dot" w:pos="9016"/>
            </w:tabs>
            <w:rPr>
              <w:noProof/>
            </w:rPr>
          </w:pPr>
          <w:hyperlink w:anchor="_Toc111970620" w:history="1">
            <w:r w:rsidR="003B430C" w:rsidRPr="00071BB4">
              <w:rPr>
                <w:rStyle w:val="Hyperlink"/>
                <w:noProof/>
              </w:rPr>
              <w:t>Strategies at Pfizer for resourcing people</w:t>
            </w:r>
            <w:r w:rsidR="003B430C">
              <w:rPr>
                <w:noProof/>
                <w:webHidden/>
              </w:rPr>
              <w:tab/>
            </w:r>
            <w:r w:rsidR="003B430C">
              <w:rPr>
                <w:noProof/>
                <w:webHidden/>
              </w:rPr>
              <w:fldChar w:fldCharType="begin"/>
            </w:r>
            <w:r w:rsidR="003B430C">
              <w:rPr>
                <w:noProof/>
                <w:webHidden/>
              </w:rPr>
              <w:instrText xml:space="preserve"> PAGEREF _Toc111970620 \h </w:instrText>
            </w:r>
            <w:r w:rsidR="003B430C">
              <w:rPr>
                <w:noProof/>
                <w:webHidden/>
              </w:rPr>
            </w:r>
            <w:r w:rsidR="003B430C">
              <w:rPr>
                <w:noProof/>
                <w:webHidden/>
              </w:rPr>
              <w:fldChar w:fldCharType="separate"/>
            </w:r>
            <w:r w:rsidR="003B430C">
              <w:rPr>
                <w:noProof/>
                <w:webHidden/>
              </w:rPr>
              <w:t>7</w:t>
            </w:r>
            <w:r w:rsidR="003B430C">
              <w:rPr>
                <w:noProof/>
                <w:webHidden/>
              </w:rPr>
              <w:fldChar w:fldCharType="end"/>
            </w:r>
          </w:hyperlink>
        </w:p>
        <w:p w14:paraId="395DE080" w14:textId="14AA7006" w:rsidR="003B430C" w:rsidRDefault="00000000">
          <w:pPr>
            <w:pStyle w:val="TOC3"/>
            <w:tabs>
              <w:tab w:val="right" w:leader="dot" w:pos="9016"/>
            </w:tabs>
            <w:rPr>
              <w:noProof/>
            </w:rPr>
          </w:pPr>
          <w:hyperlink w:anchor="_Toc111970621" w:history="1">
            <w:r w:rsidR="003B430C" w:rsidRPr="00071BB4">
              <w:rPr>
                <w:rStyle w:val="Hyperlink"/>
                <w:noProof/>
              </w:rPr>
              <w:t>How the employee resourcing strategies of Pfizer affect its performance</w:t>
            </w:r>
            <w:r w:rsidR="003B430C">
              <w:rPr>
                <w:noProof/>
                <w:webHidden/>
              </w:rPr>
              <w:tab/>
            </w:r>
            <w:r w:rsidR="003B430C">
              <w:rPr>
                <w:noProof/>
                <w:webHidden/>
              </w:rPr>
              <w:fldChar w:fldCharType="begin"/>
            </w:r>
            <w:r w:rsidR="003B430C">
              <w:rPr>
                <w:noProof/>
                <w:webHidden/>
              </w:rPr>
              <w:instrText xml:space="preserve"> PAGEREF _Toc111970621 \h </w:instrText>
            </w:r>
            <w:r w:rsidR="003B430C">
              <w:rPr>
                <w:noProof/>
                <w:webHidden/>
              </w:rPr>
            </w:r>
            <w:r w:rsidR="003B430C">
              <w:rPr>
                <w:noProof/>
                <w:webHidden/>
              </w:rPr>
              <w:fldChar w:fldCharType="separate"/>
            </w:r>
            <w:r w:rsidR="003B430C">
              <w:rPr>
                <w:noProof/>
                <w:webHidden/>
              </w:rPr>
              <w:t>7</w:t>
            </w:r>
            <w:r w:rsidR="003B430C">
              <w:rPr>
                <w:noProof/>
                <w:webHidden/>
              </w:rPr>
              <w:fldChar w:fldCharType="end"/>
            </w:r>
          </w:hyperlink>
        </w:p>
        <w:p w14:paraId="617A56A7" w14:textId="09B33AB3" w:rsidR="003B430C" w:rsidRDefault="00000000">
          <w:pPr>
            <w:pStyle w:val="TOC1"/>
            <w:tabs>
              <w:tab w:val="right" w:leader="dot" w:pos="9016"/>
            </w:tabs>
            <w:rPr>
              <w:noProof/>
            </w:rPr>
          </w:pPr>
          <w:hyperlink w:anchor="_Toc111970622" w:history="1">
            <w:r w:rsidR="003B430C" w:rsidRPr="00071BB4">
              <w:rPr>
                <w:rStyle w:val="Hyperlink"/>
                <w:noProof/>
              </w:rPr>
              <w:t>Conclusion</w:t>
            </w:r>
            <w:r w:rsidR="003B430C">
              <w:rPr>
                <w:noProof/>
                <w:webHidden/>
              </w:rPr>
              <w:tab/>
            </w:r>
            <w:r w:rsidR="003B430C">
              <w:rPr>
                <w:noProof/>
                <w:webHidden/>
              </w:rPr>
              <w:fldChar w:fldCharType="begin"/>
            </w:r>
            <w:r w:rsidR="003B430C">
              <w:rPr>
                <w:noProof/>
                <w:webHidden/>
              </w:rPr>
              <w:instrText xml:space="preserve"> PAGEREF _Toc111970622 \h </w:instrText>
            </w:r>
            <w:r w:rsidR="003B430C">
              <w:rPr>
                <w:noProof/>
                <w:webHidden/>
              </w:rPr>
            </w:r>
            <w:r w:rsidR="003B430C">
              <w:rPr>
                <w:noProof/>
                <w:webHidden/>
              </w:rPr>
              <w:fldChar w:fldCharType="separate"/>
            </w:r>
            <w:r w:rsidR="003B430C">
              <w:rPr>
                <w:noProof/>
                <w:webHidden/>
              </w:rPr>
              <w:t>9</w:t>
            </w:r>
            <w:r w:rsidR="003B430C">
              <w:rPr>
                <w:noProof/>
                <w:webHidden/>
              </w:rPr>
              <w:fldChar w:fldCharType="end"/>
            </w:r>
          </w:hyperlink>
        </w:p>
        <w:p w14:paraId="2D5B41CD" w14:textId="22667EEC" w:rsidR="003B430C" w:rsidRDefault="00000000">
          <w:pPr>
            <w:pStyle w:val="TOC1"/>
            <w:tabs>
              <w:tab w:val="right" w:leader="dot" w:pos="9016"/>
            </w:tabs>
            <w:rPr>
              <w:noProof/>
            </w:rPr>
          </w:pPr>
          <w:hyperlink w:anchor="_Toc111970623" w:history="1">
            <w:r w:rsidR="003B430C" w:rsidRPr="00071BB4">
              <w:rPr>
                <w:rStyle w:val="Hyperlink"/>
                <w:noProof/>
              </w:rPr>
              <w:t>References</w:t>
            </w:r>
            <w:r w:rsidR="003B430C">
              <w:rPr>
                <w:noProof/>
                <w:webHidden/>
              </w:rPr>
              <w:tab/>
            </w:r>
            <w:r w:rsidR="003B430C">
              <w:rPr>
                <w:noProof/>
                <w:webHidden/>
              </w:rPr>
              <w:fldChar w:fldCharType="begin"/>
            </w:r>
            <w:r w:rsidR="003B430C">
              <w:rPr>
                <w:noProof/>
                <w:webHidden/>
              </w:rPr>
              <w:instrText xml:space="preserve"> PAGEREF _Toc111970623 \h </w:instrText>
            </w:r>
            <w:r w:rsidR="003B430C">
              <w:rPr>
                <w:noProof/>
                <w:webHidden/>
              </w:rPr>
            </w:r>
            <w:r w:rsidR="003B430C">
              <w:rPr>
                <w:noProof/>
                <w:webHidden/>
              </w:rPr>
              <w:fldChar w:fldCharType="separate"/>
            </w:r>
            <w:r w:rsidR="003B430C">
              <w:rPr>
                <w:noProof/>
                <w:webHidden/>
              </w:rPr>
              <w:t>10</w:t>
            </w:r>
            <w:r w:rsidR="003B430C">
              <w:rPr>
                <w:noProof/>
                <w:webHidden/>
              </w:rPr>
              <w:fldChar w:fldCharType="end"/>
            </w:r>
          </w:hyperlink>
        </w:p>
        <w:p w14:paraId="1B1F7E25" w14:textId="20F815FD" w:rsidR="00C917B3" w:rsidRDefault="00424D45" w:rsidP="00C917B3">
          <w:pPr>
            <w:rPr>
              <w:bCs/>
              <w:noProof/>
            </w:rPr>
          </w:pPr>
          <w:r>
            <w:rPr>
              <w:b/>
              <w:bCs/>
              <w:noProof/>
            </w:rPr>
            <w:fldChar w:fldCharType="end"/>
          </w:r>
        </w:p>
      </w:sdtContent>
    </w:sdt>
    <w:p w14:paraId="223709DD" w14:textId="77777777" w:rsidR="00C917B3" w:rsidRDefault="00C917B3" w:rsidP="00C917B3"/>
    <w:p w14:paraId="34823482" w14:textId="77777777" w:rsidR="00C917B3" w:rsidRDefault="00C917B3" w:rsidP="00C917B3">
      <w:pPr>
        <w:spacing w:before="0" w:after="160" w:line="259" w:lineRule="auto"/>
        <w:jc w:val="left"/>
      </w:pPr>
      <w:r>
        <w:br w:type="page"/>
      </w:r>
    </w:p>
    <w:p w14:paraId="20C62CBC" w14:textId="06F1704D" w:rsidR="008D0053" w:rsidRDefault="00EF0EF5" w:rsidP="00EF0EF5">
      <w:pPr>
        <w:pStyle w:val="Heading1"/>
      </w:pPr>
      <w:bookmarkStart w:id="0" w:name="_Toc111970615"/>
      <w:r>
        <w:lastRenderedPageBreak/>
        <w:t>Introduction</w:t>
      </w:r>
      <w:bookmarkEnd w:id="0"/>
    </w:p>
    <w:p w14:paraId="4CEDF827" w14:textId="252AE52C" w:rsidR="00EF0EF5" w:rsidRDefault="008B756A" w:rsidP="00FB7B21">
      <w:pPr>
        <w:spacing w:before="0"/>
      </w:pPr>
      <w:r w:rsidRPr="008B756A">
        <w:t xml:space="preserve">Currently, the most discussed topics </w:t>
      </w:r>
      <w:r w:rsidR="00B52115" w:rsidRPr="008B756A">
        <w:t>across</w:t>
      </w:r>
      <w:r w:rsidRPr="008B756A">
        <w:t xml:space="preserve"> the globe are Covid-19 and Brexit (the United Kingdom's withdrawal from the European Union). Major shifts in the company's external environment have occurred </w:t>
      </w:r>
      <w:r w:rsidR="00B52115" w:rsidRPr="008B756A">
        <w:t>because of</w:t>
      </w:r>
      <w:r w:rsidRPr="008B756A">
        <w:t xml:space="preserve"> Covid-19 and Brexit, which have significant implications for human resource planning. If employed and managed effectively, an organization's human resources can be among its greatest assets. Improving a company's performance in the short and long term can be accomplished through the implementation of effective plans for the growth of its human resources. There are too many factors outside of the company's control that require it to change and adapt</w:t>
      </w:r>
      <w:r w:rsidR="001A75EF">
        <w:t xml:space="preserve"> </w:t>
      </w:r>
      <w:sdt>
        <w:sdtPr>
          <w:id w:val="879372064"/>
          <w:citation/>
        </w:sdtPr>
        <w:sdtContent>
          <w:r w:rsidR="001A75EF">
            <w:fldChar w:fldCharType="begin"/>
          </w:r>
          <w:r w:rsidR="001A75EF">
            <w:instrText xml:space="preserve"> CITATION Ehi16 \l 1033 </w:instrText>
          </w:r>
          <w:r w:rsidR="001A75EF">
            <w:fldChar w:fldCharType="separate"/>
          </w:r>
          <w:r w:rsidR="001A75EF" w:rsidRPr="001A75EF">
            <w:rPr>
              <w:noProof/>
            </w:rPr>
            <w:t>(Ehiyamen &amp; Oshilin, 2016)</w:t>
          </w:r>
          <w:r w:rsidR="001A75EF">
            <w:fldChar w:fldCharType="end"/>
          </w:r>
        </w:sdtContent>
      </w:sdt>
      <w:r w:rsidRPr="008B756A">
        <w:t>. Pfizer, a pharmaceutical corporation, serves as the case study for this article. In this analysis, we'll take a close look at how the external environment has changed recently and how it's expected to develop in the future, especially in light of the Co</w:t>
      </w:r>
      <w:r>
        <w:t>vid</w:t>
      </w:r>
      <w:r w:rsidRPr="008B756A">
        <w:t xml:space="preserve">-19 pandemic and Brexit. </w:t>
      </w:r>
      <w:r w:rsidR="00186C90" w:rsidRPr="00186C90">
        <w:t>Because they are related to Pfizer's human resource initiatives. This article demonstrates how managers' perceptions of the event, as well as essential elements of their people resourcing strategy, are critical components of a company's strategic response to unforeseen events. Several pharmaceutical sector papers exposed top management's interpretations of changes in strategy implemented following a major change in the organization</w:t>
      </w:r>
      <w:r w:rsidRPr="008B756A">
        <w:t>.</w:t>
      </w:r>
    </w:p>
    <w:p w14:paraId="1B354D1D" w14:textId="695DA042" w:rsidR="004032B4" w:rsidRDefault="00601860" w:rsidP="004032B4">
      <w:pPr>
        <w:pStyle w:val="Heading1"/>
      </w:pPr>
      <w:bookmarkStart w:id="1" w:name="_Toc111970616"/>
      <w:r>
        <w:t>C</w:t>
      </w:r>
      <w:r w:rsidRPr="00601860">
        <w:t>urrent state of the labor market in the UK</w:t>
      </w:r>
      <w:bookmarkEnd w:id="1"/>
    </w:p>
    <w:p w14:paraId="66DC2334" w14:textId="5C949ED0" w:rsidR="004032B4" w:rsidRDefault="00914CC1" w:rsidP="00914CC1">
      <w:pPr>
        <w:spacing w:before="0"/>
      </w:pPr>
      <w:r>
        <w:t xml:space="preserve">The pandemic and initial coronavirus lockdown in March 2020 impacted the labor market dramatically. Employment fell while unemployment and economic inactivity rose. Between January-March 2020 and October-December 2020, employment declined by 825,000, unemployment grew by roughly 400,000, and economic inactivity rose by 327,000. Between March and May 2020, jobless claims surged. </w:t>
      </w:r>
      <w:r w:rsidR="007663AB" w:rsidRPr="007663AB">
        <w:t>The employment rate in the United Kingd</w:t>
      </w:r>
      <w:r w:rsidR="00B66081">
        <w:t>om grew by 0.4%</w:t>
      </w:r>
      <w:r w:rsidR="007663AB" w:rsidRPr="007663AB">
        <w:t xml:space="preserve"> from the previous quarter to 75.9%, but is still below pre-coronavirus pandemic levels. The number of full-time employees reached a record high during the most recent three-month period. During the most recent three-month period, there was a rise in the number of part-time workers, continuing a recovery from the sharp declines in the early phases of the coronavirus epidemic. The number of self-employed workers decreased during the coronavirus pandemic and has remained low, despite a rise over the past three months. The increase was largely offset by a decline in the number of full-time independent contractors</w:t>
      </w:r>
      <w:r w:rsidR="001A75EF">
        <w:t xml:space="preserve"> </w:t>
      </w:r>
      <w:sdt>
        <w:sdtPr>
          <w:id w:val="973411689"/>
          <w:citation/>
        </w:sdtPr>
        <w:sdtContent>
          <w:r w:rsidR="0027290E">
            <w:fldChar w:fldCharType="begin"/>
          </w:r>
          <w:r w:rsidR="0027290E">
            <w:instrText xml:space="preserve"> CITATION Off22 \l 1033 </w:instrText>
          </w:r>
          <w:r w:rsidR="0027290E">
            <w:fldChar w:fldCharType="separate"/>
          </w:r>
          <w:r w:rsidR="0027290E" w:rsidRPr="0027290E">
            <w:rPr>
              <w:noProof/>
            </w:rPr>
            <w:t>(Office for National Statistics, 2022)</w:t>
          </w:r>
          <w:r w:rsidR="0027290E">
            <w:fldChar w:fldCharType="end"/>
          </w:r>
        </w:sdtContent>
      </w:sdt>
      <w:r w:rsidR="001A75EF" w:rsidRPr="001A75EF">
        <w:t>.</w:t>
      </w:r>
    </w:p>
    <w:p w14:paraId="11C0723F" w14:textId="77777777" w:rsidR="00BA44C4" w:rsidRDefault="0074695E" w:rsidP="00BA44C4">
      <w:pPr>
        <w:keepNext/>
        <w:spacing w:before="0"/>
      </w:pPr>
      <w:r>
        <w:rPr>
          <w:noProof/>
          <w:lang w:val="en-GB" w:eastAsia="en-GB" w:bidi="si-LK"/>
        </w:rPr>
        <w:lastRenderedPageBreak/>
        <w:drawing>
          <wp:inline distT="0" distB="0" distL="0" distR="0" wp14:anchorId="2282E086" wp14:editId="20B88CF7">
            <wp:extent cx="5731510" cy="2320925"/>
            <wp:effectExtent l="0" t="0" r="2540" b="31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320925"/>
                    </a:xfrm>
                    <a:prstGeom prst="rect">
                      <a:avLst/>
                    </a:prstGeom>
                  </pic:spPr>
                </pic:pic>
              </a:graphicData>
            </a:graphic>
          </wp:inline>
        </w:drawing>
      </w:r>
    </w:p>
    <w:p w14:paraId="31055F8C" w14:textId="3EC12030" w:rsidR="00C323EC" w:rsidRDefault="00BA44C4" w:rsidP="00BA44C4">
      <w:pPr>
        <w:pStyle w:val="Caption"/>
      </w:pPr>
      <w:r>
        <w:t xml:space="preserve">Figure </w:t>
      </w:r>
      <w:fldSimple w:instr=" SEQ Figure \* ARABIC ">
        <w:r>
          <w:rPr>
            <w:noProof/>
          </w:rPr>
          <w:t>1</w:t>
        </w:r>
      </w:fldSimple>
      <w:r>
        <w:t xml:space="preserve">: </w:t>
      </w:r>
      <w:r w:rsidRPr="00F40EA4">
        <w:t>UK employment, unemployment, and economic inactivity rates</w:t>
      </w:r>
    </w:p>
    <w:p w14:paraId="431CD814" w14:textId="2237533D" w:rsidR="0074695E" w:rsidRDefault="00BA44C4" w:rsidP="004032B4">
      <w:pPr>
        <w:spacing w:before="0"/>
      </w:pPr>
      <w:r>
        <w:t xml:space="preserve">Source: </w:t>
      </w:r>
      <w:sdt>
        <w:sdtPr>
          <w:id w:val="-183837422"/>
          <w:citation/>
        </w:sdtPr>
        <w:sdtContent>
          <w:r w:rsidR="00B520CC">
            <w:fldChar w:fldCharType="begin"/>
          </w:r>
          <w:r w:rsidR="00B520CC">
            <w:instrText xml:space="preserve"> CITATION Off22 \l 1033 </w:instrText>
          </w:r>
          <w:r w:rsidR="00B520CC">
            <w:fldChar w:fldCharType="separate"/>
          </w:r>
          <w:r w:rsidR="00B520CC" w:rsidRPr="0027290E">
            <w:rPr>
              <w:noProof/>
            </w:rPr>
            <w:t>(Office for National Statistics, 2022)</w:t>
          </w:r>
          <w:r w:rsidR="00B520CC">
            <w:fldChar w:fldCharType="end"/>
          </w:r>
        </w:sdtContent>
      </w:sdt>
    </w:p>
    <w:p w14:paraId="409E3AC4" w14:textId="62ED26B7" w:rsidR="00601860" w:rsidRDefault="00601860" w:rsidP="00601860">
      <w:pPr>
        <w:pStyle w:val="Heading2"/>
      </w:pPr>
      <w:bookmarkStart w:id="2" w:name="_Toc111970617"/>
      <w:r>
        <w:t>Changes to external environment, due to the Covid pandemic and Brexit</w:t>
      </w:r>
      <w:bookmarkEnd w:id="2"/>
      <w:r>
        <w:t xml:space="preserve"> </w:t>
      </w:r>
    </w:p>
    <w:p w14:paraId="39118937" w14:textId="1BE7B7D6" w:rsidR="005C0674" w:rsidRDefault="002624C2" w:rsidP="004032B4">
      <w:pPr>
        <w:spacing w:before="0"/>
      </w:pPr>
      <w:r>
        <w:rPr>
          <w:noProof/>
          <w:lang w:val="en-GB" w:eastAsia="en-GB" w:bidi="si-LK"/>
        </w:rPr>
        <w:drawing>
          <wp:anchor distT="0" distB="0" distL="114300" distR="114300" simplePos="0" relativeHeight="251658240" behindDoc="0" locked="0" layoutInCell="1" allowOverlap="1" wp14:anchorId="3A008BC2" wp14:editId="43C5C8EA">
            <wp:simplePos x="0" y="0"/>
            <wp:positionH relativeFrom="margin">
              <wp:align>right</wp:align>
            </wp:positionH>
            <wp:positionV relativeFrom="paragraph">
              <wp:posOffset>3725669</wp:posOffset>
            </wp:positionV>
            <wp:extent cx="2857500" cy="1270000"/>
            <wp:effectExtent l="0" t="0" r="0" b="6350"/>
            <wp:wrapSquare wrapText="bothSides"/>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rotWithShape="1">
                    <a:blip r:embed="rId10">
                      <a:extLst>
                        <a:ext uri="{28A0092B-C50C-407E-A947-70E740481C1C}">
                          <a14:useLocalDpi xmlns:a14="http://schemas.microsoft.com/office/drawing/2010/main" val="0"/>
                        </a:ext>
                      </a:extLst>
                    </a:blip>
                    <a:srcRect t="20157"/>
                    <a:stretch/>
                  </pic:blipFill>
                  <pic:spPr bwMode="auto">
                    <a:xfrm>
                      <a:off x="0" y="0"/>
                      <a:ext cx="2857500" cy="127000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F77BD5" w:rsidRPr="00F77BD5">
        <w:t xml:space="preserve">The term "external environment" is used to describe a set of factors outside of the company that have some bearing on its operations. Societal, economic, regulatory, and political systems are all examples of factors that are beyond the purview of economists </w:t>
      </w:r>
      <w:sdt>
        <w:sdtPr>
          <w:id w:val="-1848088425"/>
          <w:citation/>
        </w:sdtPr>
        <w:sdtContent>
          <w:r w:rsidR="00585E12">
            <w:fldChar w:fldCharType="begin"/>
          </w:r>
          <w:r w:rsidR="00585E12">
            <w:instrText xml:space="preserve"> CITATION Tur11 \l 1033 </w:instrText>
          </w:r>
          <w:r w:rsidR="00585E12">
            <w:fldChar w:fldCharType="separate"/>
          </w:r>
          <w:r w:rsidR="00585E12" w:rsidRPr="00585E12">
            <w:rPr>
              <w:noProof/>
            </w:rPr>
            <w:t>(Turkay, et al., 2011)</w:t>
          </w:r>
          <w:r w:rsidR="00585E12">
            <w:fldChar w:fldCharType="end"/>
          </w:r>
        </w:sdtContent>
      </w:sdt>
      <w:r w:rsidR="00F77BD5" w:rsidRPr="00F77BD5">
        <w:t xml:space="preserve">. Every company, not only government agencies, needs to learn about its surroundings. </w:t>
      </w:r>
      <w:r w:rsidR="0002480B" w:rsidRPr="0002480B">
        <w:t>All are interconnected and influenced by events, conditions, and the choices of other players</w:t>
      </w:r>
      <w:r w:rsidR="00F77BD5" w:rsidRPr="00F77BD5">
        <w:t xml:space="preserve">. Many factors affect effectiveness, which in turn impacts production and growth, regardless of how well a company manages its internal processes. Mechanical variables, financial factors, political and legal factors, statistical variables, social variables, competitive factors, global variables, moral variables, etc. are all examples of external environment elements that can </w:t>
      </w:r>
      <w:r w:rsidR="00585E12" w:rsidRPr="00F77BD5">
        <w:t>influence</w:t>
      </w:r>
      <w:r w:rsidR="00F77BD5" w:rsidRPr="00F77BD5">
        <w:t xml:space="preserve"> organizations. The term "Brexit" refers to the United Kingdom </w:t>
      </w:r>
      <w:r w:rsidR="00585E12" w:rsidRPr="00F77BD5">
        <w:t>leaving</w:t>
      </w:r>
      <w:r w:rsidR="00F77BD5" w:rsidRPr="00F77BD5">
        <w:t xml:space="preserve"> the European Union. This term may be a portmanteau of "Britain" and "exit," as suggested by. After 47 years, the European Union will choose the outcome of the European Community Brexit, the forerunner of the EU. The UK is the principal and most distant component that has escaped the EU for a long time</w:t>
      </w:r>
      <w:r w:rsidR="008A4E2A">
        <w:t xml:space="preserve"> </w:t>
      </w:r>
      <w:sdt>
        <w:sdtPr>
          <w:id w:val="1528672199"/>
          <w:citation/>
        </w:sdtPr>
        <w:sdtContent>
          <w:r w:rsidR="008A4E2A">
            <w:fldChar w:fldCharType="begin"/>
          </w:r>
          <w:r w:rsidR="008A4E2A">
            <w:instrText xml:space="preserve"> CITATION Sam171 \l 1033 </w:instrText>
          </w:r>
          <w:r w:rsidR="008A4E2A">
            <w:fldChar w:fldCharType="separate"/>
          </w:r>
          <w:r w:rsidR="008A4E2A" w:rsidRPr="008A4E2A">
            <w:rPr>
              <w:noProof/>
            </w:rPr>
            <w:t>(Sampson, 2017)</w:t>
          </w:r>
          <w:r w:rsidR="008A4E2A">
            <w:fldChar w:fldCharType="end"/>
          </w:r>
        </w:sdtContent>
      </w:sdt>
      <w:r w:rsidR="00F77BD5" w:rsidRPr="00F77BD5">
        <w:t>.</w:t>
      </w:r>
    </w:p>
    <w:p w14:paraId="5BC39D26" w14:textId="5C7C4FAE" w:rsidR="002624C2" w:rsidRDefault="002624C2" w:rsidP="004032B4">
      <w:pPr>
        <w:spacing w:before="0"/>
      </w:pPr>
    </w:p>
    <w:p w14:paraId="2809B9D4" w14:textId="14E4F8B6" w:rsidR="002624C2" w:rsidRDefault="002624C2" w:rsidP="004032B4">
      <w:pPr>
        <w:spacing w:before="0"/>
      </w:pPr>
    </w:p>
    <w:p w14:paraId="2F26253A" w14:textId="656EE401" w:rsidR="00F63F60" w:rsidRDefault="00F63F60" w:rsidP="004032B4">
      <w:pPr>
        <w:spacing w:before="0"/>
      </w:pPr>
    </w:p>
    <w:p w14:paraId="781C91F3" w14:textId="7A875B58" w:rsidR="00691BA4" w:rsidRDefault="00691BA4" w:rsidP="00691BA4">
      <w:pPr>
        <w:pStyle w:val="Heading3"/>
      </w:pPr>
      <w:bookmarkStart w:id="3" w:name="_Toc111970618"/>
      <w:r w:rsidRPr="00691BA4">
        <w:lastRenderedPageBreak/>
        <w:t>Falling wage growth, increasing costs, and rising prices</w:t>
      </w:r>
      <w:bookmarkEnd w:id="3"/>
    </w:p>
    <w:p w14:paraId="6AE08BA4" w14:textId="77777777" w:rsidR="00A463EA" w:rsidRDefault="00691BA4" w:rsidP="00691BA4">
      <w:pPr>
        <w:spacing w:before="0"/>
      </w:pPr>
      <w:r>
        <w:t xml:space="preserve">Over the past few years, the </w:t>
      </w:r>
      <w:r w:rsidR="00553B68">
        <w:t>UK</w:t>
      </w:r>
      <w:r>
        <w:t xml:space="preserve"> has experienced a decline in real wages. The 2008 financial crisis caused a precipitous drop in the average real pay, which did not recover to its pre-crisis level until the end of 2019. The rate of increase in nominal wages has slowed dramatically as a result of the pandemic. When compared to the year prior to the pandemic, nominal pay growth in January 2020 was 3.1% over the preceding 12 months, while it was only 0.9% in January 2021</w:t>
      </w:r>
      <w:r w:rsidR="00093B59">
        <w:t xml:space="preserve">. </w:t>
      </w:r>
      <w:r>
        <w:t>The situation has improved somewhat since then. As of April 2021, typical salaries had increased by 1.4% over the previous year.</w:t>
      </w:r>
      <w:r w:rsidR="00066029">
        <w:t xml:space="preserve"> </w:t>
      </w:r>
      <w:r>
        <w:t>Prices tend to fall as a result of lower demand for goods and services caused by pay reductions</w:t>
      </w:r>
      <w:r w:rsidR="00A463EA" w:rsidRPr="00A463EA">
        <w:t xml:space="preserve"> </w:t>
      </w:r>
      <w:sdt>
        <w:sdtPr>
          <w:id w:val="-148286688"/>
          <w:citation/>
        </w:sdtPr>
        <w:sdtContent>
          <w:r w:rsidR="00A463EA">
            <w:fldChar w:fldCharType="begin"/>
          </w:r>
          <w:r w:rsidR="00A463EA">
            <w:instrText xml:space="preserve">CITATION Del221 \l 1033 </w:instrText>
          </w:r>
          <w:r w:rsidR="00A463EA">
            <w:fldChar w:fldCharType="separate"/>
          </w:r>
          <w:r w:rsidR="00A463EA" w:rsidRPr="005861E6">
            <w:rPr>
              <w:noProof/>
            </w:rPr>
            <w:t>(Deloitte, 2022)</w:t>
          </w:r>
          <w:r w:rsidR="00A463EA">
            <w:fldChar w:fldCharType="end"/>
          </w:r>
        </w:sdtContent>
      </w:sdt>
      <w:r w:rsidR="00A463EA">
        <w:t>.</w:t>
      </w:r>
      <w:r w:rsidR="00490407">
        <w:t xml:space="preserve"> </w:t>
      </w:r>
    </w:p>
    <w:p w14:paraId="633E9E67" w14:textId="3D907B8C" w:rsidR="00691BA4" w:rsidRDefault="00691BA4" w:rsidP="00691BA4">
      <w:pPr>
        <w:spacing w:before="0"/>
      </w:pPr>
      <w:r>
        <w:t>Earnings growth has slowed since the pandemic, but prices have gone up even more. To some extent, this might be attributed to the industrial sector's increasing average cost. The percentage of companies reporting an increase in input costs over the previous three months was 19 percentage points higher in January 2021 than the percentage reporting a decrease. That figure will have increased to 25% by April of 2021. This is significantly greater than the 6% margin that existed before the epidemic, when more businesses were experiencing cost increases than cuts</w:t>
      </w:r>
      <w:r w:rsidR="00BA4D32">
        <w:t>. F</w:t>
      </w:r>
      <w:r>
        <w:t>or manufactured items, input price increases have been greater than output price increases. Since the epidemic, freight prices have soared and many production inputs must be imported. Since the U</w:t>
      </w:r>
      <w:r w:rsidR="003C07F2">
        <w:t>K</w:t>
      </w:r>
      <w:r>
        <w:t>'s major trade and investment partner is the European Union, Brexit is likely to have further increased input costs by raising trade barriers between the two parties</w:t>
      </w:r>
      <w:r w:rsidR="00490407">
        <w:t xml:space="preserve"> </w:t>
      </w:r>
      <w:sdt>
        <w:sdtPr>
          <w:id w:val="990599945"/>
          <w:citation/>
        </w:sdtPr>
        <w:sdtContent>
          <w:r w:rsidR="00490407">
            <w:fldChar w:fldCharType="begin"/>
          </w:r>
          <w:r w:rsidR="00490407">
            <w:instrText xml:space="preserve"> CITATION Lyo21 \l 1033 </w:instrText>
          </w:r>
          <w:r w:rsidR="00490407">
            <w:fldChar w:fldCharType="separate"/>
          </w:r>
          <w:r w:rsidR="00490407" w:rsidRPr="0077014E">
            <w:rPr>
              <w:noProof/>
            </w:rPr>
            <w:t>(Lyon &amp; Dhingra, 2021)</w:t>
          </w:r>
          <w:r w:rsidR="00490407">
            <w:fldChar w:fldCharType="end"/>
          </w:r>
        </w:sdtContent>
      </w:sdt>
      <w:r w:rsidR="007D14EA">
        <w:t>.</w:t>
      </w:r>
    </w:p>
    <w:p w14:paraId="08D9109B" w14:textId="4C292252" w:rsidR="005C0674" w:rsidRPr="005C0674" w:rsidRDefault="005C0674" w:rsidP="005C0674">
      <w:pPr>
        <w:spacing w:before="0"/>
        <w:rPr>
          <w:rFonts w:eastAsiaTheme="majorEastAsia" w:cstheme="majorBidi"/>
          <w:b/>
          <w:szCs w:val="26"/>
        </w:rPr>
      </w:pPr>
      <w:r w:rsidRPr="005C0674">
        <w:rPr>
          <w:rFonts w:eastAsiaTheme="majorEastAsia" w:cstheme="majorBidi"/>
          <w:b/>
          <w:szCs w:val="26"/>
        </w:rPr>
        <w:t>Impacts on the external environment as a result of Brexit and Covid-19</w:t>
      </w:r>
    </w:p>
    <w:p w14:paraId="35652AC7" w14:textId="061961FE" w:rsidR="003A3134" w:rsidRDefault="00FD3A4F" w:rsidP="00FD3A4F">
      <w:pPr>
        <w:spacing w:before="0"/>
      </w:pPr>
      <w:r>
        <w:t xml:space="preserve">Green groups voiced their concern that Brexit could weaken environmental standards shortly after the referendum. </w:t>
      </w:r>
      <w:r w:rsidR="00E014B7">
        <w:t>They</w:t>
      </w:r>
      <w:r>
        <w:t xml:space="preserve"> warned that the process of exiting the EU could result in regulatory holes in the UK's natural arrangement, administrative gaps, deficient coordination and irregularity in the UK's approach, and intentional approach cuts. </w:t>
      </w:r>
      <w:r w:rsidR="00EF3C15" w:rsidRPr="00EF3C15">
        <w:t>Even though many issues have not been resolved as of the time that this article was written, all of those issues are discussed in detail here, along with the strategies that governments have employed to overcome those issues and an analysis of how well those strategies have worked. The European Union has some of the most stringent environmental regulations in the world</w:t>
      </w:r>
      <w:r w:rsidR="00EF3C15">
        <w:t xml:space="preserve"> </w:t>
      </w:r>
      <w:sdt>
        <w:sdtPr>
          <w:id w:val="-975448854"/>
          <w:citation/>
        </w:sdtPr>
        <w:sdtContent>
          <w:r w:rsidR="00FE7C28">
            <w:fldChar w:fldCharType="begin"/>
          </w:r>
          <w:r w:rsidR="00FE7C28">
            <w:instrText xml:space="preserve"> CITATION Hep20 \l 1033 </w:instrText>
          </w:r>
          <w:r w:rsidR="00FE7C28">
            <w:fldChar w:fldCharType="separate"/>
          </w:r>
          <w:r w:rsidR="00FE7C28" w:rsidRPr="00FE7C28">
            <w:rPr>
              <w:noProof/>
            </w:rPr>
            <w:t>(Hepburn, 2020)</w:t>
          </w:r>
          <w:r w:rsidR="00FE7C28">
            <w:fldChar w:fldCharType="end"/>
          </w:r>
        </w:sdtContent>
      </w:sdt>
      <w:r>
        <w:t xml:space="preserve">. They take a holistic view that includes the economy, the environment, and the well-being of EU members. </w:t>
      </w:r>
    </w:p>
    <w:p w14:paraId="34AFA20E" w14:textId="6782FAF1" w:rsidR="00FD3A4F" w:rsidRDefault="00FD3A4F" w:rsidP="00FD3A4F">
      <w:pPr>
        <w:spacing w:before="0"/>
      </w:pPr>
      <w:r>
        <w:lastRenderedPageBreak/>
        <w:t>Some of their methods include protecting rare and vulnerable species and territory and sharing resources like water, conversation, and natural habitats. The program also helps ensure healthy drinking and washing water, improves the quality of discourse, and lessens or eliminates exposure to harmful chemicals. Since the United Kingdom will no longer have access to the European Union's Approach after its exit from the EU, it is urgent that a modern Characteristic Affirmation act be passed. The task of reviewing and updating outdated common laws is not a simple one. There is a significant threat to UK distinctive securities from the economic, political, and monetary burdens the government will face during and after Brexit negotiations. The problem is that by next year, all European sanctioning will need to be converted into UK punishment, creating an able unfeeling chasm for adjustments</w:t>
      </w:r>
      <w:r w:rsidR="00B04D86">
        <w:t xml:space="preserve"> </w:t>
      </w:r>
      <w:sdt>
        <w:sdtPr>
          <w:id w:val="2023895505"/>
          <w:citation/>
        </w:sdtPr>
        <w:sdtContent>
          <w:r w:rsidR="00B97E30">
            <w:fldChar w:fldCharType="begin"/>
          </w:r>
          <w:r w:rsidR="00B97E30">
            <w:instrText xml:space="preserve"> CITATION Dav211 \l 1033 </w:instrText>
          </w:r>
          <w:r w:rsidR="00B97E30">
            <w:fldChar w:fldCharType="separate"/>
          </w:r>
          <w:r w:rsidR="00B97E30" w:rsidRPr="00B97E30">
            <w:rPr>
              <w:noProof/>
            </w:rPr>
            <w:t>(Davis, 2021)</w:t>
          </w:r>
          <w:r w:rsidR="00B97E30">
            <w:fldChar w:fldCharType="end"/>
          </w:r>
        </w:sdtContent>
      </w:sdt>
      <w:r>
        <w:t>.</w:t>
      </w:r>
    </w:p>
    <w:p w14:paraId="2C7247EF" w14:textId="3A7FB85E" w:rsidR="00FD3A4F" w:rsidRDefault="00725563" w:rsidP="00FD3A4F">
      <w:pPr>
        <w:spacing w:before="0"/>
      </w:pPr>
      <w:r w:rsidRPr="00725563">
        <w:t>Even if current EU proposals for digital markets are weakened during the legislative process, Brexit's option of gradual separation will allow the United Kingdom to pursue these reforms</w:t>
      </w:r>
      <w:r w:rsidR="00FD3A4F">
        <w:t>. While the benefits are clear, the hazards are not. For example, having two different sets of standards might increase expenses, create uncertainty, and reduce efficiency. While this may not be practical for commercial decisions, large-scale digital platforms and global collaboration have proven effective in addressing a number of global concerns. There is a possibility that the United Kingdom will rever</w:t>
      </w:r>
      <w:r w:rsidR="00840F5C">
        <w:t>t to the type of open intrigued</w:t>
      </w:r>
      <w:r w:rsidR="00840F5C" w:rsidRPr="00840F5C">
        <w:rPr>
          <w:color w:val="FFFFFF" w:themeColor="background1"/>
        </w:rPr>
        <w:t>1</w:t>
      </w:r>
      <w:r w:rsidR="00FD3A4F">
        <w:t>examination it relied on before the Labor government decided to str</w:t>
      </w:r>
      <w:r w:rsidR="00840F5C">
        <w:t>engthen competitive arrangement</w:t>
      </w:r>
      <w:r w:rsidR="00840F5C" w:rsidRPr="00840F5C">
        <w:rPr>
          <w:color w:val="FFFFFF" w:themeColor="background1"/>
        </w:rPr>
        <w:t>1</w:t>
      </w:r>
      <w:r w:rsidR="00FD3A4F">
        <w:t>through the Undertaking Act of 2002</w:t>
      </w:r>
      <w:r w:rsidR="00482EC4">
        <w:t xml:space="preserve"> </w:t>
      </w:r>
      <w:r w:rsidR="00840F5C">
        <w:rPr>
          <w:noProof/>
        </w:rPr>
        <w:t>(Sudlow</w:t>
      </w:r>
      <w:r w:rsidR="00840F5C" w:rsidRPr="00CA08F3">
        <w:rPr>
          <w:noProof/>
        </w:rPr>
        <w:t xml:space="preserve"> et al., 2018)</w:t>
      </w:r>
      <w:r w:rsidR="00FD3A4F">
        <w:t>.</w:t>
      </w:r>
      <w:r w:rsidR="00A031BA">
        <w:t xml:space="preserve"> </w:t>
      </w:r>
      <w:r w:rsidR="00FD3A4F">
        <w:t>Most worryingly, Brexit might be used to impose the same weak antitrust requirement designs that the United States has had to deal with for a long time, making the United Kingdom a haven for individuals who want to construct an unregulated assess safe house. Companies that are highly vulnerable to Brexit as a result of uncertainty and predicted revenue impacts have been analyzed in terms of investment and employment adjustments. It's possible that both channels may feel effects, but the survey data we have suggests that uncertainty will be hit worst. Companies who see Brexit as a major source of uncertainty tend to invest less after the referendum</w:t>
      </w:r>
      <w:r w:rsidR="00E21E80">
        <w:t xml:space="preserve"> </w:t>
      </w:r>
      <w:sdt>
        <w:sdtPr>
          <w:id w:val="256952510"/>
          <w:citation/>
        </w:sdtPr>
        <w:sdtContent>
          <w:r w:rsidR="00E21E80">
            <w:fldChar w:fldCharType="begin"/>
          </w:r>
          <w:r w:rsidR="00E21E80">
            <w:instrText xml:space="preserve"> CITATION Dav211 \l 1033 </w:instrText>
          </w:r>
          <w:r w:rsidR="00E21E80">
            <w:fldChar w:fldCharType="separate"/>
          </w:r>
          <w:r w:rsidR="00E21E80" w:rsidRPr="00B97E30">
            <w:rPr>
              <w:noProof/>
            </w:rPr>
            <w:t>(Davis, 2021)</w:t>
          </w:r>
          <w:r w:rsidR="00E21E80">
            <w:fldChar w:fldCharType="end"/>
          </w:r>
        </w:sdtContent>
      </w:sdt>
      <w:r w:rsidR="00E21E80">
        <w:t>.</w:t>
      </w:r>
    </w:p>
    <w:p w14:paraId="4ADD3A58" w14:textId="56B7E902" w:rsidR="005C0674" w:rsidRDefault="00840F5C" w:rsidP="00FD3A4F">
      <w:pPr>
        <w:spacing w:before="0"/>
      </w:pPr>
      <w:r>
        <w:t>Companies in the UK economy</w:t>
      </w:r>
      <w:r w:rsidRPr="00840F5C">
        <w:rPr>
          <w:color w:val="FFFFFF" w:themeColor="background1"/>
        </w:rPr>
        <w:t>1</w:t>
      </w:r>
      <w:r w:rsidR="00467B47" w:rsidRPr="00467B47">
        <w:t>that traded m</w:t>
      </w:r>
      <w:r>
        <w:t>ore goods and services with the</w:t>
      </w:r>
      <w:r w:rsidRPr="00840F5C">
        <w:rPr>
          <w:color w:val="FFFFFF" w:themeColor="background1"/>
        </w:rPr>
        <w:t>1</w:t>
      </w:r>
      <w:r>
        <w:t>EU, used more resources from</w:t>
      </w:r>
      <w:r w:rsidRPr="00840F5C">
        <w:rPr>
          <w:color w:val="FFFFFF" w:themeColor="background1"/>
        </w:rPr>
        <w:t>1</w:t>
      </w:r>
      <w:r w:rsidR="00467B47" w:rsidRPr="00467B47">
        <w:t xml:space="preserve">the </w:t>
      </w:r>
      <w:r>
        <w:t>EU, and hired more workers from</w:t>
      </w:r>
      <w:r w:rsidRPr="00840F5C">
        <w:rPr>
          <w:color w:val="FFFFFF" w:themeColor="background1"/>
        </w:rPr>
        <w:t>1</w:t>
      </w:r>
      <w:r w:rsidR="00467B47" w:rsidRPr="00467B47">
        <w:t>the EU were more likely to be wrong and to expect a bigger drop in business. Most of the time, these kinds of more open businesses also make more money. The more successful a company is, the worse they think Brexit could be for business deals</w:t>
      </w:r>
      <w:r w:rsidR="00E87713">
        <w:t xml:space="preserve"> </w:t>
      </w:r>
      <w:sdt>
        <w:sdtPr>
          <w:id w:val="1251387416"/>
          <w:citation/>
        </w:sdtPr>
        <w:sdtContent>
          <w:r w:rsidR="00B815DE">
            <w:fldChar w:fldCharType="begin"/>
          </w:r>
          <w:r w:rsidR="00B815DE">
            <w:instrText xml:space="preserve"> CITATION Car212 \l 1033 </w:instrText>
          </w:r>
          <w:r w:rsidR="00B815DE">
            <w:fldChar w:fldCharType="separate"/>
          </w:r>
          <w:r w:rsidR="00B815DE" w:rsidRPr="00B815DE">
            <w:rPr>
              <w:noProof/>
            </w:rPr>
            <w:t>(Carnegie, 2021)</w:t>
          </w:r>
          <w:r w:rsidR="00B815DE">
            <w:fldChar w:fldCharType="end"/>
          </w:r>
        </w:sdtContent>
      </w:sdt>
      <w:r w:rsidR="00CE4DA3">
        <w:t>.</w:t>
      </w:r>
    </w:p>
    <w:p w14:paraId="263F81A5" w14:textId="5D4DAEBC" w:rsidR="004032B4" w:rsidRDefault="0093187B" w:rsidP="004032B4">
      <w:pPr>
        <w:pStyle w:val="Heading1"/>
      </w:pPr>
      <w:bookmarkStart w:id="4" w:name="_Toc111970619"/>
      <w:r w:rsidRPr="0093187B">
        <w:lastRenderedPageBreak/>
        <w:t>The emerging changes in Human Resourcing Strategies</w:t>
      </w:r>
      <w:bookmarkEnd w:id="4"/>
      <w:r w:rsidRPr="0093187B">
        <w:t xml:space="preserve"> </w:t>
      </w:r>
    </w:p>
    <w:p w14:paraId="17388EDD" w14:textId="050ECB1E" w:rsidR="00A42868" w:rsidRDefault="00CE4DA3" w:rsidP="00CE4DA3">
      <w:pPr>
        <w:spacing w:before="0"/>
      </w:pPr>
      <w:r>
        <w:t>Recruiting and retaining the best personnel Staffing strategy, involves a company's choices about where to look for workers, how to evaluate candidates, and what kind of combination of workers to hire. Pfizer's business strategy relies on a diverse and capable workforce, and employee resourcing plans are in place to offer those people and those skills</w:t>
      </w:r>
      <w:r w:rsidR="000863BA">
        <w:t xml:space="preserve"> </w:t>
      </w:r>
      <w:sdt>
        <w:sdtPr>
          <w:id w:val="1810441323"/>
          <w:citation/>
        </w:sdtPr>
        <w:sdtContent>
          <w:r w:rsidR="008032EA">
            <w:fldChar w:fldCharType="begin"/>
          </w:r>
          <w:r w:rsidR="008032EA">
            <w:instrText xml:space="preserve"> CITATION Ehi16 \l 1033 </w:instrText>
          </w:r>
          <w:r w:rsidR="008032EA">
            <w:fldChar w:fldCharType="separate"/>
          </w:r>
          <w:r w:rsidR="008032EA" w:rsidRPr="008032EA">
            <w:rPr>
              <w:noProof/>
            </w:rPr>
            <w:t>(Ehiyamen &amp; Oshilin, 2016)</w:t>
          </w:r>
          <w:r w:rsidR="008032EA">
            <w:fldChar w:fldCharType="end"/>
          </w:r>
        </w:sdtContent>
      </w:sdt>
      <w:r>
        <w:t xml:space="preserve">. </w:t>
      </w:r>
      <w:r w:rsidR="00486B39">
        <w:t xml:space="preserve"> </w:t>
      </w:r>
      <w:r w:rsidR="00F3053E" w:rsidRPr="00F3053E">
        <w:t>This function has always been viewed as falling under the purview of human resource management, and resourcing has always been regarded as a passive, technical activity - the matching of available individuals to the business's needs. The firm has adopted the following three measures to ensure adequate personnel resource allocation: Reorganizing how work is performed inside an organization is a realistic choice if present employees are to assume new or extra tasks.</w:t>
      </w:r>
      <w:r>
        <w:t xml:space="preserve"> Recruit new employees from the outside employment market, and/or re-assign existing employees to different departments or divisions. The emphasis is on on-demand employment, which calls for workers with a wide range of skills as well as experts in evaluation and development software. Recruitment is a critical means of enhancing a company's strategic competency</w:t>
      </w:r>
      <w:r w:rsidR="000B61C8">
        <w:t xml:space="preserve"> </w:t>
      </w:r>
      <w:sdt>
        <w:sdtPr>
          <w:id w:val="572011099"/>
          <w:citation/>
        </w:sdtPr>
        <w:sdtContent>
          <w:r w:rsidR="000B61C8">
            <w:fldChar w:fldCharType="begin"/>
          </w:r>
          <w:r w:rsidR="00217BBE">
            <w:instrText xml:space="preserve">CITATION Sul22 \l 1033 </w:instrText>
          </w:r>
          <w:r w:rsidR="000B61C8">
            <w:fldChar w:fldCharType="separate"/>
          </w:r>
          <w:r w:rsidR="00217BBE" w:rsidRPr="00217BBE">
            <w:rPr>
              <w:noProof/>
            </w:rPr>
            <w:t>(Sulej, 2022)</w:t>
          </w:r>
          <w:r w:rsidR="000B61C8">
            <w:fldChar w:fldCharType="end"/>
          </w:r>
        </w:sdtContent>
      </w:sdt>
      <w:r>
        <w:t xml:space="preserve">. </w:t>
      </w:r>
    </w:p>
    <w:p w14:paraId="6D5D652A" w14:textId="55C9DC42" w:rsidR="004032B4" w:rsidRDefault="00CE4DA3" w:rsidP="00CE4DA3">
      <w:pPr>
        <w:spacing w:before="0"/>
      </w:pPr>
      <w:r>
        <w:t>Planning for redeployment and redundancy is also crucial for businesses going through transitions. All industrie</w:t>
      </w:r>
      <w:r w:rsidR="00840F5C">
        <w:t>s need a steady stream of fully</w:t>
      </w:r>
      <w:r w:rsidR="00840F5C" w:rsidRPr="00840F5C">
        <w:rPr>
          <w:color w:val="FFFFFF" w:themeColor="background1"/>
        </w:rPr>
        <w:t>1</w:t>
      </w:r>
      <w:r w:rsidR="00840F5C">
        <w:t>qualified individuals in the</w:t>
      </w:r>
      <w:r w:rsidR="00840F5C" w:rsidRPr="00840F5C">
        <w:rPr>
          <w:color w:val="FFFFFF" w:themeColor="background1"/>
        </w:rPr>
        <w:t>1</w:t>
      </w:r>
      <w:r>
        <w:t>right positions at the right time to successfully tackle increasing unpredictability and competition, and to assure the uninterrupted delivery of government programs and services</w:t>
      </w:r>
      <w:r w:rsidR="009D75CA">
        <w:t xml:space="preserve"> </w:t>
      </w:r>
      <w:sdt>
        <w:sdtPr>
          <w:id w:val="2111154103"/>
          <w:citation/>
        </w:sdtPr>
        <w:sdtContent>
          <w:r w:rsidR="003F0B88">
            <w:fldChar w:fldCharType="begin"/>
          </w:r>
          <w:r w:rsidR="003F0B88">
            <w:instrText xml:space="preserve"> CITATION Mas17 \l 1033 </w:instrText>
          </w:r>
          <w:r w:rsidR="003F0B88">
            <w:fldChar w:fldCharType="separate"/>
          </w:r>
          <w:r w:rsidR="003F0B88" w:rsidRPr="003F0B88">
            <w:rPr>
              <w:noProof/>
            </w:rPr>
            <w:t>(Masri &amp; Jaaron, 2017)</w:t>
          </w:r>
          <w:r w:rsidR="003F0B88">
            <w:fldChar w:fldCharType="end"/>
          </w:r>
        </w:sdtContent>
      </w:sdt>
      <w:r>
        <w:t>.</w:t>
      </w:r>
      <w:r w:rsidR="00A741C4">
        <w:t xml:space="preserve"> </w:t>
      </w:r>
      <w:r>
        <w:t>A further method of staffing is to determine the set of talents that will be used in the hiring process and the set of abilities that the organization will work to foster in its employees</w:t>
      </w:r>
      <w:r w:rsidR="002B718A">
        <w:t xml:space="preserve">. </w:t>
      </w:r>
      <w:r>
        <w:t xml:space="preserve">In addition, businesses must encourage their best workers to stay put. In order to keep up with the pace of change, businesses must establish a more streamlined and consistent method of personnel management. </w:t>
      </w:r>
      <w:r w:rsidR="00776AB3">
        <w:t>I</w:t>
      </w:r>
      <w:r>
        <w:t xml:space="preserve">n times of high unemployment, businesses will do whatever to keep their best employees around. </w:t>
      </w:r>
      <w:r w:rsidR="00E70B0C">
        <w:t>E</w:t>
      </w:r>
      <w:r w:rsidR="00840F5C">
        <w:t>ven in severe economic</w:t>
      </w:r>
      <w:r w:rsidR="00840F5C" w:rsidRPr="00840F5C">
        <w:rPr>
          <w:color w:val="FFFFFF" w:themeColor="background1"/>
        </w:rPr>
        <w:t>1</w:t>
      </w:r>
      <w:r>
        <w:t>times there are al</w:t>
      </w:r>
      <w:r w:rsidR="00840F5C">
        <w:t>ways industries and occupations</w:t>
      </w:r>
      <w:r w:rsidR="00840F5C" w:rsidRPr="00840F5C">
        <w:rPr>
          <w:color w:val="FFFFFF" w:themeColor="background1"/>
        </w:rPr>
        <w:t>1</w:t>
      </w:r>
      <w:r>
        <w:t xml:space="preserve">in which </w:t>
      </w:r>
      <w:r w:rsidR="00840F5C">
        <w:t>companies feel the need to bend</w:t>
      </w:r>
      <w:r w:rsidR="00840F5C" w:rsidRPr="00840F5C">
        <w:rPr>
          <w:color w:val="FFFFFF" w:themeColor="background1"/>
        </w:rPr>
        <w:t>1</w:t>
      </w:r>
      <w:r w:rsidR="00840F5C">
        <w:t>backward to retain</w:t>
      </w:r>
      <w:r w:rsidR="00840F5C" w:rsidRPr="00840F5C">
        <w:rPr>
          <w:color w:val="FFFFFF" w:themeColor="background1"/>
        </w:rPr>
        <w:t>1</w:t>
      </w:r>
      <w:r>
        <w:t>their human capital, they add. According to research into organizational behavior, an employee's willingness to stay with the company has a direct correlation to their level of organizational commitment. Studies have shown that high retention rates have a positive effect on productivity, therefore it's important to keep workers happy and committed</w:t>
      </w:r>
      <w:r w:rsidR="001405C6" w:rsidRPr="001405C6">
        <w:t xml:space="preserve"> </w:t>
      </w:r>
      <w:sdt>
        <w:sdtPr>
          <w:id w:val="-1112821923"/>
          <w:citation/>
        </w:sdtPr>
        <w:sdtContent>
          <w:r w:rsidR="001405C6">
            <w:fldChar w:fldCharType="begin"/>
          </w:r>
          <w:r w:rsidR="00217BBE">
            <w:instrText xml:space="preserve">CITATION Sul22 \l 1033 </w:instrText>
          </w:r>
          <w:r w:rsidR="001405C6">
            <w:fldChar w:fldCharType="separate"/>
          </w:r>
          <w:r w:rsidR="00217BBE" w:rsidRPr="00217BBE">
            <w:rPr>
              <w:noProof/>
            </w:rPr>
            <w:t>(Sulej, 2022)</w:t>
          </w:r>
          <w:r w:rsidR="001405C6">
            <w:fldChar w:fldCharType="end"/>
          </w:r>
        </w:sdtContent>
      </w:sdt>
      <w:r w:rsidR="001405C6">
        <w:t>.</w:t>
      </w:r>
    </w:p>
    <w:p w14:paraId="1DBB9B4F" w14:textId="4141DDF8" w:rsidR="006453D8" w:rsidRDefault="006453D8" w:rsidP="00CE4DA3">
      <w:pPr>
        <w:spacing w:before="0"/>
      </w:pPr>
    </w:p>
    <w:p w14:paraId="16ED5CBF" w14:textId="4D152F93" w:rsidR="006453D8" w:rsidRDefault="00E164A8" w:rsidP="00E164A8">
      <w:pPr>
        <w:pStyle w:val="Heading3"/>
      </w:pPr>
      <w:bookmarkStart w:id="5" w:name="_Toc111970620"/>
      <w:r>
        <w:lastRenderedPageBreak/>
        <w:t>Strategies at P</w:t>
      </w:r>
      <w:r w:rsidR="0072019A">
        <w:t>f</w:t>
      </w:r>
      <w:r>
        <w:t>izer for resourcing people</w:t>
      </w:r>
      <w:bookmarkEnd w:id="5"/>
    </w:p>
    <w:p w14:paraId="11797C2B" w14:textId="276F1F52" w:rsidR="00E164A8" w:rsidRDefault="00911839" w:rsidP="00CE4DA3">
      <w:pPr>
        <w:spacing w:before="0"/>
      </w:pPr>
      <w:r w:rsidRPr="00911839">
        <w:t>The higher-ups at Pfizer genuinely care about their employees' professional growth and do what they can to help them succeed.</w:t>
      </w:r>
      <w:r w:rsidR="00D604C0">
        <w:t xml:space="preserve"> So that it uses the following strategies to resource the people to the company.</w:t>
      </w:r>
    </w:p>
    <w:p w14:paraId="6820FC37" w14:textId="77777777" w:rsidR="0072019A" w:rsidRDefault="0072019A" w:rsidP="00E96D16">
      <w:pPr>
        <w:pStyle w:val="ListParagraph"/>
        <w:numPr>
          <w:ilvl w:val="0"/>
          <w:numId w:val="1"/>
        </w:numPr>
        <w:spacing w:before="0"/>
        <w:contextualSpacing w:val="0"/>
      </w:pPr>
      <w:r>
        <w:t>Colleagues collaborate with managers to map out a strategic plan for their own professional growth that takes into account not only Pfizer's goals but also their own business interests and personal aspirations.</w:t>
      </w:r>
    </w:p>
    <w:p w14:paraId="0564F503" w14:textId="557BCC9E" w:rsidR="0072019A" w:rsidRDefault="0072019A" w:rsidP="00E96D16">
      <w:pPr>
        <w:pStyle w:val="ListParagraph"/>
        <w:numPr>
          <w:ilvl w:val="0"/>
          <w:numId w:val="1"/>
        </w:numPr>
        <w:spacing w:before="0"/>
        <w:contextualSpacing w:val="0"/>
      </w:pPr>
      <w:r>
        <w:t>Online guide coordination gadgets have helped Pfizer significantly develop the mentorship program.</w:t>
      </w:r>
      <w:r w:rsidR="004B79BB">
        <w:t xml:space="preserve"> </w:t>
      </w:r>
      <w:r w:rsidR="001200D9">
        <w:t>Staff</w:t>
      </w:r>
      <w:r>
        <w:t xml:space="preserve"> can quickly and easily find a coach or instructor who suits their needs with this tool.</w:t>
      </w:r>
    </w:p>
    <w:p w14:paraId="700C55DE" w14:textId="0965B3BA" w:rsidR="0072019A" w:rsidRDefault="0072019A" w:rsidP="00E96D16">
      <w:pPr>
        <w:pStyle w:val="ListParagraph"/>
        <w:numPr>
          <w:ilvl w:val="0"/>
          <w:numId w:val="1"/>
        </w:numPr>
        <w:spacing w:before="0"/>
        <w:contextualSpacing w:val="0"/>
      </w:pPr>
      <w:r>
        <w:t>Employees can identify a Pfizer recruitment role and submit an application within the context of Internal Progress. Seriously Should of reporting annual results, Pfizer recommends that authorities instead regularly hold in-depth execution coaching sessions.</w:t>
      </w:r>
    </w:p>
    <w:p w14:paraId="24470C87" w14:textId="004C54A0" w:rsidR="0072019A" w:rsidRDefault="0072019A" w:rsidP="00E96D16">
      <w:pPr>
        <w:pStyle w:val="ListParagraph"/>
        <w:numPr>
          <w:ilvl w:val="0"/>
          <w:numId w:val="1"/>
        </w:numPr>
        <w:spacing w:before="0"/>
        <w:contextualSpacing w:val="0"/>
      </w:pPr>
      <w:r>
        <w:t>Pfizer gives its employe</w:t>
      </w:r>
      <w:r w:rsidR="00840F5C">
        <w:t>es a wide variety of short- and</w:t>
      </w:r>
      <w:r w:rsidR="00840F5C" w:rsidRPr="00840F5C">
        <w:rPr>
          <w:color w:val="FFFFFF" w:themeColor="background1"/>
        </w:rPr>
        <w:t>1</w:t>
      </w:r>
      <w:r>
        <w:t>medium-term pilot oppo</w:t>
      </w:r>
      <w:r w:rsidR="00840F5C">
        <w:t>rtunities, including revolution</w:t>
      </w:r>
      <w:r w:rsidR="00840F5C" w:rsidRPr="00840F5C">
        <w:rPr>
          <w:color w:val="FFFFFF" w:themeColor="background1"/>
        </w:rPr>
        <w:t>1</w:t>
      </w:r>
      <w:r>
        <w:t>assi</w:t>
      </w:r>
      <w:r w:rsidR="00840F5C">
        <w:t>gnments, hands-on ventures, and</w:t>
      </w:r>
      <w:r w:rsidR="00840F5C" w:rsidRPr="00840F5C">
        <w:rPr>
          <w:color w:val="FFFFFF" w:themeColor="background1"/>
        </w:rPr>
        <w:t>1</w:t>
      </w:r>
      <w:r>
        <w:t>short-term extend portions.</w:t>
      </w:r>
    </w:p>
    <w:p w14:paraId="30C13752" w14:textId="36AD7808" w:rsidR="00911839" w:rsidRDefault="00B8006E" w:rsidP="009B4C10">
      <w:pPr>
        <w:pStyle w:val="ListParagraph"/>
        <w:numPr>
          <w:ilvl w:val="0"/>
          <w:numId w:val="1"/>
        </w:numPr>
        <w:spacing w:before="0"/>
      </w:pPr>
      <w:r>
        <w:t>With the t</w:t>
      </w:r>
      <w:r w:rsidR="0072019A">
        <w:t xml:space="preserve">raining and </w:t>
      </w:r>
      <w:r>
        <w:t>d</w:t>
      </w:r>
      <w:r w:rsidR="0072019A">
        <w:t xml:space="preserve">evelopment </w:t>
      </w:r>
      <w:r>
        <w:t>o</w:t>
      </w:r>
      <w:r w:rsidR="0072019A">
        <w:t>pportunitie</w:t>
      </w:r>
      <w:r w:rsidR="00C702E0">
        <w:t>s</w:t>
      </w:r>
      <w:r>
        <w:t>, e</w:t>
      </w:r>
      <w:r w:rsidR="0072019A">
        <w:t>mployees can participate in training and development programs covering a wide variety of topics, such as leadership and management skills, technical and unusual education, basic financial research, production, financing, and specialized talents.</w:t>
      </w:r>
    </w:p>
    <w:p w14:paraId="37E2A74B" w14:textId="33CA3A7F" w:rsidR="009B4C10" w:rsidRDefault="006B423B" w:rsidP="00C35C0F">
      <w:pPr>
        <w:pStyle w:val="Heading3"/>
      </w:pPr>
      <w:bookmarkStart w:id="6" w:name="_Toc111970621"/>
      <w:r>
        <w:t>How the employee resourcing strategies of Pfizer affect its performance</w:t>
      </w:r>
      <w:bookmarkEnd w:id="6"/>
      <w:r>
        <w:t xml:space="preserve"> </w:t>
      </w:r>
    </w:p>
    <w:p w14:paraId="7E21B8DE" w14:textId="46925139" w:rsidR="00E96D16" w:rsidRDefault="00311FCD" w:rsidP="00311FCD">
      <w:pPr>
        <w:spacing w:before="0"/>
      </w:pPr>
      <w:r>
        <w:t>Recruiting and retaining the best personnel Pfizer's profits have gone up since the company started implementing human resourcing strategies, according to a descriptive analysis of the question of how this strategy impacts the organization. If employees are used effectively, a company's efficiency can increase.</w:t>
      </w:r>
      <w:r w:rsidR="003B5F3C">
        <w:t xml:space="preserve"> </w:t>
      </w:r>
      <w:r>
        <w:t xml:space="preserve">Staffing, performance, and management are the cornerstones of effective human resource management </w:t>
      </w:r>
      <w:sdt>
        <w:sdtPr>
          <w:id w:val="1991281117"/>
          <w:citation/>
        </w:sdtPr>
        <w:sdtContent>
          <w:r w:rsidR="003B5F3C">
            <w:fldChar w:fldCharType="begin"/>
          </w:r>
          <w:r w:rsidR="003B5F3C">
            <w:instrText xml:space="preserve"> CITATION Ehi16 \l 1033 </w:instrText>
          </w:r>
          <w:r w:rsidR="003B5F3C">
            <w:fldChar w:fldCharType="separate"/>
          </w:r>
          <w:r w:rsidR="003B5F3C" w:rsidRPr="008032EA">
            <w:rPr>
              <w:noProof/>
            </w:rPr>
            <w:t>(Ehiyamen &amp; Oshilin, 2016)</w:t>
          </w:r>
          <w:r w:rsidR="003B5F3C">
            <w:fldChar w:fldCharType="end"/>
          </w:r>
        </w:sdtContent>
      </w:sdt>
      <w:r>
        <w:t xml:space="preserve">. Most </w:t>
      </w:r>
      <w:r>
        <w:lastRenderedPageBreak/>
        <w:t>other HRM strategies aimed at development and motivation should, therefor</w:t>
      </w:r>
      <w:r w:rsidR="00840F5C">
        <w:t>e, revolve around the selection</w:t>
      </w:r>
      <w:r w:rsidR="00840F5C" w:rsidRPr="00840F5C">
        <w:rPr>
          <w:color w:val="FFFFFF" w:themeColor="background1"/>
        </w:rPr>
        <w:t>1</w:t>
      </w:r>
      <w:r w:rsidR="00840F5C">
        <w:t>and recruitment</w:t>
      </w:r>
      <w:r w:rsidR="00840F5C" w:rsidRPr="00840F5C">
        <w:rPr>
          <w:color w:val="FFFFFF" w:themeColor="background1"/>
        </w:rPr>
        <w:t>1</w:t>
      </w:r>
      <w:r w:rsidR="00840F5C">
        <w:t>of workers best</w:t>
      </w:r>
      <w:r w:rsidR="00840F5C" w:rsidRPr="00840F5C">
        <w:rPr>
          <w:color w:val="FFFFFF" w:themeColor="background1"/>
        </w:rPr>
        <w:t>1</w:t>
      </w:r>
      <w:r>
        <w:t xml:space="preserve">suited to satisfy the goals of the firm. </w:t>
      </w:r>
    </w:p>
    <w:p w14:paraId="4EF39975" w14:textId="2441C97C" w:rsidR="009B4C10" w:rsidRDefault="00311FCD" w:rsidP="00311FCD">
      <w:pPr>
        <w:spacing w:before="0"/>
      </w:pPr>
      <w:r>
        <w:t>This research concluded that commercial banks in Kenya could benefit from better profit margins if they implemented more stringent recruitment and selection processes. In other words, a company's bottom line will improve in tandem with its recruitment and selection processes. Due to the high caliber of service provided by these workers, the company was able to expand its clientele, which resulted in higher revenue and a greater profit margin. Pfizer gives five assurances to researchers to help them speed up the use of drugs and immunizations to protect humanity from this spreading epidemic and to ready the industry to better respond to future global health catastrophes.</w:t>
      </w:r>
    </w:p>
    <w:p w14:paraId="1114F45F" w14:textId="7198C079" w:rsidR="0013204E" w:rsidRDefault="0013204E" w:rsidP="00E96D16">
      <w:pPr>
        <w:pStyle w:val="ListParagraph"/>
        <w:numPr>
          <w:ilvl w:val="0"/>
          <w:numId w:val="2"/>
        </w:numPr>
        <w:spacing w:before="0"/>
        <w:contextualSpacing w:val="0"/>
      </w:pPr>
      <w:r>
        <w:t>Since little is known about this infection, several are developing cellular, serological, and translational models to test potential therapies and vaccinations. Pfizer gives open-source devices to a wider and more consistent community, exchanging data in real time to expedite patient solutions and antibodies.</w:t>
      </w:r>
    </w:p>
    <w:p w14:paraId="61777DCC" w14:textId="57AB6CF1" w:rsidR="0013204E" w:rsidRDefault="0013204E" w:rsidP="00E96D16">
      <w:pPr>
        <w:pStyle w:val="ListParagraph"/>
        <w:numPr>
          <w:ilvl w:val="0"/>
          <w:numId w:val="2"/>
        </w:numPr>
        <w:spacing w:before="0"/>
        <w:contextualSpacing w:val="0"/>
      </w:pPr>
      <w:r>
        <w:t xml:space="preserve">Pfizer joins together beet virologists, chemists, </w:t>
      </w:r>
      <w:r w:rsidR="00E87713">
        <w:t xml:space="preserve">scientists, </w:t>
      </w:r>
      <w:r>
        <w:t xml:space="preserve">clinicians, immunization specialists, </w:t>
      </w:r>
      <w:r w:rsidR="00E87713">
        <w:t xml:space="preserve">infectious disease professionals, </w:t>
      </w:r>
      <w:r>
        <w:t xml:space="preserve">pharmaceutical researchers, and other essential specialists to combat this disease. </w:t>
      </w:r>
      <w:r w:rsidR="00334BC0">
        <w:t>They</w:t>
      </w:r>
      <w:r>
        <w:t xml:space="preserve"> </w:t>
      </w:r>
      <w:r w:rsidR="00217BBE">
        <w:t>combine</w:t>
      </w:r>
      <w:r>
        <w:t xml:space="preserve"> excitement, devotion, and expertise to prepare for disclosure and improve patient care.</w:t>
      </w:r>
    </w:p>
    <w:p w14:paraId="6D0A3EEA" w14:textId="54BCE959" w:rsidR="0013204E" w:rsidRDefault="0013204E" w:rsidP="00E96D16">
      <w:pPr>
        <w:pStyle w:val="ListParagraph"/>
        <w:numPr>
          <w:ilvl w:val="0"/>
          <w:numId w:val="2"/>
        </w:numPr>
        <w:spacing w:before="0"/>
        <w:contextualSpacing w:val="0"/>
      </w:pPr>
      <w:r>
        <w:t>Many small biotechnology companies are researching workout substances or current medicines for COVID19-causing illnesses</w:t>
      </w:r>
      <w:r w:rsidR="001E055E">
        <w:t xml:space="preserve"> </w:t>
      </w:r>
      <w:r>
        <w:t>but face difficult management frameworks. Pfizer shares clinical progress and managerial capabilities to help these companies' most promising candidates.</w:t>
      </w:r>
    </w:p>
    <w:p w14:paraId="07DFBE0C" w14:textId="6E50E341" w:rsidR="0013204E" w:rsidRDefault="0013204E" w:rsidP="00E96D16">
      <w:pPr>
        <w:pStyle w:val="ListParagraph"/>
        <w:numPr>
          <w:ilvl w:val="0"/>
          <w:numId w:val="2"/>
        </w:numPr>
        <w:spacing w:before="0"/>
        <w:contextualSpacing w:val="0"/>
      </w:pPr>
      <w:r>
        <w:t>Once a therapy or vaccine is authorized, it must be rolled out globally to halt the pandemic. As one of the major vaccine and treatment producers, Pfizer uses its excess production capacity and, in some situations, transfers manufacturing to save lives. We're ensuring delivery.</w:t>
      </w:r>
    </w:p>
    <w:p w14:paraId="62F4702C" w14:textId="17B94D83" w:rsidR="00C45A52" w:rsidRDefault="0013204E" w:rsidP="00E96D16">
      <w:pPr>
        <w:pStyle w:val="ListParagraph"/>
        <w:numPr>
          <w:ilvl w:val="0"/>
          <w:numId w:val="2"/>
        </w:numPr>
        <w:spacing w:before="0"/>
        <w:contextualSpacing w:val="0"/>
      </w:pPr>
      <w:r>
        <w:t xml:space="preserve">Pfizer </w:t>
      </w:r>
      <w:r w:rsidR="003F03F7">
        <w:t>has</w:t>
      </w:r>
      <w:r>
        <w:t xml:space="preserve"> partner</w:t>
      </w:r>
      <w:r w:rsidR="003F03F7">
        <w:t>ed</w:t>
      </w:r>
      <w:r>
        <w:t xml:space="preserve"> with NIH, NIAID, and CDC to enhance rapid response to future global health threats including pandemics.</w:t>
      </w:r>
    </w:p>
    <w:p w14:paraId="32FEEE60" w14:textId="1409BF52" w:rsidR="004032B4" w:rsidRDefault="00661EB2" w:rsidP="004032B4">
      <w:pPr>
        <w:pStyle w:val="Heading1"/>
      </w:pPr>
      <w:bookmarkStart w:id="7" w:name="_Toc111970622"/>
      <w:r>
        <w:lastRenderedPageBreak/>
        <w:t>Con</w:t>
      </w:r>
      <w:r w:rsidR="000A6CF2">
        <w:t>c</w:t>
      </w:r>
      <w:r>
        <w:t>lusion</w:t>
      </w:r>
      <w:bookmarkEnd w:id="7"/>
      <w:r>
        <w:t xml:space="preserve"> </w:t>
      </w:r>
    </w:p>
    <w:p w14:paraId="790BA4ED" w14:textId="17EEEEF9" w:rsidR="004032B4" w:rsidRDefault="00F87CDE" w:rsidP="004032B4">
      <w:pPr>
        <w:spacing w:before="0"/>
      </w:pPr>
      <w:r w:rsidRPr="00F87CDE">
        <w:t xml:space="preserve">The leadership at Pfizer recognizes the importance of human resource management to the company's bottom line. The HR department is dedicated to M&amp;A and D&amp;D planning frameworks. Pfizer's worldwide human resources team assists with strategy integration and subsequent plan execution. Pfizer's biggest HR planning challenges include reducing the time and cost of training new </w:t>
      </w:r>
      <w:r w:rsidR="00910B2A">
        <w:t>staff</w:t>
      </w:r>
      <w:r w:rsidRPr="00F87CDE">
        <w:t xml:space="preserve">; preserving and sharing legacy content created </w:t>
      </w:r>
      <w:r w:rsidR="005A11AA" w:rsidRPr="00F87CDE">
        <w:t>internal</w:t>
      </w:r>
      <w:r w:rsidRPr="00F87CDE">
        <w:t xml:space="preserve"> and by third parties; lowering the cost of </w:t>
      </w:r>
      <w:r w:rsidR="005A11AA" w:rsidRPr="00F87CDE">
        <w:t>on the spot</w:t>
      </w:r>
      <w:r w:rsidRPr="00F87CDE">
        <w:t xml:space="preserve"> training to reach a large and geographically dispersed workforce; eliminating unnecessary waiting </w:t>
      </w:r>
      <w:r w:rsidR="00295569" w:rsidRPr="00F87CDE">
        <w:t>ages</w:t>
      </w:r>
      <w:r w:rsidRPr="00F87CDE">
        <w:t xml:space="preserve"> for new hires; and facilitating new hires' training </w:t>
      </w:r>
      <w:r w:rsidR="001143FE">
        <w:t>with</w:t>
      </w:r>
      <w:r w:rsidRPr="00F87CDE">
        <w:t>in the local market. Th</w:t>
      </w:r>
      <w:r w:rsidR="00E96D16">
        <w:t>is report has</w:t>
      </w:r>
      <w:r w:rsidRPr="00F87CDE">
        <w:t xml:space="preserve"> concluded that recruitment tactics significantly affect productivity. Success or failure in business is thus closely related to the methods employed during the hiring process.</w:t>
      </w:r>
    </w:p>
    <w:p w14:paraId="14BFBFFF" w14:textId="77777777" w:rsidR="004032B4" w:rsidRDefault="004032B4" w:rsidP="00FB7B21">
      <w:pPr>
        <w:spacing w:before="0"/>
      </w:pPr>
    </w:p>
    <w:p w14:paraId="0B64B05A" w14:textId="30CE25A4" w:rsidR="001013C8" w:rsidRDefault="001013C8" w:rsidP="00FB7B21">
      <w:pPr>
        <w:spacing w:before="0"/>
      </w:pPr>
    </w:p>
    <w:p w14:paraId="6F86E036" w14:textId="24547D71" w:rsidR="001013C8" w:rsidRDefault="001013C8" w:rsidP="00FB7B21">
      <w:pPr>
        <w:spacing w:before="0"/>
      </w:pPr>
    </w:p>
    <w:p w14:paraId="585D1B69" w14:textId="53F9762B" w:rsidR="00C1050D" w:rsidRDefault="00C1050D" w:rsidP="00FB7B21">
      <w:pPr>
        <w:spacing w:before="0"/>
      </w:pPr>
    </w:p>
    <w:p w14:paraId="24372531" w14:textId="77777777" w:rsidR="00C1050D" w:rsidRDefault="00C1050D">
      <w:pPr>
        <w:spacing w:before="0" w:after="160" w:line="259" w:lineRule="auto"/>
        <w:jc w:val="left"/>
      </w:pPr>
      <w:r>
        <w:br w:type="page"/>
      </w:r>
    </w:p>
    <w:bookmarkStart w:id="8" w:name="_Toc111970623" w:displacedByCustomXml="next"/>
    <w:sdt>
      <w:sdtPr>
        <w:rPr>
          <w:rFonts w:eastAsiaTheme="minorHAnsi" w:cstheme="minorBidi"/>
          <w:b w:val="0"/>
          <w:sz w:val="24"/>
          <w:szCs w:val="22"/>
        </w:rPr>
        <w:id w:val="-1096559537"/>
        <w:docPartObj>
          <w:docPartGallery w:val="Bibliographies"/>
          <w:docPartUnique/>
        </w:docPartObj>
      </w:sdtPr>
      <w:sdtContent>
        <w:p w14:paraId="0279CCD0" w14:textId="03E4104D" w:rsidR="004B2EB6" w:rsidRDefault="004B2EB6">
          <w:pPr>
            <w:pStyle w:val="Heading1"/>
          </w:pPr>
          <w:r>
            <w:t>References</w:t>
          </w:r>
          <w:bookmarkEnd w:id="8"/>
        </w:p>
        <w:sdt>
          <w:sdtPr>
            <w:id w:val="-573587230"/>
            <w:bibliography/>
          </w:sdtPr>
          <w:sdtContent>
            <w:p w14:paraId="7764AA51" w14:textId="77777777" w:rsidR="004B2EB6" w:rsidRDefault="004B2EB6" w:rsidP="004B2EB6">
              <w:pPr>
                <w:pStyle w:val="Bibliography"/>
                <w:rPr>
                  <w:noProof/>
                  <w:szCs w:val="24"/>
                </w:rPr>
              </w:pPr>
              <w:r>
                <w:fldChar w:fldCharType="begin"/>
              </w:r>
              <w:r>
                <w:instrText xml:space="preserve"> BIBLIOGRAPHY </w:instrText>
              </w:r>
              <w:r>
                <w:fldChar w:fldCharType="separate"/>
              </w:r>
              <w:r>
                <w:rPr>
                  <w:noProof/>
                </w:rPr>
                <w:t xml:space="preserve">Carnegie, D., 2021. Fiscal policy effect on the uUK economy. </w:t>
              </w:r>
              <w:r>
                <w:rPr>
                  <w:i/>
                  <w:iCs/>
                  <w:noProof/>
                </w:rPr>
                <w:t>Bulletin of the Economy of Western Society.</w:t>
              </w:r>
            </w:p>
            <w:p w14:paraId="6BE6D31E" w14:textId="77777777" w:rsidR="004B2EB6" w:rsidRDefault="004B2EB6" w:rsidP="004B2EB6">
              <w:pPr>
                <w:pStyle w:val="Bibliography"/>
                <w:rPr>
                  <w:noProof/>
                </w:rPr>
              </w:pPr>
              <w:r>
                <w:rPr>
                  <w:noProof/>
                </w:rPr>
                <w:t xml:space="preserve">Davis, C. M., 2021. Readiness and resilience of the health systems of the UK and Russia during Covid-19 epidemics in 2020-2021: impacts of priorities, shortages and rationing. </w:t>
              </w:r>
              <w:r>
                <w:rPr>
                  <w:i/>
                  <w:iCs/>
                  <w:noProof/>
                </w:rPr>
                <w:t xml:space="preserve">Post-Communist Economies, </w:t>
              </w:r>
              <w:r>
                <w:rPr>
                  <w:noProof/>
                </w:rPr>
                <w:t>33(1), pp. 1 - 63.</w:t>
              </w:r>
            </w:p>
            <w:p w14:paraId="113E231B" w14:textId="77777777" w:rsidR="004B2EB6" w:rsidRDefault="004B2EB6" w:rsidP="004B2EB6">
              <w:pPr>
                <w:pStyle w:val="Bibliography"/>
                <w:rPr>
                  <w:noProof/>
                </w:rPr>
              </w:pPr>
              <w:r>
                <w:rPr>
                  <w:noProof/>
                </w:rPr>
                <w:t xml:space="preserve">Deloitte, 2022. </w:t>
              </w:r>
              <w:r>
                <w:rPr>
                  <w:i/>
                  <w:iCs/>
                  <w:noProof/>
                </w:rPr>
                <w:t xml:space="preserve">Tackling Brexit and COVID-19 together, </w:t>
              </w:r>
              <w:r>
                <w:rPr>
                  <w:noProof/>
                </w:rPr>
                <w:t>s.l.: s.n.</w:t>
              </w:r>
            </w:p>
            <w:p w14:paraId="17D58A5E" w14:textId="77777777" w:rsidR="004B2EB6" w:rsidRDefault="004B2EB6" w:rsidP="004B2EB6">
              <w:pPr>
                <w:pStyle w:val="Bibliography"/>
                <w:rPr>
                  <w:noProof/>
                </w:rPr>
              </w:pPr>
              <w:r>
                <w:rPr>
                  <w:noProof/>
                </w:rPr>
                <w:t xml:space="preserve">Ehiyamen, O. &amp; Oshilin, G., 2016. MANAGING CHANGES IN ORGANIZATIONAL EXTERNAL ENVIRONMENT: THE ROLE OF HUMAN RESOURCE MANAGERS.. </w:t>
              </w:r>
              <w:r>
                <w:rPr>
                  <w:i/>
                  <w:iCs/>
                  <w:noProof/>
                </w:rPr>
                <w:t xml:space="preserve">Journal of Administration and Development, </w:t>
              </w:r>
              <w:r>
                <w:rPr>
                  <w:noProof/>
                </w:rPr>
                <w:t>2(3), pp. 45 - 61.</w:t>
              </w:r>
            </w:p>
            <w:p w14:paraId="7629FD87" w14:textId="77777777" w:rsidR="004B2EB6" w:rsidRDefault="004B2EB6" w:rsidP="004B2EB6">
              <w:pPr>
                <w:pStyle w:val="Bibliography"/>
                <w:rPr>
                  <w:noProof/>
                </w:rPr>
              </w:pPr>
              <w:r>
                <w:rPr>
                  <w:noProof/>
                </w:rPr>
                <w:t xml:space="preserve">Hepburn, E., 2020. </w:t>
              </w:r>
              <w:r>
                <w:rPr>
                  <w:i/>
                  <w:iCs/>
                  <w:noProof/>
                </w:rPr>
                <w:t xml:space="preserve">Uncharted waters: The social and equality impacts of Brexit. Scottish Affairs, </w:t>
              </w:r>
              <w:r>
                <w:rPr>
                  <w:noProof/>
                </w:rPr>
                <w:t>s.l.: s.n.</w:t>
              </w:r>
            </w:p>
            <w:p w14:paraId="43F02BE3" w14:textId="77777777" w:rsidR="004B2EB6" w:rsidRDefault="004B2EB6" w:rsidP="004B2EB6">
              <w:pPr>
                <w:pStyle w:val="Bibliography"/>
                <w:rPr>
                  <w:noProof/>
                </w:rPr>
              </w:pPr>
              <w:r>
                <w:rPr>
                  <w:noProof/>
                </w:rPr>
                <w:t xml:space="preserve">Lyon, J. D. &amp; Dhingra, S., 2021. </w:t>
              </w:r>
              <w:r>
                <w:rPr>
                  <w:i/>
                  <w:iCs/>
                  <w:noProof/>
                </w:rPr>
                <w:t xml:space="preserve">The impacts of Covid-19 and Brexit on the UK economy: early evidence in 2021, </w:t>
              </w:r>
              <w:r>
                <w:rPr>
                  <w:noProof/>
                </w:rPr>
                <w:t>s.l.: s.n.</w:t>
              </w:r>
            </w:p>
            <w:p w14:paraId="6FD08971" w14:textId="77777777" w:rsidR="004B2EB6" w:rsidRDefault="004B2EB6" w:rsidP="004B2EB6">
              <w:pPr>
                <w:pStyle w:val="Bibliography"/>
                <w:rPr>
                  <w:noProof/>
                </w:rPr>
              </w:pPr>
              <w:r w:rsidRPr="00191729">
                <w:rPr>
                  <w:noProof/>
                  <w:lang w:val="fr-FR"/>
                </w:rPr>
                <w:t xml:space="preserve">Masri, H. A. &amp; Jaaron, A. M., 2017. </w:t>
              </w:r>
              <w:r>
                <w:rPr>
                  <w:noProof/>
                </w:rPr>
                <w:t xml:space="preserve">Assessing green human resources management practices in Palestinian manufacturing context: an empirical study. </w:t>
              </w:r>
              <w:r>
                <w:rPr>
                  <w:i/>
                  <w:iCs/>
                  <w:noProof/>
                </w:rPr>
                <w:t xml:space="preserve">J. Clean. Prodution, </w:t>
              </w:r>
              <w:r>
                <w:rPr>
                  <w:noProof/>
                </w:rPr>
                <w:t>pp. 474 - 489.</w:t>
              </w:r>
            </w:p>
            <w:p w14:paraId="2E35960F" w14:textId="77777777" w:rsidR="004B2EB6" w:rsidRDefault="004B2EB6" w:rsidP="004B2EB6">
              <w:pPr>
                <w:pStyle w:val="Bibliography"/>
                <w:rPr>
                  <w:noProof/>
                </w:rPr>
              </w:pPr>
              <w:r>
                <w:rPr>
                  <w:noProof/>
                </w:rPr>
                <w:t xml:space="preserve">Office for National Statistics, 2022. </w:t>
              </w:r>
              <w:r>
                <w:rPr>
                  <w:i/>
                  <w:iCs/>
                  <w:noProof/>
                </w:rPr>
                <w:t xml:space="preserve">Labour market overview, UK: July 2022. </w:t>
              </w:r>
              <w:r>
                <w:rPr>
                  <w:noProof/>
                </w:rPr>
                <w:t xml:space="preserve">[Online] </w:t>
              </w:r>
              <w:r>
                <w:rPr>
                  <w:noProof/>
                </w:rPr>
                <w:br/>
                <w:t xml:space="preserve">Available at: </w:t>
              </w:r>
              <w:r>
                <w:rPr>
                  <w:noProof/>
                  <w:u w:val="single"/>
                </w:rPr>
                <w:t>https://www.ons.gov.uk/employmentandlabourmarket/peopleinwork/employmentandemployeetypes/bulletins/uklabourmarket/july2022</w:t>
              </w:r>
              <w:r>
                <w:rPr>
                  <w:noProof/>
                </w:rPr>
                <w:br/>
                <w:t>[Accessed 20 August 2022].</w:t>
              </w:r>
            </w:p>
            <w:p w14:paraId="58CA8767" w14:textId="77777777" w:rsidR="004B2EB6" w:rsidRDefault="004B2EB6" w:rsidP="004B2EB6">
              <w:pPr>
                <w:pStyle w:val="Bibliography"/>
                <w:rPr>
                  <w:noProof/>
                </w:rPr>
              </w:pPr>
              <w:r>
                <w:rPr>
                  <w:noProof/>
                </w:rPr>
                <w:t xml:space="preserve">Sampson, T., 2017. Brexit: The Economics of International Disintegration. </w:t>
              </w:r>
              <w:r>
                <w:rPr>
                  <w:i/>
                  <w:iCs/>
                  <w:noProof/>
                </w:rPr>
                <w:t xml:space="preserve">JOURNAL OF ECONOMIC PERSPECTIVES, </w:t>
              </w:r>
              <w:r>
                <w:rPr>
                  <w:noProof/>
                </w:rPr>
                <w:t>31(4).</w:t>
              </w:r>
            </w:p>
            <w:p w14:paraId="6CB95EF8" w14:textId="77777777" w:rsidR="004B2EB6" w:rsidRDefault="004B2EB6" w:rsidP="004B2EB6">
              <w:pPr>
                <w:pStyle w:val="Bibliography"/>
                <w:rPr>
                  <w:noProof/>
                </w:rPr>
              </w:pPr>
              <w:r>
                <w:rPr>
                  <w:noProof/>
                </w:rPr>
                <w:t xml:space="preserve">Sudlow, C., Gallacher, J., Allen, N. &amp; Beral, V., 2018. UK biobank: an open access resource for identifying the causes of a wide range of complex diseases of middle and old age. </w:t>
              </w:r>
              <w:r>
                <w:rPr>
                  <w:i/>
                  <w:iCs/>
                  <w:noProof/>
                </w:rPr>
                <w:t>PLOS medicine.</w:t>
              </w:r>
            </w:p>
            <w:p w14:paraId="1E7D4728" w14:textId="73687351" w:rsidR="004B2EB6" w:rsidRDefault="004B2EB6" w:rsidP="004B2EB6">
              <w:pPr>
                <w:pStyle w:val="Bibliography"/>
                <w:rPr>
                  <w:noProof/>
                </w:rPr>
              </w:pPr>
              <w:r>
                <w:rPr>
                  <w:noProof/>
                </w:rPr>
                <w:lastRenderedPageBreak/>
                <w:t xml:space="preserve">Sulej, K. P., </w:t>
              </w:r>
              <w:r w:rsidR="00217BBE">
                <w:rPr>
                  <w:noProof/>
                </w:rPr>
                <w:t>2</w:t>
              </w:r>
              <w:r>
                <w:rPr>
                  <w:noProof/>
                </w:rPr>
                <w:t xml:space="preserve">022. Environmental strategies and human resource development consistency: Research in the manufacturing industry. </w:t>
              </w:r>
              <w:r>
                <w:rPr>
                  <w:i/>
                  <w:iCs/>
                  <w:noProof/>
                </w:rPr>
                <w:t>Journal of Cleaner Production.</w:t>
              </w:r>
            </w:p>
            <w:p w14:paraId="471F9522" w14:textId="77777777" w:rsidR="004B2EB6" w:rsidRDefault="004B2EB6" w:rsidP="004B2EB6">
              <w:pPr>
                <w:pStyle w:val="Bibliography"/>
                <w:rPr>
                  <w:noProof/>
                </w:rPr>
              </w:pPr>
              <w:r>
                <w:rPr>
                  <w:noProof/>
                </w:rPr>
                <w:t xml:space="preserve">Turkay, O., Solmaz, S. A. &amp; Senguli, S., 2011. Strategic Analysis of the External Environment and the Importance of the Information: Research on Perceptions of Hotel Managers. </w:t>
              </w:r>
              <w:r>
                <w:rPr>
                  <w:i/>
                  <w:iCs/>
                  <w:noProof/>
                </w:rPr>
                <w:t xml:space="preserve">Procedia - Social and Behavioral Sciences, </w:t>
              </w:r>
              <w:r>
                <w:rPr>
                  <w:noProof/>
                </w:rPr>
                <w:t>24(7), pp. 1060 - 1069.</w:t>
              </w:r>
            </w:p>
            <w:p w14:paraId="15B30695" w14:textId="1A171DEF" w:rsidR="004B2EB6" w:rsidRDefault="004B2EB6" w:rsidP="004B2EB6">
              <w:r>
                <w:rPr>
                  <w:b/>
                  <w:bCs/>
                  <w:noProof/>
                </w:rPr>
                <w:fldChar w:fldCharType="end"/>
              </w:r>
            </w:p>
          </w:sdtContent>
        </w:sdt>
      </w:sdtContent>
    </w:sdt>
    <w:p w14:paraId="03BF10F0" w14:textId="77777777" w:rsidR="001013C8" w:rsidRPr="0057126E" w:rsidRDefault="001013C8" w:rsidP="00FB7B21">
      <w:pPr>
        <w:spacing w:before="0"/>
      </w:pPr>
    </w:p>
    <w:sectPr w:rsidR="001013C8" w:rsidRPr="0057126E" w:rsidSect="002F36D2">
      <w:footerReference w:type="default" r:id="rId11"/>
      <w:pgSz w:w="11906" w:h="16838" w:code="9"/>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F672A7" w14:textId="77777777" w:rsidR="00F3231C" w:rsidRDefault="00F3231C" w:rsidP="002F36D2">
      <w:pPr>
        <w:spacing w:after="0" w:line="240" w:lineRule="auto"/>
      </w:pPr>
      <w:r>
        <w:separator/>
      </w:r>
    </w:p>
  </w:endnote>
  <w:endnote w:type="continuationSeparator" w:id="0">
    <w:p w14:paraId="71FAAF5B" w14:textId="77777777" w:rsidR="00F3231C" w:rsidRDefault="00F3231C" w:rsidP="002F36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Iskoola Pota">
    <w:charset w:val="00"/>
    <w:family w:val="swiss"/>
    <w:pitch w:val="variable"/>
    <w:sig w:usb0="00000003" w:usb1="00000000" w:usb2="000002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48600378"/>
      <w:docPartObj>
        <w:docPartGallery w:val="Page Numbers (Bottom of Page)"/>
        <w:docPartUnique/>
      </w:docPartObj>
    </w:sdtPr>
    <w:sdtEndPr>
      <w:rPr>
        <w:color w:val="7F7F7F" w:themeColor="background1" w:themeShade="7F"/>
        <w:spacing w:val="60"/>
      </w:rPr>
    </w:sdtEndPr>
    <w:sdtContent>
      <w:p w14:paraId="1E7C55A7" w14:textId="2506AC92" w:rsidR="002F36D2" w:rsidRDefault="002F36D2">
        <w:pPr>
          <w:pStyle w:val="Footer"/>
          <w:pBdr>
            <w:top w:val="single" w:sz="4" w:space="1" w:color="D9D9D9" w:themeColor="background1" w:themeShade="D9"/>
          </w:pBdr>
          <w:jc w:val="right"/>
        </w:pPr>
        <w:r>
          <w:fldChar w:fldCharType="begin"/>
        </w:r>
        <w:r>
          <w:instrText xml:space="preserve"> PAGE   \* MERGEFORMAT </w:instrText>
        </w:r>
        <w:r>
          <w:fldChar w:fldCharType="separate"/>
        </w:r>
        <w:r w:rsidR="00840F5C">
          <w:rPr>
            <w:noProof/>
          </w:rPr>
          <w:t>9</w:t>
        </w:r>
        <w:r>
          <w:rPr>
            <w:noProof/>
          </w:rPr>
          <w:fldChar w:fldCharType="end"/>
        </w:r>
        <w:r>
          <w:t xml:space="preserve"> | </w:t>
        </w:r>
        <w:r>
          <w:rPr>
            <w:color w:val="7F7F7F" w:themeColor="background1" w:themeShade="7F"/>
            <w:spacing w:val="60"/>
          </w:rPr>
          <w:t>Page</w:t>
        </w:r>
      </w:p>
    </w:sdtContent>
  </w:sdt>
  <w:p w14:paraId="1511B2D5" w14:textId="77777777" w:rsidR="002F36D2" w:rsidRDefault="002F36D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23A83D" w14:textId="77777777" w:rsidR="00F3231C" w:rsidRDefault="00F3231C" w:rsidP="002F36D2">
      <w:pPr>
        <w:spacing w:after="0" w:line="240" w:lineRule="auto"/>
      </w:pPr>
      <w:r>
        <w:separator/>
      </w:r>
    </w:p>
  </w:footnote>
  <w:footnote w:type="continuationSeparator" w:id="0">
    <w:p w14:paraId="60BA02B8" w14:textId="77777777" w:rsidR="00F3231C" w:rsidRDefault="00F3231C" w:rsidP="002F36D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D91E9A"/>
    <w:multiLevelType w:val="hybridMultilevel"/>
    <w:tmpl w:val="4DC60B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AAB7F05"/>
    <w:multiLevelType w:val="hybridMultilevel"/>
    <w:tmpl w:val="7DD00E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556889343">
    <w:abstractNumId w:val="0"/>
  </w:num>
  <w:num w:numId="2" w16cid:durableId="56972814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C037D"/>
    <w:rsid w:val="0002480B"/>
    <w:rsid w:val="00051C1B"/>
    <w:rsid w:val="00066029"/>
    <w:rsid w:val="00075D02"/>
    <w:rsid w:val="000863BA"/>
    <w:rsid w:val="00093B59"/>
    <w:rsid w:val="0009581E"/>
    <w:rsid w:val="000A6CF2"/>
    <w:rsid w:val="000B61C8"/>
    <w:rsid w:val="000C0C60"/>
    <w:rsid w:val="000C4B4D"/>
    <w:rsid w:val="000C5763"/>
    <w:rsid w:val="001013C8"/>
    <w:rsid w:val="00102F4F"/>
    <w:rsid w:val="001143FE"/>
    <w:rsid w:val="001200D9"/>
    <w:rsid w:val="00127452"/>
    <w:rsid w:val="0013204E"/>
    <w:rsid w:val="00132979"/>
    <w:rsid w:val="00133756"/>
    <w:rsid w:val="001353F3"/>
    <w:rsid w:val="001405C6"/>
    <w:rsid w:val="00141DC2"/>
    <w:rsid w:val="00185A03"/>
    <w:rsid w:val="0018660B"/>
    <w:rsid w:val="00186C90"/>
    <w:rsid w:val="001878B1"/>
    <w:rsid w:val="00191729"/>
    <w:rsid w:val="00191F81"/>
    <w:rsid w:val="001A75EF"/>
    <w:rsid w:val="001D5018"/>
    <w:rsid w:val="001E055E"/>
    <w:rsid w:val="00217BBE"/>
    <w:rsid w:val="00230B05"/>
    <w:rsid w:val="0024253C"/>
    <w:rsid w:val="00256B88"/>
    <w:rsid w:val="0026021D"/>
    <w:rsid w:val="002624C2"/>
    <w:rsid w:val="0027290E"/>
    <w:rsid w:val="00295569"/>
    <w:rsid w:val="00296581"/>
    <w:rsid w:val="002971E6"/>
    <w:rsid w:val="002B718A"/>
    <w:rsid w:val="002F36D2"/>
    <w:rsid w:val="003016B9"/>
    <w:rsid w:val="00311FCD"/>
    <w:rsid w:val="003278F9"/>
    <w:rsid w:val="00334BC0"/>
    <w:rsid w:val="00343E0F"/>
    <w:rsid w:val="00351AFD"/>
    <w:rsid w:val="003602D6"/>
    <w:rsid w:val="003636A0"/>
    <w:rsid w:val="003909CE"/>
    <w:rsid w:val="0039216E"/>
    <w:rsid w:val="00394965"/>
    <w:rsid w:val="003A3134"/>
    <w:rsid w:val="003B1FCC"/>
    <w:rsid w:val="003B430C"/>
    <w:rsid w:val="003B55D4"/>
    <w:rsid w:val="003B5F3C"/>
    <w:rsid w:val="003C07F2"/>
    <w:rsid w:val="003D00D7"/>
    <w:rsid w:val="003D0D80"/>
    <w:rsid w:val="003E0A46"/>
    <w:rsid w:val="003E4465"/>
    <w:rsid w:val="003F03F7"/>
    <w:rsid w:val="003F0B88"/>
    <w:rsid w:val="003F590E"/>
    <w:rsid w:val="004032B4"/>
    <w:rsid w:val="004072B0"/>
    <w:rsid w:val="00424D45"/>
    <w:rsid w:val="004455E2"/>
    <w:rsid w:val="00446B1C"/>
    <w:rsid w:val="004676FE"/>
    <w:rsid w:val="00467B47"/>
    <w:rsid w:val="004750F9"/>
    <w:rsid w:val="00477B68"/>
    <w:rsid w:val="00482EC4"/>
    <w:rsid w:val="00486B39"/>
    <w:rsid w:val="00490407"/>
    <w:rsid w:val="004A5A93"/>
    <w:rsid w:val="004B2EB6"/>
    <w:rsid w:val="004B79BB"/>
    <w:rsid w:val="004C35AE"/>
    <w:rsid w:val="004C4F7C"/>
    <w:rsid w:val="004D7090"/>
    <w:rsid w:val="004F3AD3"/>
    <w:rsid w:val="00500828"/>
    <w:rsid w:val="00525DC5"/>
    <w:rsid w:val="00547204"/>
    <w:rsid w:val="00553B68"/>
    <w:rsid w:val="00561A2B"/>
    <w:rsid w:val="0057126E"/>
    <w:rsid w:val="00585E12"/>
    <w:rsid w:val="005861E6"/>
    <w:rsid w:val="005A11AA"/>
    <w:rsid w:val="005A4806"/>
    <w:rsid w:val="005C0674"/>
    <w:rsid w:val="005D51B8"/>
    <w:rsid w:val="005D571C"/>
    <w:rsid w:val="005D6588"/>
    <w:rsid w:val="005F50D1"/>
    <w:rsid w:val="005F56DC"/>
    <w:rsid w:val="00601860"/>
    <w:rsid w:val="0061665F"/>
    <w:rsid w:val="0064401A"/>
    <w:rsid w:val="006453D8"/>
    <w:rsid w:val="00661EB2"/>
    <w:rsid w:val="00691BA4"/>
    <w:rsid w:val="006A0AEA"/>
    <w:rsid w:val="006B423B"/>
    <w:rsid w:val="006C52F7"/>
    <w:rsid w:val="006D4453"/>
    <w:rsid w:val="006E026A"/>
    <w:rsid w:val="007070BD"/>
    <w:rsid w:val="0072019A"/>
    <w:rsid w:val="00725563"/>
    <w:rsid w:val="00745EDF"/>
    <w:rsid w:val="007462A3"/>
    <w:rsid w:val="0074695E"/>
    <w:rsid w:val="00760934"/>
    <w:rsid w:val="007663AB"/>
    <w:rsid w:val="0077014E"/>
    <w:rsid w:val="00776AB3"/>
    <w:rsid w:val="007B7D3E"/>
    <w:rsid w:val="007D14EA"/>
    <w:rsid w:val="007F4815"/>
    <w:rsid w:val="008032EA"/>
    <w:rsid w:val="00810784"/>
    <w:rsid w:val="008137BB"/>
    <w:rsid w:val="00815181"/>
    <w:rsid w:val="00840F5C"/>
    <w:rsid w:val="00877471"/>
    <w:rsid w:val="008A43AA"/>
    <w:rsid w:val="008A4E2A"/>
    <w:rsid w:val="008B756A"/>
    <w:rsid w:val="008C5F47"/>
    <w:rsid w:val="008D0053"/>
    <w:rsid w:val="008D0BD0"/>
    <w:rsid w:val="008E067B"/>
    <w:rsid w:val="00900454"/>
    <w:rsid w:val="00910B2A"/>
    <w:rsid w:val="00911839"/>
    <w:rsid w:val="00914CC1"/>
    <w:rsid w:val="00924074"/>
    <w:rsid w:val="0093187B"/>
    <w:rsid w:val="0095107E"/>
    <w:rsid w:val="0095260F"/>
    <w:rsid w:val="00996788"/>
    <w:rsid w:val="009A2CBF"/>
    <w:rsid w:val="009B4C10"/>
    <w:rsid w:val="009D75CA"/>
    <w:rsid w:val="009F6C77"/>
    <w:rsid w:val="00A031BA"/>
    <w:rsid w:val="00A03FA5"/>
    <w:rsid w:val="00A209B6"/>
    <w:rsid w:val="00A2500A"/>
    <w:rsid w:val="00A26ED8"/>
    <w:rsid w:val="00A367DE"/>
    <w:rsid w:val="00A42868"/>
    <w:rsid w:val="00A43CAB"/>
    <w:rsid w:val="00A463EA"/>
    <w:rsid w:val="00A65979"/>
    <w:rsid w:val="00A741C4"/>
    <w:rsid w:val="00A74EE8"/>
    <w:rsid w:val="00A86AA7"/>
    <w:rsid w:val="00AB18C6"/>
    <w:rsid w:val="00AB27B7"/>
    <w:rsid w:val="00B00770"/>
    <w:rsid w:val="00B04D86"/>
    <w:rsid w:val="00B057BF"/>
    <w:rsid w:val="00B2034A"/>
    <w:rsid w:val="00B31026"/>
    <w:rsid w:val="00B520CC"/>
    <w:rsid w:val="00B52115"/>
    <w:rsid w:val="00B5292C"/>
    <w:rsid w:val="00B620CA"/>
    <w:rsid w:val="00B65655"/>
    <w:rsid w:val="00B66081"/>
    <w:rsid w:val="00B8006E"/>
    <w:rsid w:val="00B815DE"/>
    <w:rsid w:val="00B847DA"/>
    <w:rsid w:val="00B97E30"/>
    <w:rsid w:val="00BA44C4"/>
    <w:rsid w:val="00BA4D32"/>
    <w:rsid w:val="00BB3C24"/>
    <w:rsid w:val="00BD28FC"/>
    <w:rsid w:val="00BE0F1D"/>
    <w:rsid w:val="00BF0C86"/>
    <w:rsid w:val="00BF2004"/>
    <w:rsid w:val="00C1050D"/>
    <w:rsid w:val="00C106A4"/>
    <w:rsid w:val="00C318CF"/>
    <w:rsid w:val="00C323EC"/>
    <w:rsid w:val="00C35C0F"/>
    <w:rsid w:val="00C41AD3"/>
    <w:rsid w:val="00C43ABB"/>
    <w:rsid w:val="00C45A52"/>
    <w:rsid w:val="00C463C3"/>
    <w:rsid w:val="00C50578"/>
    <w:rsid w:val="00C5634D"/>
    <w:rsid w:val="00C607DF"/>
    <w:rsid w:val="00C702E0"/>
    <w:rsid w:val="00C917B3"/>
    <w:rsid w:val="00CA08F3"/>
    <w:rsid w:val="00CB1673"/>
    <w:rsid w:val="00CC037D"/>
    <w:rsid w:val="00CC203E"/>
    <w:rsid w:val="00CD1EEB"/>
    <w:rsid w:val="00CE1FBC"/>
    <w:rsid w:val="00CE4DA3"/>
    <w:rsid w:val="00D07DFC"/>
    <w:rsid w:val="00D1728B"/>
    <w:rsid w:val="00D406B3"/>
    <w:rsid w:val="00D604C0"/>
    <w:rsid w:val="00D65902"/>
    <w:rsid w:val="00D71ED0"/>
    <w:rsid w:val="00D83281"/>
    <w:rsid w:val="00D90E14"/>
    <w:rsid w:val="00DA41B4"/>
    <w:rsid w:val="00DA6FE8"/>
    <w:rsid w:val="00DB2A61"/>
    <w:rsid w:val="00DB5313"/>
    <w:rsid w:val="00E014B7"/>
    <w:rsid w:val="00E153AF"/>
    <w:rsid w:val="00E153D9"/>
    <w:rsid w:val="00E164A8"/>
    <w:rsid w:val="00E21E80"/>
    <w:rsid w:val="00E44D20"/>
    <w:rsid w:val="00E53745"/>
    <w:rsid w:val="00E635A6"/>
    <w:rsid w:val="00E70B0C"/>
    <w:rsid w:val="00E736B3"/>
    <w:rsid w:val="00E87713"/>
    <w:rsid w:val="00E96D16"/>
    <w:rsid w:val="00EB65FC"/>
    <w:rsid w:val="00ED6FE6"/>
    <w:rsid w:val="00EE39D1"/>
    <w:rsid w:val="00EF0EF5"/>
    <w:rsid w:val="00EF1BA1"/>
    <w:rsid w:val="00EF3C15"/>
    <w:rsid w:val="00EF4A91"/>
    <w:rsid w:val="00F0135A"/>
    <w:rsid w:val="00F12C46"/>
    <w:rsid w:val="00F230E9"/>
    <w:rsid w:val="00F3053E"/>
    <w:rsid w:val="00F3231C"/>
    <w:rsid w:val="00F37A64"/>
    <w:rsid w:val="00F5625E"/>
    <w:rsid w:val="00F63E81"/>
    <w:rsid w:val="00F63F60"/>
    <w:rsid w:val="00F77BD5"/>
    <w:rsid w:val="00F87CDE"/>
    <w:rsid w:val="00F87F77"/>
    <w:rsid w:val="00F91470"/>
    <w:rsid w:val="00FA2052"/>
    <w:rsid w:val="00FA5AF3"/>
    <w:rsid w:val="00FB7B21"/>
    <w:rsid w:val="00FD3A4F"/>
    <w:rsid w:val="00FD7B94"/>
    <w:rsid w:val="00FE3794"/>
    <w:rsid w:val="00FE5A3D"/>
    <w:rsid w:val="00FE7C28"/>
    <w:rsid w:val="00FF569D"/>
  </w:rsids>
  <m:mathPr>
    <m:mathFont m:val="Cambria Math"/>
    <m:brkBin m:val="before"/>
    <m:brkBinSub m:val="--"/>
    <m:smallFrac m:val="0"/>
    <m:dispDef/>
    <m:lMargin m:val="0"/>
    <m:rMargin m:val="0"/>
    <m:defJc m:val="centerGroup"/>
    <m:wrapIndent m:val="1440"/>
    <m:intLim m:val="subSup"/>
    <m:naryLim m:val="undOvr"/>
  </m:mathPr>
  <w:themeFontLang w:val="en-US" w:bidi="si-LK"/>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C89C35"/>
  <w15:chartTrackingRefBased/>
  <w15:docId w15:val="{12B545C8-3DCC-4915-9C43-C41EFF4B71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33756"/>
    <w:pPr>
      <w:spacing w:before="240" w:after="240" w:line="360" w:lineRule="auto"/>
      <w:jc w:val="both"/>
    </w:pPr>
    <w:rPr>
      <w:rFonts w:ascii="Times New Roman" w:hAnsi="Times New Roman"/>
      <w:color w:val="000000" w:themeColor="text1"/>
      <w:sz w:val="24"/>
    </w:rPr>
  </w:style>
  <w:style w:type="paragraph" w:styleId="Heading1">
    <w:name w:val="heading 1"/>
    <w:basedOn w:val="Normal"/>
    <w:next w:val="Normal"/>
    <w:link w:val="Heading1Char"/>
    <w:autoRedefine/>
    <w:uiPriority w:val="9"/>
    <w:qFormat/>
    <w:rsid w:val="00EF0EF5"/>
    <w:pPr>
      <w:keepNext/>
      <w:keepLines/>
      <w:spacing w:before="0"/>
      <w:outlineLvl w:val="0"/>
    </w:pPr>
    <w:rPr>
      <w:rFonts w:eastAsiaTheme="majorEastAsia" w:cstheme="majorBidi"/>
      <w:b/>
      <w:sz w:val="28"/>
      <w:szCs w:val="32"/>
    </w:rPr>
  </w:style>
  <w:style w:type="paragraph" w:styleId="Heading2">
    <w:name w:val="heading 2"/>
    <w:basedOn w:val="Normal"/>
    <w:next w:val="Normal"/>
    <w:link w:val="Heading2Char"/>
    <w:autoRedefine/>
    <w:uiPriority w:val="9"/>
    <w:unhideWhenUsed/>
    <w:qFormat/>
    <w:rsid w:val="007462A3"/>
    <w:pPr>
      <w:keepNext/>
      <w:keepLines/>
      <w:spacing w:after="120"/>
      <w:outlineLvl w:val="1"/>
    </w:pPr>
    <w:rPr>
      <w:rFonts w:eastAsiaTheme="majorEastAsia" w:cstheme="majorBidi"/>
      <w:b/>
      <w:szCs w:val="26"/>
    </w:rPr>
  </w:style>
  <w:style w:type="paragraph" w:styleId="Heading3">
    <w:name w:val="heading 3"/>
    <w:basedOn w:val="Normal"/>
    <w:next w:val="Normal"/>
    <w:link w:val="Heading3Char"/>
    <w:autoRedefine/>
    <w:uiPriority w:val="9"/>
    <w:unhideWhenUsed/>
    <w:qFormat/>
    <w:rsid w:val="00CD1EEB"/>
    <w:pPr>
      <w:keepNext/>
      <w:keepLines/>
      <w:spacing w:before="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F0EF5"/>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7462A3"/>
    <w:rPr>
      <w:rFonts w:ascii="Times New Roman" w:eastAsiaTheme="majorEastAsia" w:hAnsi="Times New Roman" w:cstheme="majorBidi"/>
      <w:b/>
      <w:color w:val="000000" w:themeColor="text1"/>
      <w:sz w:val="24"/>
      <w:szCs w:val="26"/>
    </w:rPr>
  </w:style>
  <w:style w:type="paragraph" w:styleId="Header">
    <w:name w:val="header"/>
    <w:basedOn w:val="Normal"/>
    <w:link w:val="HeaderChar"/>
    <w:uiPriority w:val="99"/>
    <w:unhideWhenUsed/>
    <w:rsid w:val="002F36D2"/>
    <w:pPr>
      <w:tabs>
        <w:tab w:val="center" w:pos="4680"/>
        <w:tab w:val="right" w:pos="9360"/>
      </w:tabs>
      <w:spacing w:after="0" w:line="240" w:lineRule="auto"/>
    </w:pPr>
  </w:style>
  <w:style w:type="character" w:customStyle="1" w:styleId="HeaderChar">
    <w:name w:val="Header Char"/>
    <w:basedOn w:val="DefaultParagraphFont"/>
    <w:link w:val="Header"/>
    <w:uiPriority w:val="99"/>
    <w:rsid w:val="002F36D2"/>
    <w:rPr>
      <w:rFonts w:ascii="Times New Roman" w:hAnsi="Times New Roman"/>
      <w:color w:val="000000" w:themeColor="text1"/>
      <w:sz w:val="24"/>
    </w:rPr>
  </w:style>
  <w:style w:type="paragraph" w:styleId="Footer">
    <w:name w:val="footer"/>
    <w:basedOn w:val="Normal"/>
    <w:link w:val="FooterChar"/>
    <w:uiPriority w:val="99"/>
    <w:unhideWhenUsed/>
    <w:rsid w:val="002F36D2"/>
    <w:pPr>
      <w:tabs>
        <w:tab w:val="center" w:pos="4680"/>
        <w:tab w:val="right" w:pos="9360"/>
      </w:tabs>
      <w:spacing w:after="0" w:line="240" w:lineRule="auto"/>
    </w:pPr>
  </w:style>
  <w:style w:type="character" w:customStyle="1" w:styleId="FooterChar">
    <w:name w:val="Footer Char"/>
    <w:basedOn w:val="DefaultParagraphFont"/>
    <w:link w:val="Footer"/>
    <w:uiPriority w:val="99"/>
    <w:rsid w:val="002F36D2"/>
    <w:rPr>
      <w:rFonts w:ascii="Times New Roman" w:hAnsi="Times New Roman"/>
      <w:color w:val="000000" w:themeColor="text1"/>
      <w:sz w:val="24"/>
    </w:rPr>
  </w:style>
  <w:style w:type="character" w:customStyle="1" w:styleId="Heading3Char">
    <w:name w:val="Heading 3 Char"/>
    <w:basedOn w:val="DefaultParagraphFont"/>
    <w:link w:val="Heading3"/>
    <w:uiPriority w:val="9"/>
    <w:rsid w:val="00CD1EEB"/>
    <w:rPr>
      <w:rFonts w:ascii="Times New Roman" w:eastAsiaTheme="majorEastAsia" w:hAnsi="Times New Roman" w:cstheme="majorBidi"/>
      <w:b/>
      <w:color w:val="000000" w:themeColor="text1"/>
      <w:sz w:val="24"/>
      <w:szCs w:val="24"/>
    </w:rPr>
  </w:style>
  <w:style w:type="paragraph" w:styleId="TOCHeading">
    <w:name w:val="TOC Heading"/>
    <w:basedOn w:val="Heading1"/>
    <w:next w:val="Normal"/>
    <w:autoRedefine/>
    <w:uiPriority w:val="39"/>
    <w:unhideWhenUsed/>
    <w:qFormat/>
    <w:rsid w:val="00C917B3"/>
    <w:pPr>
      <w:ind w:left="432" w:hanging="432"/>
      <w:outlineLvl w:val="9"/>
    </w:pPr>
    <w:rPr>
      <w:color w:val="0D0D0D" w:themeColor="text1" w:themeTint="F2"/>
    </w:rPr>
  </w:style>
  <w:style w:type="paragraph" w:styleId="Caption">
    <w:name w:val="caption"/>
    <w:basedOn w:val="Normal"/>
    <w:next w:val="Normal"/>
    <w:uiPriority w:val="35"/>
    <w:unhideWhenUsed/>
    <w:qFormat/>
    <w:rsid w:val="00BA44C4"/>
    <w:pPr>
      <w:spacing w:before="0" w:after="200" w:line="240" w:lineRule="auto"/>
    </w:pPr>
    <w:rPr>
      <w:i/>
      <w:iCs/>
      <w:color w:val="44546A" w:themeColor="text2"/>
      <w:sz w:val="18"/>
      <w:szCs w:val="18"/>
    </w:rPr>
  </w:style>
  <w:style w:type="paragraph" w:styleId="ListParagraph">
    <w:name w:val="List Paragraph"/>
    <w:basedOn w:val="Normal"/>
    <w:uiPriority w:val="34"/>
    <w:qFormat/>
    <w:rsid w:val="009B4C10"/>
    <w:pPr>
      <w:ind w:left="720"/>
      <w:contextualSpacing/>
    </w:pPr>
  </w:style>
  <w:style w:type="paragraph" w:styleId="Bibliography">
    <w:name w:val="Bibliography"/>
    <w:basedOn w:val="Normal"/>
    <w:next w:val="Normal"/>
    <w:uiPriority w:val="37"/>
    <w:unhideWhenUsed/>
    <w:rsid w:val="004B2EB6"/>
  </w:style>
  <w:style w:type="paragraph" w:styleId="TOC1">
    <w:name w:val="toc 1"/>
    <w:basedOn w:val="Normal"/>
    <w:next w:val="Normal"/>
    <w:autoRedefine/>
    <w:uiPriority w:val="39"/>
    <w:unhideWhenUsed/>
    <w:rsid w:val="003B430C"/>
    <w:pPr>
      <w:spacing w:after="100"/>
    </w:pPr>
  </w:style>
  <w:style w:type="paragraph" w:styleId="TOC2">
    <w:name w:val="toc 2"/>
    <w:basedOn w:val="Normal"/>
    <w:next w:val="Normal"/>
    <w:autoRedefine/>
    <w:uiPriority w:val="39"/>
    <w:unhideWhenUsed/>
    <w:rsid w:val="003B430C"/>
    <w:pPr>
      <w:spacing w:after="100"/>
      <w:ind w:left="240"/>
    </w:pPr>
  </w:style>
  <w:style w:type="paragraph" w:styleId="TOC3">
    <w:name w:val="toc 3"/>
    <w:basedOn w:val="Normal"/>
    <w:next w:val="Normal"/>
    <w:autoRedefine/>
    <w:uiPriority w:val="39"/>
    <w:unhideWhenUsed/>
    <w:rsid w:val="003B430C"/>
    <w:pPr>
      <w:spacing w:after="100"/>
      <w:ind w:left="480"/>
    </w:pPr>
  </w:style>
  <w:style w:type="character" w:styleId="Hyperlink">
    <w:name w:val="Hyperlink"/>
    <w:basedOn w:val="DefaultParagraphFont"/>
    <w:uiPriority w:val="99"/>
    <w:unhideWhenUsed/>
    <w:rsid w:val="003B430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9835">
      <w:bodyDiv w:val="1"/>
      <w:marLeft w:val="0"/>
      <w:marRight w:val="0"/>
      <w:marTop w:val="0"/>
      <w:marBottom w:val="0"/>
      <w:divBdr>
        <w:top w:val="none" w:sz="0" w:space="0" w:color="auto"/>
        <w:left w:val="none" w:sz="0" w:space="0" w:color="auto"/>
        <w:bottom w:val="none" w:sz="0" w:space="0" w:color="auto"/>
        <w:right w:val="none" w:sz="0" w:space="0" w:color="auto"/>
      </w:divBdr>
    </w:div>
    <w:div w:id="48654486">
      <w:bodyDiv w:val="1"/>
      <w:marLeft w:val="0"/>
      <w:marRight w:val="0"/>
      <w:marTop w:val="0"/>
      <w:marBottom w:val="0"/>
      <w:divBdr>
        <w:top w:val="none" w:sz="0" w:space="0" w:color="auto"/>
        <w:left w:val="none" w:sz="0" w:space="0" w:color="auto"/>
        <w:bottom w:val="none" w:sz="0" w:space="0" w:color="auto"/>
        <w:right w:val="none" w:sz="0" w:space="0" w:color="auto"/>
      </w:divBdr>
    </w:div>
    <w:div w:id="89854903">
      <w:bodyDiv w:val="1"/>
      <w:marLeft w:val="0"/>
      <w:marRight w:val="0"/>
      <w:marTop w:val="0"/>
      <w:marBottom w:val="0"/>
      <w:divBdr>
        <w:top w:val="none" w:sz="0" w:space="0" w:color="auto"/>
        <w:left w:val="none" w:sz="0" w:space="0" w:color="auto"/>
        <w:bottom w:val="none" w:sz="0" w:space="0" w:color="auto"/>
        <w:right w:val="none" w:sz="0" w:space="0" w:color="auto"/>
      </w:divBdr>
    </w:div>
    <w:div w:id="194392112">
      <w:bodyDiv w:val="1"/>
      <w:marLeft w:val="0"/>
      <w:marRight w:val="0"/>
      <w:marTop w:val="0"/>
      <w:marBottom w:val="0"/>
      <w:divBdr>
        <w:top w:val="none" w:sz="0" w:space="0" w:color="auto"/>
        <w:left w:val="none" w:sz="0" w:space="0" w:color="auto"/>
        <w:bottom w:val="none" w:sz="0" w:space="0" w:color="auto"/>
        <w:right w:val="none" w:sz="0" w:space="0" w:color="auto"/>
      </w:divBdr>
    </w:div>
    <w:div w:id="269506436">
      <w:bodyDiv w:val="1"/>
      <w:marLeft w:val="0"/>
      <w:marRight w:val="0"/>
      <w:marTop w:val="0"/>
      <w:marBottom w:val="0"/>
      <w:divBdr>
        <w:top w:val="none" w:sz="0" w:space="0" w:color="auto"/>
        <w:left w:val="none" w:sz="0" w:space="0" w:color="auto"/>
        <w:bottom w:val="none" w:sz="0" w:space="0" w:color="auto"/>
        <w:right w:val="none" w:sz="0" w:space="0" w:color="auto"/>
      </w:divBdr>
    </w:div>
    <w:div w:id="308361507">
      <w:bodyDiv w:val="1"/>
      <w:marLeft w:val="0"/>
      <w:marRight w:val="0"/>
      <w:marTop w:val="0"/>
      <w:marBottom w:val="0"/>
      <w:divBdr>
        <w:top w:val="none" w:sz="0" w:space="0" w:color="auto"/>
        <w:left w:val="none" w:sz="0" w:space="0" w:color="auto"/>
        <w:bottom w:val="none" w:sz="0" w:space="0" w:color="auto"/>
        <w:right w:val="none" w:sz="0" w:space="0" w:color="auto"/>
      </w:divBdr>
    </w:div>
    <w:div w:id="408238804">
      <w:bodyDiv w:val="1"/>
      <w:marLeft w:val="0"/>
      <w:marRight w:val="0"/>
      <w:marTop w:val="0"/>
      <w:marBottom w:val="0"/>
      <w:divBdr>
        <w:top w:val="none" w:sz="0" w:space="0" w:color="auto"/>
        <w:left w:val="none" w:sz="0" w:space="0" w:color="auto"/>
        <w:bottom w:val="none" w:sz="0" w:space="0" w:color="auto"/>
        <w:right w:val="none" w:sz="0" w:space="0" w:color="auto"/>
      </w:divBdr>
    </w:div>
    <w:div w:id="422727369">
      <w:bodyDiv w:val="1"/>
      <w:marLeft w:val="0"/>
      <w:marRight w:val="0"/>
      <w:marTop w:val="0"/>
      <w:marBottom w:val="0"/>
      <w:divBdr>
        <w:top w:val="none" w:sz="0" w:space="0" w:color="auto"/>
        <w:left w:val="none" w:sz="0" w:space="0" w:color="auto"/>
        <w:bottom w:val="none" w:sz="0" w:space="0" w:color="auto"/>
        <w:right w:val="none" w:sz="0" w:space="0" w:color="auto"/>
      </w:divBdr>
    </w:div>
    <w:div w:id="662976602">
      <w:bodyDiv w:val="1"/>
      <w:marLeft w:val="0"/>
      <w:marRight w:val="0"/>
      <w:marTop w:val="0"/>
      <w:marBottom w:val="0"/>
      <w:divBdr>
        <w:top w:val="none" w:sz="0" w:space="0" w:color="auto"/>
        <w:left w:val="none" w:sz="0" w:space="0" w:color="auto"/>
        <w:bottom w:val="none" w:sz="0" w:space="0" w:color="auto"/>
        <w:right w:val="none" w:sz="0" w:space="0" w:color="auto"/>
      </w:divBdr>
    </w:div>
    <w:div w:id="858466607">
      <w:bodyDiv w:val="1"/>
      <w:marLeft w:val="0"/>
      <w:marRight w:val="0"/>
      <w:marTop w:val="0"/>
      <w:marBottom w:val="0"/>
      <w:divBdr>
        <w:top w:val="none" w:sz="0" w:space="0" w:color="auto"/>
        <w:left w:val="none" w:sz="0" w:space="0" w:color="auto"/>
        <w:bottom w:val="none" w:sz="0" w:space="0" w:color="auto"/>
        <w:right w:val="none" w:sz="0" w:space="0" w:color="auto"/>
      </w:divBdr>
    </w:div>
    <w:div w:id="900168507">
      <w:bodyDiv w:val="1"/>
      <w:marLeft w:val="0"/>
      <w:marRight w:val="0"/>
      <w:marTop w:val="0"/>
      <w:marBottom w:val="0"/>
      <w:divBdr>
        <w:top w:val="none" w:sz="0" w:space="0" w:color="auto"/>
        <w:left w:val="none" w:sz="0" w:space="0" w:color="auto"/>
        <w:bottom w:val="none" w:sz="0" w:space="0" w:color="auto"/>
        <w:right w:val="none" w:sz="0" w:space="0" w:color="auto"/>
      </w:divBdr>
    </w:div>
    <w:div w:id="920984667">
      <w:bodyDiv w:val="1"/>
      <w:marLeft w:val="0"/>
      <w:marRight w:val="0"/>
      <w:marTop w:val="0"/>
      <w:marBottom w:val="0"/>
      <w:divBdr>
        <w:top w:val="none" w:sz="0" w:space="0" w:color="auto"/>
        <w:left w:val="none" w:sz="0" w:space="0" w:color="auto"/>
        <w:bottom w:val="none" w:sz="0" w:space="0" w:color="auto"/>
        <w:right w:val="none" w:sz="0" w:space="0" w:color="auto"/>
      </w:divBdr>
    </w:div>
    <w:div w:id="983311279">
      <w:bodyDiv w:val="1"/>
      <w:marLeft w:val="0"/>
      <w:marRight w:val="0"/>
      <w:marTop w:val="0"/>
      <w:marBottom w:val="0"/>
      <w:divBdr>
        <w:top w:val="none" w:sz="0" w:space="0" w:color="auto"/>
        <w:left w:val="none" w:sz="0" w:space="0" w:color="auto"/>
        <w:bottom w:val="none" w:sz="0" w:space="0" w:color="auto"/>
        <w:right w:val="none" w:sz="0" w:space="0" w:color="auto"/>
      </w:divBdr>
    </w:div>
    <w:div w:id="1157645251">
      <w:bodyDiv w:val="1"/>
      <w:marLeft w:val="0"/>
      <w:marRight w:val="0"/>
      <w:marTop w:val="0"/>
      <w:marBottom w:val="0"/>
      <w:divBdr>
        <w:top w:val="none" w:sz="0" w:space="0" w:color="auto"/>
        <w:left w:val="none" w:sz="0" w:space="0" w:color="auto"/>
        <w:bottom w:val="none" w:sz="0" w:space="0" w:color="auto"/>
        <w:right w:val="none" w:sz="0" w:space="0" w:color="auto"/>
      </w:divBdr>
    </w:div>
    <w:div w:id="1190921845">
      <w:bodyDiv w:val="1"/>
      <w:marLeft w:val="0"/>
      <w:marRight w:val="0"/>
      <w:marTop w:val="0"/>
      <w:marBottom w:val="0"/>
      <w:divBdr>
        <w:top w:val="none" w:sz="0" w:space="0" w:color="auto"/>
        <w:left w:val="none" w:sz="0" w:space="0" w:color="auto"/>
        <w:bottom w:val="none" w:sz="0" w:space="0" w:color="auto"/>
        <w:right w:val="none" w:sz="0" w:space="0" w:color="auto"/>
      </w:divBdr>
    </w:div>
    <w:div w:id="1397708397">
      <w:bodyDiv w:val="1"/>
      <w:marLeft w:val="0"/>
      <w:marRight w:val="0"/>
      <w:marTop w:val="0"/>
      <w:marBottom w:val="0"/>
      <w:divBdr>
        <w:top w:val="none" w:sz="0" w:space="0" w:color="auto"/>
        <w:left w:val="none" w:sz="0" w:space="0" w:color="auto"/>
        <w:bottom w:val="none" w:sz="0" w:space="0" w:color="auto"/>
        <w:right w:val="none" w:sz="0" w:space="0" w:color="auto"/>
      </w:divBdr>
    </w:div>
    <w:div w:id="1517501197">
      <w:bodyDiv w:val="1"/>
      <w:marLeft w:val="0"/>
      <w:marRight w:val="0"/>
      <w:marTop w:val="0"/>
      <w:marBottom w:val="0"/>
      <w:divBdr>
        <w:top w:val="none" w:sz="0" w:space="0" w:color="auto"/>
        <w:left w:val="none" w:sz="0" w:space="0" w:color="auto"/>
        <w:bottom w:val="none" w:sz="0" w:space="0" w:color="auto"/>
        <w:right w:val="none" w:sz="0" w:space="0" w:color="auto"/>
      </w:divBdr>
    </w:div>
    <w:div w:id="1527524343">
      <w:bodyDiv w:val="1"/>
      <w:marLeft w:val="0"/>
      <w:marRight w:val="0"/>
      <w:marTop w:val="0"/>
      <w:marBottom w:val="0"/>
      <w:divBdr>
        <w:top w:val="none" w:sz="0" w:space="0" w:color="auto"/>
        <w:left w:val="none" w:sz="0" w:space="0" w:color="auto"/>
        <w:bottom w:val="none" w:sz="0" w:space="0" w:color="auto"/>
        <w:right w:val="none" w:sz="0" w:space="0" w:color="auto"/>
      </w:divBdr>
    </w:div>
    <w:div w:id="1816868474">
      <w:bodyDiv w:val="1"/>
      <w:marLeft w:val="0"/>
      <w:marRight w:val="0"/>
      <w:marTop w:val="0"/>
      <w:marBottom w:val="0"/>
      <w:divBdr>
        <w:top w:val="none" w:sz="0" w:space="0" w:color="auto"/>
        <w:left w:val="none" w:sz="0" w:space="0" w:color="auto"/>
        <w:bottom w:val="none" w:sz="0" w:space="0" w:color="auto"/>
        <w:right w:val="none" w:sz="0" w:space="0" w:color="auto"/>
      </w:divBdr>
    </w:div>
    <w:div w:id="1839075756">
      <w:bodyDiv w:val="1"/>
      <w:marLeft w:val="0"/>
      <w:marRight w:val="0"/>
      <w:marTop w:val="0"/>
      <w:marBottom w:val="0"/>
      <w:divBdr>
        <w:top w:val="none" w:sz="0" w:space="0" w:color="auto"/>
        <w:left w:val="none" w:sz="0" w:space="0" w:color="auto"/>
        <w:bottom w:val="none" w:sz="0" w:space="0" w:color="auto"/>
        <w:right w:val="none" w:sz="0" w:space="0" w:color="auto"/>
      </w:divBdr>
    </w:div>
    <w:div w:id="1917469083">
      <w:bodyDiv w:val="1"/>
      <w:marLeft w:val="0"/>
      <w:marRight w:val="0"/>
      <w:marTop w:val="0"/>
      <w:marBottom w:val="0"/>
      <w:divBdr>
        <w:top w:val="none" w:sz="0" w:space="0" w:color="auto"/>
        <w:left w:val="none" w:sz="0" w:space="0" w:color="auto"/>
        <w:bottom w:val="none" w:sz="0" w:space="0" w:color="auto"/>
        <w:right w:val="none" w:sz="0" w:space="0" w:color="auto"/>
      </w:divBdr>
    </w:div>
    <w:div w:id="1976909712">
      <w:bodyDiv w:val="1"/>
      <w:marLeft w:val="0"/>
      <w:marRight w:val="0"/>
      <w:marTop w:val="0"/>
      <w:marBottom w:val="0"/>
      <w:divBdr>
        <w:top w:val="none" w:sz="0" w:space="0" w:color="auto"/>
        <w:left w:val="none" w:sz="0" w:space="0" w:color="auto"/>
        <w:bottom w:val="none" w:sz="0" w:space="0" w:color="auto"/>
        <w:right w:val="none" w:sz="0" w:space="0" w:color="auto"/>
      </w:divBdr>
    </w:div>
    <w:div w:id="2019382694">
      <w:bodyDiv w:val="1"/>
      <w:marLeft w:val="0"/>
      <w:marRight w:val="0"/>
      <w:marTop w:val="0"/>
      <w:marBottom w:val="0"/>
      <w:divBdr>
        <w:top w:val="none" w:sz="0" w:space="0" w:color="auto"/>
        <w:left w:val="none" w:sz="0" w:space="0" w:color="auto"/>
        <w:bottom w:val="none" w:sz="0" w:space="0" w:color="auto"/>
        <w:right w:val="none" w:sz="0" w:space="0" w:color="auto"/>
      </w:divBdr>
    </w:div>
    <w:div w:id="20519978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Ehi16</b:Tag>
    <b:SourceType>JournalArticle</b:SourceType>
    <b:Guid>{6240183D-E38B-4A88-A8FF-441C5FEDEB09}</b:Guid>
    <b:Author>
      <b:Author>
        <b:NameList>
          <b:Person>
            <b:Last>Ehiyamen</b:Last>
            <b:First>O.</b:First>
          </b:Person>
          <b:Person>
            <b:Last>Oshilin</b:Last>
            <b:First>G.</b:First>
          </b:Person>
        </b:NameList>
      </b:Author>
    </b:Author>
    <b:Title>MANAGING CHANGES IN ORGANIZATIONAL EXTERNAL ENVIRONMENT: THE ROLE OF HUMAN RESOURCE MANAGERS.</b:Title>
    <b:JournalName> Journal of Administration and Development</b:JournalName>
    <b:Year>2016</b:Year>
    <b:Pages>45 - 61</b:Pages>
    <b:Volume>2</b:Volume>
    <b:Issue>3</b:Issue>
    <b:RefOrder>1</b:RefOrder>
  </b:Source>
  <b:Source>
    <b:Tag>Off22</b:Tag>
    <b:SourceType>InternetSite</b:SourceType>
    <b:Guid>{A91E8961-5E36-4E08-BEFC-12AB99DA435F}</b:Guid>
    <b:Title>Labour market overview, UK: July 2022</b:Title>
    <b:Year>2022</b:Year>
    <b:Author>
      <b:Author>
        <b:Corporate>Office for National Statistics</b:Corporate>
      </b:Author>
    </b:Author>
    <b:YearAccessed>2022</b:YearAccessed>
    <b:MonthAccessed>August</b:MonthAccessed>
    <b:DayAccessed>20</b:DayAccessed>
    <b:URL>https://www.ons.gov.uk/employmentandlabourmarket/peopleinwork/employmentandemployeetypes/bulletins/uklabourmarket/july2022</b:URL>
    <b:RefOrder>2</b:RefOrder>
  </b:Source>
  <b:Source>
    <b:Tag>Tur11</b:Tag>
    <b:SourceType>JournalArticle</b:SourceType>
    <b:Guid>{A70CF655-3D7A-4319-AE68-5A17F67DCFE5}</b:Guid>
    <b:Title>Strategic Analysis of the External Environment and the Importance of the Information: Research on Perceptions of Hotel Managers</b:Title>
    <b:Year>2011</b:Year>
    <b:Author>
      <b:Author>
        <b:NameList>
          <b:Person>
            <b:Last>Turkay</b:Last>
            <b:First>O.</b:First>
          </b:Person>
          <b:Person>
            <b:Last>Solmaz</b:Last>
            <b:First>S.</b:First>
            <b:Middle>A.</b:Middle>
          </b:Person>
          <b:Person>
            <b:Last>Senguli</b:Last>
            <b:First>S.</b:First>
          </b:Person>
        </b:NameList>
      </b:Author>
    </b:Author>
    <b:JournalName>Procedia - Social and Behavioral Sciences</b:JournalName>
    <b:Pages>1060 - 1069</b:Pages>
    <b:Volume>24</b:Volume>
    <b:Issue>7</b:Issue>
    <b:RefOrder>3</b:RefOrder>
  </b:Source>
  <b:Source>
    <b:Tag>Sam171</b:Tag>
    <b:SourceType>JournalArticle</b:SourceType>
    <b:Guid>{C38202FD-A3EF-4BB3-BC63-3F77DC81D159}</b:Guid>
    <b:Author>
      <b:Author>
        <b:NameList>
          <b:Person>
            <b:Last>Sampson</b:Last>
            <b:First>T.</b:First>
          </b:Person>
        </b:NameList>
      </b:Author>
    </b:Author>
    <b:Title>Brexit: The Economics of International Disintegration</b:Title>
    <b:JournalName>JOURNAL OF ECONOMIC PERSPECTIVES</b:JournalName>
    <b:Year>2017</b:Year>
    <b:Volume>31</b:Volume>
    <b:Issue>4</b:Issue>
    <b:RefOrder>4</b:RefOrder>
  </b:Source>
  <b:Source>
    <b:Tag>Del221</b:Tag>
    <b:SourceType>Report</b:SourceType>
    <b:Guid>{A127F92B-367B-4775-ADC3-5EE5D92AA229}</b:Guid>
    <b:Author>
      <b:Author>
        <b:NameList>
          <b:Person>
            <b:Last>Deloitte</b:Last>
          </b:Person>
        </b:NameList>
      </b:Author>
    </b:Author>
    <b:Title>Tackling Brexit and COVID-19 together</b:Title>
    <b:Year>2022</b:Year>
    <b:RefOrder>5</b:RefOrder>
  </b:Source>
  <b:Source>
    <b:Tag>Lyo21</b:Tag>
    <b:SourceType>Report</b:SourceType>
    <b:Guid>{CCAB7B1B-DEE2-4422-B463-948C5CAFF026}</b:Guid>
    <b:Author>
      <b:Author>
        <b:NameList>
          <b:Person>
            <b:Last>Lyon</b:Last>
            <b:First>J.</b:First>
            <b:Middle>D.</b:Middle>
          </b:Person>
          <b:Person>
            <b:Last>Dhingra</b:Last>
            <b:First>S.</b:First>
          </b:Person>
        </b:NameList>
      </b:Author>
    </b:Author>
    <b:Title>The impacts of Covid-19 and Brexit on the UK economy: early evidence in 2021</b:Title>
    <b:Year>2021</b:Year>
    <b:RefOrder>6</b:RefOrder>
  </b:Source>
  <b:Source>
    <b:Tag>Hep20</b:Tag>
    <b:SourceType>Report</b:SourceType>
    <b:Guid>{2D94C3FB-5E56-47AA-BBAD-266752654E4C}</b:Guid>
    <b:Author>
      <b:Author>
        <b:NameList>
          <b:Person>
            <b:Last>Hepburn</b:Last>
            <b:First>E.</b:First>
          </b:Person>
        </b:NameList>
      </b:Author>
    </b:Author>
    <b:Title>Uncharted waters: The social and equality impacts of Brexit. Scottish Affairs</b:Title>
    <b:Year>2020</b:Year>
    <b:RefOrder>7</b:RefOrder>
  </b:Source>
  <b:Source>
    <b:Tag>Dav211</b:Tag>
    <b:SourceType>JournalArticle</b:SourceType>
    <b:Guid>{28752F55-3A25-4ADA-B870-71DEE82A5423}</b:Guid>
    <b:Title>Readiness and resilience of the health systems of the UK and Russia during Covid-19 epidemics in 2020-2021: impacts of priorities, shortages and rationing</b:Title>
    <b:Year>2021</b:Year>
    <b:Author>
      <b:Author>
        <b:NameList>
          <b:Person>
            <b:Last>Davis</b:Last>
            <b:First>C.</b:First>
            <b:Middle>M.</b:Middle>
          </b:Person>
        </b:NameList>
      </b:Author>
    </b:Author>
    <b:JournalName>Post-Communist Economies</b:JournalName>
    <b:Pages>1 - 63</b:Pages>
    <b:Volume>33</b:Volume>
    <b:Issue>1</b:Issue>
    <b:RefOrder>8</b:RefOrder>
  </b:Source>
  <b:Source>
    <b:Tag>Sud18</b:Tag>
    <b:SourceType>JournalArticle</b:SourceType>
    <b:Guid>{D3E8A6FD-5909-456E-A061-D107C0A91939}</b:Guid>
    <b:Author>
      <b:Author>
        <b:NameList>
          <b:Person>
            <b:Last>Sudlow</b:Last>
            <b:First>C.</b:First>
          </b:Person>
          <b:Person>
            <b:Last>Gallacher</b:Last>
            <b:First>J.</b:First>
          </b:Person>
          <b:Person>
            <b:Last>Allen</b:Last>
            <b:First>N.</b:First>
          </b:Person>
          <b:Person>
            <b:Last>Beral</b:Last>
            <b:First>V.</b:First>
          </b:Person>
        </b:NameList>
      </b:Author>
    </b:Author>
    <b:Title>UK biobank: an open access resource for identifying the causes of a wide range of complex diseases of middle and old age</b:Title>
    <b:JournalName>PLOS medicine</b:JournalName>
    <b:Year>2018</b:Year>
    <b:RefOrder>9</b:RefOrder>
  </b:Source>
  <b:Source>
    <b:Tag>Car212</b:Tag>
    <b:SourceType>JournalArticle</b:SourceType>
    <b:Guid>{DF0939D0-3DCA-40EB-8127-7135DBBC2299}</b:Guid>
    <b:Author>
      <b:Author>
        <b:NameList>
          <b:Person>
            <b:Last>Carnegie</b:Last>
            <b:First>D.</b:First>
          </b:Person>
        </b:NameList>
      </b:Author>
    </b:Author>
    <b:Title>Fiscal policy effect on the uUK economy</b:Title>
    <b:JournalName>Bulletin of the Economy of Western Society</b:JournalName>
    <b:Year>2021</b:Year>
    <b:RefOrder>10</b:RefOrder>
  </b:Source>
  <b:Source>
    <b:Tag>Mas17</b:Tag>
    <b:SourceType>JournalArticle</b:SourceType>
    <b:Guid>{78294BEF-F59E-4DDC-B9AA-AD7594242027}</b:Guid>
    <b:Author>
      <b:Author>
        <b:NameList>
          <b:Person>
            <b:Last>Masri</b:Last>
            <b:First>H.</b:First>
            <b:Middle>A.</b:Middle>
          </b:Person>
          <b:Person>
            <b:Last>Jaaron</b:Last>
            <b:First>A.</b:First>
            <b:Middle>M.</b:Middle>
          </b:Person>
        </b:NameList>
      </b:Author>
    </b:Author>
    <b:Title>Assessing green human resources management practices in Palestinian manufacturing context: an empirical study</b:Title>
    <b:JournalName>J. Clean. Prodution</b:JournalName>
    <b:Year>2017</b:Year>
    <b:Pages>474 - 489</b:Pages>
    <b:RefOrder>12</b:RefOrder>
  </b:Source>
  <b:Source>
    <b:Tag>Sul22</b:Tag>
    <b:SourceType>JournalArticle</b:SourceType>
    <b:Guid>{6D24E19D-F259-4303-A787-04CA64E083D2}</b:Guid>
    <b:Author>
      <b:Author>
        <b:NameList>
          <b:Person>
            <b:Last>Sulej</b:Last>
            <b:First>K.</b:First>
            <b:Middle>P.</b:Middle>
          </b:Person>
        </b:NameList>
      </b:Author>
    </b:Author>
    <b:Title>Environmental strategies and human resource development consistency: Research in the manufacturing industry</b:Title>
    <b:JournalName>Journal of Cleaner Production</b:JournalName>
    <b:Year>2022</b:Year>
    <b:RefOrder>11</b:RefOrder>
  </b:Source>
</b:Sources>
</file>

<file path=customXml/itemProps1.xml><?xml version="1.0" encoding="utf-8"?>
<ds:datastoreItem xmlns:ds="http://schemas.openxmlformats.org/officeDocument/2006/customXml" ds:itemID="{6BA4BCCB-E80F-419E-8CCF-A8267DE900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3078</Words>
  <Characters>17551</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Roja Ram</cp:lastModifiedBy>
  <cp:revision>2</cp:revision>
  <dcterms:created xsi:type="dcterms:W3CDTF">2022-08-22T05:02:00Z</dcterms:created>
  <dcterms:modified xsi:type="dcterms:W3CDTF">2022-08-22T05:02:00Z</dcterms:modified>
</cp:coreProperties>
</file>