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F3F5B" w14:textId="57533B9D" w:rsidR="00B2636E" w:rsidRDefault="00B2636E" w:rsidP="00E412C9">
      <w:pPr>
        <w:pStyle w:val="Heading2"/>
        <w:spacing w:line="360" w:lineRule="auto"/>
      </w:pPr>
      <w:r>
        <w:t>With reference to texts from either the Old Testament or the New Testament (or both), and to other resources available to you, discuss the dangers of reading the Bible in a very literal way and the advantages of studying the Bible from an informed and scholarly position</w:t>
      </w:r>
    </w:p>
    <w:p w14:paraId="5E7CC61C" w14:textId="77777777" w:rsidR="00543CBA" w:rsidRDefault="00543CBA" w:rsidP="00E412C9">
      <w:pPr>
        <w:spacing w:line="360" w:lineRule="auto"/>
      </w:pPr>
    </w:p>
    <w:p w14:paraId="79BE3230" w14:textId="69C42198" w:rsidR="00B2636E" w:rsidRDefault="00520938" w:rsidP="00E412C9">
      <w:pPr>
        <w:spacing w:line="360" w:lineRule="auto"/>
      </w:pPr>
      <w:r>
        <w:t xml:space="preserve">This essay addresses the question of </w:t>
      </w:r>
      <w:r w:rsidR="004F4733">
        <w:t>different approaches to</w:t>
      </w:r>
      <w:r>
        <w:t xml:space="preserve"> reading the Bible </w:t>
      </w:r>
      <w:r w:rsidR="000474BE">
        <w:t>through</w:t>
      </w:r>
      <w:r>
        <w:t xml:space="preserve"> a case study </w:t>
      </w:r>
      <w:r w:rsidR="000474BE">
        <w:t xml:space="preserve">of </w:t>
      </w:r>
      <w:r>
        <w:t xml:space="preserve">the historical Adam, </w:t>
      </w:r>
      <w:r w:rsidR="000474BE">
        <w:t>focussing on</w:t>
      </w:r>
      <w:r>
        <w:t xml:space="preserve"> the </w:t>
      </w:r>
      <w:r w:rsidR="000474BE">
        <w:t>account</w:t>
      </w:r>
      <w:r>
        <w:t xml:space="preserve"> in Genesis 2-3 and the New Testament appropriation of this text in Romans 5:12-20.</w:t>
      </w:r>
      <w:r>
        <w:rPr>
          <w:rStyle w:val="FootnoteReference"/>
        </w:rPr>
        <w:footnoteReference w:id="1"/>
      </w:r>
      <w:r>
        <w:t xml:space="preserve"> </w:t>
      </w:r>
      <w:r w:rsidR="004F4733">
        <w:t>Through outlining the main critical issues in the two texts, I demonstrate the</w:t>
      </w:r>
      <w:r>
        <w:t xml:space="preserve"> advantages of reading individual texts from an informed and scholarly position</w:t>
      </w:r>
      <w:r w:rsidR="0004485D">
        <w:t>,</w:t>
      </w:r>
      <w:r w:rsidR="00C651C7">
        <w:rPr>
          <w:rStyle w:val="FootnoteReference"/>
        </w:rPr>
        <w:footnoteReference w:id="2"/>
      </w:r>
      <w:r w:rsidR="0004485D">
        <w:t xml:space="preserve"> with the corresponding dangers often remaining an implicit rather than explicit part of the argument</w:t>
      </w:r>
      <w:r w:rsidR="004F4733">
        <w:t>.</w:t>
      </w:r>
      <w:r w:rsidR="00C33774">
        <w:rPr>
          <w:rStyle w:val="FootnoteReference"/>
        </w:rPr>
        <w:footnoteReference w:id="3"/>
      </w:r>
      <w:r>
        <w:t xml:space="preserve"> </w:t>
      </w:r>
      <w:r w:rsidR="004F4733">
        <w:t>I then move</w:t>
      </w:r>
      <w:r w:rsidR="00294204">
        <w:t xml:space="preserve"> on</w:t>
      </w:r>
      <w:r w:rsidR="004F4733">
        <w:t xml:space="preserve"> to interrogate</w:t>
      </w:r>
      <w:r>
        <w:t xml:space="preserve"> the relationship between the two texts </w:t>
      </w:r>
      <w:r w:rsidR="004F4733">
        <w:t xml:space="preserve">and how Paul uses the older account in Genesis </w:t>
      </w:r>
      <w:r>
        <w:t xml:space="preserve">as a way of </w:t>
      </w:r>
      <w:r w:rsidR="00294204">
        <w:t>questioning</w:t>
      </w:r>
      <w:r>
        <w:t xml:space="preserve"> the juxtaposition assumed within the question</w:t>
      </w:r>
      <w:r w:rsidR="0004485D">
        <w:t xml:space="preserve">. I suggest that </w:t>
      </w:r>
      <w:r w:rsidR="000474BE">
        <w:t>pitch</w:t>
      </w:r>
      <w:r w:rsidR="0004485D">
        <w:t>ing</w:t>
      </w:r>
      <w:r w:rsidR="000474BE">
        <w:t xml:space="preserve"> ‘literal’ readings (suggesting a deficient methodology</w:t>
      </w:r>
      <w:r w:rsidR="00C35DC4">
        <w:t xml:space="preserve"> that misunderstands the natural properties of the text</w:t>
      </w:r>
      <w:r w:rsidR="000474BE">
        <w:t xml:space="preserve">) </w:t>
      </w:r>
      <w:r w:rsidR="00C35DC4">
        <w:t xml:space="preserve">over </w:t>
      </w:r>
      <w:r w:rsidR="000474BE">
        <w:t>against readings ‘from an informed and scholarly position’ (a comment on the reader’s relationship to his or her object that rather than a direct comment on methodology</w:t>
      </w:r>
      <w:r w:rsidR="0004485D">
        <w:t>) is to some degree</w:t>
      </w:r>
      <w:r w:rsidR="00C35DC4">
        <w:t xml:space="preserve"> a false</w:t>
      </w:r>
      <w:r w:rsidR="00294204">
        <w:t xml:space="preserve"> dichotomy</w:t>
      </w:r>
      <w:r w:rsidR="0004485D">
        <w:t>. I argue that a</w:t>
      </w:r>
      <w:r w:rsidR="000474BE">
        <w:t xml:space="preserve"> credible reading of the Bible </w:t>
      </w:r>
      <w:r w:rsidR="00C35DC4">
        <w:t xml:space="preserve">should </w:t>
      </w:r>
      <w:r w:rsidR="000474BE">
        <w:t xml:space="preserve">engage both questions of methodology, </w:t>
      </w:r>
      <w:r w:rsidR="0004485D">
        <w:t>but</w:t>
      </w:r>
      <w:r w:rsidR="000474BE">
        <w:t xml:space="preserve"> also the reader’s relationship to the text and their wider reading tradition</w:t>
      </w:r>
      <w:r w:rsidR="00F934E2">
        <w:t xml:space="preserve">. </w:t>
      </w:r>
      <w:bookmarkStart w:id="0" w:name="_GoBack"/>
      <w:bookmarkEnd w:id="0"/>
      <w:r w:rsidR="000474BE">
        <w:t>Or, to use theological language</w:t>
      </w:r>
      <w:r w:rsidR="006E7405">
        <w:t xml:space="preserve">: </w:t>
      </w:r>
      <w:r w:rsidR="000474BE">
        <w:t>responsible readings need to</w:t>
      </w:r>
      <w:r w:rsidR="0004485D">
        <w:t xml:space="preserve"> move beyond the natural grammatical and literary features of </w:t>
      </w:r>
      <w:r w:rsidR="00B42C7B">
        <w:t>individual texts to</w:t>
      </w:r>
      <w:r w:rsidR="000474BE">
        <w:t xml:space="preserve"> engage questions of revelation and church</w:t>
      </w:r>
      <w:r w:rsidR="0004485D">
        <w:t>.</w:t>
      </w:r>
    </w:p>
    <w:p w14:paraId="23C5C14D" w14:textId="2E0815F9" w:rsidR="002A5D9F" w:rsidRDefault="002A5D9F" w:rsidP="00E412C9">
      <w:pPr>
        <w:spacing w:line="360" w:lineRule="auto"/>
      </w:pPr>
    </w:p>
    <w:p w14:paraId="39D9C504" w14:textId="39E30590" w:rsidR="0079388B" w:rsidRDefault="000474BE" w:rsidP="00E412C9">
      <w:pPr>
        <w:spacing w:line="360" w:lineRule="auto"/>
      </w:pPr>
      <w:r>
        <w:t>But first to think in terms of the question: w</w:t>
      </w:r>
      <w:r w:rsidR="00191F73">
        <w:t>hat</w:t>
      </w:r>
      <w:r w:rsidR="00C35DC4">
        <w:t xml:space="preserve"> advantages</w:t>
      </w:r>
      <w:r w:rsidR="00294204">
        <w:t xml:space="preserve"> </w:t>
      </w:r>
      <w:r w:rsidR="00191F73">
        <w:t>can</w:t>
      </w:r>
      <w:r w:rsidR="00C35DC4">
        <w:t xml:space="preserve"> be gained by</w:t>
      </w:r>
      <w:r w:rsidR="00191F73">
        <w:t xml:space="preserve"> an informed </w:t>
      </w:r>
      <w:r w:rsidR="00622E24">
        <w:t xml:space="preserve">and scholarly </w:t>
      </w:r>
      <w:r w:rsidR="00C35DC4">
        <w:t>reading of Genesis 2-3</w:t>
      </w:r>
      <w:r w:rsidR="00294204">
        <w:t>?</w:t>
      </w:r>
      <w:r w:rsidR="00C35DC4">
        <w:t xml:space="preserve"> Space </w:t>
      </w:r>
      <w:r w:rsidR="001E348D">
        <w:t xml:space="preserve">precludes a detailed overview of all the exegetical issues in these chapters, and a mere overview of some of the critical issues will have to suffice. </w:t>
      </w:r>
      <w:r w:rsidR="000D3F69">
        <w:t>The compositio</w:t>
      </w:r>
      <w:r w:rsidR="00B2230A">
        <w:t>n history of the Pentateuch and especially the early chapters of Genesis</w:t>
      </w:r>
      <w:r w:rsidR="00C0416E">
        <w:t xml:space="preserve"> in general</w:t>
      </w:r>
      <w:r w:rsidR="00B2230A">
        <w:t xml:space="preserve"> </w:t>
      </w:r>
      <w:r w:rsidR="00725585">
        <w:t xml:space="preserve">and the relationship of the account Genesis 2-3 to the account in Genesis 1 </w:t>
      </w:r>
      <w:r>
        <w:t xml:space="preserve">is notoriously tricky and </w:t>
      </w:r>
      <w:r>
        <w:lastRenderedPageBreak/>
        <w:t>contested terrain</w:t>
      </w:r>
      <w:r w:rsidR="00F02993">
        <w:t>.</w:t>
      </w:r>
      <w:r w:rsidR="00B2230A">
        <w:rPr>
          <w:rStyle w:val="FootnoteReference"/>
        </w:rPr>
        <w:footnoteReference w:id="4"/>
      </w:r>
      <w:r w:rsidR="00F02993">
        <w:t xml:space="preserve"> We can note, however, that these chapters probably reached their final form after the return from Exile and that there is a critical acceptance of a ‘basic integrity’ to Genesis 2-3.</w:t>
      </w:r>
      <w:r w:rsidR="00F02993">
        <w:rPr>
          <w:rStyle w:val="FootnoteReference"/>
        </w:rPr>
        <w:footnoteReference w:id="5"/>
      </w:r>
      <w:r w:rsidR="00A94DAC">
        <w:t xml:space="preserve"> </w:t>
      </w:r>
      <w:r w:rsidR="00380C8A">
        <w:t xml:space="preserve">Leaving aside the fact that a close reading of Genesis 2-3 in its final form complicates </w:t>
      </w:r>
      <w:r w:rsidR="001A5B1F">
        <w:t>the idea of</w:t>
      </w:r>
      <w:r w:rsidR="00380C8A">
        <w:t xml:space="preserve"> a ‘literal’ reading,</w:t>
      </w:r>
      <w:r w:rsidR="00546D3B">
        <w:rPr>
          <w:rStyle w:val="FootnoteReference"/>
        </w:rPr>
        <w:footnoteReference w:id="6"/>
      </w:r>
      <w:r w:rsidR="00380C8A">
        <w:t xml:space="preserve"> </w:t>
      </w:r>
      <w:r>
        <w:t xml:space="preserve">we can note that </w:t>
      </w:r>
      <w:r w:rsidR="00380C8A">
        <w:t>a</w:t>
      </w:r>
      <w:r w:rsidR="00A94DAC">
        <w:t>rchaeological and textual discoveries also demonstrate a crossover between these accounts and other ancient stories in the Near Middle East</w:t>
      </w:r>
      <w:r w:rsidR="00677254">
        <w:t xml:space="preserve"> (NME)</w:t>
      </w:r>
      <w:r w:rsidR="00A94DAC">
        <w:t>: the Gilgamesh Epic,</w:t>
      </w:r>
      <w:r w:rsidR="00AC5126">
        <w:t xml:space="preserve"> </w:t>
      </w:r>
      <w:r w:rsidR="00AC5126">
        <w:rPr>
          <w:i/>
        </w:rPr>
        <w:t>Atrahasis,</w:t>
      </w:r>
      <w:r w:rsidR="00A94DAC">
        <w:t xml:space="preserve"> </w:t>
      </w:r>
      <w:r w:rsidR="00A94DAC">
        <w:rPr>
          <w:i/>
        </w:rPr>
        <w:t>Enuma elish</w:t>
      </w:r>
      <w:r w:rsidR="00A94DAC">
        <w:t xml:space="preserve"> and Egyptian depiction of the fashioning of Amenhotep III all predate Genesis 2-3 whilst shar</w:t>
      </w:r>
      <w:r w:rsidR="00920EDA">
        <w:t xml:space="preserve">ing common </w:t>
      </w:r>
      <w:r w:rsidR="00A94DAC">
        <w:t>literary features.</w:t>
      </w:r>
      <w:r w:rsidR="00A94DAC">
        <w:rPr>
          <w:rStyle w:val="FootnoteReference"/>
        </w:rPr>
        <w:footnoteReference w:id="7"/>
      </w:r>
      <w:r w:rsidR="00E75030">
        <w:t xml:space="preserve"> </w:t>
      </w:r>
      <w:r w:rsidR="00D21642">
        <w:t xml:space="preserve">An awareness of </w:t>
      </w:r>
      <w:r w:rsidR="00610CA3">
        <w:t>a common features from</w:t>
      </w:r>
      <w:r w:rsidR="00E75030">
        <w:t xml:space="preserve"> neighbouring cultures migh</w:t>
      </w:r>
      <w:r w:rsidR="004B00B4">
        <w:t xml:space="preserve">t </w:t>
      </w:r>
      <w:r w:rsidR="00E75030">
        <w:t xml:space="preserve">explain the shift from </w:t>
      </w:r>
      <w:r w:rsidR="00E75030" w:rsidRPr="00E75030">
        <w:rPr>
          <w:rFonts w:ascii="Tahoma" w:eastAsia="Tahoma" w:hAnsi="Tahoma" w:cs="Tahoma"/>
        </w:rPr>
        <w:t>אָדָם</w:t>
      </w:r>
      <w:r w:rsidR="00E75030">
        <w:t xml:space="preserve"> as referring to humanity in general in Genesis 1:26 to a specific </w:t>
      </w:r>
      <w:r w:rsidR="00610CA3">
        <w:t xml:space="preserve">named </w:t>
      </w:r>
      <w:r w:rsidR="00E75030">
        <w:t>character in Genesis 2.</w:t>
      </w:r>
      <w:r w:rsidR="00E75030">
        <w:rPr>
          <w:rStyle w:val="FootnoteReference"/>
        </w:rPr>
        <w:footnoteReference w:id="8"/>
      </w:r>
      <w:r w:rsidR="003E03C1">
        <w:t xml:space="preserve"> </w:t>
      </w:r>
    </w:p>
    <w:p w14:paraId="1CF7D1B8" w14:textId="77777777" w:rsidR="0079388B" w:rsidRDefault="0079388B" w:rsidP="00E412C9">
      <w:pPr>
        <w:spacing w:line="360" w:lineRule="auto"/>
      </w:pPr>
    </w:p>
    <w:p w14:paraId="073FB51F" w14:textId="55593B8E" w:rsidR="00191F73" w:rsidRDefault="0079388B" w:rsidP="00E412C9">
      <w:pPr>
        <w:spacing w:line="360" w:lineRule="auto"/>
      </w:pPr>
      <w:r>
        <w:t>A</w:t>
      </w:r>
      <w:r w:rsidR="004F4733">
        <w:t>n informed reading of Genesis in its historical context has the advantage that</w:t>
      </w:r>
      <w:r w:rsidR="00E75030">
        <w:t xml:space="preserve">, </w:t>
      </w:r>
      <w:r w:rsidR="00AC5126">
        <w:t xml:space="preserve">by highlighting where there are differences to Israel’s neighbours, </w:t>
      </w:r>
      <w:r w:rsidR="00E75030">
        <w:t xml:space="preserve">it draws attention to the theological uniqueness of the </w:t>
      </w:r>
      <w:r w:rsidR="00AC5126">
        <w:t>kind of story told in Genesis 2-3</w:t>
      </w:r>
      <w:r>
        <w:t>: Israel is interested in questions of vocation, covenant, the character of God and her own convictions in theological anthropology, and draws on older traditions to make these points.</w:t>
      </w:r>
      <w:r w:rsidR="000D27DE">
        <w:t xml:space="preserve"> </w:t>
      </w:r>
      <w:r w:rsidR="00677254">
        <w:t>Comparative readings of NME texts also raise issues of genre</w:t>
      </w:r>
      <w:r w:rsidR="00AC5126">
        <w:t>: w</w:t>
      </w:r>
      <w:r w:rsidR="00CD18CB">
        <w:t>hatever the prehistories of Genesis seem to be doing, they don’t seem to be giving a historical account in the style that a modern reader would expect.</w:t>
      </w:r>
      <w:r w:rsidR="00AC5126">
        <w:rPr>
          <w:rStyle w:val="FootnoteReference"/>
        </w:rPr>
        <w:footnoteReference w:id="9"/>
      </w:r>
      <w:r w:rsidR="00CD18CB">
        <w:t xml:space="preserve"> </w:t>
      </w:r>
      <w:r w:rsidR="00677254">
        <w:t>Therefore, the reader is guarded</w:t>
      </w:r>
      <w:r w:rsidR="00CD18CB">
        <w:t xml:space="preserve"> against an over</w:t>
      </w:r>
      <w:r w:rsidR="00677254">
        <w:t>ly</w:t>
      </w:r>
      <w:r w:rsidR="00CD18CB">
        <w:t xml:space="preserve"> literal interpretation </w:t>
      </w:r>
      <w:r w:rsidR="000D27DE">
        <w:t>that demands a report of a historical Adam in a herm</w:t>
      </w:r>
      <w:r w:rsidR="00677254">
        <w:t>etically sealed cultural vacuum and thus imposing expectations on the text that it is unable to bear</w:t>
      </w:r>
      <w:r w:rsidR="00553E6A">
        <w:t>.</w:t>
      </w:r>
      <w:r w:rsidR="00553E6A">
        <w:rPr>
          <w:rStyle w:val="FootnoteReference"/>
        </w:rPr>
        <w:footnoteReference w:id="10"/>
      </w:r>
    </w:p>
    <w:p w14:paraId="096723D9" w14:textId="77777777" w:rsidR="005E1EE2" w:rsidRDefault="005E1EE2" w:rsidP="00E412C9">
      <w:pPr>
        <w:spacing w:line="360" w:lineRule="auto"/>
      </w:pPr>
    </w:p>
    <w:p w14:paraId="31677411" w14:textId="390A5769" w:rsidR="00FF082E" w:rsidRPr="00AF4A1A" w:rsidRDefault="004B3058" w:rsidP="00E412C9">
      <w:pPr>
        <w:spacing w:line="360" w:lineRule="auto"/>
      </w:pPr>
      <w:r>
        <w:t>Moving to Romans 5:12-20, a historical-critical study of the text also</w:t>
      </w:r>
      <w:r w:rsidR="00256155">
        <w:t xml:space="preserve"> has</w:t>
      </w:r>
      <w:r>
        <w:t xml:space="preserve"> the advantage of giving </w:t>
      </w:r>
      <w:r w:rsidR="008A06DB">
        <w:t>Paul’s</w:t>
      </w:r>
      <w:r>
        <w:t xml:space="preserve"> Christ-Adam typology more depth. </w:t>
      </w:r>
      <w:r w:rsidR="005105BC">
        <w:t xml:space="preserve">Here again space precludes more than a cursory </w:t>
      </w:r>
      <w:r w:rsidR="005105BC">
        <w:lastRenderedPageBreak/>
        <w:t xml:space="preserve">overview of some of the critical issues in this notoriously dense letter; instead, I shall focus on how historical-critical awareness can sharpen our reading of what </w:t>
      </w:r>
      <w:r w:rsidR="005105BC">
        <w:rPr>
          <w:i/>
        </w:rPr>
        <w:t xml:space="preserve">is </w:t>
      </w:r>
      <w:r w:rsidR="005105BC">
        <w:t xml:space="preserve">and </w:t>
      </w:r>
      <w:r w:rsidR="005105BC">
        <w:rPr>
          <w:i/>
        </w:rPr>
        <w:t xml:space="preserve">is not </w:t>
      </w:r>
      <w:r w:rsidR="001A5B1F">
        <w:t>demanded by the text by showing Paul a</w:t>
      </w:r>
      <w:r w:rsidR="009C7B9C">
        <w:t>gainst his cultural background, namely whether Paul’s logic demands a historical Adam. Scholarly work can demonstrate clear antecedents linking the story of Adam to the s</w:t>
      </w:r>
      <w:r w:rsidR="00AB6179">
        <w:t>infulness of human beings in Paul’s</w:t>
      </w:r>
      <w:r w:rsidR="009C7B9C">
        <w:t xml:space="preserve"> </w:t>
      </w:r>
      <w:r w:rsidR="00DE25D2">
        <w:t>contemporary Second Temple intellectual world.</w:t>
      </w:r>
      <w:r w:rsidR="009C7B9C">
        <w:rPr>
          <w:rStyle w:val="FootnoteReference"/>
        </w:rPr>
        <w:footnoteReference w:id="11"/>
      </w:r>
      <w:r w:rsidR="00C976BD">
        <w:t xml:space="preserve"> </w:t>
      </w:r>
      <w:r w:rsidR="003B488F">
        <w:t xml:space="preserve">We can therefore see how Paul drew on this common background, such as </w:t>
      </w:r>
      <w:r w:rsidR="00341DEA">
        <w:t>the i</w:t>
      </w:r>
      <w:r w:rsidR="001F6159">
        <w:t xml:space="preserve">ntertestamental </w:t>
      </w:r>
      <w:r w:rsidR="00312237">
        <w:t>texts (e.g. Sirach 24:25, 4 Ezra 7.118-120 etc.</w:t>
      </w:r>
      <w:r w:rsidR="001F6159">
        <w:t xml:space="preserve">) </w:t>
      </w:r>
      <w:r w:rsidR="00341DEA">
        <w:t>and the</w:t>
      </w:r>
      <w:r w:rsidR="00C976BD">
        <w:t xml:space="preserve"> post-biblical J</w:t>
      </w:r>
      <w:r w:rsidR="00341DEA">
        <w:t xml:space="preserve">ewish assumption of </w:t>
      </w:r>
      <w:r w:rsidR="00C976BD">
        <w:t>the exist</w:t>
      </w:r>
      <w:r w:rsidR="00312237">
        <w:t>ence of a historical Adam and a historical Fall event</w:t>
      </w:r>
      <w:r w:rsidR="00341DEA">
        <w:t xml:space="preserve">. However, we can also see how these assumptions act as </w:t>
      </w:r>
      <w:r w:rsidR="00312237" w:rsidRPr="00341DEA">
        <w:rPr>
          <w:i/>
        </w:rPr>
        <w:t>descriptive</w:t>
      </w:r>
      <w:r w:rsidR="00312237">
        <w:t xml:space="preserve"> backgrounds</w:t>
      </w:r>
      <w:r w:rsidR="00341DEA">
        <w:t xml:space="preserve"> of the problem of sin,</w:t>
      </w:r>
      <w:r w:rsidR="00312237">
        <w:t xml:space="preserve"> rather than</w:t>
      </w:r>
      <w:r w:rsidR="00341DEA">
        <w:t xml:space="preserve"> being</w:t>
      </w:r>
      <w:r w:rsidR="00312237">
        <w:t xml:space="preserve"> </w:t>
      </w:r>
      <w:r w:rsidR="00312237" w:rsidRPr="00341DEA">
        <w:rPr>
          <w:i/>
        </w:rPr>
        <w:t>constitutive</w:t>
      </w:r>
      <w:r w:rsidR="00312237">
        <w:t xml:space="preserve"> of the Jewish understanding of human sinfulness.</w:t>
      </w:r>
      <w:r w:rsidR="00312237">
        <w:rPr>
          <w:rStyle w:val="FootnoteReference"/>
        </w:rPr>
        <w:footnoteReference w:id="12"/>
      </w:r>
      <w:r w:rsidR="002615D3">
        <w:t xml:space="preserve"> At the level of his argumentation, t</w:t>
      </w:r>
      <w:r w:rsidR="0050577E">
        <w:t>he point of Paul’s contrasting typology in Romans 5 is not the</w:t>
      </w:r>
      <w:r w:rsidR="002615D3">
        <w:t xml:space="preserve"> literal</w:t>
      </w:r>
      <w:r w:rsidR="0050577E">
        <w:t xml:space="preserve"> necessity of Adam in explaining human sinfulness,</w:t>
      </w:r>
      <w:r w:rsidR="0050577E">
        <w:rPr>
          <w:rStyle w:val="FootnoteReference"/>
        </w:rPr>
        <w:footnoteReference w:id="13"/>
      </w:r>
      <w:r w:rsidR="0050577E">
        <w:t xml:space="preserve"> </w:t>
      </w:r>
      <w:r w:rsidR="002615D3">
        <w:t xml:space="preserve">even if he might well have assumed this, </w:t>
      </w:r>
      <w:r w:rsidR="000C03D1">
        <w:t xml:space="preserve">but the all-encompassing reversal </w:t>
      </w:r>
      <w:r w:rsidR="002615D3">
        <w:t>effected by the Christ event. This event, in Paul’s thought, stands not in contrasting continuity to the sin of Adam, but</w:t>
      </w:r>
      <w:r w:rsidR="00470F3F">
        <w:t xml:space="preserve"> poses</w:t>
      </w:r>
      <w:r w:rsidR="002615D3">
        <w:t xml:space="preserve"> a radical </w:t>
      </w:r>
      <w:r w:rsidR="002615D3">
        <w:rPr>
          <w:i/>
        </w:rPr>
        <w:t>break</w:t>
      </w:r>
      <w:r w:rsidR="002615D3">
        <w:t xml:space="preserve"> from Adam.</w:t>
      </w:r>
      <w:r w:rsidR="002615D3">
        <w:rPr>
          <w:rStyle w:val="FootnoteReference"/>
        </w:rPr>
        <w:footnoteReference w:id="14"/>
      </w:r>
      <w:r w:rsidR="005B0D4D">
        <w:t xml:space="preserve"> </w:t>
      </w:r>
      <w:r w:rsidR="00274D4A">
        <w:t xml:space="preserve">The advantage of an informed methodology is, thus, to hold a necessary gap between Paul’s words and later theological readings of them. The positing of a historical Adam as the federal source not just of sinfulness, but also guilt, owe more </w:t>
      </w:r>
      <w:r w:rsidR="005B0D4D">
        <w:t xml:space="preserve">to Augustine’s translation of the Latin </w:t>
      </w:r>
      <w:r w:rsidR="005B0D4D">
        <w:rPr>
          <w:i/>
        </w:rPr>
        <w:t>in quo</w:t>
      </w:r>
      <w:r w:rsidR="005B0D4D">
        <w:t xml:space="preserve"> from Romans 5:12 </w:t>
      </w:r>
      <w:r w:rsidR="006C40E4">
        <w:t xml:space="preserve">as </w:t>
      </w:r>
      <w:r w:rsidR="006C40E4">
        <w:rPr>
          <w:i/>
        </w:rPr>
        <w:t>‘in whom</w:t>
      </w:r>
      <w:r w:rsidR="006C40E4">
        <w:t xml:space="preserve"> all sin’</w:t>
      </w:r>
      <w:r w:rsidR="00274D4A">
        <w:t>. This is</w:t>
      </w:r>
      <w:r w:rsidR="006C40E4">
        <w:t xml:space="preserve"> a translation which can be sustained in Latin but not in Paul’s Greek</w:t>
      </w:r>
      <w:r w:rsidR="006200B7">
        <w:t xml:space="preserve"> (</w:t>
      </w:r>
      <w:r w:rsidR="006200B7" w:rsidRPr="003E61C6">
        <w:t xml:space="preserve">Gk: </w:t>
      </w:r>
      <w:r w:rsidR="006200B7" w:rsidRPr="003E61C6">
        <w:rPr>
          <w:rFonts w:ascii="Calibri" w:eastAsia="Calibri" w:hAnsi="Calibri" w:cs="Calibri"/>
        </w:rPr>
        <w:t>ἐ</w:t>
      </w:r>
      <w:r w:rsidR="006200B7" w:rsidRPr="003E61C6">
        <w:rPr>
          <w:rFonts w:ascii="Book Antiqua" w:eastAsia="Calibri" w:hAnsi="Book Antiqua" w:cs="Calibri"/>
        </w:rPr>
        <w:t>φ</w:t>
      </w:r>
      <w:r w:rsidR="006200B7" w:rsidRPr="003E61C6">
        <w:rPr>
          <w:rFonts w:ascii="Book Antiqua" w:hAnsi="Book Antiqua"/>
        </w:rPr>
        <w:t xml:space="preserve">’ </w:t>
      </w:r>
      <w:r w:rsidR="006200B7" w:rsidRPr="003E61C6">
        <w:rPr>
          <w:rFonts w:ascii="Calibri" w:eastAsia="Calibri" w:hAnsi="Calibri" w:cs="Calibri"/>
        </w:rPr>
        <w:t>ᾧ</w:t>
      </w:r>
      <w:r w:rsidR="006200B7" w:rsidRPr="003E61C6">
        <w:t>)</w:t>
      </w:r>
      <w:r w:rsidR="006C40E4" w:rsidRPr="003E61C6">
        <w:t>.</w:t>
      </w:r>
      <w:r w:rsidR="006C40E4" w:rsidRPr="003E61C6">
        <w:rPr>
          <w:rStyle w:val="FootnoteReference"/>
        </w:rPr>
        <w:footnoteReference w:id="15"/>
      </w:r>
      <w:r w:rsidR="006C40E4">
        <w:t xml:space="preserve"> </w:t>
      </w:r>
      <w:r w:rsidR="00AF4A1A">
        <w:t>Whilst</w:t>
      </w:r>
      <w:r w:rsidR="00274D4A">
        <w:t>, as discussed short</w:t>
      </w:r>
      <w:r w:rsidR="009230F8">
        <w:t>l</w:t>
      </w:r>
      <w:r w:rsidR="00274D4A">
        <w:t>y,</w:t>
      </w:r>
      <w:r w:rsidR="00AF4A1A">
        <w:t xml:space="preserve"> there might well be reasons as to why one would wish to sustain the radicality of Augustine’s</w:t>
      </w:r>
      <w:r w:rsidR="00D35F6A">
        <w:t xml:space="preserve"> own</w:t>
      </w:r>
      <w:r w:rsidR="00AF4A1A">
        <w:t xml:space="preserve"> theological insight at this</w:t>
      </w:r>
      <w:r w:rsidR="00F71747">
        <w:t xml:space="preserve"> point (though possibly not in its use around the issue of infant baptism and </w:t>
      </w:r>
      <w:r w:rsidR="00D35F6A">
        <w:t>the sinfulness of babies),</w:t>
      </w:r>
      <w:r w:rsidR="00F71747">
        <w:t xml:space="preserve"> </w:t>
      </w:r>
      <w:r w:rsidR="00AF4A1A">
        <w:t>a close historical-critical reading of the text shows that this is</w:t>
      </w:r>
      <w:r w:rsidR="00F71747">
        <w:t>, in this form at least,</w:t>
      </w:r>
      <w:r w:rsidR="00AF4A1A">
        <w:t xml:space="preserve"> exegetical unstainable, pushing as it does in exactly the opposite direction to the radical </w:t>
      </w:r>
      <w:r w:rsidR="00AF4A1A">
        <w:rPr>
          <w:i/>
        </w:rPr>
        <w:t>discontinuity</w:t>
      </w:r>
      <w:r w:rsidR="00AF4A1A">
        <w:t xml:space="preserve"> in Paul’</w:t>
      </w:r>
      <w:r w:rsidR="009A3BDA">
        <w:t xml:space="preserve">s typology. Scholarly readings of the texts, therefore, guard against a </w:t>
      </w:r>
      <w:r w:rsidR="00416B3E">
        <w:t>hasty</w:t>
      </w:r>
      <w:r w:rsidR="009A3BDA">
        <w:t xml:space="preserve"> instrumentali</w:t>
      </w:r>
      <w:r w:rsidR="00416B3E">
        <w:t>s</w:t>
      </w:r>
      <w:r w:rsidR="009A3BDA">
        <w:t>ation of biblical texts to make theological or ideological points.</w:t>
      </w:r>
      <w:r w:rsidR="00C0416E">
        <w:t xml:space="preserve"> </w:t>
      </w:r>
    </w:p>
    <w:p w14:paraId="2818A7E2" w14:textId="77777777" w:rsidR="00DF5CFC" w:rsidRDefault="00DF5CFC" w:rsidP="00E412C9">
      <w:pPr>
        <w:spacing w:line="360" w:lineRule="auto"/>
      </w:pPr>
    </w:p>
    <w:p w14:paraId="13DBAB4D" w14:textId="5808FC4A" w:rsidR="005E1EE2" w:rsidRDefault="00090712" w:rsidP="00E412C9">
      <w:pPr>
        <w:spacing w:line="360" w:lineRule="auto"/>
      </w:pPr>
      <w:r>
        <w:t>So far</w:t>
      </w:r>
      <w:r w:rsidR="00107260">
        <w:t xml:space="preserve"> in the essay</w:t>
      </w:r>
      <w:r>
        <w:t xml:space="preserve"> I have looked at the advantages of scholarly historical-critical approach</w:t>
      </w:r>
      <w:r w:rsidR="005041B0">
        <w:t>es</w:t>
      </w:r>
      <w:r>
        <w:t xml:space="preserve"> in their original contexts. We could refer to this as </w:t>
      </w:r>
      <w:r w:rsidR="00107260">
        <w:t>a</w:t>
      </w:r>
      <w:r>
        <w:t xml:space="preserve"> ‘synchronic’ </w:t>
      </w:r>
      <w:r w:rsidR="00986EA8">
        <w:t>reading of texts</w:t>
      </w:r>
      <w:r>
        <w:t xml:space="preserve">, allowing </w:t>
      </w:r>
      <w:r w:rsidR="00986EA8">
        <w:t>each</w:t>
      </w:r>
      <w:r>
        <w:t xml:space="preserve"> </w:t>
      </w:r>
      <w:r>
        <w:lastRenderedPageBreak/>
        <w:t>text</w:t>
      </w:r>
      <w:r w:rsidR="00107260">
        <w:t xml:space="preserve"> </w:t>
      </w:r>
      <w:r>
        <w:t xml:space="preserve">to come into sharp focus against its historical and cultural background. </w:t>
      </w:r>
      <w:r w:rsidR="00C85878">
        <w:t xml:space="preserve">This is fundamentally a question of methodology, focussing on the linguistic, grammatical and cultural properties of the individual text. Here the reader stands in a relatively neutral position over against the text, his or her commitments being to the natural properties of the text and the conventions of the academy. </w:t>
      </w:r>
      <w:r>
        <w:t xml:space="preserve">However, as the section on Romans 5 makes clear, </w:t>
      </w:r>
      <w:r w:rsidR="00C85878">
        <w:t>a reason for the</w:t>
      </w:r>
      <w:r w:rsidR="00943637">
        <w:t xml:space="preserve"> tendency </w:t>
      </w:r>
      <w:r w:rsidR="005041B0">
        <w:t>of</w:t>
      </w:r>
      <w:r w:rsidR="00943637">
        <w:t xml:space="preserve"> many readers to read Adam in a historically literal fashion is the perception that </w:t>
      </w:r>
      <w:r w:rsidR="00C85878">
        <w:t>the</w:t>
      </w:r>
      <w:r w:rsidR="00943637">
        <w:t xml:space="preserve"> Adam story hangs together with a larger set of epistemological and doctrinal commitments</w:t>
      </w:r>
      <w:r w:rsidR="00104255">
        <w:t xml:space="preserve"> </w:t>
      </w:r>
      <w:r w:rsidR="00C85878">
        <w:t>of a particular reading community</w:t>
      </w:r>
      <w:r w:rsidR="00104255">
        <w:t xml:space="preserve">. </w:t>
      </w:r>
      <w:r w:rsidR="00273A9C">
        <w:t xml:space="preserve">The reader of the bible assumed in the question thus often has a dual identity: he or she is part of the academy, but also potentially part of a different reading community, the church. </w:t>
      </w:r>
      <w:r w:rsidR="00104255">
        <w:t>This brings us to a second way of reading the Bible which in some way</w:t>
      </w:r>
      <w:r w:rsidR="00273A9C">
        <w:t xml:space="preserve"> </w:t>
      </w:r>
      <w:r w:rsidR="00104255">
        <w:t>problemati</w:t>
      </w:r>
      <w:r w:rsidR="0083096B">
        <w:t>s</w:t>
      </w:r>
      <w:r w:rsidR="00104255">
        <w:t xml:space="preserve">es the essay </w:t>
      </w:r>
      <w:r w:rsidR="00273A9C">
        <w:t>question</w:t>
      </w:r>
      <w:r w:rsidR="00104255">
        <w:t xml:space="preserve"> </w:t>
      </w:r>
      <w:r w:rsidR="005041B0">
        <w:t>juxtaposition</w:t>
      </w:r>
      <w:r w:rsidR="00104255">
        <w:t xml:space="preserve"> between </w:t>
      </w:r>
      <w:r w:rsidR="00273A9C">
        <w:t>‘</w:t>
      </w:r>
      <w:r w:rsidR="00104255">
        <w:t>literal</w:t>
      </w:r>
      <w:r w:rsidR="00273A9C">
        <w:t xml:space="preserve">’ </w:t>
      </w:r>
      <w:r w:rsidR="00104255">
        <w:t xml:space="preserve">and </w:t>
      </w:r>
      <w:r w:rsidR="00273A9C">
        <w:t>‘</w:t>
      </w:r>
      <w:r w:rsidR="00104255">
        <w:t>scholarly</w:t>
      </w:r>
      <w:r w:rsidR="00273A9C">
        <w:t>’</w:t>
      </w:r>
      <w:r w:rsidR="00104255">
        <w:t xml:space="preserve"> readings: the issue of ‘diachronic’ readings.</w:t>
      </w:r>
      <w:r w:rsidR="00104255">
        <w:rPr>
          <w:rStyle w:val="FootnoteReference"/>
        </w:rPr>
        <w:footnoteReference w:id="16"/>
      </w:r>
      <w:r w:rsidR="007C2792">
        <w:t xml:space="preserve"> </w:t>
      </w:r>
      <w:r w:rsidR="00273A9C">
        <w:t>How do different texts fit together, both in their own contexts and in the traditions of particular reading communities</w:t>
      </w:r>
      <w:r w:rsidR="001C6125">
        <w:t>?</w:t>
      </w:r>
    </w:p>
    <w:p w14:paraId="6D476E6E" w14:textId="77777777" w:rsidR="005E1EE2" w:rsidRDefault="005E1EE2" w:rsidP="00E412C9">
      <w:pPr>
        <w:spacing w:line="360" w:lineRule="auto"/>
      </w:pPr>
    </w:p>
    <w:p w14:paraId="2905A048" w14:textId="7CEBF1C6" w:rsidR="007A6CA1" w:rsidRDefault="001C6125" w:rsidP="00E412C9">
      <w:pPr>
        <w:spacing w:line="360" w:lineRule="auto"/>
      </w:pPr>
      <w:r>
        <w:t xml:space="preserve">A reader’s position within their own reading community affects how they try and read different texts together. </w:t>
      </w:r>
      <w:r w:rsidR="004B767C">
        <w:t xml:space="preserve">For instance, </w:t>
      </w:r>
      <w:r>
        <w:t>the question implicitly assumes the Christian bible (with its reference to Old and New Testaments)</w:t>
      </w:r>
      <w:r w:rsidR="004B767C">
        <w:t>.</w:t>
      </w:r>
      <w:r w:rsidR="00151496">
        <w:t xml:space="preserve"> Were the question</w:t>
      </w:r>
      <w:r w:rsidR="00BF5674">
        <w:t xml:space="preserve"> to be asking about the Hebrew B</w:t>
      </w:r>
      <w:r w:rsidR="00151496">
        <w:t xml:space="preserve">ible, then </w:t>
      </w:r>
      <w:r>
        <w:t xml:space="preserve">different texts might have been chosen for the case study. </w:t>
      </w:r>
      <w:r w:rsidR="00151496">
        <w:t xml:space="preserve">Adam’s appearance in 1 Chronicles 1:1, at the end of the Hebrew canon </w:t>
      </w:r>
      <w:r>
        <w:t>and as part of the post-exilic Chronicler’s retelling of Israel’s story as a way of generating a national myth, would</w:t>
      </w:r>
      <w:r w:rsidR="00151496">
        <w:t xml:space="preserve"> </w:t>
      </w:r>
      <w:r>
        <w:t>be given much more weight.</w:t>
      </w:r>
      <w:r w:rsidR="00151496">
        <w:t xml:space="preserve"> </w:t>
      </w:r>
      <w:r>
        <w:t xml:space="preserve">Indeed, there is just such an </w:t>
      </w:r>
      <w:r w:rsidR="00A94DAC">
        <w:t xml:space="preserve">emphasis present in some of the </w:t>
      </w:r>
      <w:r w:rsidR="00BF5674">
        <w:t>deutero- and extra</w:t>
      </w:r>
      <w:r w:rsidR="00A94DAC">
        <w:t>canonical books, where Adam is presented as a ‘patriarch of the Israelites’.</w:t>
      </w:r>
      <w:r w:rsidR="00A94DAC">
        <w:rPr>
          <w:rStyle w:val="FootnoteReference"/>
        </w:rPr>
        <w:footnoteReference w:id="17"/>
      </w:r>
      <w:r w:rsidR="004B767C">
        <w:t xml:space="preserve"> </w:t>
      </w:r>
      <w:r>
        <w:t xml:space="preserve">However, </w:t>
      </w:r>
      <w:r w:rsidR="004B767C">
        <w:t>the canonical placement in the Christian canon,</w:t>
      </w:r>
      <w:r w:rsidR="00BF5674">
        <w:t xml:space="preserve"> following the order of the LXX,</w:t>
      </w:r>
      <w:r w:rsidR="004B767C">
        <w:t xml:space="preserve"> a</w:t>
      </w:r>
      <w:r>
        <w:t>nd</w:t>
      </w:r>
      <w:r w:rsidR="004B767C">
        <w:t xml:space="preserve"> with the fact that Paul in the New Testament takes up the continuity of Israel’s story in a very different and radically Christological way, reduces the</w:t>
      </w:r>
      <w:r w:rsidR="00BF5674">
        <w:t xml:space="preserve"> relative</w:t>
      </w:r>
      <w:r w:rsidR="004B767C">
        <w:t xml:space="preserve"> importance of Adam in the Chronicler’s narrative.</w:t>
      </w:r>
      <w:r>
        <w:t xml:space="preserve"> The Christian reader finds hi</w:t>
      </w:r>
      <w:r w:rsidR="003C5E68">
        <w:t>m</w:t>
      </w:r>
      <w:r>
        <w:t xml:space="preserve"> or herself telling a different diachronic story. Thus, the awareness that a potential reader might have prior epistemological commitments hints at the false binary implicit in the question. There must be at least the possibility that, even with a scholarly and informed methodology, a reader nevertheless chooses to read a text in a ‘literal’ way because of a sense of how texts fit together diachronically. </w:t>
      </w:r>
      <w:r w:rsidR="00DF5FE2">
        <w:t xml:space="preserve">Even if the textual world of Genesis 2-3 doesn’t </w:t>
      </w:r>
      <w:r w:rsidR="00DF5FE2">
        <w:lastRenderedPageBreak/>
        <w:t>demand a literal reading,</w:t>
      </w:r>
      <w:r w:rsidR="00C8167F">
        <w:rPr>
          <w:rStyle w:val="FootnoteReference"/>
        </w:rPr>
        <w:footnoteReference w:id="18"/>
      </w:r>
      <w:r w:rsidR="00DF5FE2">
        <w:t xml:space="preserve"> if the way in which Paul takes up the Adam-Christ typolog</w:t>
      </w:r>
      <w:r w:rsidR="00C8167F">
        <w:t>y in Romans 5 seems to assume a historical Adam in</w:t>
      </w:r>
      <w:r w:rsidR="00DF5FE2">
        <w:t xml:space="preserve"> Genesis 2, then the question</w:t>
      </w:r>
      <w:r w:rsidR="00C8167F">
        <w:t xml:space="preserve"> must be asked: historical-critical issues aside, is a literal reading demanded in light of an assumed ‘bigger picture’</w:t>
      </w:r>
      <w:r w:rsidR="00B67AD9">
        <w:t>?</w:t>
      </w:r>
      <w:r w:rsidR="00C8167F">
        <w:t xml:space="preserve"> It might well be that on the basis of the exegesis of the individual component texts, as well as a sense of how these texts canonically fit together, </w:t>
      </w:r>
      <w:r w:rsidR="00B67AD9">
        <w:t>a reader</w:t>
      </w:r>
      <w:r w:rsidR="00C8167F">
        <w:t xml:space="preserve"> decide</w:t>
      </w:r>
      <w:r w:rsidR="00B67AD9">
        <w:t>s</w:t>
      </w:r>
      <w:r w:rsidR="00C8167F">
        <w:t xml:space="preserve"> that a literal reading is neither demanded </w:t>
      </w:r>
      <w:r w:rsidR="003C5E68">
        <w:t>n</w:t>
      </w:r>
      <w:r w:rsidR="00C8167F">
        <w:t>or warranted in</w:t>
      </w:r>
      <w:r w:rsidR="003C5E68">
        <w:t xml:space="preserve"> a</w:t>
      </w:r>
      <w:r w:rsidR="00C8167F">
        <w:t xml:space="preserve"> particular instance. This is conceivably the case with the historical Adam. But it is not necessarily </w:t>
      </w:r>
      <w:r w:rsidR="00C1778E">
        <w:t>so</w:t>
      </w:r>
      <w:r w:rsidR="00C8167F">
        <w:t>: consider, for example, the ‘virgin’ in Matthew 1:23. A historical-critical approach might well inform us that this is based on the LXX translation of Isaiah 7:14</w:t>
      </w:r>
      <w:r w:rsidR="004A1325">
        <w:t xml:space="preserve"> (</w:t>
      </w:r>
      <w:r w:rsidR="004A1325" w:rsidRPr="004A1325">
        <w:rPr>
          <w:rFonts w:ascii="Book Antiqua" w:hAnsi="Book Antiqua"/>
        </w:rPr>
        <w:t>παρθένος</w:t>
      </w:r>
      <w:r w:rsidR="004A1325">
        <w:t>)</w:t>
      </w:r>
      <w:r w:rsidR="00C8167F">
        <w:t xml:space="preserve"> and not </w:t>
      </w:r>
      <w:r w:rsidR="00E97174">
        <w:t xml:space="preserve">linguistically </w:t>
      </w:r>
      <w:r w:rsidR="00C8167F">
        <w:t>demanded by the Hebrew</w:t>
      </w:r>
      <w:r w:rsidR="00D30F8B">
        <w:t xml:space="preserve"> </w:t>
      </w:r>
      <w:r w:rsidR="00D30F8B" w:rsidRPr="00D30F8B">
        <w:rPr>
          <w:rFonts w:ascii="Tahoma" w:eastAsia="Tahoma" w:hAnsi="Tahoma" w:cs="Tahoma"/>
        </w:rPr>
        <w:t>הָעַלְמָ֗ה</w:t>
      </w:r>
      <w:r w:rsidR="00C8167F">
        <w:t>. Nevertheless, on the basis of belonging to a particular reading tradition (</w:t>
      </w:r>
      <w:r w:rsidR="00D57E62">
        <w:t>for example</w:t>
      </w:r>
      <w:r w:rsidR="00C8167F">
        <w:t>, orthodox Christianity shaped by the creeds), an individual reader might</w:t>
      </w:r>
      <w:r w:rsidR="00B67AD9">
        <w:t xml:space="preserve"> decide</w:t>
      </w:r>
      <w:r w:rsidR="00C8167F">
        <w:t>, although aware of the critical</w:t>
      </w:r>
      <w:r w:rsidR="00B67AD9">
        <w:t xml:space="preserve"> grammatical and textual</w:t>
      </w:r>
      <w:r w:rsidR="00C8167F">
        <w:t xml:space="preserve"> issues</w:t>
      </w:r>
      <w:r w:rsidR="00B67AD9">
        <w:t>,</w:t>
      </w:r>
      <w:r w:rsidR="00C8167F">
        <w:t xml:space="preserve"> th</w:t>
      </w:r>
      <w:r w:rsidR="007B4B2E">
        <w:t>at a</w:t>
      </w:r>
      <w:r w:rsidR="00F47C8A">
        <w:t xml:space="preserve"> </w:t>
      </w:r>
      <w:r w:rsidR="007B4B2E">
        <w:t>‘</w:t>
      </w:r>
      <w:r w:rsidR="00F47C8A">
        <w:t>literal</w:t>
      </w:r>
      <w:r w:rsidR="007B4B2E">
        <w:t>’</w:t>
      </w:r>
      <w:r w:rsidR="00F47C8A">
        <w:t xml:space="preserve"> </w:t>
      </w:r>
      <w:r w:rsidR="005C1244">
        <w:t>virgin birth</w:t>
      </w:r>
      <w:r w:rsidR="00C8167F">
        <w:t xml:space="preserve"> is both demanded and warranted in order to produce a </w:t>
      </w:r>
      <w:r w:rsidR="00502894">
        <w:t>coherent diachronic reading.</w:t>
      </w:r>
      <w:r w:rsidR="00712492">
        <w:t xml:space="preserve"> </w:t>
      </w:r>
    </w:p>
    <w:p w14:paraId="2FF3716A" w14:textId="77777777" w:rsidR="007A6CA1" w:rsidRDefault="007A6CA1" w:rsidP="00E412C9">
      <w:pPr>
        <w:spacing w:line="360" w:lineRule="auto"/>
      </w:pPr>
    </w:p>
    <w:p w14:paraId="243FE4AD" w14:textId="46D8DBCC" w:rsidR="00FD084E" w:rsidRPr="00F63EF3" w:rsidRDefault="007A6CA1" w:rsidP="00E412C9">
      <w:pPr>
        <w:spacing w:line="360" w:lineRule="auto"/>
        <w:rPr>
          <w:color w:val="FF0000"/>
        </w:rPr>
      </w:pPr>
      <w:r>
        <w:t xml:space="preserve">How do we account for this? </w:t>
      </w:r>
      <w:r w:rsidR="00712492">
        <w:t>In the idi</w:t>
      </w:r>
      <w:r w:rsidR="009E46A4">
        <w:t>om of texts and reading, Ricoe</w:t>
      </w:r>
      <w:r w:rsidR="00712492">
        <w:t xml:space="preserve">ur’s concept of “second </w:t>
      </w:r>
      <w:r w:rsidR="00712492" w:rsidRPr="00712492">
        <w:t>naïveté</w:t>
      </w:r>
      <w:r w:rsidR="00712492">
        <w:t xml:space="preserve">” might </w:t>
      </w:r>
      <w:r w:rsidR="00130BCB">
        <w:t>prove helpful</w:t>
      </w:r>
      <w:r w:rsidR="00712492">
        <w:t xml:space="preserve"> for th</w:t>
      </w:r>
      <w:r w:rsidR="008E6E06">
        <w:t>e idea of coherent</w:t>
      </w:r>
      <w:r w:rsidR="00712492">
        <w:t xml:space="preserve"> diachronic reading:</w:t>
      </w:r>
      <w:r w:rsidR="008E68FC">
        <w:rPr>
          <w:rStyle w:val="FootnoteReference"/>
        </w:rPr>
        <w:footnoteReference w:id="19"/>
      </w:r>
      <w:r w:rsidR="008E68FC">
        <w:t xml:space="preserve"> </w:t>
      </w:r>
      <w:r w:rsidR="00712492">
        <w:t xml:space="preserve">it allows historical-criticism an important role in the reading process, but takes it up into a bigger task </w:t>
      </w:r>
      <w:r w:rsidR="004771D3">
        <w:t xml:space="preserve">of integration </w:t>
      </w:r>
      <w:r w:rsidR="00712492">
        <w:t>that cannot be exhausted by methodology</w:t>
      </w:r>
      <w:r w:rsidR="00FE079D">
        <w:t xml:space="preserve"> or the illusion of academic neutrality</w:t>
      </w:r>
      <w:r w:rsidR="00712492">
        <w:t xml:space="preserve">. </w:t>
      </w:r>
      <w:r w:rsidR="00C54A33">
        <w:t xml:space="preserve">To </w:t>
      </w:r>
      <w:r w:rsidR="00712492">
        <w:t xml:space="preserve">translate this to a theological idiom, </w:t>
      </w:r>
      <w:r w:rsidR="009E46A4">
        <w:t>i</w:t>
      </w:r>
      <w:r w:rsidR="00C54A33">
        <w:t xml:space="preserve">t is to make the move from Bultmann’s </w:t>
      </w:r>
      <w:r w:rsidR="00C54A33">
        <w:rPr>
          <w:i/>
        </w:rPr>
        <w:t>Was</w:t>
      </w:r>
      <w:r w:rsidR="00C54A33">
        <w:t xml:space="preserve"> to his </w:t>
      </w:r>
      <w:r w:rsidR="00C54A33">
        <w:rPr>
          <w:i/>
        </w:rPr>
        <w:t>Woraufhin</w:t>
      </w:r>
      <w:r w:rsidR="009E46A4">
        <w:t>;</w:t>
      </w:r>
      <w:r w:rsidR="00972BA1">
        <w:rPr>
          <w:rStyle w:val="FootnoteReference"/>
        </w:rPr>
        <w:footnoteReference w:id="20"/>
      </w:r>
      <w:r w:rsidR="003C586C">
        <w:t xml:space="preserve"> </w:t>
      </w:r>
      <w:r w:rsidR="004A5268">
        <w:t>Just as</w:t>
      </w:r>
      <w:r w:rsidR="009E46A4">
        <w:t xml:space="preserve"> Ricoeur’s second </w:t>
      </w:r>
      <w:r w:rsidR="009E46A4" w:rsidRPr="00712492">
        <w:t>naïveté</w:t>
      </w:r>
      <w:r w:rsidR="009E46A4">
        <w:t xml:space="preserve">’s calling of attention to the place of the reader, </w:t>
      </w:r>
      <w:r w:rsidR="004A5268">
        <w:t xml:space="preserve">so </w:t>
      </w:r>
      <w:r w:rsidR="009E46A4">
        <w:t>Bultmann problemati</w:t>
      </w:r>
      <w:r w:rsidR="009F7984">
        <w:t>s</w:t>
      </w:r>
      <w:r w:rsidR="009E46A4">
        <w:t>es the position of the reader and insists that their ‘Vorverstand’ must be attended to in any re</w:t>
      </w:r>
      <w:r w:rsidR="004A5268">
        <w:t xml:space="preserve">sponsible </w:t>
      </w:r>
      <w:r w:rsidR="009E46A4">
        <w:t>interpretation</w:t>
      </w:r>
      <w:r w:rsidR="00EF6EBE">
        <w:t xml:space="preserve"> in order to correct identify the ‘</w:t>
      </w:r>
      <w:r w:rsidR="00EF6EBE" w:rsidRPr="00EF6EBE">
        <w:t>Sache</w:t>
      </w:r>
      <w:r w:rsidR="00EF6EBE">
        <w:t>’ to which the text points</w:t>
      </w:r>
      <w:r w:rsidR="009E46A4">
        <w:t>.</w:t>
      </w:r>
      <w:r w:rsidR="00EF6EBE">
        <w:rPr>
          <w:rStyle w:val="FootnoteReference"/>
        </w:rPr>
        <w:footnoteReference w:id="21"/>
      </w:r>
      <w:r w:rsidR="009E46A4">
        <w:t xml:space="preserve"> </w:t>
      </w:r>
      <w:r w:rsidR="008E6E06">
        <w:t>Or, i</w:t>
      </w:r>
      <w:r w:rsidR="001E072F">
        <w:t>n more straightforwardly dogmatic terms</w:t>
      </w:r>
      <w:r w:rsidR="009E46A4">
        <w:t xml:space="preserve">: good readings cannot be content to remain at the surface of a text’s philological and literary properties, but must </w:t>
      </w:r>
      <w:r w:rsidR="00015A01">
        <w:t xml:space="preserve">also </w:t>
      </w:r>
      <w:r w:rsidR="009E46A4">
        <w:t xml:space="preserve">attend to </w:t>
      </w:r>
      <w:r w:rsidR="00015A01">
        <w:t>wider</w:t>
      </w:r>
      <w:r w:rsidR="009E46A4">
        <w:t xml:space="preserve"> concepts of canon, church, revelation and the reader’s position within </w:t>
      </w:r>
      <w:r w:rsidR="000424B6">
        <w:t xml:space="preserve">the </w:t>
      </w:r>
      <w:r w:rsidR="009E46A4">
        <w:t>economy of salvation.</w:t>
      </w:r>
    </w:p>
    <w:p w14:paraId="55A88D4E" w14:textId="77777777" w:rsidR="00FD084E" w:rsidRDefault="00FD084E" w:rsidP="00E412C9">
      <w:pPr>
        <w:spacing w:line="360" w:lineRule="auto"/>
      </w:pPr>
    </w:p>
    <w:p w14:paraId="7FAC4CCF" w14:textId="49AD3453" w:rsidR="00A17990" w:rsidRDefault="00584E38" w:rsidP="00E412C9">
      <w:pPr>
        <w:spacing w:line="360" w:lineRule="auto"/>
      </w:pPr>
      <w:r>
        <w:t xml:space="preserve">Ultimately, </w:t>
      </w:r>
      <w:r w:rsidR="00C54A33">
        <w:t>then,</w:t>
      </w:r>
      <w:r w:rsidR="00E07AD0">
        <w:t xml:space="preserve"> scholarly and informed methodologies are important first steps,</w:t>
      </w:r>
      <w:r>
        <w:t xml:space="preserve"> allow</w:t>
      </w:r>
      <w:r w:rsidR="00E07AD0">
        <w:t>ing</w:t>
      </w:r>
      <w:r>
        <w:t xml:space="preserve"> the reader to see what is happ</w:t>
      </w:r>
      <w:r w:rsidR="001B4E3B">
        <w:t xml:space="preserve">ening in the world of the text and its wider cultural and intellectual environment. </w:t>
      </w:r>
      <w:r w:rsidR="00370640">
        <w:t xml:space="preserve">They </w:t>
      </w:r>
      <w:r w:rsidR="00945ED8">
        <w:t xml:space="preserve">guard against the hermeneutical violence that often accompanies very literal </w:t>
      </w:r>
      <w:r w:rsidR="00945ED8">
        <w:lastRenderedPageBreak/>
        <w:t>readings by drawing attention to the particularity of a text</w:t>
      </w:r>
      <w:r w:rsidR="00554651">
        <w:t xml:space="preserve"> and its cultural and linguistic </w:t>
      </w:r>
      <w:r w:rsidR="00554651">
        <w:rPr>
          <w:i/>
          <w:iCs/>
        </w:rPr>
        <w:t>milieu</w:t>
      </w:r>
      <w:r w:rsidR="00554651">
        <w:t>.</w:t>
      </w:r>
      <w:r w:rsidR="00945ED8">
        <w:t xml:space="preserve"> Yet when moving from a understanding of a particular text to questions of how texts fit into a bigger whole, an approach founded just on neutral methodological detachment founders: at some point, it is necessary</w:t>
      </w:r>
      <w:r>
        <w:t xml:space="preserve"> </w:t>
      </w:r>
      <w:r w:rsidR="00945ED8">
        <w:t>to ask</w:t>
      </w:r>
      <w:r w:rsidR="00554651">
        <w:t xml:space="preserve"> both</w:t>
      </w:r>
      <w:r>
        <w:t xml:space="preserve"> about the nature and claim of</w:t>
      </w:r>
      <w:r w:rsidR="001B4E3B">
        <w:t xml:space="preserve"> texts</w:t>
      </w:r>
      <w:r w:rsidR="00554651">
        <w:t>, and the prior commitments of an individual reader. Only then can we really talk about responsible readings of texts.</w:t>
      </w:r>
    </w:p>
    <w:p w14:paraId="49D37A85" w14:textId="77777777" w:rsidR="00A17990" w:rsidRDefault="00A17990">
      <w:r>
        <w:br w:type="page"/>
      </w:r>
    </w:p>
    <w:p w14:paraId="70464582" w14:textId="728E9947" w:rsidR="00584E38" w:rsidRDefault="00A17990" w:rsidP="00A17990">
      <w:pPr>
        <w:pStyle w:val="Heading1"/>
        <w:rPr>
          <w:lang w:val="de-AT"/>
        </w:rPr>
      </w:pPr>
      <w:r w:rsidRPr="00A17990">
        <w:rPr>
          <w:lang w:val="de-AT"/>
        </w:rPr>
        <w:lastRenderedPageBreak/>
        <w:t>Bibliography</w:t>
      </w:r>
    </w:p>
    <w:p w14:paraId="10D84F7D" w14:textId="77777777" w:rsidR="00CC2604" w:rsidRPr="00CC2604" w:rsidRDefault="00CC2604" w:rsidP="00CC2604">
      <w:pPr>
        <w:rPr>
          <w:lang w:val="de-AT"/>
        </w:rPr>
      </w:pPr>
    </w:p>
    <w:p w14:paraId="7C3E9A16" w14:textId="77777777" w:rsidR="00EF6EBE" w:rsidRPr="00EF6EBE" w:rsidRDefault="00A17990" w:rsidP="00EF6EBE">
      <w:pPr>
        <w:pStyle w:val="Bibliography"/>
        <w:rPr>
          <w:lang w:val="de-AT"/>
        </w:rPr>
      </w:pPr>
      <w:r>
        <w:fldChar w:fldCharType="begin"/>
      </w:r>
      <w:r w:rsidRPr="00A17990">
        <w:rPr>
          <w:lang w:val="de-AT"/>
        </w:rPr>
        <w:instrText xml:space="preserve"> ADDIN ZOTERO_BIBL {"uncited":[],"omitted":[],"custom":[]} CSL_BIBLIOGRAPHY </w:instrText>
      </w:r>
      <w:r>
        <w:fldChar w:fldCharType="separate"/>
      </w:r>
      <w:r w:rsidR="00EF6EBE" w:rsidRPr="00EF6EBE">
        <w:rPr>
          <w:lang w:val="de-AT"/>
        </w:rPr>
        <w:t xml:space="preserve">Bultmann, Rudolf Karl, ‘Das Problem Der Hermeneutik’, </w:t>
      </w:r>
      <w:r w:rsidR="00EF6EBE" w:rsidRPr="00EF6EBE">
        <w:rPr>
          <w:i/>
          <w:iCs/>
          <w:lang w:val="de-AT"/>
        </w:rPr>
        <w:t>Zeitschrift Für Theologie Und Kirche</w:t>
      </w:r>
      <w:r w:rsidR="00EF6EBE" w:rsidRPr="00EF6EBE">
        <w:rPr>
          <w:lang w:val="de-AT"/>
        </w:rPr>
        <w:t>, 47.1 (1950), 47–69</w:t>
      </w:r>
    </w:p>
    <w:p w14:paraId="08AA42C5" w14:textId="77777777" w:rsidR="00EF6EBE" w:rsidRPr="00EF6EBE" w:rsidRDefault="00EF6EBE" w:rsidP="00EF6EBE">
      <w:pPr>
        <w:pStyle w:val="Bibliography"/>
      </w:pPr>
      <w:r w:rsidRPr="00EF6EBE">
        <w:t xml:space="preserve">Enns, Peter, </w:t>
      </w:r>
      <w:r w:rsidRPr="00EF6EBE">
        <w:rPr>
          <w:i/>
          <w:iCs/>
        </w:rPr>
        <w:t>The Evolution of Adam: What the Bible Does and Doesn’t Say about Human Origins</w:t>
      </w:r>
      <w:r w:rsidRPr="00EF6EBE">
        <w:t xml:space="preserve"> (Baker Books, 2012)</w:t>
      </w:r>
    </w:p>
    <w:p w14:paraId="06D02DF3" w14:textId="77777777" w:rsidR="00EF6EBE" w:rsidRPr="00EF6EBE" w:rsidRDefault="00EF6EBE" w:rsidP="00EF6EBE">
      <w:pPr>
        <w:pStyle w:val="Bibliography"/>
      </w:pPr>
      <w:r w:rsidRPr="00EF6EBE">
        <w:t xml:space="preserve">Hamilton, Victor P., </w:t>
      </w:r>
      <w:r w:rsidRPr="00EF6EBE">
        <w:rPr>
          <w:i/>
          <w:iCs/>
        </w:rPr>
        <w:t>The Book of Genesis, Chapters 1-17</w:t>
      </w:r>
      <w:r w:rsidRPr="00EF6EBE">
        <w:t xml:space="preserve"> (Wm. B. Eerdmans Publishing, 1990)</w:t>
      </w:r>
    </w:p>
    <w:p w14:paraId="7B7F8775" w14:textId="77777777" w:rsidR="00EF6EBE" w:rsidRPr="00EF6EBE" w:rsidRDefault="00EF6EBE" w:rsidP="00EF6EBE">
      <w:pPr>
        <w:pStyle w:val="Bibliography"/>
      </w:pPr>
      <w:r w:rsidRPr="00EF6EBE">
        <w:t xml:space="preserve">Hays, Christopher M., and Stephen Lane Herring, ‘Adam and the Fall’, in </w:t>
      </w:r>
      <w:r w:rsidRPr="00EF6EBE">
        <w:rPr>
          <w:i/>
          <w:iCs/>
        </w:rPr>
        <w:t>Evangelical Faith and the Challenge of Historical Criticism</w:t>
      </w:r>
      <w:r w:rsidRPr="00EF6EBE">
        <w:t xml:space="preserve"> (Baker Academic, 2013), pp. 24–54</w:t>
      </w:r>
    </w:p>
    <w:p w14:paraId="667C9EF2" w14:textId="77777777" w:rsidR="00EF6EBE" w:rsidRPr="00EF6EBE" w:rsidRDefault="00EF6EBE" w:rsidP="00EF6EBE">
      <w:pPr>
        <w:pStyle w:val="Bibliography"/>
      </w:pPr>
      <w:r w:rsidRPr="00EF6EBE">
        <w:t xml:space="preserve">Moritz, Joshua M., ‘The Search for Adam Revisited: Evolution, Biblical Literalism, and the Question of Human Uniqueness’, </w:t>
      </w:r>
      <w:r w:rsidRPr="00EF6EBE">
        <w:rPr>
          <w:i/>
          <w:iCs/>
        </w:rPr>
        <w:t>Theology and Science</w:t>
      </w:r>
      <w:r w:rsidRPr="00EF6EBE">
        <w:t>, 9.4 (2011), 367–77</w:t>
      </w:r>
    </w:p>
    <w:p w14:paraId="55EA851A" w14:textId="77777777" w:rsidR="00EF6EBE" w:rsidRPr="00EF6EBE" w:rsidRDefault="00EF6EBE" w:rsidP="00EF6EBE">
      <w:pPr>
        <w:pStyle w:val="Bibliography"/>
      </w:pPr>
      <w:r w:rsidRPr="00EF6EBE">
        <w:t xml:space="preserve">Ricœur, Paul, </w:t>
      </w:r>
      <w:r w:rsidRPr="00EF6EBE">
        <w:rPr>
          <w:i/>
          <w:iCs/>
        </w:rPr>
        <w:t>The Symbolism of Evil</w:t>
      </w:r>
      <w:r w:rsidRPr="00EF6EBE">
        <w:t xml:space="preserve"> (Beacon Press, 1967)</w:t>
      </w:r>
    </w:p>
    <w:p w14:paraId="21011276" w14:textId="77777777" w:rsidR="00EF6EBE" w:rsidRPr="00EF6EBE" w:rsidRDefault="00EF6EBE" w:rsidP="00EF6EBE">
      <w:pPr>
        <w:pStyle w:val="Bibliography"/>
        <w:rPr>
          <w:lang w:val="de-AT"/>
        </w:rPr>
      </w:pPr>
      <w:r w:rsidRPr="00EF6EBE">
        <w:rPr>
          <w:lang w:val="de-AT"/>
        </w:rPr>
        <w:t xml:space="preserve">Westermann, Claus, </w:t>
      </w:r>
      <w:r w:rsidRPr="00EF6EBE">
        <w:rPr>
          <w:i/>
          <w:iCs/>
          <w:lang w:val="de-AT"/>
        </w:rPr>
        <w:t>Genesis: 1. Teilband</w:t>
      </w:r>
      <w:r w:rsidRPr="00EF6EBE">
        <w:rPr>
          <w:rFonts w:ascii="Calibri" w:eastAsia="Calibri" w:hAnsi="Calibri" w:cs="Calibri"/>
          <w:i/>
          <w:iCs/>
          <w:lang w:val="de-AT"/>
        </w:rPr>
        <w:t> </w:t>
      </w:r>
      <w:r w:rsidRPr="00EF6EBE">
        <w:rPr>
          <w:i/>
          <w:iCs/>
          <w:lang w:val="de-AT"/>
        </w:rPr>
        <w:t>: Genesis 1-11</w:t>
      </w:r>
      <w:r w:rsidRPr="00EF6EBE">
        <w:rPr>
          <w:lang w:val="de-AT"/>
        </w:rPr>
        <w:t xml:space="preserve"> (Neukirchen-Vluyn: Neukirchener Verlag, 1974)</w:t>
      </w:r>
    </w:p>
    <w:p w14:paraId="412DEE71" w14:textId="77777777" w:rsidR="00EF6EBE" w:rsidRPr="00EF6EBE" w:rsidRDefault="00EF6EBE" w:rsidP="00EF6EBE">
      <w:pPr>
        <w:pStyle w:val="Bibliography"/>
      </w:pPr>
      <w:r w:rsidRPr="00EF6EBE">
        <w:rPr>
          <w:lang w:val="de-AT"/>
        </w:rPr>
        <w:t xml:space="preserve">Wilckens, Ulrich, </w:t>
      </w:r>
      <w:r w:rsidRPr="00EF6EBE">
        <w:rPr>
          <w:i/>
          <w:iCs/>
          <w:lang w:val="de-AT"/>
        </w:rPr>
        <w:t xml:space="preserve">Der Brief an die Römer: Teilbd. </w:t>
      </w:r>
      <w:r w:rsidRPr="00EF6EBE">
        <w:rPr>
          <w:i/>
          <w:iCs/>
        </w:rPr>
        <w:t>Röm 1-5</w:t>
      </w:r>
      <w:r w:rsidRPr="00EF6EBE">
        <w:t xml:space="preserve"> (Neukirchener Verlag, 1978)</w:t>
      </w:r>
    </w:p>
    <w:p w14:paraId="1A213A06" w14:textId="77777777" w:rsidR="00EF6EBE" w:rsidRPr="00EF6EBE" w:rsidRDefault="00EF6EBE" w:rsidP="00EF6EBE">
      <w:pPr>
        <w:pStyle w:val="Bibliography"/>
      </w:pPr>
      <w:r w:rsidRPr="00EF6EBE">
        <w:t xml:space="preserve">Williams, Rowan, ‘The Discipline of Scripture’, in </w:t>
      </w:r>
      <w:r w:rsidRPr="00EF6EBE">
        <w:rPr>
          <w:i/>
          <w:iCs/>
        </w:rPr>
        <w:t>On Christian Theology</w:t>
      </w:r>
      <w:r w:rsidRPr="00EF6EBE">
        <w:t xml:space="preserve"> (Oxford: Blackwell Publishers, 2000), pp. 44–59</w:t>
      </w:r>
    </w:p>
    <w:p w14:paraId="07BBAAE9" w14:textId="77777777" w:rsidR="00EF6EBE" w:rsidRPr="00EF6EBE" w:rsidRDefault="00EF6EBE" w:rsidP="00EF6EBE">
      <w:pPr>
        <w:pStyle w:val="Bibliography"/>
        <w:rPr>
          <w:lang w:val="de-AT"/>
        </w:rPr>
      </w:pPr>
      <w:r w:rsidRPr="00EF6EBE">
        <w:rPr>
          <w:lang w:val="de-AT"/>
        </w:rPr>
        <w:t xml:space="preserve">Wolter, Michael, </w:t>
      </w:r>
      <w:r w:rsidRPr="00EF6EBE">
        <w:rPr>
          <w:i/>
          <w:iCs/>
          <w:lang w:val="de-AT"/>
        </w:rPr>
        <w:t>Der Brief an die Römer: (Teilband 1: Röm 1-8)</w:t>
      </w:r>
      <w:r w:rsidRPr="00EF6EBE">
        <w:rPr>
          <w:lang w:val="de-AT"/>
        </w:rPr>
        <w:t xml:space="preserve"> (Vandenhoeck &amp; Ruprecht, 2014)</w:t>
      </w:r>
    </w:p>
    <w:p w14:paraId="45985EFF" w14:textId="77777777" w:rsidR="00EF6EBE" w:rsidRPr="00EF6EBE" w:rsidRDefault="00EF6EBE" w:rsidP="00EF6EBE">
      <w:pPr>
        <w:pStyle w:val="Bibliography"/>
        <w:rPr>
          <w:lang w:val="de-AT"/>
        </w:rPr>
      </w:pPr>
      <w:r w:rsidRPr="00EF6EBE">
        <w:rPr>
          <w:lang w:val="de-AT"/>
        </w:rPr>
        <w:t xml:space="preserve">Zenger, Erich, and Christian Frevel, ‘Theorien über die Entstehung des Pentateuch’, in </w:t>
      </w:r>
      <w:r w:rsidRPr="00EF6EBE">
        <w:rPr>
          <w:i/>
          <w:iCs/>
          <w:lang w:val="de-AT"/>
        </w:rPr>
        <w:t>Einleitung in das Alte Testament</w:t>
      </w:r>
      <w:r w:rsidRPr="00EF6EBE">
        <w:rPr>
          <w:lang w:val="de-AT"/>
        </w:rPr>
        <w:t xml:space="preserve"> (Kohlhammer, 2012), pp. 87–122</w:t>
      </w:r>
    </w:p>
    <w:p w14:paraId="51101F53" w14:textId="2E9B5A4F" w:rsidR="00A17990" w:rsidRPr="00A17990" w:rsidRDefault="00A17990" w:rsidP="00A17990">
      <w:r>
        <w:fldChar w:fldCharType="end"/>
      </w:r>
    </w:p>
    <w:sectPr w:rsidR="00A17990" w:rsidRPr="00A17990" w:rsidSect="001C447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2A58A" w14:textId="77777777" w:rsidR="0022208E" w:rsidRDefault="0022208E" w:rsidP="000E705E">
      <w:r>
        <w:separator/>
      </w:r>
    </w:p>
  </w:endnote>
  <w:endnote w:type="continuationSeparator" w:id="0">
    <w:p w14:paraId="2D3DD1ED" w14:textId="77777777" w:rsidR="0022208E" w:rsidRDefault="0022208E" w:rsidP="000E70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dobe Garamond Pro">
    <w:altName w:val="Garamond"/>
    <w:panose1 w:val="020B0604020202020204"/>
    <w:charset w:val="00"/>
    <w:family w:val="auto"/>
    <w:pitch w:val="variable"/>
    <w:sig w:usb0="00000007" w:usb1="00000001" w:usb2="00000000" w:usb3="00000000" w:csb0="00000093"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E27D0" w14:textId="77777777" w:rsidR="0022208E" w:rsidRDefault="0022208E" w:rsidP="000E705E">
      <w:r>
        <w:separator/>
      </w:r>
    </w:p>
  </w:footnote>
  <w:footnote w:type="continuationSeparator" w:id="0">
    <w:p w14:paraId="208359F6" w14:textId="77777777" w:rsidR="0022208E" w:rsidRDefault="0022208E" w:rsidP="000E705E">
      <w:r>
        <w:continuationSeparator/>
      </w:r>
    </w:p>
  </w:footnote>
  <w:footnote w:id="1">
    <w:p w14:paraId="42C9CB26" w14:textId="5CE3FAB8" w:rsidR="00520938" w:rsidRPr="00C0416E" w:rsidRDefault="00520938">
      <w:pPr>
        <w:pStyle w:val="FootnoteText"/>
        <w:rPr>
          <w:sz w:val="20"/>
          <w:szCs w:val="20"/>
        </w:rPr>
      </w:pPr>
      <w:r w:rsidRPr="00C0416E">
        <w:rPr>
          <w:rStyle w:val="FootnoteReference"/>
          <w:sz w:val="20"/>
          <w:szCs w:val="20"/>
        </w:rPr>
        <w:footnoteRef/>
      </w:r>
      <w:r w:rsidRPr="00C0416E">
        <w:rPr>
          <w:sz w:val="20"/>
          <w:szCs w:val="20"/>
        </w:rPr>
        <w:t xml:space="preserve"> Space precludes examining wider texts such as Genesis 1:26’s use of the word </w:t>
      </w:r>
      <w:r w:rsidRPr="00C0416E">
        <w:rPr>
          <w:rFonts w:ascii="Tahoma" w:eastAsia="Tahoma" w:hAnsi="Tahoma" w:cs="Tahoma"/>
          <w:sz w:val="20"/>
          <w:szCs w:val="20"/>
        </w:rPr>
        <w:t>אָדָם</w:t>
      </w:r>
      <w:r w:rsidRPr="00C0416E">
        <w:rPr>
          <w:sz w:val="20"/>
          <w:szCs w:val="20"/>
        </w:rPr>
        <w:t xml:space="preserve"> or Paul’s juxtaposition between the first man and the heavenly man in 1 Corinthians 15:42-49.</w:t>
      </w:r>
    </w:p>
  </w:footnote>
  <w:footnote w:id="2">
    <w:p w14:paraId="27058314" w14:textId="295BF665" w:rsidR="00C651C7" w:rsidRDefault="00C651C7">
      <w:pPr>
        <w:pStyle w:val="FootnoteText"/>
      </w:pPr>
      <w:r>
        <w:rPr>
          <w:rStyle w:val="FootnoteReference"/>
        </w:rPr>
        <w:footnoteRef/>
      </w:r>
      <w:r>
        <w:t xml:space="preserve"> </w:t>
      </w:r>
      <w:r w:rsidR="00A526F2">
        <w:rPr>
          <w:sz w:val="20"/>
          <w:szCs w:val="20"/>
        </w:rPr>
        <w:t xml:space="preserve">In this essay </w:t>
      </w:r>
      <w:r w:rsidRPr="00C651C7">
        <w:rPr>
          <w:sz w:val="20"/>
          <w:szCs w:val="20"/>
        </w:rPr>
        <w:t xml:space="preserve">I am going to take ‘informed and scholarly’ as a synonym of historical-critical methodology; I am aware </w:t>
      </w:r>
      <w:r w:rsidR="00A526F2">
        <w:rPr>
          <w:sz w:val="20"/>
          <w:szCs w:val="20"/>
        </w:rPr>
        <w:t>of other approaches, including rhe</w:t>
      </w:r>
      <w:r w:rsidR="001024F2">
        <w:rPr>
          <w:sz w:val="20"/>
          <w:szCs w:val="20"/>
        </w:rPr>
        <w:t xml:space="preserve">torical, canonical </w:t>
      </w:r>
      <w:r w:rsidR="0084282C">
        <w:rPr>
          <w:sz w:val="20"/>
          <w:szCs w:val="20"/>
        </w:rPr>
        <w:t>and narrative</w:t>
      </w:r>
      <w:r w:rsidR="00A526F2">
        <w:rPr>
          <w:sz w:val="20"/>
          <w:szCs w:val="20"/>
        </w:rPr>
        <w:t xml:space="preserve"> readings, especially in Anglo-American scholarship, which concentrate more on the final form of the text. However, </w:t>
      </w:r>
      <w:r w:rsidR="00C35DC4">
        <w:rPr>
          <w:sz w:val="20"/>
          <w:szCs w:val="20"/>
        </w:rPr>
        <w:t>space is limited and historical-critical study is still in many senses the standard model</w:t>
      </w:r>
      <w:r w:rsidR="00A526F2">
        <w:rPr>
          <w:sz w:val="20"/>
          <w:szCs w:val="20"/>
        </w:rPr>
        <w:t xml:space="preserve">. </w:t>
      </w:r>
    </w:p>
  </w:footnote>
  <w:footnote w:id="3">
    <w:p w14:paraId="14C26FB6" w14:textId="57025CEC" w:rsidR="00C33774" w:rsidRPr="00C33774" w:rsidRDefault="00C33774">
      <w:pPr>
        <w:pStyle w:val="FootnoteText"/>
        <w:rPr>
          <w:sz w:val="20"/>
          <w:szCs w:val="20"/>
        </w:rPr>
      </w:pPr>
      <w:r>
        <w:rPr>
          <w:rStyle w:val="FootnoteReference"/>
        </w:rPr>
        <w:footnoteRef/>
      </w:r>
      <w:r>
        <w:t xml:space="preserve"> </w:t>
      </w:r>
      <w:r>
        <w:rPr>
          <w:sz w:val="20"/>
          <w:szCs w:val="20"/>
        </w:rPr>
        <w:t>The question of what we mean by ‘literal’ is of course tricky, as it is an unhelpfully loose term (who consistently reads the bible in a ‘very literal’ way?). For this essay, again because of space, I’m not thinking about literalism at the sentence level (for instance the idea of metaphorical language as in e.g. Psalm 139:15) but narrowing it down to think about a historical reference signified by the Adam story.</w:t>
      </w:r>
    </w:p>
  </w:footnote>
  <w:footnote w:id="4">
    <w:p w14:paraId="4532A0E0" w14:textId="733DB371" w:rsidR="00B2230A" w:rsidRPr="00C0416E" w:rsidRDefault="00B2230A">
      <w:pPr>
        <w:pStyle w:val="FootnoteText"/>
        <w:rPr>
          <w:sz w:val="20"/>
          <w:szCs w:val="20"/>
        </w:rPr>
      </w:pPr>
      <w:r w:rsidRPr="00C0416E">
        <w:rPr>
          <w:rStyle w:val="FootnoteReference"/>
          <w:sz w:val="20"/>
          <w:szCs w:val="20"/>
        </w:rPr>
        <w:footnoteRef/>
      </w:r>
      <w:r w:rsidRPr="00C0416E">
        <w:rPr>
          <w:sz w:val="20"/>
          <w:szCs w:val="20"/>
        </w:rPr>
        <w:t xml:space="preserve"> For an overview of the issues involved, see: </w:t>
      </w:r>
      <w:r w:rsidR="005D38CA" w:rsidRPr="00C0416E">
        <w:rPr>
          <w:sz w:val="20"/>
          <w:szCs w:val="20"/>
        </w:rPr>
        <w:fldChar w:fldCharType="begin"/>
      </w:r>
      <w:r w:rsidR="005D38CA" w:rsidRPr="00C0416E">
        <w:rPr>
          <w:sz w:val="20"/>
          <w:szCs w:val="20"/>
        </w:rPr>
        <w:instrText xml:space="preserve"> ADDIN ZOTERO_ITEM CSL_CITATION {"citationID":"q3taMVCI","properties":{"formattedCitation":"Erich Zenger and Christian Frevel, \\uc0\\u8216{}Theorien \\uc0\\u252{}ber die Entstehung des Pentateuch\\uc0\\u8217{}, in {\\i{}Einleitung in das Alte Testament} (Kohlhammer, 2012), pp. 87\\uc0\\u8211{}122.","plainCitation":"Erich Zenger and Christian Frevel, ‘Theorien über die Entstehung des Pentateuch’, in Einleitung in das Alte Testament (Kohlhammer, 2012), pp. 87–122.","noteIndex":2},"citationItems":[{"id":716,"uris":["http://zotero.org/users/1120467/items/5XG8EXDD"],"uri":["http://zotero.org/users/1120467/items/5XG8EXDD"],"itemData":{"id":716,"type":"chapter","title":"Theorien über die Entstehung des Pentateuch","container-title":"Einleitung in das Alte Testament","publisher":"Kohlhammer","page":"87-122","source":"Google Books","ISBN":"978-3-17-022165-9","note":"Google-Books-ID: 38NDtQAACAAJ","language":"de","author":[{"family":"Zenger","given":"Erich"},{"family":"Frevel","given":"Christian"}],"issued":{"date-parts":[["2012"]]}}}],"schema":"https://github.com/citation-style-language/schema/raw/master/csl-citation.json"} </w:instrText>
      </w:r>
      <w:r w:rsidR="005D38CA" w:rsidRPr="00C0416E">
        <w:rPr>
          <w:sz w:val="20"/>
          <w:szCs w:val="20"/>
        </w:rPr>
        <w:fldChar w:fldCharType="separate"/>
      </w:r>
      <w:r w:rsidR="005D38CA" w:rsidRPr="00C0416E">
        <w:rPr>
          <w:rFonts w:eastAsia="Times New Roman" w:cs="Times New Roman"/>
          <w:sz w:val="20"/>
          <w:szCs w:val="20"/>
        </w:rPr>
        <w:t xml:space="preserve">Erich Zenger and Christian Frevel, ‘Theorien über die Entstehung des Pentateuch’, in </w:t>
      </w:r>
      <w:r w:rsidR="005D38CA" w:rsidRPr="00C0416E">
        <w:rPr>
          <w:rFonts w:eastAsia="Times New Roman" w:cs="Times New Roman"/>
          <w:i/>
          <w:iCs/>
          <w:sz w:val="20"/>
          <w:szCs w:val="20"/>
        </w:rPr>
        <w:t>Einleitung in das Alte Testament</w:t>
      </w:r>
      <w:r w:rsidR="005D38CA" w:rsidRPr="00C0416E">
        <w:rPr>
          <w:rFonts w:eastAsia="Times New Roman" w:cs="Times New Roman"/>
          <w:sz w:val="20"/>
          <w:szCs w:val="20"/>
        </w:rPr>
        <w:t xml:space="preserve"> (Kohlhammer, 2012), pp. 87–122.</w:t>
      </w:r>
      <w:r w:rsidR="005D38CA" w:rsidRPr="00C0416E">
        <w:rPr>
          <w:sz w:val="20"/>
          <w:szCs w:val="20"/>
        </w:rPr>
        <w:fldChar w:fldCharType="end"/>
      </w:r>
      <w:r w:rsidR="001302D8" w:rsidRPr="00C0416E">
        <w:rPr>
          <w:sz w:val="20"/>
          <w:szCs w:val="20"/>
        </w:rPr>
        <w:t xml:space="preserve"> Recent scholarship has challenged the idea of Genesis 2-3 as chronologically prior to Genesis 1: </w:t>
      </w:r>
      <w:r w:rsidR="001302D8" w:rsidRPr="00C0416E">
        <w:rPr>
          <w:sz w:val="20"/>
          <w:szCs w:val="20"/>
        </w:rPr>
        <w:fldChar w:fldCharType="begin"/>
      </w:r>
      <w:r w:rsidR="008E68FC">
        <w:rPr>
          <w:sz w:val="20"/>
          <w:szCs w:val="20"/>
        </w:rPr>
        <w:instrText xml:space="preserve"> ADDIN ZOTERO_ITEM CSL_CITATION {"citationID":"cv570kF1","properties":{"formattedCitation":"Christopher M. Hays and Stephen Lane Herring, \\uc0\\u8216{}Adam and the Fall\\uc0\\u8217{}, in {\\i{}Evangelical Faith and the Challenge of Historical Criticism} (Baker Academic, 2013), pp. 24\\uc0\\u8211{}54 (pp. 26\\uc0\\u8211{}27).","plainCitation":"Christopher M. Hays and Stephen Lane Herring, ‘Adam and the Fall’, in Evangelical Faith and the Challenge of Historical Criticism (Baker Academic, 2013), pp. 24–54 (pp. 26–27).","noteIndex":5},"citationItems":[{"id":707,"uris":["http://zotero.org/users/1120467/items/K4SVSQM2"],"uri":["http://zotero.org/users/1120467/items/K4SVSQM2"],"itemData":{"id":707,"type":"chapter","title":"Adam and the fall","container-title":"Evangelical Faith and the Challenge of Historical Criticism","publisher":"Baker Academic","page":"24-54","source":"Google Books","abstract":"Many introductions to biblical studies describe critical approaches, but they do not discuss the theological implications. This timely resource discusses the relationship between historical criticism and Christian theology to encourage evangelical engagement with historical-critical scholarship. Charting a middle course between wholesale rejection and unreflective embrace, the book introduces evangelicals to a way of understanding and using historical-critical scholarship that doesn't compromise Christian orthodoxy. The book covers eight of the most hotly contested areas of debate in biblical studies, helping readers work out how to square historical criticism with their beliefs.","ISBN":"978-1-4412-4575-5","note":"Google-Books-ID: 4QGLAQAAQBAJ","language":"en","author":[{"family":"Hays","given":"Christopher M."},{"family":"Herring","given":"Stephen Lane"}],"issued":{"date-parts":[["2013",11,19]]}},"locator":"26-27"}],"schema":"https://github.com/citation-style-language/schema/raw/master/csl-citation.json"} </w:instrText>
      </w:r>
      <w:r w:rsidR="001302D8" w:rsidRPr="00C0416E">
        <w:rPr>
          <w:sz w:val="20"/>
          <w:szCs w:val="20"/>
        </w:rPr>
        <w:fldChar w:fldCharType="separate"/>
      </w:r>
      <w:r w:rsidR="001302D8" w:rsidRPr="00C0416E">
        <w:rPr>
          <w:rFonts w:eastAsia="Times New Roman" w:cs="Times New Roman"/>
          <w:sz w:val="20"/>
          <w:szCs w:val="20"/>
        </w:rPr>
        <w:t xml:space="preserve">Christopher M. Hays and Stephen Lane Herring, ‘Adam and the Fall’, in </w:t>
      </w:r>
      <w:r w:rsidR="001302D8" w:rsidRPr="00C0416E">
        <w:rPr>
          <w:rFonts w:eastAsia="Times New Roman" w:cs="Times New Roman"/>
          <w:i/>
          <w:iCs/>
          <w:sz w:val="20"/>
          <w:szCs w:val="20"/>
        </w:rPr>
        <w:t>Evangelical Faith and the Challenge of Historical Criticism</w:t>
      </w:r>
      <w:r w:rsidR="001302D8" w:rsidRPr="00C0416E">
        <w:rPr>
          <w:rFonts w:eastAsia="Times New Roman" w:cs="Times New Roman"/>
          <w:sz w:val="20"/>
          <w:szCs w:val="20"/>
        </w:rPr>
        <w:t xml:space="preserve"> (Baker Academic, 2013), pp. 24–54 (pp. 26–27).</w:t>
      </w:r>
      <w:r w:rsidR="001302D8" w:rsidRPr="00C0416E">
        <w:rPr>
          <w:sz w:val="20"/>
          <w:szCs w:val="20"/>
        </w:rPr>
        <w:fldChar w:fldCharType="end"/>
      </w:r>
    </w:p>
  </w:footnote>
  <w:footnote w:id="5">
    <w:p w14:paraId="30DA5151" w14:textId="0C26311E" w:rsidR="00F02993" w:rsidRPr="00C0416E" w:rsidRDefault="00F02993">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{"citationID":"lImZOrgp","properties":{"formattedCitation":"Hays and Herring, p. 27.","plainCitation":"Hays and Herring, p. 27.","noteIndex":6},"citationItems":[{"id":707,"uris":["http://zotero.org/users/1120467/items/K4SVSQM2"],"uri":["http://zotero.org/users/1120467/items/K4SVSQM2"],"itemData":{"id":707,"type":"chapter","title":"Adam and the fall","container-title":"Evangelical Faith and the Challenge of Historical Criticism","publisher":"Baker Academic","page":"24-54","source":"Google Books","abstract":"Many introductions to biblical studies describe critical approaches, but they do not discuss the theological implications. This timely resource discusses the relationship between historical criticism and Christian theology to encourage evangelical engagement with historical-critical scholarship. Charting a middle course between wholesale rejection and unreflective embrace, the book introduces evangelicals to a way of understanding and using historical-critical scholarship that doesn't compromise Christian orthodoxy. The book covers eight of the most hotly contested areas of debate in biblical studies, helping readers work out how to square historical criticism with their beliefs.","ISBN":"978-1-4412-4575-5","note":"Google-Books-ID: 4QGLAQAAQBAJ","language":"en","author":[{"family":"Hays","given":"Christopher M."},{"family":"Herring","given":"Stephen Lane"}],"issued":{"date-parts":[["2013",11,19]]}},"locator":"27"}],"schema":"https://github.com/citation-style-language/schema/raw/master/csl-citation.json"} </w:instrText>
      </w:r>
      <w:r w:rsidRPr="00C0416E">
        <w:rPr>
          <w:sz w:val="20"/>
          <w:szCs w:val="20"/>
        </w:rPr>
        <w:fldChar w:fldCharType="separate"/>
      </w:r>
      <w:r w:rsidR="001302D8" w:rsidRPr="00C0416E">
        <w:rPr>
          <w:rFonts w:eastAsia="Times New Roman" w:cs="Times New Roman"/>
          <w:sz w:val="20"/>
          <w:szCs w:val="20"/>
        </w:rPr>
        <w:t>Hays and Herring, p. 27.</w:t>
      </w:r>
      <w:r w:rsidRPr="00C0416E">
        <w:rPr>
          <w:sz w:val="20"/>
          <w:szCs w:val="20"/>
        </w:rPr>
        <w:fldChar w:fldCharType="end"/>
      </w:r>
    </w:p>
  </w:footnote>
  <w:footnote w:id="6">
    <w:p w14:paraId="4B2E31E4" w14:textId="6878AF54" w:rsidR="00546D3B" w:rsidRPr="00C0416E" w:rsidRDefault="00546D3B">
      <w:pPr>
        <w:pStyle w:val="FootnoteText"/>
        <w:rPr>
          <w:sz w:val="20"/>
          <w:szCs w:val="20"/>
        </w:rPr>
      </w:pPr>
      <w:r w:rsidRPr="00C0416E">
        <w:rPr>
          <w:rStyle w:val="FootnoteReference"/>
          <w:sz w:val="20"/>
          <w:szCs w:val="20"/>
        </w:rPr>
        <w:footnoteRef/>
      </w:r>
      <w:r w:rsidRPr="00C0416E">
        <w:rPr>
          <w:sz w:val="20"/>
          <w:szCs w:val="20"/>
        </w:rPr>
        <w:t xml:space="preserve"> A fact demonstrated in </w:t>
      </w:r>
      <w:r w:rsidRPr="00C0416E">
        <w:rPr>
          <w:sz w:val="20"/>
          <w:szCs w:val="20"/>
        </w:rPr>
        <w:fldChar w:fldCharType="begin"/>
      </w:r>
      <w:r w:rsidR="0087561D" w:rsidRPr="00C0416E">
        <w:rPr>
          <w:sz w:val="20"/>
          <w:szCs w:val="20"/>
        </w:rPr>
        <w:instrText xml:space="preserve"> ADDIN ZOTERO_ITEM CSL_CITATION {"citationID":"HDyP3Mkw","properties":{"formattedCitation":"Joshua M. Moritz, \\uc0\\u8216{}The Search for Adam Revisited: Evolution, Biblical Literalism, and the Question of Human Uniqueness\\uc0\\u8217{}, {\\i{}Theology and Science}, 9.4 (2011), 367\\uc0\\u8211{}77.","plainCitation":"Joshua M. Moritz, ‘The Search for Adam Revisited: Evolution, Biblical Literalism, and the Question of Human Uniqueness’, Theology and Science, 9.4 (2011), 367–77.","noteIndex":4},"citationItems":[{"id":712,"uris":["http://zotero.org/users/1120467/items/NMU5H6HQ"],"uri":["http://zotero.org/users/1120467/items/NMU5H6HQ"],"itemData":{"id":712,"type":"article-journal","title":"The Search for Adam Revisited: Evolution, Biblical Literalism, and the Question of Human Uniqueness","container-title":"Theology and Science","page":"367-377","volume":"9","issue":"4","source":"Taylor and Francis+NEJM","ISSN":"1474-6700","title-short":"The Search for Adam Revisited","author":[{"family":"Moritz","given":"Joshua M."}],"issued":{"date-parts":[["2011",11,1]]}}}],"schema":"https://github.com/citation-style-language/schema/raw/master/csl-citation.json"} </w:instrText>
      </w:r>
      <w:r w:rsidRPr="00C0416E">
        <w:rPr>
          <w:sz w:val="20"/>
          <w:szCs w:val="20"/>
        </w:rPr>
        <w:fldChar w:fldCharType="separate"/>
      </w:r>
      <w:r w:rsidR="0087561D" w:rsidRPr="00C0416E">
        <w:rPr>
          <w:rFonts w:eastAsia="Times New Roman" w:cs="Times New Roman"/>
          <w:sz w:val="20"/>
          <w:szCs w:val="20"/>
        </w:rPr>
        <w:t xml:space="preserve">Joshua M. Moritz, ‘The Search for Adam Revisited: Evolution, Biblical Literalism, and the Question of Human Uniqueness’, </w:t>
      </w:r>
      <w:r w:rsidR="0087561D" w:rsidRPr="00C0416E">
        <w:rPr>
          <w:rFonts w:eastAsia="Times New Roman" w:cs="Times New Roman"/>
          <w:i/>
          <w:iCs/>
          <w:sz w:val="20"/>
          <w:szCs w:val="20"/>
        </w:rPr>
        <w:t>Theology and Science</w:t>
      </w:r>
      <w:r w:rsidR="0087561D" w:rsidRPr="00C0416E">
        <w:rPr>
          <w:rFonts w:eastAsia="Times New Roman" w:cs="Times New Roman"/>
          <w:sz w:val="20"/>
          <w:szCs w:val="20"/>
        </w:rPr>
        <w:t>, 9.4 (2011), 367–77.</w:t>
      </w:r>
      <w:r w:rsidRPr="00C0416E">
        <w:rPr>
          <w:sz w:val="20"/>
          <w:szCs w:val="20"/>
        </w:rPr>
        <w:fldChar w:fldCharType="end"/>
      </w:r>
    </w:p>
  </w:footnote>
  <w:footnote w:id="7">
    <w:p w14:paraId="3657A03B" w14:textId="3190016C" w:rsidR="00A94DAC" w:rsidRPr="00C0416E" w:rsidRDefault="00A94DAC">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{"citationID":"bte0hiSt","properties":{"formattedCitation":"Victor P. Hamilton, {\\i{}The Book of Genesis, Chapters 1-17} (Wm. B. Eerdmans Publishing, 1990), p. 157.","plainCitation":"Victor P. Hamilton, The Book of Genesis, Chapters 1-17 (Wm. B. Eerdmans Publishing, 1990), p. 157.","noteIndex":8},"citationItems":[{"id":708,"uris":["http://zotero.org/users/1120467/items/4WTK8MMV"],"uri":["http://zotero.org/users/1120467/items/4WTK8MMV"],"itemData":{"id":708,"type":"book","title":"The Book of Genesis, Chapters 1-17","publisher":"Wm. B. Eerdmans Publishing","number-of-pages":"568","source":"Google Books","abstract":"In the Old Testament we read God s word as it was spoken to his people Israel. Today, thousands of years later, we hear in these thirty-nine books his inspired and authoritative message for us. These twin convictions, shared by all of the contributors to The New International Commentary on the Old Testament, define the goal of this ambitious series of commentaries. For those many modern readers who find the Old Testament to be strange and foreign soil, the NICOT series serves as an authoritative guide bridging the cultural gap between today s world and the world of ancient Israel. Each NICOT volume aims to help us hear God s word as clearly as possible.Scholars, pastors, and serious Bible students will welcome the fresh light that this commentary series casts on ancient yet familiar biblical texts. The contributors apply their proven scholarly expertise and wide experience as teachers to illumine our understanding of the Old Testament. As gifted writers, they present the results of the best recent research in an interesting manner.Each commentary opens with an introduction to the biblical book, looking especially at questions concerning its background, authorship, date, purpose, structure, and theology. A select bibliography also points readers to resources for their own study. The author s own translation from the original Hebrew forms the basis of the commentary proper. Verse-by-verse comments nicely balance in-depth discussions of technical matters textual criticism, critical problems, and so on with exposition of the biblical writer s theology and its implications for the life of faith today.","ISBN":"978-0-8028-2521-6","language":"en","author":[{"family":"Hamilton","given":"Victor P."}],"issued":{"date-parts":[["1990",10,31]]}},"locator":"157"}],"schema":"https://github.com/citation-style-language/schema/raw/master/csl-citation.json"} </w:instrText>
      </w:r>
      <w:r w:rsidRPr="00C0416E">
        <w:rPr>
          <w:sz w:val="20"/>
          <w:szCs w:val="20"/>
        </w:rPr>
        <w:fldChar w:fldCharType="separate"/>
      </w:r>
      <w:r w:rsidR="005D38CA" w:rsidRPr="00C0416E">
        <w:rPr>
          <w:rFonts w:eastAsia="Times New Roman" w:cs="Times New Roman"/>
          <w:sz w:val="20"/>
          <w:szCs w:val="20"/>
        </w:rPr>
        <w:t xml:space="preserve">Victor P. Hamilton, </w:t>
      </w:r>
      <w:r w:rsidR="005D38CA" w:rsidRPr="00C0416E">
        <w:rPr>
          <w:rFonts w:eastAsia="Times New Roman" w:cs="Times New Roman"/>
          <w:i/>
          <w:iCs/>
          <w:sz w:val="20"/>
          <w:szCs w:val="20"/>
        </w:rPr>
        <w:t>The Book of Genesis, Chapters 1-17</w:t>
      </w:r>
      <w:r w:rsidR="005D38CA" w:rsidRPr="00C0416E">
        <w:rPr>
          <w:rFonts w:eastAsia="Times New Roman" w:cs="Times New Roman"/>
          <w:sz w:val="20"/>
          <w:szCs w:val="20"/>
        </w:rPr>
        <w:t xml:space="preserve"> (Wm. B. Eerdmans Publishing, 1990), p. 157.</w:t>
      </w:r>
      <w:r w:rsidRPr="00C0416E">
        <w:rPr>
          <w:sz w:val="20"/>
          <w:szCs w:val="20"/>
        </w:rPr>
        <w:fldChar w:fldCharType="end"/>
      </w:r>
    </w:p>
  </w:footnote>
  <w:footnote w:id="8">
    <w:p w14:paraId="2F73C788" w14:textId="172E0AB6" w:rsidR="00E75030" w:rsidRPr="00C0416E" w:rsidRDefault="00E75030">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{"citationID":"e86rs5pN","properties":{"formattedCitation":"Hamilton, p. 160.","plainCitation":"Hamilton, p. 160.","noteIndex":9},"citationItems":[{"id":708,"uris":["http://zotero.org/users/1120467/items/4WTK8MMV"],"uri":["http://zotero.org/users/1120467/items/4WTK8MMV"],"itemData":{"id":708,"type":"book","title":"The Book of Genesis, Chapters 1-17","publisher":"Wm. B. Eerdmans Publishing","number-of-pages":"568","source":"Google Books","abstract":"In the Old Testament we read God s word as it was spoken to his people Israel. Today, thousands of years later, we hear in these thirty-nine books his inspired and authoritative message for us. These twin convictions, shared by all of the contributors to The New International Commentary on the Old Testament, define the goal of this ambitious series of commentaries. For those many modern readers who find the Old Testament to be strange and foreign soil, the NICOT series serves as an authoritative guide bridging the cultural gap between today s world and the world of ancient Israel. Each NICOT volume aims to help us hear God s word as clearly as possible.Scholars, pastors, and serious Bible students will welcome the fresh light that this commentary series casts on ancient yet familiar biblical texts. The contributors apply their proven scholarly expertise and wide experience as teachers to illumine our understanding of the Old Testament. As gifted writers, they present the results of the best recent research in an interesting manner.Each commentary opens with an introduction to the biblical book, looking especially at questions concerning its background, authorship, date, purpose, structure, and theology. A select bibliography also points readers to resources for their own study. The author s own translation from the original Hebrew forms the basis of the commentary proper. Verse-by-verse comments nicely balance in-depth discussions of technical matters textual criticism, critical problems, and so on with exposition of the biblical writer s theology and its implications for the life of faith today.","ISBN":"978-0-8028-2521-6","language":"en","author":[{"family":"Hamilton","given":"Victor P."}],"issued":{"date-parts":[["1990",10,31]]}},"locator":"160"}],"schema":"https://github.com/citation-style-language/schema/raw/master/csl-citation.json"} </w:instrText>
      </w:r>
      <w:r w:rsidRPr="00C0416E">
        <w:rPr>
          <w:sz w:val="20"/>
          <w:szCs w:val="20"/>
        </w:rPr>
        <w:fldChar w:fldCharType="separate"/>
      </w:r>
      <w:r w:rsidRPr="00C0416E">
        <w:rPr>
          <w:noProof/>
          <w:sz w:val="20"/>
          <w:szCs w:val="20"/>
        </w:rPr>
        <w:t>Hamilton, p. 160.</w:t>
      </w:r>
      <w:r w:rsidRPr="00C0416E">
        <w:rPr>
          <w:sz w:val="20"/>
          <w:szCs w:val="20"/>
        </w:rPr>
        <w:fldChar w:fldCharType="end"/>
      </w:r>
      <w:r w:rsidR="000D27DE" w:rsidRPr="00C0416E">
        <w:rPr>
          <w:sz w:val="20"/>
          <w:szCs w:val="20"/>
        </w:rPr>
        <w:t xml:space="preserve"> Hamilton also provides examples of ‘Adam’ as a personal name from Old Akkadian, Old Babylonian and Ebla texts. </w:t>
      </w:r>
    </w:p>
  </w:footnote>
  <w:footnote w:id="9">
    <w:p w14:paraId="087EAD02" w14:textId="5B418D7C" w:rsidR="00AC5126" w:rsidRPr="00C0416E" w:rsidRDefault="00AC5126">
      <w:pPr>
        <w:pStyle w:val="FootnoteText"/>
        <w:rPr>
          <w:sz w:val="20"/>
          <w:szCs w:val="20"/>
        </w:rPr>
      </w:pPr>
      <w:r w:rsidRPr="00C0416E">
        <w:rPr>
          <w:rStyle w:val="FootnoteReference"/>
          <w:sz w:val="20"/>
          <w:szCs w:val="20"/>
        </w:rPr>
        <w:footnoteRef/>
      </w:r>
      <w:r w:rsidRPr="00C0416E">
        <w:rPr>
          <w:sz w:val="20"/>
          <w:szCs w:val="20"/>
        </w:rPr>
        <w:t xml:space="preserve"> </w:t>
      </w:r>
      <w:r w:rsidR="000D27DE" w:rsidRPr="00C0416E">
        <w:rPr>
          <w:sz w:val="20"/>
          <w:szCs w:val="20"/>
        </w:rPr>
        <w:t>A point that Enns demonstrates by comparative readings of Genesis 2-3 with</w:t>
      </w:r>
      <w:r w:rsidR="000D27DE" w:rsidRPr="00C0416E">
        <w:rPr>
          <w:i/>
          <w:sz w:val="20"/>
          <w:szCs w:val="20"/>
        </w:rPr>
        <w:t xml:space="preserve">, </w:t>
      </w:r>
      <w:r w:rsidR="000D27DE" w:rsidRPr="00C0416E">
        <w:rPr>
          <w:sz w:val="20"/>
          <w:szCs w:val="20"/>
        </w:rPr>
        <w:t xml:space="preserve">amongst other texts, </w:t>
      </w:r>
      <w:r w:rsidR="000D27DE" w:rsidRPr="00C0416E">
        <w:rPr>
          <w:i/>
          <w:sz w:val="20"/>
          <w:szCs w:val="20"/>
        </w:rPr>
        <w:t xml:space="preserve">Gilgamesh, Enki and the Underworld, Atrahasis </w:t>
      </w:r>
      <w:r w:rsidR="000D27DE" w:rsidRPr="00C0416E">
        <w:rPr>
          <w:sz w:val="20"/>
          <w:szCs w:val="20"/>
        </w:rPr>
        <w:t xml:space="preserve">etc. </w:t>
      </w:r>
      <w:r w:rsidRPr="00C0416E">
        <w:rPr>
          <w:sz w:val="20"/>
          <w:szCs w:val="20"/>
        </w:rPr>
        <w:fldChar w:fldCharType="begin"/>
      </w:r>
      <w:r w:rsidR="008E68FC">
        <w:rPr>
          <w:sz w:val="20"/>
          <w:szCs w:val="20"/>
        </w:rPr>
        <w:instrText xml:space="preserve"> ADDIN ZOTERO_ITEM CSL_CITATION {"citationID":"Ralj9uvk","properties":{"formattedCitation":"Peter Enns, {\\i{}The Evolution of Adam: What the Bible Does and Doesn\\uc0\\u8217{}t Say about Human Origins} (Baker Books, 2012), pp. 53\\uc0\\u8211{}56.","plainCitation":"Peter Enns, The Evolution of Adam: What the Bible Does and Doesn’t Say about Human Origins (Baker Books, 2012), pp. 53–56.","noteIndex":10},"citationItems":[{"id":710,"uris":["http://zotero.org/users/1120467/items/GNTDVMSE"],"uri":["http://zotero.org/users/1120467/items/GNTDVMSE"],"itemData":{"id":710,"type":"book","title":"The Evolution of Adam: What the Bible Does and Doesn't Say about Human Origins","publisher":"Baker Books","number-of-pages":"193","source":"Google Books","abstract":"Can Christianity and evolution coexist? Traditional Christian teaching presents Jesus as reversing the effects of the Fall of Adam. However, an evolutionary view of beginnings doesn't allow for a historical Adam, making evolution seemingly incompatible with what Genesis and the apostle Paul say about him. For Christians who accept evolution and want to take the Bible seriously, this presents a faith-shaking tension.Peter Enns, an expert in biblical interpretation, offers a way forward by explaining how this tension is caused not by the discoveries of science but by false expectations about the biblical texts. Focusing on key biblical passages in the discussion, Enns demonstrates that the author of Genesis and the apostle Paul wrote to ask and answer ancient questions for ancient people; the fact that they both speak of Adam does not determine whether Christians can accept evolution. This thought-provoking book helps readers reconcile the teachings of the Bible with the widely held evolutionary view of beginnings and will appeal to anyone interested in the Christianity-evolution debate.","ISBN":"978-1-58743-315-3","title-short":"The Evolution of Adam","language":"en","author":[{"family":"Enns","given":"Peter"}],"issued":{"date-parts":[["2012"]]}},"locator":"53-56"}],"schema":"https://github.com/citation-style-language/schema/raw/master/csl-citation.json"} </w:instrText>
      </w:r>
      <w:r w:rsidRPr="00C0416E">
        <w:rPr>
          <w:sz w:val="20"/>
          <w:szCs w:val="20"/>
        </w:rPr>
        <w:fldChar w:fldCharType="separate"/>
      </w:r>
      <w:r w:rsidR="000D27DE" w:rsidRPr="00C0416E">
        <w:rPr>
          <w:rFonts w:eastAsia="Times New Roman" w:cs="Times New Roman"/>
          <w:sz w:val="20"/>
          <w:szCs w:val="20"/>
        </w:rPr>
        <w:t xml:space="preserve">Peter Enns, </w:t>
      </w:r>
      <w:r w:rsidR="000D27DE" w:rsidRPr="00C0416E">
        <w:rPr>
          <w:rFonts w:eastAsia="Times New Roman" w:cs="Times New Roman"/>
          <w:i/>
          <w:iCs/>
          <w:sz w:val="20"/>
          <w:szCs w:val="20"/>
        </w:rPr>
        <w:t>The Evolution of Adam: What the Bible Does and Doesn’t Say about Human Origins</w:t>
      </w:r>
      <w:r w:rsidR="000D27DE" w:rsidRPr="00C0416E">
        <w:rPr>
          <w:rFonts w:eastAsia="Times New Roman" w:cs="Times New Roman"/>
          <w:sz w:val="20"/>
          <w:szCs w:val="20"/>
        </w:rPr>
        <w:t xml:space="preserve"> (Baker Books, 2012), pp. 53–56.</w:t>
      </w:r>
      <w:r w:rsidRPr="00C0416E">
        <w:rPr>
          <w:sz w:val="20"/>
          <w:szCs w:val="20"/>
        </w:rPr>
        <w:fldChar w:fldCharType="end"/>
      </w:r>
    </w:p>
  </w:footnote>
  <w:footnote w:id="10">
    <w:p w14:paraId="501B8F21" w14:textId="507CB583" w:rsidR="00553E6A" w:rsidRPr="006451FB" w:rsidRDefault="00553E6A">
      <w:pPr>
        <w:pStyle w:val="FootnoteText"/>
        <w:rPr>
          <w:sz w:val="20"/>
          <w:szCs w:val="20"/>
        </w:rPr>
      </w:pPr>
      <w:r w:rsidRPr="00C0416E">
        <w:rPr>
          <w:rStyle w:val="FootnoteReference"/>
          <w:sz w:val="20"/>
          <w:szCs w:val="20"/>
        </w:rPr>
        <w:footnoteRef/>
      </w:r>
      <w:r w:rsidRPr="00C0416E">
        <w:rPr>
          <w:sz w:val="20"/>
          <w:szCs w:val="20"/>
        </w:rPr>
        <w:t xml:space="preserve"> </w:t>
      </w:r>
      <w:r w:rsidR="00677254">
        <w:rPr>
          <w:sz w:val="20"/>
          <w:szCs w:val="20"/>
        </w:rPr>
        <w:t>We can also note in passing that, quite apart from textual issues,</w:t>
      </w:r>
      <w:r w:rsidRPr="00C0416E">
        <w:rPr>
          <w:sz w:val="20"/>
          <w:szCs w:val="20"/>
        </w:rPr>
        <w:t xml:space="preserve"> developments in our understanding of human genetic history make a historical ‘first pair’ of humans ever more untenable. To insist on a literal historical reading of Genesis 2-3 is to force an opposition of scientific evidence and biblical witness that </w:t>
      </w:r>
      <w:r w:rsidR="00DA6361">
        <w:rPr>
          <w:sz w:val="20"/>
          <w:szCs w:val="20"/>
        </w:rPr>
        <w:t>is</w:t>
      </w:r>
      <w:r w:rsidR="00DA5357">
        <w:rPr>
          <w:sz w:val="20"/>
          <w:szCs w:val="20"/>
        </w:rPr>
        <w:t xml:space="preserve"> </w:t>
      </w:r>
      <w:r w:rsidR="00DA6361">
        <w:rPr>
          <w:sz w:val="20"/>
          <w:szCs w:val="20"/>
        </w:rPr>
        <w:t>textually unwarranted</w:t>
      </w:r>
      <w:r w:rsidR="00BB2BC5">
        <w:rPr>
          <w:sz w:val="20"/>
          <w:szCs w:val="20"/>
        </w:rPr>
        <w:t xml:space="preserve">. </w:t>
      </w:r>
    </w:p>
  </w:footnote>
  <w:footnote w:id="11">
    <w:p w14:paraId="6C4112BD" w14:textId="61DC1BBA" w:rsidR="009C7B9C" w:rsidRPr="00C0416E" w:rsidRDefault="009C7B9C" w:rsidP="009C7B9C">
      <w:pPr>
        <w:pStyle w:val="FootnoteText"/>
        <w:rPr>
          <w:sz w:val="20"/>
          <w:szCs w:val="20"/>
        </w:rPr>
      </w:pPr>
      <w:r w:rsidRPr="00C0416E">
        <w:rPr>
          <w:rStyle w:val="FootnoteReference"/>
          <w:sz w:val="20"/>
          <w:szCs w:val="20"/>
        </w:rPr>
        <w:footnoteRef/>
      </w:r>
      <w:r w:rsidRPr="00C0416E">
        <w:rPr>
          <w:sz w:val="20"/>
          <w:szCs w:val="20"/>
        </w:rPr>
        <w:t xml:space="preserve"> </w:t>
      </w:r>
      <w:r w:rsidRPr="009C7B9C">
        <w:rPr>
          <w:sz w:val="20"/>
        </w:rPr>
        <w:t xml:space="preserve">Recent study suggests that Romans 5 is not, as suggested by commentators in the latter half of the twentieth century, radically rethinking Paul’s own illusions in 1 Corinthians 15 a Jewish </w:t>
      </w:r>
      <w:r w:rsidRPr="009C7B9C">
        <w:rPr>
          <w:i/>
          <w:sz w:val="20"/>
        </w:rPr>
        <w:t>midrash</w:t>
      </w:r>
      <w:r w:rsidRPr="009C7B9C">
        <w:rPr>
          <w:sz w:val="20"/>
        </w:rPr>
        <w:t xml:space="preserve"> positing, on the basis of Genesis 1:26, a heavenly “Urmensch”, created before Adam. </w:t>
      </w:r>
      <w:r w:rsidRPr="00C0416E">
        <w:rPr>
          <w:sz w:val="20"/>
          <w:szCs w:val="20"/>
        </w:rPr>
        <w:t xml:space="preserve">This kind of argument can be found in e.g. </w:t>
      </w:r>
      <w:r w:rsidRPr="00C0416E">
        <w:rPr>
          <w:sz w:val="20"/>
          <w:szCs w:val="20"/>
        </w:rPr>
        <w:fldChar w:fldCharType="begin"/>
      </w:r>
      <w:r>
        <w:rPr>
          <w:sz w:val="20"/>
          <w:szCs w:val="20"/>
        </w:rPr>
        <w:instrText xml:space="preserve"> ADDIN ZOTERO_ITEM CSL_CITATION {"citationID":"fPMw4Zlg","properties":{"formattedCitation":"Ulrich Wilckens, {\\i{}Der Brief an die R\\uc0\\u246{}mer: Teilbd. R\\uc0\\u246{}m 1-5} (Neukirchener Verlag, 1978), pp. 308\\uc0\\u8211{}12.","plainCitation":"Ulrich Wilckens, Der Brief an die Römer: Teilbd. Röm 1-5 (Neukirchener Verlag, 1978), pp. 308–12.","noteIndex":12},"citationItems":[{"id":717,"uris":["http://zotero.org/users/1120467/items/QYYP8BHN"],"uri":["http://zotero.org/users/1120467/items/QYYP8BHN"],"itemData":{"id":717,"type":"book","title":"Der Brief an die Römer: Teilbd. Röm 1-5","publisher":"Neukirchener Verlag","number-of-pages":"356","source":"Google Books","ISBN":"978-3-545-23103-0","note":"Google-Books-ID: k7BNrgEACAAJ","title-short":"Der Brief an die Römer","language":"de","author":[{"family":"Wilckens","given":"Ulrich"}],"issued":{"date-parts":[["1978"]]}},"locator":"308-312"}],"schema":"https://github.com/citation-style-language/schema/raw/master/csl-citation.json"} </w:instrText>
      </w:r>
      <w:r w:rsidRPr="00C0416E">
        <w:rPr>
          <w:sz w:val="20"/>
          <w:szCs w:val="20"/>
        </w:rPr>
        <w:fldChar w:fldCharType="separate"/>
      </w:r>
      <w:r w:rsidRPr="00C0416E">
        <w:rPr>
          <w:rFonts w:eastAsia="Times New Roman" w:cs="Times New Roman"/>
          <w:sz w:val="20"/>
          <w:szCs w:val="20"/>
          <w:lang w:val="de-AT"/>
        </w:rPr>
        <w:t xml:space="preserve">Ulrich Wilckens, </w:t>
      </w:r>
      <w:r w:rsidRPr="00C0416E">
        <w:rPr>
          <w:rFonts w:eastAsia="Times New Roman" w:cs="Times New Roman"/>
          <w:i/>
          <w:iCs/>
          <w:sz w:val="20"/>
          <w:szCs w:val="20"/>
          <w:lang w:val="de-AT"/>
        </w:rPr>
        <w:t xml:space="preserve">Der Brief an die Römer: Teilbd. </w:t>
      </w:r>
      <w:r w:rsidRPr="009C7B9C">
        <w:rPr>
          <w:rFonts w:eastAsia="Times New Roman" w:cs="Times New Roman"/>
          <w:i/>
          <w:iCs/>
          <w:sz w:val="20"/>
          <w:szCs w:val="20"/>
          <w:lang w:val="de-AT"/>
        </w:rPr>
        <w:t>Röm 1-5</w:t>
      </w:r>
      <w:r w:rsidRPr="009C7B9C">
        <w:rPr>
          <w:rFonts w:eastAsia="Times New Roman" w:cs="Times New Roman"/>
          <w:sz w:val="20"/>
          <w:szCs w:val="20"/>
          <w:lang w:val="de-AT"/>
        </w:rPr>
        <w:t xml:space="preserve"> (Neukirchener Verlag, 1978), pp. 308–12.</w:t>
      </w:r>
      <w:r w:rsidRPr="00C0416E">
        <w:rPr>
          <w:sz w:val="20"/>
          <w:szCs w:val="20"/>
        </w:rPr>
        <w:fldChar w:fldCharType="end"/>
      </w:r>
      <w:r w:rsidRPr="009C7B9C">
        <w:rPr>
          <w:sz w:val="20"/>
          <w:szCs w:val="20"/>
          <w:lang w:val="de-AT"/>
        </w:rPr>
        <w:t xml:space="preserve"> </w:t>
      </w:r>
      <w:r w:rsidRPr="00C0416E">
        <w:rPr>
          <w:sz w:val="20"/>
          <w:szCs w:val="20"/>
        </w:rPr>
        <w:t xml:space="preserve">Wolter deprecates this line of thinking in his commentary: </w:t>
      </w:r>
      <w:r w:rsidRPr="00C0416E">
        <w:rPr>
          <w:sz w:val="20"/>
          <w:szCs w:val="20"/>
        </w:rPr>
        <w:fldChar w:fldCharType="begin"/>
      </w:r>
      <w:r>
        <w:rPr>
          <w:sz w:val="20"/>
          <w:szCs w:val="20"/>
        </w:rPr>
        <w:instrText xml:space="preserve"> ADDIN ZOTERO_ITEM CSL_CITATION {"citationID":"VtwpymBe","properties":{"formattedCitation":"Michael Wolter, {\\i{}Der Brief an die R\\uc0\\u246{}mer: (Teilband 1: R\\uc0\\u246{}m 1-8)} (Vandenhoeck &amp; Ruprecht, 2014), p. 342 fn 5.","plainCitation":"Michael Wolter, Der Brief an die Römer: (Teilband 1: Röm 1-8) (Vandenhoeck &amp; Ruprecht, 2014), p. 342 fn 5.","noteIndex":12},"citationItems":[{"id":719,"uris":["http://zotero.org/users/1120467/items/ZZ33NHEN"],"uri":["http://zotero.org/users/1120467/items/ZZ33NHEN"],"itemData":{"id":719,"type":"book","title":"Der Brief an die Römer: (Teilband 1: Röm 1-8)","publisher":"Vandenhoeck &amp; Ruprecht","number-of-pages":"577","source":"Google Books","abstract":"In dieser Neukommentierung des Römerbriefs innerhalb der renommierten Reihe \"Evangelisch-Katholischer Kommentar (EKK)\" wird der griechische Text von Röm 1-8 wissenschaftlich kommentiert. Detaillierte philologische und traditionsgeschichtliche Analysen machen den Text dieses bedeutendsten Paulusbriefes transparent und stellen ihn in sein kulturelles und historisches Umfeld hinein. Diese Untersuchungen verbinden sich mit einer theologischen Interpretation, die das Profil des paulinischen Denkens, wie es in diesem Brief niedergelegt ist, herausarbeitet.","ISBN":"978-3-7887-2885-4","note":"Google-Books-ID: KgsiDQAAQBAJ","title-short":"Der Brief an die Römer","language":"de","author":[{"family":"Wolter","given":"Michael"}],"issued":{"date-parts":[["2014",12,11]]}},"locator":"342","suffix":"fn 5"}],"schema":"https://github.com/citation-style-language/schema/raw/master/csl-citation.json"} </w:instrText>
      </w:r>
      <w:r w:rsidRPr="00C0416E">
        <w:rPr>
          <w:sz w:val="20"/>
          <w:szCs w:val="20"/>
        </w:rPr>
        <w:fldChar w:fldCharType="separate"/>
      </w:r>
      <w:r w:rsidRPr="00C0416E">
        <w:rPr>
          <w:rFonts w:eastAsia="Times New Roman" w:cs="Times New Roman"/>
          <w:sz w:val="20"/>
          <w:szCs w:val="20"/>
        </w:rPr>
        <w:t xml:space="preserve">Michael Wolter, </w:t>
      </w:r>
      <w:r w:rsidRPr="00C0416E">
        <w:rPr>
          <w:rFonts w:eastAsia="Times New Roman" w:cs="Times New Roman"/>
          <w:i/>
          <w:iCs/>
          <w:sz w:val="20"/>
          <w:szCs w:val="20"/>
        </w:rPr>
        <w:t>Der Brief an die Römer: (Teilband 1: Röm 1-8)</w:t>
      </w:r>
      <w:r w:rsidRPr="00C0416E">
        <w:rPr>
          <w:rFonts w:eastAsia="Times New Roman" w:cs="Times New Roman"/>
          <w:sz w:val="20"/>
          <w:szCs w:val="20"/>
        </w:rPr>
        <w:t xml:space="preserve"> (Vandenhoeck &amp; Ruprecht, 2014), p. 342 fn 5.</w:t>
      </w:r>
      <w:r w:rsidRPr="00C0416E">
        <w:rPr>
          <w:sz w:val="20"/>
          <w:szCs w:val="20"/>
        </w:rPr>
        <w:fldChar w:fldCharType="end"/>
      </w:r>
      <w:r w:rsidRPr="00C0416E">
        <w:rPr>
          <w:sz w:val="20"/>
          <w:szCs w:val="20"/>
        </w:rPr>
        <w:t xml:space="preserve"> </w:t>
      </w:r>
    </w:p>
  </w:footnote>
  <w:footnote w:id="12">
    <w:p w14:paraId="1C38349C" w14:textId="7C1B7A9D" w:rsidR="00312237" w:rsidRPr="00C0416E" w:rsidRDefault="00312237">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{"citationID":"fFhRi5GS","properties":{"formattedCitation":"Hays and Herring, pp. 34\\uc0\\u8211{}36.","plainCitation":"Hays and Herring, pp. 34–36.","noteIndex":13},"citationItems":[{"id":707,"uris":["http://zotero.org/users/1120467/items/K4SVSQM2"],"uri":["http://zotero.org/users/1120467/items/K4SVSQM2"],"itemData":{"id":707,"type":"chapter","title":"Adam and the fall","container-title":"Evangelical Faith and the Challenge of Historical Criticism","publisher":"Baker Academic","page":"24-54","source":"Google Books","abstract":"Many introductions to biblical studies describe critical approaches, but they do not discuss the theological implications. This timely resource discusses the relationship between historical criticism and Christian theology to encourage evangelical engagement with historical-critical scholarship. Charting a middle course between wholesale rejection and unreflective embrace, the book introduces evangelicals to a way of understanding and using historical-critical scholarship that doesn't compromise Christian orthodoxy. The book covers eight of the most hotly contested areas of debate in biblical studies, helping readers work out how to square historical criticism with their beliefs.","ISBN":"978-1-4412-4575-5","note":"Google-Books-ID: 4QGLAQAAQBAJ","language":"en","author":[{"family":"Hays","given":"Christopher M."},{"family":"Herring","given":"Stephen Lane"}],"issued":{"date-parts":[["2013",11,19]]}},"locator":"34-36"}],"schema":"https://github.com/citation-style-language/schema/raw/master/csl-citation.json"} </w:instrText>
      </w:r>
      <w:r w:rsidRPr="00C0416E">
        <w:rPr>
          <w:sz w:val="20"/>
          <w:szCs w:val="20"/>
        </w:rPr>
        <w:fldChar w:fldCharType="separate"/>
      </w:r>
      <w:r w:rsidRPr="00C0416E">
        <w:rPr>
          <w:rFonts w:eastAsia="Times New Roman" w:cs="Times New Roman"/>
          <w:sz w:val="20"/>
          <w:szCs w:val="20"/>
        </w:rPr>
        <w:t>Hays and Herring, pp. 34–36.</w:t>
      </w:r>
      <w:r w:rsidRPr="00C0416E">
        <w:rPr>
          <w:sz w:val="20"/>
          <w:szCs w:val="20"/>
        </w:rPr>
        <w:fldChar w:fldCharType="end"/>
      </w:r>
      <w:r w:rsidR="0050577E" w:rsidRPr="00C0416E">
        <w:rPr>
          <w:sz w:val="20"/>
          <w:szCs w:val="20"/>
        </w:rPr>
        <w:t xml:space="preserve"> Cf. also </w:t>
      </w:r>
      <w:r w:rsidR="0050577E" w:rsidRPr="00C0416E">
        <w:rPr>
          <w:sz w:val="20"/>
          <w:szCs w:val="20"/>
        </w:rPr>
        <w:fldChar w:fldCharType="begin"/>
      </w:r>
      <w:r w:rsidR="008E68FC">
        <w:rPr>
          <w:sz w:val="20"/>
          <w:szCs w:val="20"/>
        </w:rPr>
        <w:instrText xml:space="preserve"> ADDIN ZOTERO_ITEM CSL_CITATION {"citationID":"j2JBfxAF","properties":{"formattedCitation":"Wilckens, pp. 310\\uc0\\u8211{}11.","plainCitation":"Wilckens, pp. 310–11.","noteIndex":13},"citationItems":[{"id":717,"uris":["http://zotero.org/users/1120467/items/QYYP8BHN"],"uri":["http://zotero.org/users/1120467/items/QYYP8BHN"],"itemData":{"id":717,"type":"book","title":"Der Brief an die Römer: Teilbd. Röm 1-5","publisher":"Neukirchener Verlag","number-of-pages":"356","source":"Google Books","ISBN":"978-3-545-23103-0","note":"Google-Books-ID: k7BNrgEACAAJ","title-short":"Der Brief an die Römer","language":"de","author":[{"family":"Wilckens","given":"Ulrich"}],"issued":{"date-parts":[["1978"]]}},"locator":"310-11"}],"schema":"https://github.com/citation-style-language/schema/raw/master/csl-citation.json"} </w:instrText>
      </w:r>
      <w:r w:rsidR="0050577E" w:rsidRPr="00C0416E">
        <w:rPr>
          <w:sz w:val="20"/>
          <w:szCs w:val="20"/>
        </w:rPr>
        <w:fldChar w:fldCharType="separate"/>
      </w:r>
      <w:r w:rsidR="0050577E" w:rsidRPr="00C0416E">
        <w:rPr>
          <w:rFonts w:eastAsia="Times New Roman" w:cs="Times New Roman"/>
          <w:sz w:val="20"/>
          <w:szCs w:val="20"/>
        </w:rPr>
        <w:t>Wilckens, pp. 310–11.</w:t>
      </w:r>
      <w:r w:rsidR="0050577E" w:rsidRPr="00C0416E">
        <w:rPr>
          <w:sz w:val="20"/>
          <w:szCs w:val="20"/>
        </w:rPr>
        <w:fldChar w:fldCharType="end"/>
      </w:r>
      <w:r w:rsidR="0050577E" w:rsidRPr="00C0416E">
        <w:rPr>
          <w:sz w:val="20"/>
          <w:szCs w:val="20"/>
        </w:rPr>
        <w:t xml:space="preserve"> </w:t>
      </w:r>
    </w:p>
  </w:footnote>
  <w:footnote w:id="13">
    <w:p w14:paraId="31E63EB5" w14:textId="03609F80" w:rsidR="0050577E" w:rsidRPr="00C0416E" w:rsidRDefault="0050577E">
      <w:pPr>
        <w:pStyle w:val="FootnoteText"/>
        <w:rPr>
          <w:sz w:val="20"/>
          <w:szCs w:val="20"/>
        </w:rPr>
      </w:pPr>
      <w:r w:rsidRPr="00C0416E">
        <w:rPr>
          <w:rStyle w:val="FootnoteReference"/>
          <w:sz w:val="20"/>
          <w:szCs w:val="20"/>
        </w:rPr>
        <w:footnoteRef/>
      </w:r>
      <w:r w:rsidRPr="00C0416E">
        <w:rPr>
          <w:sz w:val="20"/>
          <w:szCs w:val="20"/>
        </w:rPr>
        <w:t xml:space="preserve"> Compare here also </w:t>
      </w:r>
      <w:r w:rsidRPr="00C0416E">
        <w:rPr>
          <w:sz w:val="20"/>
          <w:szCs w:val="20"/>
        </w:rPr>
        <w:fldChar w:fldCharType="begin"/>
      </w:r>
      <w:r w:rsidR="008E68FC">
        <w:rPr>
          <w:sz w:val="20"/>
          <w:szCs w:val="20"/>
        </w:rPr>
        <w:instrText xml:space="preserve"> ADDIN ZOTERO_ITEM CSL_CITATION {"citationID":"88s0GlDU","properties":{"formattedCitation":"Wolter, p. 344.","plainCitation":"Wolter, p. 344.","noteIndex":14},"citationItems":[{"id":719,"uris":["http://zotero.org/users/1120467/items/ZZ33NHEN"],"uri":["http://zotero.org/users/1120467/items/ZZ33NHEN"],"itemData":{"id":719,"type":"book","title":"Der Brief an die Römer: (Teilband 1: Röm 1-8)","publisher":"Vandenhoeck &amp; Ruprecht","number-of-pages":"577","source":"Google Books","abstract":"In dieser Neukommentierung des Römerbriefs innerhalb der renommierten Reihe \"Evangelisch-Katholischer Kommentar (EKK)\" wird der griechische Text von Röm 1-8 wissenschaftlich kommentiert. Detaillierte philologische und traditionsgeschichtliche Analysen machen den Text dieses bedeutendsten Paulusbriefes transparent und stellen ihn in sein kulturelles und historisches Umfeld hinein. Diese Untersuchungen verbinden sich mit einer theologischen Interpretation, die das Profil des paulinischen Denkens, wie es in diesem Brief niedergelegt ist, herausarbeitet.","ISBN":"978-3-7887-2885-4","note":"Google-Books-ID: KgsiDQAAQBAJ","title-short":"Der Brief an die Römer","language":"de","author":[{"family":"Wolter","given":"Michael"}],"issued":{"date-parts":[["2014",12,11]]}},"locator":"344"}],"schema":"https://github.com/citation-style-language/schema/raw/master/csl-citation.json"} </w:instrText>
      </w:r>
      <w:r w:rsidRPr="00C0416E">
        <w:rPr>
          <w:sz w:val="20"/>
          <w:szCs w:val="20"/>
        </w:rPr>
        <w:fldChar w:fldCharType="separate"/>
      </w:r>
      <w:r w:rsidRPr="00C0416E">
        <w:rPr>
          <w:noProof/>
          <w:sz w:val="20"/>
          <w:szCs w:val="20"/>
        </w:rPr>
        <w:t>Wolter, p. 344.</w:t>
      </w:r>
      <w:r w:rsidRPr="00C0416E">
        <w:rPr>
          <w:sz w:val="20"/>
          <w:szCs w:val="20"/>
        </w:rPr>
        <w:fldChar w:fldCharType="end"/>
      </w:r>
    </w:p>
  </w:footnote>
  <w:footnote w:id="14">
    <w:p w14:paraId="7EC96689" w14:textId="6E5DCD62" w:rsidR="002615D3" w:rsidRPr="00C0416E" w:rsidRDefault="002615D3">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{"citationID":"f32evsGr","properties":{"formattedCitation":"Wilckens, pp. 312\\uc0\\u8211{}13.","plainCitation":"Wilckens, pp. 312–13.","noteIndex":15},"citationItems":[{"id":717,"uris":["http://zotero.org/users/1120467/items/QYYP8BHN"],"uri":["http://zotero.org/users/1120467/items/QYYP8BHN"],"itemData":{"id":717,"type":"book","title":"Der Brief an die Römer: Teilbd. Röm 1-5","publisher":"Neukirchener Verlag","number-of-pages":"356","source":"Google Books","ISBN":"978-3-545-23103-0","note":"Google-Books-ID: k7BNrgEACAAJ","title-short":"Der Brief an die Römer","language":"de","author":[{"family":"Wilckens","given":"Ulrich"}],"issued":{"date-parts":[["1978"]]}},"locator":"312-313"}],"schema":"https://github.com/citation-style-language/schema/raw/master/csl-citation.json"} </w:instrText>
      </w:r>
      <w:r w:rsidRPr="00C0416E">
        <w:rPr>
          <w:sz w:val="20"/>
          <w:szCs w:val="20"/>
        </w:rPr>
        <w:fldChar w:fldCharType="separate"/>
      </w:r>
      <w:r w:rsidRPr="00C0416E">
        <w:rPr>
          <w:rFonts w:eastAsia="Times New Roman" w:cs="Times New Roman"/>
          <w:sz w:val="20"/>
          <w:szCs w:val="20"/>
        </w:rPr>
        <w:t>Wilckens, pp. 312–13.</w:t>
      </w:r>
      <w:r w:rsidRPr="00C0416E">
        <w:rPr>
          <w:sz w:val="20"/>
          <w:szCs w:val="20"/>
        </w:rPr>
        <w:fldChar w:fldCharType="end"/>
      </w:r>
    </w:p>
  </w:footnote>
  <w:footnote w:id="15">
    <w:p w14:paraId="3894A19E" w14:textId="17F13244" w:rsidR="006C40E4" w:rsidRPr="00C0416E" w:rsidRDefault="006C40E4">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{"citationID":"mC87G0wc","properties":{"formattedCitation":"Hays and Herring, pp. 38\\uc0\\u8211{}39.","plainCitation":"Hays and Herring, pp. 38–39.","noteIndex":16},"citationItems":[{"id":707,"uris":["http://zotero.org/users/1120467/items/K4SVSQM2"],"uri":["http://zotero.org/users/1120467/items/K4SVSQM2"],"itemData":{"id":707,"type":"chapter","title":"Adam and the fall","container-title":"Evangelical Faith and the Challenge of Historical Criticism","publisher":"Baker Academic","page":"24-54","source":"Google Books","abstract":"Many introductions to biblical studies describe critical approaches, but they do not discuss the theological implications. This timely resource discusses the relationship between historical criticism and Christian theology to encourage evangelical engagement with historical-critical scholarship. Charting a middle course between wholesale rejection and unreflective embrace, the book introduces evangelicals to a way of understanding and using historical-critical scholarship that doesn't compromise Christian orthodoxy. The book covers eight of the most hotly contested areas of debate in biblical studies, helping readers work out how to square historical criticism with their beliefs.","ISBN":"978-1-4412-4575-5","note":"Google-Books-ID: 4QGLAQAAQBAJ","language":"en","author":[{"family":"Hays","given":"Christopher M."},{"family":"Herring","given":"Stephen Lane"}],"issued":{"date-parts":[["2013",11,19]]}},"locator":"38-9"}],"schema":"https://github.com/citation-style-language/schema/raw/master/csl-citation.json"} </w:instrText>
      </w:r>
      <w:r w:rsidRPr="00C0416E">
        <w:rPr>
          <w:sz w:val="20"/>
          <w:szCs w:val="20"/>
        </w:rPr>
        <w:fldChar w:fldCharType="separate"/>
      </w:r>
      <w:r w:rsidRPr="00C0416E">
        <w:rPr>
          <w:rFonts w:eastAsia="Times New Roman" w:cs="Times New Roman"/>
          <w:sz w:val="20"/>
          <w:szCs w:val="20"/>
        </w:rPr>
        <w:t>Hays and Herring, pp. 38–39.</w:t>
      </w:r>
      <w:r w:rsidRPr="00C0416E">
        <w:rPr>
          <w:sz w:val="20"/>
          <w:szCs w:val="20"/>
        </w:rPr>
        <w:fldChar w:fldCharType="end"/>
      </w:r>
    </w:p>
  </w:footnote>
  <w:footnote w:id="16">
    <w:p w14:paraId="0F411120" w14:textId="00DBC46A" w:rsidR="00104255" w:rsidRPr="00C0416E" w:rsidRDefault="00104255">
      <w:pPr>
        <w:pStyle w:val="FootnoteText"/>
        <w:rPr>
          <w:sz w:val="20"/>
          <w:szCs w:val="20"/>
        </w:rPr>
      </w:pPr>
      <w:r w:rsidRPr="00C0416E">
        <w:rPr>
          <w:rStyle w:val="FootnoteReference"/>
          <w:sz w:val="20"/>
          <w:szCs w:val="20"/>
        </w:rPr>
        <w:footnoteRef/>
      </w:r>
      <w:r w:rsidRPr="00C0416E">
        <w:rPr>
          <w:sz w:val="20"/>
          <w:szCs w:val="20"/>
        </w:rPr>
        <w:t xml:space="preserve"> I took the basic distinction between synchronic and diachronic readings of Scripture from: </w:t>
      </w:r>
      <w:r w:rsidRPr="00C0416E">
        <w:rPr>
          <w:sz w:val="20"/>
          <w:szCs w:val="20"/>
        </w:rPr>
        <w:fldChar w:fldCharType="begin"/>
      </w:r>
      <w:r w:rsidR="0087561D" w:rsidRPr="00C0416E">
        <w:rPr>
          <w:sz w:val="20"/>
          <w:szCs w:val="20"/>
        </w:rPr>
        <w:instrText xml:space="preserve"> ADDIN ZOTERO_ITEM CSL_CITATION {"citationID":"jnIgkUUd","properties":{"formattedCitation":"Rowan Williams, \\uc0\\u8216{}The Discipline of Scripture\\uc0\\u8217{}, in {\\i{}On Christian Theology} (Oxford: Blackwell Publishers, 2000), pp. 44\\uc0\\u8211{}59.","plainCitation":"Rowan Williams, ‘The Discipline of Scripture’, in On Christian Theology (Oxford: Blackwell Publishers, 2000), pp. 44–59.","noteIndex":8},"citationItems":[{"id":704,"uris":["http://zotero.org/users/1120467/items/SG5S4K74"],"uri":["http://zotero.org/users/1120467/items/SG5S4K74"],"itemData":{"id":704,"type":"chapter","title":"The Discipline of Scripture","container-title":"On Christian Theology","publisher":"Blackwell Publishers","publisher-place":"Oxford","page":"44-59","event-place":"Oxford","author":[{"family":"Williams","given":"Rowan"}],"issued":{"date-parts":[["2000"]]}}}],"schema":"https://github.com/citation-style-language/schema/raw/master/csl-citation.json"} </w:instrText>
      </w:r>
      <w:r w:rsidRPr="00C0416E">
        <w:rPr>
          <w:sz w:val="20"/>
          <w:szCs w:val="20"/>
        </w:rPr>
        <w:fldChar w:fldCharType="separate"/>
      </w:r>
      <w:r w:rsidR="0087561D" w:rsidRPr="00C0416E">
        <w:rPr>
          <w:rFonts w:eastAsia="Times New Roman" w:cs="Times New Roman"/>
          <w:sz w:val="20"/>
          <w:szCs w:val="20"/>
        </w:rPr>
        <w:t xml:space="preserve">Rowan Williams, ‘The Discipline of Scripture’, in </w:t>
      </w:r>
      <w:r w:rsidR="0087561D" w:rsidRPr="00C0416E">
        <w:rPr>
          <w:rFonts w:eastAsia="Times New Roman" w:cs="Times New Roman"/>
          <w:i/>
          <w:iCs/>
          <w:sz w:val="20"/>
          <w:szCs w:val="20"/>
        </w:rPr>
        <w:t>On Christian Theology</w:t>
      </w:r>
      <w:r w:rsidR="0087561D" w:rsidRPr="00C0416E">
        <w:rPr>
          <w:rFonts w:eastAsia="Times New Roman" w:cs="Times New Roman"/>
          <w:sz w:val="20"/>
          <w:szCs w:val="20"/>
        </w:rPr>
        <w:t xml:space="preserve"> (Oxford: Blackwell Publishers, 2000), pp. 44–59.</w:t>
      </w:r>
      <w:r w:rsidRPr="00C0416E">
        <w:rPr>
          <w:sz w:val="20"/>
          <w:szCs w:val="20"/>
        </w:rPr>
        <w:fldChar w:fldCharType="end"/>
      </w:r>
      <w:r w:rsidRPr="00C0416E">
        <w:rPr>
          <w:sz w:val="20"/>
          <w:szCs w:val="20"/>
        </w:rPr>
        <w:t xml:space="preserve"> However, I unpack the distinction to make a slightly different point here.</w:t>
      </w:r>
    </w:p>
  </w:footnote>
  <w:footnote w:id="17">
    <w:p w14:paraId="46F3BB5F" w14:textId="1C7CB81A" w:rsidR="00A94DAC" w:rsidRPr="00C0416E" w:rsidRDefault="00A94DAC">
      <w:pPr>
        <w:pStyle w:val="FootnoteText"/>
        <w:rPr>
          <w:sz w:val="20"/>
          <w:szCs w:val="20"/>
        </w:rPr>
      </w:pPr>
      <w:r w:rsidRPr="00C0416E">
        <w:rPr>
          <w:rStyle w:val="FootnoteReference"/>
          <w:sz w:val="20"/>
          <w:szCs w:val="20"/>
        </w:rPr>
        <w:footnoteRef/>
      </w:r>
      <w:r w:rsidRPr="00C0416E">
        <w:rPr>
          <w:sz w:val="20"/>
          <w:szCs w:val="20"/>
        </w:rPr>
        <w:t xml:space="preserve"> </w:t>
      </w:r>
      <w:r w:rsidRPr="00C0416E">
        <w:rPr>
          <w:sz w:val="20"/>
          <w:szCs w:val="20"/>
        </w:rPr>
        <w:fldChar w:fldCharType="begin"/>
      </w:r>
      <w:r w:rsidR="008E68FC">
        <w:rPr>
          <w:sz w:val="20"/>
          <w:szCs w:val="20"/>
        </w:rPr>
        <w:instrText xml:space="preserve"> ADDIN ZOTERO_ITEM CSL_CITATION {"citationID":"uqhregl7","properties":{"formattedCitation":"Enns, p. 65.","plainCitation":"Enns, p. 65.","noteIndex":18},"citationItems":[{"id":710,"uris":["http://zotero.org/users/1120467/items/GNTDVMSE"],"uri":["http://zotero.org/users/1120467/items/GNTDVMSE"],"itemData":{"id":710,"type":"book","title":"The Evolution of Adam: What the Bible Does and Doesn't Say about Human Origins","publisher":"Baker Books","number-of-pages":"193","source":"Google Books","abstract":"Can Christianity and evolution coexist? Traditional Christian teaching presents Jesus as reversing the effects of the Fall of Adam. However, an evolutionary view of beginnings doesn't allow for a historical Adam, making evolution seemingly incompatible with what Genesis and the apostle Paul say about him. For Christians who accept evolution and want to take the Bible seriously, this presents a faith-shaking tension.Peter Enns, an expert in biblical interpretation, offers a way forward by explaining how this tension is caused not by the discoveries of science but by false expectations about the biblical texts. Focusing on key biblical passages in the discussion, Enns demonstrates that the author of Genesis and the apostle Paul wrote to ask and answer ancient questions for ancient people; the fact that they both speak of Adam does not determine whether Christians can accept evolution. This thought-provoking book helps readers reconcile the teachings of the Bible with the widely held evolutionary view of beginnings and will appeal to anyone interested in the Christianity-evolution debate.","ISBN":"978-1-58743-315-3","title-short":"The Evolution of Adam","language":"en","author":[{"family":"Enns","given":"Peter"}],"issued":{"date-parts":[["2012"]]}},"locator":"65"}],"schema":"https://github.com/citation-style-language/schema/raw/master/csl-citation.json"} </w:instrText>
      </w:r>
      <w:r w:rsidRPr="00C0416E">
        <w:rPr>
          <w:sz w:val="20"/>
          <w:szCs w:val="20"/>
        </w:rPr>
        <w:fldChar w:fldCharType="separate"/>
      </w:r>
      <w:r w:rsidR="000D27DE" w:rsidRPr="00C0416E">
        <w:rPr>
          <w:rFonts w:eastAsia="Times New Roman" w:cs="Times New Roman"/>
          <w:sz w:val="20"/>
          <w:szCs w:val="20"/>
        </w:rPr>
        <w:t>Enns, p. 65.</w:t>
      </w:r>
      <w:r w:rsidRPr="00C0416E">
        <w:rPr>
          <w:sz w:val="20"/>
          <w:szCs w:val="20"/>
        </w:rPr>
        <w:fldChar w:fldCharType="end"/>
      </w:r>
      <w:r w:rsidRPr="00C0416E">
        <w:rPr>
          <w:sz w:val="20"/>
          <w:szCs w:val="20"/>
        </w:rPr>
        <w:t xml:space="preserve"> Enns cites </w:t>
      </w:r>
      <w:r w:rsidRPr="00C0416E">
        <w:rPr>
          <w:i/>
          <w:sz w:val="20"/>
          <w:szCs w:val="20"/>
        </w:rPr>
        <w:t>Jubilees</w:t>
      </w:r>
      <w:r w:rsidRPr="00C0416E">
        <w:rPr>
          <w:sz w:val="20"/>
          <w:szCs w:val="20"/>
        </w:rPr>
        <w:t xml:space="preserve"> 3:27-32 and </w:t>
      </w:r>
      <w:r w:rsidRPr="00C0416E">
        <w:rPr>
          <w:i/>
          <w:sz w:val="20"/>
          <w:szCs w:val="20"/>
        </w:rPr>
        <w:t>Ecclesiasticus</w:t>
      </w:r>
      <w:r w:rsidRPr="00C0416E">
        <w:rPr>
          <w:sz w:val="20"/>
          <w:szCs w:val="20"/>
        </w:rPr>
        <w:t xml:space="preserve"> 49:16 as examples. </w:t>
      </w:r>
    </w:p>
  </w:footnote>
  <w:footnote w:id="18">
    <w:p w14:paraId="276411D0" w14:textId="77777777" w:rsidR="00C8167F" w:rsidRPr="00C0416E" w:rsidRDefault="00C8167F" w:rsidP="00C8167F">
      <w:pPr>
        <w:pStyle w:val="FootnoteText"/>
        <w:rPr>
          <w:sz w:val="20"/>
          <w:szCs w:val="20"/>
          <w:lang w:val="de-AT"/>
        </w:rPr>
      </w:pPr>
      <w:r w:rsidRPr="00C0416E">
        <w:rPr>
          <w:rStyle w:val="FootnoteReference"/>
          <w:sz w:val="20"/>
          <w:szCs w:val="20"/>
        </w:rPr>
        <w:footnoteRef/>
      </w:r>
      <w:r w:rsidRPr="00C0416E">
        <w:rPr>
          <w:sz w:val="20"/>
          <w:szCs w:val="20"/>
          <w:lang w:val="de-AT"/>
        </w:rPr>
        <w:t xml:space="preserve"> "Wenn der Gesalt des Adam im NT,  vor allem bei Paulus, eine so ausgeprägt heilsgeschichtliche Bedeutung gegeben wird, so liegt das nicht in der Linie des Gebrauchs des Wortes im AT" </w:t>
      </w:r>
      <w:r w:rsidRPr="00C0416E">
        <w:rPr>
          <w:sz w:val="20"/>
          <w:szCs w:val="20"/>
          <w:lang w:val="de-AT"/>
        </w:rPr>
        <w:fldChar w:fldCharType="begin"/>
      </w:r>
      <w:r w:rsidRPr="00C0416E">
        <w:rPr>
          <w:sz w:val="20"/>
          <w:szCs w:val="20"/>
          <w:lang w:val="de-AT"/>
        </w:rPr>
        <w:instrText xml:space="preserve"> ADDIN ZOTERO_ITEM CSL_CITATION {"citationID":"h0hWyyja","properties":{"formattedCitation":"Claus Westermann, {\\i{}Genesis: 1. Teilband\\uc0\\u8239{}: Genesis 1-11} (Neukirchen-Vluyn: Neukirchener Verlag, 1974), p. 276.","plainCitation":"Claus Westermann, Genesis: 1. Teilband</w:instrText>
      </w:r>
      <w:r w:rsidRPr="00C0416E">
        <w:rPr>
          <w:rFonts w:ascii="Calibri" w:eastAsia="Calibri" w:hAnsi="Calibri" w:cs="Calibri"/>
          <w:sz w:val="20"/>
          <w:szCs w:val="20"/>
          <w:lang w:val="de-AT"/>
        </w:rPr>
        <w:instrText> </w:instrText>
      </w:r>
      <w:r w:rsidRPr="00C0416E">
        <w:rPr>
          <w:sz w:val="20"/>
          <w:szCs w:val="20"/>
          <w:lang w:val="de-AT"/>
        </w:rPr>
        <w:instrText xml:space="preserve">: Genesis 1-11 (Neukirchen-Vluyn: Neukirchener Verlag, 1974), p. 276.","noteIndex":10},"citationItems":[{"id":703,"uris":["http://zotero.org/users/1120467/items/R5ZATUPN"],"uri":["http://zotero.org/users/1120467/items/R5ZATUPN"],"itemData":{"id":703,"type":"book","title":"Genesis: 1. Teilband : Genesis 1-11","publisher":"Neukirchener Verlag","publisher-place":"Neukirchen-Vluyn","source":"usearch.univie.ac.at","event-place":"Neukirchen-Vluyn","abstract":"Enthält Literaturangaben","ISBN":"978-3-7887-0028-7","call-number":"BIB-752/I/1, AT V-722/1,1, Ve 20.25/1,1","title-short":"Genesis","language":"ger","author":[{"family":"Westermann","given":"Claus"}],"issued":{"date-parts":[["1974"]]}},"locator":"276"}],"schema":"https://github.com/citation-style-language/schema/raw/master/csl-citation.json"} </w:instrText>
      </w:r>
      <w:r w:rsidRPr="00C0416E">
        <w:rPr>
          <w:sz w:val="20"/>
          <w:szCs w:val="20"/>
          <w:lang w:val="de-AT"/>
        </w:rPr>
        <w:fldChar w:fldCharType="separate"/>
      </w:r>
      <w:r w:rsidRPr="00C0416E">
        <w:rPr>
          <w:rFonts w:eastAsia="Times New Roman" w:cs="Times New Roman"/>
          <w:sz w:val="20"/>
          <w:szCs w:val="20"/>
          <w:lang w:val="de-AT"/>
        </w:rPr>
        <w:t xml:space="preserve">Claus Westermann, </w:t>
      </w:r>
      <w:r w:rsidRPr="00C0416E">
        <w:rPr>
          <w:rFonts w:eastAsia="Times New Roman" w:cs="Times New Roman"/>
          <w:i/>
          <w:iCs/>
          <w:sz w:val="20"/>
          <w:szCs w:val="20"/>
          <w:lang w:val="de-AT"/>
        </w:rPr>
        <w:t>Genesis: 1. Teilband</w:t>
      </w:r>
      <w:r w:rsidRPr="00C0416E">
        <w:rPr>
          <w:rFonts w:ascii="Calibri" w:eastAsia="Calibri" w:hAnsi="Calibri" w:cs="Calibri"/>
          <w:i/>
          <w:iCs/>
          <w:sz w:val="20"/>
          <w:szCs w:val="20"/>
          <w:lang w:val="de-AT"/>
        </w:rPr>
        <w:t> </w:t>
      </w:r>
      <w:r w:rsidRPr="00C0416E">
        <w:rPr>
          <w:rFonts w:eastAsia="Times New Roman" w:cs="Times New Roman"/>
          <w:i/>
          <w:iCs/>
          <w:sz w:val="20"/>
          <w:szCs w:val="20"/>
          <w:lang w:val="de-AT"/>
        </w:rPr>
        <w:t>: Genesis 1-11</w:t>
      </w:r>
      <w:r w:rsidRPr="00C0416E">
        <w:rPr>
          <w:rFonts w:eastAsia="Times New Roman" w:cs="Times New Roman"/>
          <w:sz w:val="20"/>
          <w:szCs w:val="20"/>
          <w:lang w:val="de-AT"/>
        </w:rPr>
        <w:t xml:space="preserve"> (Neukirchen-Vluyn: Neukirchener Verlag, 1974), p. 276.</w:t>
      </w:r>
      <w:r w:rsidRPr="00C0416E">
        <w:rPr>
          <w:sz w:val="20"/>
          <w:szCs w:val="20"/>
          <w:lang w:val="de-AT"/>
        </w:rPr>
        <w:fldChar w:fldCharType="end"/>
      </w:r>
    </w:p>
  </w:footnote>
  <w:footnote w:id="19">
    <w:p w14:paraId="27CF458F" w14:textId="462BD69A" w:rsidR="008E68FC" w:rsidRPr="0004485D" w:rsidRDefault="008E68FC">
      <w:pPr>
        <w:pStyle w:val="FootnoteText"/>
        <w:rPr>
          <w:sz w:val="20"/>
          <w:lang w:val="de-AT"/>
        </w:rPr>
      </w:pPr>
      <w:r w:rsidRPr="008E68FC">
        <w:rPr>
          <w:rStyle w:val="FootnoteReference"/>
          <w:sz w:val="20"/>
        </w:rPr>
        <w:footnoteRef/>
      </w:r>
      <w:r w:rsidRPr="0004485D">
        <w:rPr>
          <w:sz w:val="20"/>
          <w:lang w:val="de-AT"/>
        </w:rPr>
        <w:t xml:space="preserve"> </w:t>
      </w:r>
      <w:r w:rsidRPr="008E68FC">
        <w:rPr>
          <w:sz w:val="20"/>
        </w:rPr>
        <w:fldChar w:fldCharType="begin"/>
      </w:r>
      <w:r w:rsidR="001B4E3B" w:rsidRPr="0004485D">
        <w:rPr>
          <w:sz w:val="20"/>
          <w:lang w:val="de-AT"/>
        </w:rPr>
        <w:instrText xml:space="preserve"> ADDIN ZOTERO_ITEM CSL_CITATION {"citationID":"OzyyOLZl","properties":{"formattedCitation":"Paul Ric\\uc0\\u339{}ur, {\\i{}The Symbolism of Evil} (Beacon Press, 1967), p. 352.","plainCitation":"Paul Ricœur, The Symbolism of Evil (Beacon Press, 1967), p. 352.","noteIndex":20},"citationItems":[{"id":723,"uris":["http://zotero.org/users/1120467/items/A64DG6XI"],"uri":["http://zotero.org/users/1120467/items/A64DG6XI"],"itemData":{"id":723,"type":"book","title":"The Symbolism of Evil","publisher":"Beacon Press","number-of-pages":"370","source":"Google Books","abstract":"\"According to Ricoeur, the most primal and spontaneous symbols of evil are defilement, sin and guilt ... Ricoeur moves from the elementary symbols of evil into the rich world of myths ... and he ends by suggesting that the clue to the relation between philosophy to mythology is to be found in the aphorism 'The symbol gives rise to the thought' ... Ricoeur's method and argument are too intricate and rich to assess in so short a review. Suffice it to say that this is the most massive accomplisment of any philosopher within the ambience of Christian faith since the appearance of Gabriel Marcel\" - Sam Keen, The Christian Century","ISBN":"978-0-8070-1567-4","note":"Google-Books-ID: 4LeEAxkcEAMC","language":"en","author":[{"family":"Ricœur","given":"Paul"}],"issued":{"date-parts":[["1967"]]}},"locator":"352"}],"schema":"https://github.com/citation-style-language/schema/raw/master/csl-citation.json"} </w:instrText>
      </w:r>
      <w:r w:rsidRPr="008E68FC">
        <w:rPr>
          <w:sz w:val="20"/>
        </w:rPr>
        <w:fldChar w:fldCharType="separate"/>
      </w:r>
      <w:r w:rsidR="001B4E3B" w:rsidRPr="0004485D">
        <w:rPr>
          <w:rFonts w:eastAsia="Times New Roman" w:cs="Times New Roman"/>
          <w:sz w:val="20"/>
          <w:lang w:val="de-AT"/>
        </w:rPr>
        <w:t xml:space="preserve">Paul Ricœur, </w:t>
      </w:r>
      <w:r w:rsidR="001B4E3B" w:rsidRPr="0004485D">
        <w:rPr>
          <w:rFonts w:eastAsia="Times New Roman" w:cs="Times New Roman"/>
          <w:i/>
          <w:iCs/>
          <w:sz w:val="20"/>
          <w:lang w:val="de-AT"/>
        </w:rPr>
        <w:t>The Symbolism of Evil</w:t>
      </w:r>
      <w:r w:rsidR="001B4E3B" w:rsidRPr="0004485D">
        <w:rPr>
          <w:rFonts w:eastAsia="Times New Roman" w:cs="Times New Roman"/>
          <w:sz w:val="20"/>
          <w:lang w:val="de-AT"/>
        </w:rPr>
        <w:t xml:space="preserve"> (Beacon Press, 1967), p. 352.</w:t>
      </w:r>
      <w:r w:rsidRPr="008E68FC">
        <w:rPr>
          <w:sz w:val="20"/>
        </w:rPr>
        <w:fldChar w:fldCharType="end"/>
      </w:r>
      <w:r w:rsidR="001B4E3B" w:rsidRPr="0004485D">
        <w:rPr>
          <w:sz w:val="20"/>
          <w:lang w:val="de-AT"/>
        </w:rPr>
        <w:t xml:space="preserve"> </w:t>
      </w:r>
    </w:p>
  </w:footnote>
  <w:footnote w:id="20">
    <w:p w14:paraId="182BF3F7" w14:textId="71510CC7" w:rsidR="00972BA1" w:rsidRPr="00972BA1" w:rsidRDefault="00972BA1">
      <w:pPr>
        <w:pStyle w:val="FootnoteText"/>
        <w:rPr>
          <w:lang w:val="de-AT"/>
        </w:rPr>
      </w:pPr>
      <w:r>
        <w:rPr>
          <w:rStyle w:val="FootnoteReference"/>
        </w:rPr>
        <w:footnoteRef/>
      </w:r>
      <w:r w:rsidRPr="00972BA1">
        <w:rPr>
          <w:lang w:val="de-AT"/>
        </w:rPr>
        <w:t xml:space="preserve"> </w:t>
      </w:r>
      <w:r w:rsidRPr="00972BA1">
        <w:rPr>
          <w:sz w:val="20"/>
          <w:szCs w:val="20"/>
        </w:rPr>
        <w:fldChar w:fldCharType="begin"/>
      </w:r>
      <w:r w:rsidRPr="00972BA1">
        <w:rPr>
          <w:sz w:val="20"/>
          <w:szCs w:val="20"/>
          <w:lang w:val="de-AT"/>
        </w:rPr>
        <w:instrText xml:space="preserve"> ADDIN ZOTERO_ITEM CSL_CITATION {"citationID":"olXGZhxe","properties":{"formattedCitation":"Rudolf Karl Bultmann, \\uc0\\u8216{}Das Problem Der Hermeneutik\\uc0\\u8217{}, {\\i{}Zeitschrift F\\uc0\\u252{}r Theologie Und Kirche}, 47.1 (1950), 47\\uc0\\u8211{}69 (p. 51).","plainCitation":"Rudolf Karl Bultmann, ‘Das Problem Der Hermeneutik’, Zeitschrift Für Theologie Und Kirche, 47.1 (1950), 47–69 (p. 51).","noteIndex":21},"citationItems":[{"id":729,"uris":["http://zotero.org/users/1120467/items/87XMPTZ7"],"uri":["http://zotero.org/users/1120467/items/87XMPTZ7"],"itemData":{"id":729,"type":"article-journal","title":"Das Problem der Hermeneutik","container-title":"Zeitschrift für Theologie und Kirche","page":"47-69","volume":"47","issue":"1","source":"EBSCOhost","ISSN":"0044-3549","journalAbbreviation":"Zeitschrift für Theologie und Kirche","author":[{"family":"Bultmann","given":"Rudolf Karl"}],"issued":{"date-parts":[["1950"]]}},"locator":"51"}],"schema":"https://github.com/citation-style-language/schema/raw/master/csl-citation.json"} </w:instrText>
      </w:r>
      <w:r w:rsidRPr="00972BA1">
        <w:rPr>
          <w:sz w:val="20"/>
          <w:szCs w:val="20"/>
        </w:rPr>
        <w:fldChar w:fldCharType="separate"/>
      </w:r>
      <w:r w:rsidRPr="00972BA1">
        <w:rPr>
          <w:rFonts w:eastAsia="Times New Roman" w:cs="Times New Roman"/>
          <w:sz w:val="20"/>
          <w:szCs w:val="20"/>
          <w:lang w:val="de-AT"/>
        </w:rPr>
        <w:t xml:space="preserve">Rudolf Karl Bultmann, ‘Das Problem Der Hermeneutik’, </w:t>
      </w:r>
      <w:r w:rsidRPr="00972BA1">
        <w:rPr>
          <w:rFonts w:eastAsia="Times New Roman" w:cs="Times New Roman"/>
          <w:i/>
          <w:iCs/>
          <w:sz w:val="20"/>
          <w:szCs w:val="20"/>
          <w:lang w:val="de-AT"/>
        </w:rPr>
        <w:t>Zeitschrift Für Theologie Und Kirche</w:t>
      </w:r>
      <w:r w:rsidRPr="00972BA1">
        <w:rPr>
          <w:rFonts w:eastAsia="Times New Roman" w:cs="Times New Roman"/>
          <w:sz w:val="20"/>
          <w:szCs w:val="20"/>
          <w:lang w:val="de-AT"/>
        </w:rPr>
        <w:t>, 47.1 (1950), 47–69 (p. 51).</w:t>
      </w:r>
      <w:r w:rsidRPr="00972BA1">
        <w:rPr>
          <w:sz w:val="20"/>
          <w:szCs w:val="20"/>
        </w:rPr>
        <w:fldChar w:fldCharType="end"/>
      </w:r>
    </w:p>
  </w:footnote>
  <w:footnote w:id="21">
    <w:p w14:paraId="1EF669D4" w14:textId="7D07C848" w:rsidR="00EF6EBE" w:rsidRDefault="00EF6EBE">
      <w:pPr>
        <w:pStyle w:val="FootnoteText"/>
      </w:pPr>
      <w:r>
        <w:rPr>
          <w:rStyle w:val="FootnoteReference"/>
        </w:rPr>
        <w:footnoteRef/>
      </w:r>
      <w:r>
        <w:t xml:space="preserve"> </w:t>
      </w:r>
      <w:r w:rsidRPr="00EF6EBE">
        <w:rPr>
          <w:sz w:val="20"/>
          <w:szCs w:val="20"/>
        </w:rPr>
        <w:fldChar w:fldCharType="begin"/>
      </w:r>
      <w:r w:rsidRPr="00EF6EBE">
        <w:rPr>
          <w:sz w:val="20"/>
          <w:szCs w:val="20"/>
        </w:rPr>
        <w:instrText xml:space="preserve"> ADDIN ZOTERO_ITEM CSL_CITATION {"citationID":"eUZKgYOe","properties":{"formattedCitation":"Bultmann, p. 51.","plainCitation":"Bultmann, p. 51.","noteIndex":22},"citationItems":[{"id":729,"uris":["http://zotero.org/users/1120467/items/87XMPTZ7"],"uri":["http://zotero.org/users/1120467/items/87XMPTZ7"],"itemData":{"id":729,"type":"article-journal","title":"Das Problem der Hermeneutik","container-title":"Zeitschrift für Theologie und Kirche","page":"47-69","volume":"47","issue":"1","source":"EBSCOhost","ISSN":"0044-3549","journalAbbreviation":"Zeitschrift für Theologie und Kirche","author":[{"family":"Bultmann","given":"Rudolf Karl"}],"issued":{"date-parts":[["1950"]]}},"locator":"51"}],"schema":"https://github.com/citation-style-language/schema/raw/master/csl-citation.json"} </w:instrText>
      </w:r>
      <w:r w:rsidRPr="00EF6EBE">
        <w:rPr>
          <w:sz w:val="20"/>
          <w:szCs w:val="20"/>
        </w:rPr>
        <w:fldChar w:fldCharType="separate"/>
      </w:r>
      <w:r w:rsidRPr="00EF6EBE">
        <w:rPr>
          <w:noProof/>
          <w:sz w:val="20"/>
          <w:szCs w:val="20"/>
        </w:rPr>
        <w:t>Bultmann, p. 51.</w:t>
      </w:r>
      <w:r w:rsidRPr="00EF6EBE">
        <w:rPr>
          <w:sz w:val="20"/>
          <w:szCs w:val="20"/>
        </w:rP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36E"/>
    <w:rsid w:val="00015A01"/>
    <w:rsid w:val="000424B6"/>
    <w:rsid w:val="0004485D"/>
    <w:rsid w:val="000474BE"/>
    <w:rsid w:val="00061DFD"/>
    <w:rsid w:val="00090712"/>
    <w:rsid w:val="00092874"/>
    <w:rsid w:val="000C03D1"/>
    <w:rsid w:val="000D27DE"/>
    <w:rsid w:val="000D3F69"/>
    <w:rsid w:val="000E705E"/>
    <w:rsid w:val="001024F2"/>
    <w:rsid w:val="00104255"/>
    <w:rsid w:val="00107260"/>
    <w:rsid w:val="00110756"/>
    <w:rsid w:val="001219DA"/>
    <w:rsid w:val="001270A4"/>
    <w:rsid w:val="001302D8"/>
    <w:rsid w:val="00130BCB"/>
    <w:rsid w:val="00151496"/>
    <w:rsid w:val="00191F73"/>
    <w:rsid w:val="001A03A3"/>
    <w:rsid w:val="001A5223"/>
    <w:rsid w:val="001A5B1F"/>
    <w:rsid w:val="001B4E3B"/>
    <w:rsid w:val="001C447F"/>
    <w:rsid w:val="001C6125"/>
    <w:rsid w:val="001E072F"/>
    <w:rsid w:val="001E348D"/>
    <w:rsid w:val="001F6159"/>
    <w:rsid w:val="0022208E"/>
    <w:rsid w:val="00231837"/>
    <w:rsid w:val="002537C4"/>
    <w:rsid w:val="00256155"/>
    <w:rsid w:val="002615D3"/>
    <w:rsid w:val="00273A9C"/>
    <w:rsid w:val="00274D4A"/>
    <w:rsid w:val="00294204"/>
    <w:rsid w:val="002A5D9F"/>
    <w:rsid w:val="00312237"/>
    <w:rsid w:val="00341DEA"/>
    <w:rsid w:val="00370640"/>
    <w:rsid w:val="00380C8A"/>
    <w:rsid w:val="003B488F"/>
    <w:rsid w:val="003C586C"/>
    <w:rsid w:val="003C5E68"/>
    <w:rsid w:val="003E03C1"/>
    <w:rsid w:val="003E61C6"/>
    <w:rsid w:val="00404A71"/>
    <w:rsid w:val="00416055"/>
    <w:rsid w:val="00416B3E"/>
    <w:rsid w:val="00450EFB"/>
    <w:rsid w:val="00470F3F"/>
    <w:rsid w:val="004771D3"/>
    <w:rsid w:val="004A1325"/>
    <w:rsid w:val="004A5268"/>
    <w:rsid w:val="004B00B4"/>
    <w:rsid w:val="004B3058"/>
    <w:rsid w:val="004B46F6"/>
    <w:rsid w:val="004B767C"/>
    <w:rsid w:val="004C1DD9"/>
    <w:rsid w:val="004C39C1"/>
    <w:rsid w:val="004F4733"/>
    <w:rsid w:val="00502894"/>
    <w:rsid w:val="005041B0"/>
    <w:rsid w:val="0050577E"/>
    <w:rsid w:val="005105BC"/>
    <w:rsid w:val="00520938"/>
    <w:rsid w:val="00532C4D"/>
    <w:rsid w:val="00543CBA"/>
    <w:rsid w:val="00546D3B"/>
    <w:rsid w:val="00553E6A"/>
    <w:rsid w:val="00554651"/>
    <w:rsid w:val="00584E38"/>
    <w:rsid w:val="005B0D4D"/>
    <w:rsid w:val="005C1244"/>
    <w:rsid w:val="005D38CA"/>
    <w:rsid w:val="005D4C80"/>
    <w:rsid w:val="005E1EE2"/>
    <w:rsid w:val="005F174E"/>
    <w:rsid w:val="00610CA3"/>
    <w:rsid w:val="006200B7"/>
    <w:rsid w:val="00622E24"/>
    <w:rsid w:val="006451FB"/>
    <w:rsid w:val="00677254"/>
    <w:rsid w:val="006C40E4"/>
    <w:rsid w:val="006E7405"/>
    <w:rsid w:val="00712492"/>
    <w:rsid w:val="00720CFA"/>
    <w:rsid w:val="00725585"/>
    <w:rsid w:val="0077047C"/>
    <w:rsid w:val="0079388B"/>
    <w:rsid w:val="007A6CA1"/>
    <w:rsid w:val="007B4B2E"/>
    <w:rsid w:val="007C2792"/>
    <w:rsid w:val="0083096B"/>
    <w:rsid w:val="0084282C"/>
    <w:rsid w:val="00867B10"/>
    <w:rsid w:val="0087561D"/>
    <w:rsid w:val="008A06DB"/>
    <w:rsid w:val="008E68FC"/>
    <w:rsid w:val="008E6E06"/>
    <w:rsid w:val="00920EDA"/>
    <w:rsid w:val="009230F8"/>
    <w:rsid w:val="00943637"/>
    <w:rsid w:val="00945ED8"/>
    <w:rsid w:val="00972BA1"/>
    <w:rsid w:val="00986EA8"/>
    <w:rsid w:val="0099238F"/>
    <w:rsid w:val="00995741"/>
    <w:rsid w:val="009A3BDA"/>
    <w:rsid w:val="009C7B9C"/>
    <w:rsid w:val="009E46A4"/>
    <w:rsid w:val="009F7984"/>
    <w:rsid w:val="00A0298A"/>
    <w:rsid w:val="00A17990"/>
    <w:rsid w:val="00A526F2"/>
    <w:rsid w:val="00A94DAC"/>
    <w:rsid w:val="00AB6179"/>
    <w:rsid w:val="00AC5126"/>
    <w:rsid w:val="00AD3570"/>
    <w:rsid w:val="00AF4A1A"/>
    <w:rsid w:val="00B2230A"/>
    <w:rsid w:val="00B2636E"/>
    <w:rsid w:val="00B42C7B"/>
    <w:rsid w:val="00B67AD9"/>
    <w:rsid w:val="00B81AB3"/>
    <w:rsid w:val="00B8771F"/>
    <w:rsid w:val="00BB2BC5"/>
    <w:rsid w:val="00BC1EB8"/>
    <w:rsid w:val="00BF5674"/>
    <w:rsid w:val="00C0416E"/>
    <w:rsid w:val="00C1778E"/>
    <w:rsid w:val="00C33774"/>
    <w:rsid w:val="00C35DC4"/>
    <w:rsid w:val="00C54A33"/>
    <w:rsid w:val="00C651C7"/>
    <w:rsid w:val="00C8167F"/>
    <w:rsid w:val="00C85878"/>
    <w:rsid w:val="00C96AEF"/>
    <w:rsid w:val="00C976BD"/>
    <w:rsid w:val="00CC2604"/>
    <w:rsid w:val="00CD18CB"/>
    <w:rsid w:val="00D21642"/>
    <w:rsid w:val="00D30F8B"/>
    <w:rsid w:val="00D35F6A"/>
    <w:rsid w:val="00D57E62"/>
    <w:rsid w:val="00D752D7"/>
    <w:rsid w:val="00D76166"/>
    <w:rsid w:val="00D82339"/>
    <w:rsid w:val="00D85FCD"/>
    <w:rsid w:val="00DA5357"/>
    <w:rsid w:val="00DA6361"/>
    <w:rsid w:val="00DE25D2"/>
    <w:rsid w:val="00DF0702"/>
    <w:rsid w:val="00DF5CFC"/>
    <w:rsid w:val="00DF5FE2"/>
    <w:rsid w:val="00E07AD0"/>
    <w:rsid w:val="00E15FE4"/>
    <w:rsid w:val="00E412C9"/>
    <w:rsid w:val="00E75030"/>
    <w:rsid w:val="00E9416F"/>
    <w:rsid w:val="00E951EA"/>
    <w:rsid w:val="00E97174"/>
    <w:rsid w:val="00EF6EBE"/>
    <w:rsid w:val="00F02993"/>
    <w:rsid w:val="00F47C8A"/>
    <w:rsid w:val="00F63EF3"/>
    <w:rsid w:val="00F71747"/>
    <w:rsid w:val="00F934E2"/>
    <w:rsid w:val="00FB7AD7"/>
    <w:rsid w:val="00FD084E"/>
    <w:rsid w:val="00FD2105"/>
    <w:rsid w:val="00FE079D"/>
    <w:rsid w:val="00FF082E"/>
    <w:rsid w:val="00FF7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422CA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412C9"/>
    <w:rPr>
      <w:rFonts w:ascii="Adobe Garamond Pro" w:hAnsi="Adobe Garamond Pro"/>
    </w:rPr>
  </w:style>
  <w:style w:type="paragraph" w:styleId="Heading1">
    <w:name w:val="heading 1"/>
    <w:basedOn w:val="Normal"/>
    <w:next w:val="Normal"/>
    <w:link w:val="Heading1Char"/>
    <w:uiPriority w:val="9"/>
    <w:qFormat/>
    <w:rsid w:val="00B2636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636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36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636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81AB3"/>
    <w:pPr>
      <w:spacing w:before="100" w:beforeAutospacing="1" w:after="100" w:afterAutospacing="1"/>
    </w:pPr>
    <w:rPr>
      <w:rFonts w:ascii="Times New Roman" w:hAnsi="Times New Roman" w:cs="Times New Roman"/>
      <w:lang w:eastAsia="en-GB"/>
    </w:rPr>
  </w:style>
  <w:style w:type="paragraph" w:styleId="FootnoteText">
    <w:name w:val="footnote text"/>
    <w:basedOn w:val="Normal"/>
    <w:link w:val="FootnoteTextChar"/>
    <w:uiPriority w:val="99"/>
    <w:unhideWhenUsed/>
    <w:rsid w:val="000E705E"/>
  </w:style>
  <w:style w:type="character" w:customStyle="1" w:styleId="FootnoteTextChar">
    <w:name w:val="Footnote Text Char"/>
    <w:basedOn w:val="DefaultParagraphFont"/>
    <w:link w:val="FootnoteText"/>
    <w:uiPriority w:val="99"/>
    <w:rsid w:val="000E705E"/>
  </w:style>
  <w:style w:type="character" w:styleId="FootnoteReference">
    <w:name w:val="footnote reference"/>
    <w:basedOn w:val="DefaultParagraphFont"/>
    <w:uiPriority w:val="99"/>
    <w:unhideWhenUsed/>
    <w:rsid w:val="000E705E"/>
    <w:rPr>
      <w:vertAlign w:val="superscript"/>
    </w:rPr>
  </w:style>
  <w:style w:type="paragraph" w:styleId="Bibliography">
    <w:name w:val="Bibliography"/>
    <w:basedOn w:val="Normal"/>
    <w:next w:val="Normal"/>
    <w:uiPriority w:val="37"/>
    <w:unhideWhenUsed/>
    <w:rsid w:val="00A17990"/>
    <w:pPr>
      <w:spacing w:after="240"/>
      <w:ind w:left="720" w:hanging="720"/>
    </w:pPr>
  </w:style>
  <w:style w:type="paragraph" w:styleId="BalloonText">
    <w:name w:val="Balloon Text"/>
    <w:basedOn w:val="Normal"/>
    <w:link w:val="BalloonTextChar"/>
    <w:uiPriority w:val="99"/>
    <w:semiHidden/>
    <w:unhideWhenUsed/>
    <w:rsid w:val="001219D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219D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00686">
      <w:bodyDiv w:val="1"/>
      <w:marLeft w:val="0"/>
      <w:marRight w:val="0"/>
      <w:marTop w:val="0"/>
      <w:marBottom w:val="0"/>
      <w:divBdr>
        <w:top w:val="none" w:sz="0" w:space="0" w:color="auto"/>
        <w:left w:val="none" w:sz="0" w:space="0" w:color="auto"/>
        <w:bottom w:val="none" w:sz="0" w:space="0" w:color="auto"/>
        <w:right w:val="none" w:sz="0" w:space="0" w:color="auto"/>
      </w:divBdr>
    </w:div>
    <w:div w:id="292908111">
      <w:bodyDiv w:val="1"/>
      <w:marLeft w:val="0"/>
      <w:marRight w:val="0"/>
      <w:marTop w:val="0"/>
      <w:marBottom w:val="0"/>
      <w:divBdr>
        <w:top w:val="none" w:sz="0" w:space="0" w:color="auto"/>
        <w:left w:val="none" w:sz="0" w:space="0" w:color="auto"/>
        <w:bottom w:val="none" w:sz="0" w:space="0" w:color="auto"/>
        <w:right w:val="none" w:sz="0" w:space="0" w:color="auto"/>
      </w:divBdr>
    </w:div>
    <w:div w:id="396123770">
      <w:bodyDiv w:val="1"/>
      <w:marLeft w:val="0"/>
      <w:marRight w:val="0"/>
      <w:marTop w:val="0"/>
      <w:marBottom w:val="0"/>
      <w:divBdr>
        <w:top w:val="none" w:sz="0" w:space="0" w:color="auto"/>
        <w:left w:val="none" w:sz="0" w:space="0" w:color="auto"/>
        <w:bottom w:val="none" w:sz="0" w:space="0" w:color="auto"/>
        <w:right w:val="none" w:sz="0" w:space="0" w:color="auto"/>
      </w:divBdr>
    </w:div>
    <w:div w:id="618293797">
      <w:bodyDiv w:val="1"/>
      <w:marLeft w:val="0"/>
      <w:marRight w:val="0"/>
      <w:marTop w:val="0"/>
      <w:marBottom w:val="0"/>
      <w:divBdr>
        <w:top w:val="none" w:sz="0" w:space="0" w:color="auto"/>
        <w:left w:val="none" w:sz="0" w:space="0" w:color="auto"/>
        <w:bottom w:val="none" w:sz="0" w:space="0" w:color="auto"/>
        <w:right w:val="none" w:sz="0" w:space="0" w:color="auto"/>
      </w:divBdr>
    </w:div>
    <w:div w:id="1031227639">
      <w:bodyDiv w:val="1"/>
      <w:marLeft w:val="0"/>
      <w:marRight w:val="0"/>
      <w:marTop w:val="0"/>
      <w:marBottom w:val="0"/>
      <w:divBdr>
        <w:top w:val="none" w:sz="0" w:space="0" w:color="auto"/>
        <w:left w:val="none" w:sz="0" w:space="0" w:color="auto"/>
        <w:bottom w:val="none" w:sz="0" w:space="0" w:color="auto"/>
        <w:right w:val="none" w:sz="0" w:space="0" w:color="auto"/>
      </w:divBdr>
    </w:div>
    <w:div w:id="1464494753">
      <w:bodyDiv w:val="1"/>
      <w:marLeft w:val="0"/>
      <w:marRight w:val="0"/>
      <w:marTop w:val="0"/>
      <w:marBottom w:val="0"/>
      <w:divBdr>
        <w:top w:val="none" w:sz="0" w:space="0" w:color="auto"/>
        <w:left w:val="none" w:sz="0" w:space="0" w:color="auto"/>
        <w:bottom w:val="none" w:sz="0" w:space="0" w:color="auto"/>
        <w:right w:val="none" w:sz="0" w:space="0" w:color="auto"/>
      </w:divBdr>
    </w:div>
    <w:div w:id="1537812865">
      <w:bodyDiv w:val="1"/>
      <w:marLeft w:val="0"/>
      <w:marRight w:val="0"/>
      <w:marTop w:val="0"/>
      <w:marBottom w:val="0"/>
      <w:divBdr>
        <w:top w:val="none" w:sz="0" w:space="0" w:color="auto"/>
        <w:left w:val="none" w:sz="0" w:space="0" w:color="auto"/>
        <w:bottom w:val="none" w:sz="0" w:space="0" w:color="auto"/>
        <w:right w:val="none" w:sz="0" w:space="0" w:color="auto"/>
      </w:divBdr>
    </w:div>
    <w:div w:id="1837648347">
      <w:bodyDiv w:val="1"/>
      <w:marLeft w:val="0"/>
      <w:marRight w:val="0"/>
      <w:marTop w:val="0"/>
      <w:marBottom w:val="0"/>
      <w:divBdr>
        <w:top w:val="none" w:sz="0" w:space="0" w:color="auto"/>
        <w:left w:val="none" w:sz="0" w:space="0" w:color="auto"/>
        <w:bottom w:val="none" w:sz="0" w:space="0" w:color="auto"/>
        <w:right w:val="none" w:sz="0" w:space="0" w:color="auto"/>
      </w:divBdr>
    </w:div>
    <w:div w:id="1919754200">
      <w:bodyDiv w:val="1"/>
      <w:marLeft w:val="0"/>
      <w:marRight w:val="0"/>
      <w:marTop w:val="0"/>
      <w:marBottom w:val="0"/>
      <w:divBdr>
        <w:top w:val="none" w:sz="0" w:space="0" w:color="auto"/>
        <w:left w:val="none" w:sz="0" w:space="0" w:color="auto"/>
        <w:bottom w:val="none" w:sz="0" w:space="0" w:color="auto"/>
        <w:right w:val="none" w:sz="0" w:space="0" w:color="auto"/>
      </w:divBdr>
    </w:div>
    <w:div w:id="214319082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AAF967B-97BF-E140-AA75-6A7D20758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7</Pages>
  <Words>2037</Words>
  <Characters>11614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Bunce</dc:creator>
  <cp:keywords/>
  <dc:description/>
  <cp:lastModifiedBy>David Bunce</cp:lastModifiedBy>
  <cp:revision>98</cp:revision>
  <cp:lastPrinted>2020-01-09T10:23:00Z</cp:lastPrinted>
  <dcterms:created xsi:type="dcterms:W3CDTF">2019-12-11T11:56:00Z</dcterms:created>
  <dcterms:modified xsi:type="dcterms:W3CDTF">2020-01-14T13:58:00Z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zotero-version="5.0.73"&gt;&lt;session id="Enc2BLEx"/&gt;&lt;style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