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39F2E" w14:textId="640EE3D9" w:rsidR="00B425C1" w:rsidRDefault="00B425C1" w:rsidP="00B425C1">
      <w:pPr>
        <w:spacing w:line="360" w:lineRule="auto"/>
        <w:rPr>
          <w:rFonts w:ascii="Calibri" w:hAnsi="Calibri" w:cs="Calibri"/>
        </w:rPr>
      </w:pPr>
      <w:r>
        <w:rPr>
          <w:rFonts w:ascii="Calibri" w:hAnsi="Calibri" w:cs="Calibri"/>
        </w:rPr>
        <w:t xml:space="preserve">Part 1: </w:t>
      </w:r>
    </w:p>
    <w:p w14:paraId="5BE3FC65" w14:textId="63556BC0" w:rsidR="00143D11" w:rsidRPr="00143D11" w:rsidRDefault="00143D11" w:rsidP="00B425C1">
      <w:pPr>
        <w:spacing w:line="360" w:lineRule="auto"/>
        <w:rPr>
          <w:rFonts w:ascii="Calibri" w:hAnsi="Calibri" w:cs="Calibri"/>
        </w:rPr>
      </w:pPr>
      <w:r w:rsidRPr="00143D11">
        <w:rPr>
          <w:rFonts w:ascii="Calibri" w:hAnsi="Calibri" w:cs="Calibri"/>
        </w:rPr>
        <w:t>1. Introduction</w:t>
      </w:r>
    </w:p>
    <w:p w14:paraId="5456A48D" w14:textId="77777777" w:rsidR="00143D11" w:rsidRPr="00143D11" w:rsidRDefault="00143D11" w:rsidP="00B425C1">
      <w:pPr>
        <w:spacing w:line="360" w:lineRule="auto"/>
        <w:rPr>
          <w:rFonts w:ascii="Calibri" w:hAnsi="Calibri" w:cs="Calibri"/>
        </w:rPr>
      </w:pPr>
      <w:r w:rsidRPr="00143D11">
        <w:rPr>
          <w:rFonts w:ascii="Calibri" w:hAnsi="Calibri" w:cs="Calibri"/>
        </w:rPr>
        <w:t>This report provides an in-depth analysis of the financial performance and management effectiveness of Unilever PLC, a major multinational operating in the fast-moving consumer goods (FMCG) sector. The company is listed on the London Stock Exchange and is a constituent of the FTSE 100 Index, reflecting its significance in the global business landscape. The FMCG sector is characterised by intense competition, rapid shifts in consumer preferences, and exposure to macroeconomic fluctuations, which means that effective financial management is crucial for sustaining long-term growth.</w:t>
      </w:r>
    </w:p>
    <w:p w14:paraId="1AF3AAB6" w14:textId="77777777" w:rsidR="00143D11" w:rsidRPr="00143D11" w:rsidRDefault="00143D11" w:rsidP="00B425C1">
      <w:pPr>
        <w:spacing w:line="360" w:lineRule="auto"/>
        <w:rPr>
          <w:rFonts w:ascii="Calibri" w:hAnsi="Calibri" w:cs="Calibri"/>
        </w:rPr>
      </w:pPr>
      <w:r w:rsidRPr="00143D11">
        <w:rPr>
          <w:rFonts w:ascii="Calibri" w:hAnsi="Calibri" w:cs="Calibri"/>
        </w:rPr>
        <w:t xml:space="preserve">The assessment in this report is based on the company’s published financial statements for the 2023 and 2024 periods. The report focuses on evaluating Unilever’s profitability, liquidity, operational efficiency, capital structure, and shareholder </w:t>
      </w:r>
      <w:proofErr w:type="gramStart"/>
      <w:r w:rsidRPr="00143D11">
        <w:rPr>
          <w:rFonts w:ascii="Calibri" w:hAnsi="Calibri" w:cs="Calibri"/>
        </w:rPr>
        <w:t>returns</w:t>
      </w:r>
      <w:proofErr w:type="gramEnd"/>
      <w:r w:rsidRPr="00143D11">
        <w:rPr>
          <w:rFonts w:ascii="Calibri" w:hAnsi="Calibri" w:cs="Calibri"/>
        </w:rPr>
        <w:t>, using financial ratio analysis as the primary quantitative tool. By examining these ratios, the report identifies trends in performance, highlights areas of strength, and points out potential risks.</w:t>
      </w:r>
    </w:p>
    <w:p w14:paraId="10E8DAC4" w14:textId="77777777" w:rsidR="00143D11" w:rsidRPr="00143D11" w:rsidRDefault="00143D11" w:rsidP="00B425C1">
      <w:pPr>
        <w:spacing w:line="360" w:lineRule="auto"/>
        <w:rPr>
          <w:rFonts w:ascii="Calibri" w:hAnsi="Calibri" w:cs="Calibri"/>
        </w:rPr>
      </w:pPr>
      <w:r w:rsidRPr="00143D11">
        <w:rPr>
          <w:rFonts w:ascii="Calibri" w:hAnsi="Calibri" w:cs="Calibri"/>
        </w:rPr>
        <w:t>Financial ratio analysis is widely regarded as a standard method for interpreting accounting information and guiding managerial and investment decision-making (Brealey, Myers and Allen, 2020). Ratios facilitate comparisons across time periods, allowing management to assess whether financial performance is improving or deteriorating. They also help investors gauge whether their capital is being employed efficiently and whether the company’s returns align with their expectations. Despite their value, financial ratios have inherent limitations. They are backward-looking, based on historical data, and do not capture intangible factors such as brand strength, innovation capability, or environmental, social, and governance (ESG) performance (Arnold, 2013).</w:t>
      </w:r>
    </w:p>
    <w:p w14:paraId="501D5217" w14:textId="77777777" w:rsidR="00143D11" w:rsidRPr="00143D11" w:rsidRDefault="00143D11" w:rsidP="00B425C1">
      <w:pPr>
        <w:spacing w:line="360" w:lineRule="auto"/>
        <w:rPr>
          <w:rFonts w:ascii="Calibri" w:hAnsi="Calibri" w:cs="Calibri"/>
        </w:rPr>
      </w:pPr>
      <w:r w:rsidRPr="00143D11">
        <w:rPr>
          <w:rFonts w:ascii="Calibri" w:hAnsi="Calibri" w:cs="Calibri"/>
        </w:rPr>
        <w:t xml:space="preserve">Accordingly, this report combines quantitative analysis with qualitative insights drawn from corporate finance literature to provide a more holistic evaluation. The analysis not only reviews past performance but also considers operational, strategic, and industry-related factors that influence financial outcomes. By doing so, the report aims to equip the Board of Directors with actionable insights that can inform strategic decision-making, capital allocation, and long-term value creation. Additionally, the report examines the limitations of </w:t>
      </w:r>
      <w:r w:rsidRPr="00143D11">
        <w:rPr>
          <w:rFonts w:ascii="Calibri" w:hAnsi="Calibri" w:cs="Calibri"/>
        </w:rPr>
        <w:lastRenderedPageBreak/>
        <w:t>ratio analysis and offers recommendations to enhance financial management practices, strengthen operational efficiency, and improve shareholder value.</w:t>
      </w:r>
    </w:p>
    <w:p w14:paraId="0FE321BD" w14:textId="5552C4D1" w:rsidR="00143D11" w:rsidRPr="00143D11" w:rsidRDefault="00143D11" w:rsidP="00B425C1">
      <w:pPr>
        <w:spacing w:line="360" w:lineRule="auto"/>
        <w:rPr>
          <w:rFonts w:ascii="Calibri" w:hAnsi="Calibri" w:cs="Calibri"/>
        </w:rPr>
      </w:pPr>
    </w:p>
    <w:p w14:paraId="1791F9EC" w14:textId="77777777" w:rsidR="00143D11" w:rsidRPr="00143D11" w:rsidRDefault="00143D11" w:rsidP="00B425C1">
      <w:pPr>
        <w:spacing w:line="360" w:lineRule="auto"/>
        <w:rPr>
          <w:rFonts w:ascii="Calibri" w:hAnsi="Calibri" w:cs="Calibri"/>
        </w:rPr>
      </w:pPr>
      <w:r w:rsidRPr="00143D11">
        <w:rPr>
          <w:rFonts w:ascii="Calibri" w:hAnsi="Calibri" w:cs="Calibri"/>
        </w:rPr>
        <w:t>2. Company Overview</w:t>
      </w:r>
    </w:p>
    <w:p w14:paraId="562D974B" w14:textId="77777777" w:rsidR="00143D11" w:rsidRPr="00143D11" w:rsidRDefault="00143D11" w:rsidP="00B425C1">
      <w:pPr>
        <w:spacing w:line="360" w:lineRule="auto"/>
        <w:rPr>
          <w:rFonts w:ascii="Calibri" w:hAnsi="Calibri" w:cs="Calibri"/>
        </w:rPr>
      </w:pPr>
      <w:r w:rsidRPr="00143D11">
        <w:rPr>
          <w:rFonts w:ascii="Calibri" w:hAnsi="Calibri" w:cs="Calibri"/>
        </w:rPr>
        <w:t>Unilever PLC operates in over 190 countries and has a broad portfolio of well-known brands across four main business segments: Beauty &amp; Wellbeing, Personal Care, Home Care, and Food &amp; Refreshment. The company’s strategic focus is on building and maintaining strong brand equity, improving operational effectiveness, and creating sustainable value for shareholders over the long term (Grant, 2019). This diversified portfolio provides resilience against sector-specific risks, such as changes in consumer preferences, and allows the company to capitalise on global economies of scale.</w:t>
      </w:r>
    </w:p>
    <w:p w14:paraId="2E11F9CE" w14:textId="77777777" w:rsidR="00143D11" w:rsidRPr="00143D11" w:rsidRDefault="00143D11" w:rsidP="00B425C1">
      <w:pPr>
        <w:spacing w:line="360" w:lineRule="auto"/>
        <w:rPr>
          <w:rFonts w:ascii="Calibri" w:hAnsi="Calibri" w:cs="Calibri"/>
        </w:rPr>
      </w:pPr>
      <w:r w:rsidRPr="00143D11">
        <w:rPr>
          <w:rFonts w:ascii="Calibri" w:hAnsi="Calibri" w:cs="Calibri"/>
        </w:rPr>
        <w:t>However, the scale and diversity of Unilever’s operations expose the company to a wide range of risks. These include currency fluctuations, inflationary pressures, supply chain disruptions, and shifting consumer behaviours in key markets (Johnson, Scholes and Whittington, 2020). Additionally, Unilever must respond to external factors such as energy price volatility, regulatory changes, and sustainability requirements, which all have implications for financial performance.</w:t>
      </w:r>
    </w:p>
    <w:p w14:paraId="02A91A59" w14:textId="77777777" w:rsidR="00143D11" w:rsidRPr="00143D11" w:rsidRDefault="00143D11" w:rsidP="00B425C1">
      <w:pPr>
        <w:spacing w:line="360" w:lineRule="auto"/>
        <w:rPr>
          <w:rFonts w:ascii="Calibri" w:hAnsi="Calibri" w:cs="Calibri"/>
        </w:rPr>
      </w:pPr>
      <w:r w:rsidRPr="00143D11">
        <w:rPr>
          <w:rFonts w:ascii="Calibri" w:hAnsi="Calibri" w:cs="Calibri"/>
        </w:rPr>
        <w:t>During the 2023–2024 period, Unilever implemented several strategic measures to improve profitability and operational resilience. These included streamlining the product portfolio to focus on high-performing brands, introducing cost-reduction initiatives across the supply chain, and enhancing operational efficiency. These measures were designed to mitigate the impact of rising input costs, energy price inflation, and global economic uncertainty. The company’s ability to implement these strategies effectively plays a critical role in influencing its financial outcomes (Porter, 2008).</w:t>
      </w:r>
    </w:p>
    <w:p w14:paraId="2C6478E3" w14:textId="77777777" w:rsidR="00143D11" w:rsidRPr="00143D11" w:rsidRDefault="00143D11" w:rsidP="00B425C1">
      <w:pPr>
        <w:spacing w:line="360" w:lineRule="auto"/>
        <w:rPr>
          <w:rFonts w:ascii="Calibri" w:hAnsi="Calibri" w:cs="Calibri"/>
        </w:rPr>
      </w:pPr>
      <w:r w:rsidRPr="00143D11">
        <w:rPr>
          <w:rFonts w:ascii="Calibri" w:hAnsi="Calibri" w:cs="Calibri"/>
        </w:rPr>
        <w:t xml:space="preserve">Unilever’s global presence and diversified product range provide significant advantages in terms of market reach, brand recognition, and economies of scale. At the same time, these factors increase operational complexity, requiring effective financial management to balance growth initiatives, cost control, and risk management. The company’s strategic emphasis on operational excellence and brand development ensures that financial decisions are closely </w:t>
      </w:r>
      <w:r w:rsidRPr="00143D11">
        <w:rPr>
          <w:rFonts w:ascii="Calibri" w:hAnsi="Calibri" w:cs="Calibri"/>
        </w:rPr>
        <w:lastRenderedPageBreak/>
        <w:t>aligned with long-term corporate objectives, allowing it to navigate the challenges of the FMCG sector effectively.</w:t>
      </w:r>
    </w:p>
    <w:p w14:paraId="257E6AEB" w14:textId="278FDE60" w:rsidR="00143D11" w:rsidRPr="00143D11" w:rsidRDefault="00143D11" w:rsidP="00B425C1">
      <w:pPr>
        <w:spacing w:line="360" w:lineRule="auto"/>
        <w:rPr>
          <w:rFonts w:ascii="Calibri" w:hAnsi="Calibri" w:cs="Calibri"/>
        </w:rPr>
      </w:pPr>
    </w:p>
    <w:p w14:paraId="7DD88AAA" w14:textId="77777777" w:rsidR="00143D11" w:rsidRPr="00143D11" w:rsidRDefault="00143D11" w:rsidP="00B425C1">
      <w:pPr>
        <w:spacing w:line="360" w:lineRule="auto"/>
        <w:rPr>
          <w:rFonts w:ascii="Calibri" w:hAnsi="Calibri" w:cs="Calibri"/>
        </w:rPr>
      </w:pPr>
      <w:r w:rsidRPr="00143D11">
        <w:rPr>
          <w:rFonts w:ascii="Calibri" w:hAnsi="Calibri" w:cs="Calibri"/>
        </w:rPr>
        <w:t>3. Ratio Analysis and Results</w:t>
      </w:r>
    </w:p>
    <w:p w14:paraId="774C9F07" w14:textId="77777777" w:rsidR="00143D11" w:rsidRPr="00143D11" w:rsidRDefault="00143D11" w:rsidP="00B425C1">
      <w:pPr>
        <w:spacing w:line="360" w:lineRule="auto"/>
        <w:rPr>
          <w:rFonts w:ascii="Calibri" w:hAnsi="Calibri" w:cs="Calibri"/>
        </w:rPr>
      </w:pPr>
      <w:r w:rsidRPr="00143D11">
        <w:rPr>
          <w:rFonts w:ascii="Calibri" w:hAnsi="Calibri" w:cs="Calibri"/>
        </w:rPr>
        <w:t xml:space="preserve">Financial ratios provide a structured framework to evaluate various aspects of a company’s performance, including profitability, liquidity, efficiency, leverage, and investor </w:t>
      </w:r>
      <w:proofErr w:type="gramStart"/>
      <w:r w:rsidRPr="00143D11">
        <w:rPr>
          <w:rFonts w:ascii="Calibri" w:hAnsi="Calibri" w:cs="Calibri"/>
        </w:rPr>
        <w:t>returns</w:t>
      </w:r>
      <w:proofErr w:type="gramEnd"/>
      <w:r w:rsidRPr="00143D11">
        <w:rPr>
          <w:rFonts w:ascii="Calibri" w:hAnsi="Calibri" w:cs="Calibri"/>
        </w:rPr>
        <w:t>. The following section examines Unilever’s financial ratios for 2023 and 2024 in detail.</w:t>
      </w:r>
    </w:p>
    <w:p w14:paraId="517DD8BC" w14:textId="77777777" w:rsidR="00143D11" w:rsidRPr="00143D11" w:rsidRDefault="00143D11" w:rsidP="00B425C1">
      <w:pPr>
        <w:spacing w:line="360" w:lineRule="auto"/>
        <w:rPr>
          <w:rFonts w:ascii="Calibri" w:hAnsi="Calibri" w:cs="Calibri"/>
        </w:rPr>
      </w:pPr>
      <w:r w:rsidRPr="00143D11">
        <w:rPr>
          <w:rFonts w:ascii="Calibri" w:hAnsi="Calibri" w:cs="Calibri"/>
        </w:rPr>
        <w:t>3.1 Profitability Ratios</w:t>
      </w:r>
    </w:p>
    <w:p w14:paraId="63F0949D" w14:textId="77777777" w:rsidR="00143D11" w:rsidRPr="00143D11" w:rsidRDefault="00143D11" w:rsidP="00B425C1">
      <w:pPr>
        <w:spacing w:line="360" w:lineRule="auto"/>
        <w:rPr>
          <w:rFonts w:ascii="Calibri" w:hAnsi="Calibri" w:cs="Calibri"/>
        </w:rPr>
      </w:pPr>
      <w:r w:rsidRPr="00143D11">
        <w:rPr>
          <w:rFonts w:ascii="Calibri" w:hAnsi="Calibri" w:cs="Calibri"/>
        </w:rPr>
        <w:t>Profitability ratios measure the company’s ability to generate profits relative to sales, assets, and shareholders’ equity (Penman, 2013). During the period under review, Unilever experienced a decline in operating margin, reflecting that operating costs increased at a faster rate than revenues. The growth in operating expenses can be attributed to inflationary pressures, higher raw material and energy costs, and restructuring initiatives aimed at improving operational efficiency (Damodaran, 2012).</w:t>
      </w:r>
    </w:p>
    <w:p w14:paraId="1F822F97" w14:textId="77777777" w:rsidR="00143D11" w:rsidRPr="00143D11" w:rsidRDefault="00143D11" w:rsidP="00B425C1">
      <w:pPr>
        <w:spacing w:line="360" w:lineRule="auto"/>
        <w:rPr>
          <w:rFonts w:ascii="Calibri" w:hAnsi="Calibri" w:cs="Calibri"/>
        </w:rPr>
      </w:pPr>
      <w:r w:rsidRPr="00143D11">
        <w:rPr>
          <w:rFonts w:ascii="Calibri" w:hAnsi="Calibri" w:cs="Calibri"/>
        </w:rPr>
        <w:t>The decline in net profit margin indicates a reduction in overall earnings performance, despite an increase in revenue. This suggests that while the company has been able to maintain market share, cost pressures have eroded profitability. Managing operating costs and achieving greater efficiency is therefore critical for sustaining long-term profitability (Ross, Westerfield and Jordan, 2022).</w:t>
      </w:r>
    </w:p>
    <w:p w14:paraId="6068848D" w14:textId="77777777" w:rsidR="00143D11" w:rsidRPr="00143D11" w:rsidRDefault="00143D11" w:rsidP="00B425C1">
      <w:pPr>
        <w:spacing w:line="360" w:lineRule="auto"/>
        <w:rPr>
          <w:rFonts w:ascii="Calibri" w:hAnsi="Calibri" w:cs="Calibri"/>
        </w:rPr>
      </w:pPr>
      <w:r w:rsidRPr="00143D11">
        <w:rPr>
          <w:rFonts w:ascii="Calibri" w:hAnsi="Calibri" w:cs="Calibri"/>
        </w:rPr>
        <w:t>Return on equity (ROE) also declined, driven by a combination of lower net income and an expanded equity base. Although the ROE remains relatively strong compared with industry benchmarks, the downward trend may concern investors who expect consistent returns (Palepu, Healy and Peek, 2020). Return on assets (ROA) and gross profit margin provide additional insight into operational efficiency and asset utilisation. A declining ROA, for instance, may indicate that the company is not generating adequate profits from its existing assets, highlighting opportunities for improvement in resource allocation and operational management.</w:t>
      </w:r>
    </w:p>
    <w:p w14:paraId="24B2071E" w14:textId="77777777" w:rsidR="00143D11" w:rsidRPr="00143D11" w:rsidRDefault="00143D11" w:rsidP="00B425C1">
      <w:pPr>
        <w:spacing w:line="360" w:lineRule="auto"/>
        <w:rPr>
          <w:rFonts w:ascii="Calibri" w:hAnsi="Calibri" w:cs="Calibri"/>
        </w:rPr>
      </w:pPr>
      <w:r w:rsidRPr="00143D11">
        <w:rPr>
          <w:rFonts w:ascii="Calibri" w:hAnsi="Calibri" w:cs="Calibri"/>
        </w:rPr>
        <w:t xml:space="preserve">Profitability analysis also benefits from an understanding of broader sector trends. The FMCG industry has faced sustained inflationary pressures, supply chain disruptions, and </w:t>
      </w:r>
      <w:r w:rsidRPr="00143D11">
        <w:rPr>
          <w:rFonts w:ascii="Calibri" w:hAnsi="Calibri" w:cs="Calibri"/>
        </w:rPr>
        <w:lastRenderedPageBreak/>
        <w:t>heightened competition, all of which can impact margins. Unilever’s efforts to streamline operations and focus on higher-margin brands are consistent with strategic approaches to mitigating these pressures and maintaining financial performance in a challenging environment.</w:t>
      </w:r>
    </w:p>
    <w:p w14:paraId="5CC7C0F8" w14:textId="37C8A5DD" w:rsidR="00143D11" w:rsidRPr="00143D11" w:rsidRDefault="00143D11" w:rsidP="00B425C1">
      <w:pPr>
        <w:spacing w:line="360" w:lineRule="auto"/>
        <w:rPr>
          <w:rFonts w:ascii="Calibri" w:hAnsi="Calibri" w:cs="Calibri"/>
        </w:rPr>
      </w:pPr>
    </w:p>
    <w:p w14:paraId="7642D756" w14:textId="77777777" w:rsidR="00143D11" w:rsidRPr="00143D11" w:rsidRDefault="00143D11" w:rsidP="00B425C1">
      <w:pPr>
        <w:spacing w:line="360" w:lineRule="auto"/>
        <w:rPr>
          <w:rFonts w:ascii="Calibri" w:hAnsi="Calibri" w:cs="Calibri"/>
        </w:rPr>
      </w:pPr>
      <w:r w:rsidRPr="00143D11">
        <w:rPr>
          <w:rFonts w:ascii="Calibri" w:hAnsi="Calibri" w:cs="Calibri"/>
        </w:rPr>
        <w:t>3.2 Liquidity Ratios</w:t>
      </w:r>
    </w:p>
    <w:p w14:paraId="7D4BF7FF" w14:textId="77777777" w:rsidR="00143D11" w:rsidRPr="00143D11" w:rsidRDefault="00143D11" w:rsidP="00B425C1">
      <w:pPr>
        <w:spacing w:line="360" w:lineRule="auto"/>
        <w:rPr>
          <w:rFonts w:ascii="Calibri" w:hAnsi="Calibri" w:cs="Calibri"/>
        </w:rPr>
      </w:pPr>
      <w:r w:rsidRPr="00143D11">
        <w:rPr>
          <w:rFonts w:ascii="Calibri" w:hAnsi="Calibri" w:cs="Calibri"/>
        </w:rPr>
        <w:t>Liquidity ratios assess the company’s capacity to meet short-term obligations as they fall due (Brigham and Ehrhardt, 2017). Unilever’s liquidity ratios, including the current ratio and quick ratio, are relatively low, with some below the benchmark level of one. This suggests that the company relies heavily on efficient cash flow management rather than maintaining large cash reserves. While this approach is common in the FMCG sector, it increases vulnerability to unexpected disruptions in cash flow (</w:t>
      </w:r>
      <w:proofErr w:type="spellStart"/>
      <w:r w:rsidRPr="00143D11">
        <w:rPr>
          <w:rFonts w:ascii="Calibri" w:hAnsi="Calibri" w:cs="Calibri"/>
        </w:rPr>
        <w:t>Atrill</w:t>
      </w:r>
      <w:proofErr w:type="spellEnd"/>
      <w:r w:rsidRPr="00143D11">
        <w:rPr>
          <w:rFonts w:ascii="Calibri" w:hAnsi="Calibri" w:cs="Calibri"/>
        </w:rPr>
        <w:t xml:space="preserve"> and McLaney, 2019).</w:t>
      </w:r>
    </w:p>
    <w:p w14:paraId="6675F848" w14:textId="77777777" w:rsidR="00143D11" w:rsidRPr="00143D11" w:rsidRDefault="00143D11" w:rsidP="00B425C1">
      <w:pPr>
        <w:spacing w:line="360" w:lineRule="auto"/>
        <w:rPr>
          <w:rFonts w:ascii="Calibri" w:hAnsi="Calibri" w:cs="Calibri"/>
        </w:rPr>
      </w:pPr>
      <w:r w:rsidRPr="00143D11">
        <w:rPr>
          <w:rFonts w:ascii="Calibri" w:hAnsi="Calibri" w:cs="Calibri"/>
        </w:rPr>
        <w:t>Effective liquidity management is critical for ensuring that the company can meet operational and financial obligations without interruption. Strategies such as optimising the cash conversion cycle, accelerating receivables collection, managing inventory efficiently, and negotiating favourable payment terms with suppliers can enhance liquidity while minimising the opportunity cost of holding idle cash. Maintaining appropriate liquidity levels also allows Unilever to seize growth opportunities, make strategic investments, and respond flexibly to changes in market conditions.</w:t>
      </w:r>
    </w:p>
    <w:p w14:paraId="56C2CBBB" w14:textId="0F54803F" w:rsidR="00143D11" w:rsidRPr="00143D11" w:rsidRDefault="00143D11" w:rsidP="00B425C1">
      <w:pPr>
        <w:spacing w:line="360" w:lineRule="auto"/>
        <w:rPr>
          <w:rFonts w:ascii="Calibri" w:hAnsi="Calibri" w:cs="Calibri"/>
        </w:rPr>
      </w:pPr>
    </w:p>
    <w:p w14:paraId="0A0E9C27" w14:textId="77777777" w:rsidR="00143D11" w:rsidRPr="00143D11" w:rsidRDefault="00143D11" w:rsidP="00B425C1">
      <w:pPr>
        <w:spacing w:line="360" w:lineRule="auto"/>
        <w:rPr>
          <w:rFonts w:ascii="Calibri" w:hAnsi="Calibri" w:cs="Calibri"/>
        </w:rPr>
      </w:pPr>
      <w:r w:rsidRPr="00143D11">
        <w:rPr>
          <w:rFonts w:ascii="Calibri" w:hAnsi="Calibri" w:cs="Calibri"/>
        </w:rPr>
        <w:t>3.3 Gearing Ratios</w:t>
      </w:r>
    </w:p>
    <w:p w14:paraId="6D894820" w14:textId="77777777" w:rsidR="00143D11" w:rsidRPr="00143D11" w:rsidRDefault="00143D11" w:rsidP="00B425C1">
      <w:pPr>
        <w:spacing w:line="360" w:lineRule="auto"/>
        <w:rPr>
          <w:rFonts w:ascii="Calibri" w:hAnsi="Calibri" w:cs="Calibri"/>
        </w:rPr>
      </w:pPr>
      <w:r w:rsidRPr="00143D11">
        <w:rPr>
          <w:rFonts w:ascii="Calibri" w:hAnsi="Calibri" w:cs="Calibri"/>
        </w:rPr>
        <w:t>Gearing ratios measure the proportion of a company’s financing that is derived from debt relative to equity (Frank and Goyal, 2009). During 2023–2024, Unilever maintained relatively high leverage levels, although a modest reduction in the debt-to-equity ratio indicates a cautious approach to capital structure management. However, the interest coverage ratio weakened, reflecting rising financing costs and increased strain on the company’s ability to service debt (Myers, 2001).</w:t>
      </w:r>
    </w:p>
    <w:p w14:paraId="46A0EA29" w14:textId="77777777" w:rsidR="00143D11" w:rsidRPr="00143D11" w:rsidRDefault="00143D11" w:rsidP="00B425C1">
      <w:pPr>
        <w:spacing w:line="360" w:lineRule="auto"/>
        <w:rPr>
          <w:rFonts w:ascii="Calibri" w:hAnsi="Calibri" w:cs="Calibri"/>
        </w:rPr>
      </w:pPr>
      <w:r w:rsidRPr="00143D11">
        <w:rPr>
          <w:rFonts w:ascii="Calibri" w:hAnsi="Calibri" w:cs="Calibri"/>
        </w:rPr>
        <w:t xml:space="preserve">The balance between debt and equity is critical for financial strategy. Leverage can provide tax advantages and support growth initiatives, but excessive debt increases financial risk and </w:t>
      </w:r>
      <w:r w:rsidRPr="00143D11">
        <w:rPr>
          <w:rFonts w:ascii="Calibri" w:hAnsi="Calibri" w:cs="Calibri"/>
        </w:rPr>
        <w:lastRenderedPageBreak/>
        <w:t>reduces flexibility. Unilever’s management of its capital structure aligns with the trade-off theory, which balances the benefits of debt against potential financial distress (Modigliani and Miller, 1963; Graham, 2000). Monitoring leverage closely is essential, particularly in the context of rising global interest rates and market volatility.</w:t>
      </w:r>
    </w:p>
    <w:p w14:paraId="26440E86" w14:textId="00E29400" w:rsidR="00143D11" w:rsidRPr="00143D11" w:rsidRDefault="00143D11" w:rsidP="00B425C1">
      <w:pPr>
        <w:spacing w:line="360" w:lineRule="auto"/>
        <w:rPr>
          <w:rFonts w:ascii="Calibri" w:hAnsi="Calibri" w:cs="Calibri"/>
        </w:rPr>
      </w:pPr>
    </w:p>
    <w:p w14:paraId="1BEDE62D" w14:textId="77777777" w:rsidR="00143D11" w:rsidRPr="00143D11" w:rsidRDefault="00143D11" w:rsidP="00B425C1">
      <w:pPr>
        <w:spacing w:line="360" w:lineRule="auto"/>
        <w:rPr>
          <w:rFonts w:ascii="Calibri" w:hAnsi="Calibri" w:cs="Calibri"/>
        </w:rPr>
      </w:pPr>
      <w:r w:rsidRPr="00143D11">
        <w:rPr>
          <w:rFonts w:ascii="Calibri" w:hAnsi="Calibri" w:cs="Calibri"/>
        </w:rPr>
        <w:t>3.4 Efficiency Ratios</w:t>
      </w:r>
    </w:p>
    <w:p w14:paraId="10A4085E" w14:textId="77777777" w:rsidR="00143D11" w:rsidRPr="00143D11" w:rsidRDefault="00143D11" w:rsidP="00B425C1">
      <w:pPr>
        <w:spacing w:line="360" w:lineRule="auto"/>
        <w:rPr>
          <w:rFonts w:ascii="Calibri" w:hAnsi="Calibri" w:cs="Calibri"/>
        </w:rPr>
      </w:pPr>
      <w:r w:rsidRPr="00143D11">
        <w:rPr>
          <w:rFonts w:ascii="Calibri" w:hAnsi="Calibri" w:cs="Calibri"/>
        </w:rPr>
        <w:t>Efficiency ratios evaluate how effectively a company utilises its assets and manages working capital (Higgins, 2018). During the period under review, Unilever’s asset turnover declined, and receivables collection periods lengthened, suggesting reduced operational efficiency (Wild, Subramanyam and Halsey, 2019).</w:t>
      </w:r>
    </w:p>
    <w:p w14:paraId="133F5815" w14:textId="176E6342" w:rsidR="00143D11" w:rsidRPr="00143D11" w:rsidRDefault="00143D11" w:rsidP="00B425C1">
      <w:pPr>
        <w:spacing w:line="360" w:lineRule="auto"/>
        <w:rPr>
          <w:rFonts w:ascii="Calibri" w:hAnsi="Calibri" w:cs="Calibri"/>
        </w:rPr>
      </w:pPr>
      <w:r w:rsidRPr="00143D11">
        <w:rPr>
          <w:rFonts w:ascii="Calibri" w:hAnsi="Calibri" w:cs="Calibri"/>
        </w:rPr>
        <w:t>Inventory turnover and other operational metrics highlight opportunities for improvement in supply chain and production processes. Enhancing efficiency in these areas can support profitability by reducing working capital requirements, improving cash flow, and enabling the company to respond more flexibly to changes in market demand. Improved efficiency also strengthens shareholder confidence by demonstrating prudent management of company resources.</w:t>
      </w:r>
    </w:p>
    <w:p w14:paraId="0022C9EA" w14:textId="77777777" w:rsidR="00143D11" w:rsidRPr="00143D11" w:rsidRDefault="00143D11" w:rsidP="00B425C1">
      <w:pPr>
        <w:spacing w:line="360" w:lineRule="auto"/>
        <w:rPr>
          <w:rFonts w:ascii="Calibri" w:hAnsi="Calibri" w:cs="Calibri"/>
        </w:rPr>
      </w:pPr>
      <w:r w:rsidRPr="00143D11">
        <w:rPr>
          <w:rFonts w:ascii="Calibri" w:hAnsi="Calibri" w:cs="Calibri"/>
        </w:rPr>
        <w:t>3.5 Investor Ratios</w:t>
      </w:r>
    </w:p>
    <w:p w14:paraId="51A8D6E5" w14:textId="77777777" w:rsidR="00143D11" w:rsidRPr="00143D11" w:rsidRDefault="00143D11" w:rsidP="00B425C1">
      <w:pPr>
        <w:spacing w:line="360" w:lineRule="auto"/>
        <w:rPr>
          <w:rFonts w:ascii="Calibri" w:hAnsi="Calibri" w:cs="Calibri"/>
        </w:rPr>
      </w:pPr>
      <w:r w:rsidRPr="00143D11">
        <w:rPr>
          <w:rFonts w:ascii="Calibri" w:hAnsi="Calibri" w:cs="Calibri"/>
        </w:rPr>
        <w:t>Investor-focused ratios assess the company’s performance from the perspective of shareholders (Bodie, Kane and Marcus, 2021). Although earnings per share declined, Unilever maintained dividend payouts, leading to an increase in dividend yield. This approach reflects a commitment to dividend stability, reinforcing investor confidence despite weaker profitability (Lintner, 1956).</w:t>
      </w:r>
    </w:p>
    <w:p w14:paraId="5548F492" w14:textId="77777777" w:rsidR="00143D11" w:rsidRPr="00143D11" w:rsidRDefault="00143D11" w:rsidP="00B425C1">
      <w:pPr>
        <w:spacing w:line="360" w:lineRule="auto"/>
        <w:rPr>
          <w:rFonts w:ascii="Calibri" w:hAnsi="Calibri" w:cs="Calibri"/>
        </w:rPr>
      </w:pPr>
      <w:r w:rsidRPr="00143D11">
        <w:rPr>
          <w:rFonts w:ascii="Calibri" w:hAnsi="Calibri" w:cs="Calibri"/>
        </w:rPr>
        <w:t>Balancing dividend payments with the need for reinvestment in strategic growth opportunities is crucial. Maintaining stable dividends supports shareholder trust and long-term market valuation, while reinvesting in high-performing brands ensures sustainable value creation.</w:t>
      </w:r>
    </w:p>
    <w:p w14:paraId="6ADB640C" w14:textId="513F4A9D" w:rsidR="00143D11" w:rsidRPr="00143D11" w:rsidRDefault="00143D11" w:rsidP="00B425C1">
      <w:pPr>
        <w:spacing w:line="360" w:lineRule="auto"/>
        <w:rPr>
          <w:rFonts w:ascii="Calibri" w:hAnsi="Calibri" w:cs="Calibri"/>
        </w:rPr>
      </w:pPr>
    </w:p>
    <w:p w14:paraId="7D9A067C" w14:textId="77777777" w:rsidR="00143D11" w:rsidRPr="00143D11" w:rsidRDefault="00143D11" w:rsidP="00B425C1">
      <w:pPr>
        <w:spacing w:line="360" w:lineRule="auto"/>
        <w:rPr>
          <w:rFonts w:ascii="Calibri" w:hAnsi="Calibri" w:cs="Calibri"/>
        </w:rPr>
      </w:pPr>
      <w:r w:rsidRPr="00143D11">
        <w:rPr>
          <w:rFonts w:ascii="Calibri" w:hAnsi="Calibri" w:cs="Calibri"/>
        </w:rPr>
        <w:t>4. Critical Evaluation of Financial Performance</w:t>
      </w:r>
    </w:p>
    <w:p w14:paraId="18F7B311" w14:textId="77777777" w:rsidR="00143D11" w:rsidRPr="00143D11" w:rsidRDefault="00143D11" w:rsidP="00B425C1">
      <w:pPr>
        <w:spacing w:line="360" w:lineRule="auto"/>
        <w:rPr>
          <w:rFonts w:ascii="Calibri" w:hAnsi="Calibri" w:cs="Calibri"/>
        </w:rPr>
      </w:pPr>
      <w:r w:rsidRPr="00143D11">
        <w:rPr>
          <w:rFonts w:ascii="Calibri" w:hAnsi="Calibri" w:cs="Calibri"/>
        </w:rPr>
        <w:lastRenderedPageBreak/>
        <w:t>The financial performance analysis indicates that Unilever continues to demonstrate resilience, despite the challenges of rising costs, competitive pressures, and macroeconomic uncertainty. Profitability declined due to higher operating expenses and margin compression, reflecting broader industry trends in the FMCG sector (Kotler and Keller, 2016).</w:t>
      </w:r>
    </w:p>
    <w:p w14:paraId="719D5BEE" w14:textId="77777777" w:rsidR="00143D11" w:rsidRPr="00143D11" w:rsidRDefault="00143D11" w:rsidP="00B425C1">
      <w:pPr>
        <w:spacing w:line="360" w:lineRule="auto"/>
        <w:rPr>
          <w:rFonts w:ascii="Calibri" w:hAnsi="Calibri" w:cs="Calibri"/>
        </w:rPr>
      </w:pPr>
      <w:r w:rsidRPr="00143D11">
        <w:rPr>
          <w:rFonts w:ascii="Calibri" w:hAnsi="Calibri" w:cs="Calibri"/>
        </w:rPr>
        <w:t>Liquidity ratios show that Unilever relies on cash flow management rather than significant liquid reserves, which, while efficient, increases exposure to financial disruptions (Higgins, 2018). High leverage remains manageable, but interest coverage concerns indicate the need for careful monitoring (Modigliani and Miller, 1963; Graham, 2000). Efficiency ratios suggest potential for improvement in asset utilisation and receivables management. While declining EPS may worry shareholders, stable dividend payments help maintain confidence and support market perception (DeAngelo and DeAngelo, 2007).</w:t>
      </w:r>
    </w:p>
    <w:p w14:paraId="3CDCA19D" w14:textId="77777777" w:rsidR="00143D11" w:rsidRPr="00143D11" w:rsidRDefault="00143D11" w:rsidP="00B425C1">
      <w:pPr>
        <w:spacing w:line="360" w:lineRule="auto"/>
        <w:rPr>
          <w:rFonts w:ascii="Calibri" w:hAnsi="Calibri" w:cs="Calibri"/>
        </w:rPr>
      </w:pPr>
      <w:r w:rsidRPr="00143D11">
        <w:rPr>
          <w:rFonts w:ascii="Calibri" w:hAnsi="Calibri" w:cs="Calibri"/>
        </w:rPr>
        <w:t>Compared with industry peers, Unilever’s performance is consistent with sector trends, including input cost inflation, competition, and operational pressures. Opportunities exist to improve financial performance through enhanced cost management, stronger working capital control, and targeted investment in high-margin, strategically aligned brands.</w:t>
      </w:r>
    </w:p>
    <w:p w14:paraId="7730CA17" w14:textId="1AA54470" w:rsidR="00143D11" w:rsidRPr="00143D11" w:rsidRDefault="00143D11" w:rsidP="00B425C1">
      <w:pPr>
        <w:spacing w:line="360" w:lineRule="auto"/>
        <w:rPr>
          <w:rFonts w:ascii="Calibri" w:hAnsi="Calibri" w:cs="Calibri"/>
        </w:rPr>
      </w:pPr>
    </w:p>
    <w:p w14:paraId="25C5CE31" w14:textId="77777777" w:rsidR="00143D11" w:rsidRPr="00143D11" w:rsidRDefault="00143D11" w:rsidP="00B425C1">
      <w:pPr>
        <w:spacing w:line="360" w:lineRule="auto"/>
        <w:rPr>
          <w:rFonts w:ascii="Calibri" w:hAnsi="Calibri" w:cs="Calibri"/>
        </w:rPr>
      </w:pPr>
      <w:r w:rsidRPr="00143D11">
        <w:rPr>
          <w:rFonts w:ascii="Calibri" w:hAnsi="Calibri" w:cs="Calibri"/>
        </w:rPr>
        <w:t>5. Limitations of Ratio Analysis</w:t>
      </w:r>
    </w:p>
    <w:p w14:paraId="3083EEC4" w14:textId="77777777" w:rsidR="00143D11" w:rsidRPr="00143D11" w:rsidRDefault="00143D11" w:rsidP="00B425C1">
      <w:pPr>
        <w:spacing w:line="360" w:lineRule="auto"/>
        <w:rPr>
          <w:rFonts w:ascii="Calibri" w:hAnsi="Calibri" w:cs="Calibri"/>
        </w:rPr>
      </w:pPr>
      <w:r w:rsidRPr="00143D11">
        <w:rPr>
          <w:rFonts w:ascii="Calibri" w:hAnsi="Calibri" w:cs="Calibri"/>
        </w:rPr>
        <w:t>While financial ratios are invaluable for understanding performance, they have notable limitations. Ratios are derived from historical accounting data and may not accurately predict future performance (Brealey, Myers and Allen, 2020). Differences in accounting methods, assumptions, and estimation practices can reduce comparability across periods and companies (Deegan, 2014).</w:t>
      </w:r>
    </w:p>
    <w:p w14:paraId="506B9B2F" w14:textId="77777777" w:rsidR="00143D11" w:rsidRPr="00143D11" w:rsidRDefault="00143D11" w:rsidP="00B425C1">
      <w:pPr>
        <w:spacing w:line="360" w:lineRule="auto"/>
        <w:rPr>
          <w:rFonts w:ascii="Calibri" w:hAnsi="Calibri" w:cs="Calibri"/>
        </w:rPr>
      </w:pPr>
      <w:r w:rsidRPr="00143D11">
        <w:rPr>
          <w:rFonts w:ascii="Calibri" w:hAnsi="Calibri" w:cs="Calibri"/>
        </w:rPr>
        <w:t>Moreover, ratio analysis cannot capture intangible assets, such as brand reputation, innovation capability, or ESG initiatives, which increasingly drive long-term value (Lev and Gu, 2016; Eccles, Ioannou and Serafeim, 2014). Therefore, ratio analysis should be supplemented with qualitative assessments, market insights, and strategic considerations to provide a comprehensive understanding of corporate performance (Kaplan and Norton, 1996).</w:t>
      </w:r>
    </w:p>
    <w:p w14:paraId="4B2D4CF0" w14:textId="1E2C0AC1" w:rsidR="00143D11" w:rsidRPr="00143D11" w:rsidRDefault="00143D11" w:rsidP="00B425C1">
      <w:pPr>
        <w:spacing w:line="360" w:lineRule="auto"/>
        <w:rPr>
          <w:rFonts w:ascii="Calibri" w:hAnsi="Calibri" w:cs="Calibri"/>
        </w:rPr>
      </w:pPr>
    </w:p>
    <w:p w14:paraId="4D0BF98A" w14:textId="77777777" w:rsidR="00B425C1" w:rsidRPr="00B425C1" w:rsidRDefault="00B425C1" w:rsidP="00B425C1">
      <w:pPr>
        <w:spacing w:line="360" w:lineRule="auto"/>
        <w:rPr>
          <w:rFonts w:ascii="Calibri" w:hAnsi="Calibri" w:cs="Calibri"/>
        </w:rPr>
      </w:pPr>
      <w:r w:rsidRPr="00B425C1">
        <w:rPr>
          <w:rFonts w:ascii="Calibri" w:hAnsi="Calibri" w:cs="Calibri"/>
        </w:rPr>
        <w:lastRenderedPageBreak/>
        <w:t>6. Recommendations</w:t>
      </w:r>
    </w:p>
    <w:p w14:paraId="5F70F1E1" w14:textId="77777777" w:rsidR="00B425C1" w:rsidRPr="00B425C1" w:rsidRDefault="00B425C1" w:rsidP="00B425C1">
      <w:pPr>
        <w:spacing w:line="360" w:lineRule="auto"/>
        <w:rPr>
          <w:rFonts w:ascii="Calibri" w:hAnsi="Calibri" w:cs="Calibri"/>
        </w:rPr>
      </w:pPr>
      <w:r w:rsidRPr="00B425C1">
        <w:rPr>
          <w:rFonts w:ascii="Calibri" w:hAnsi="Calibri" w:cs="Calibri"/>
        </w:rPr>
        <w:t>Based on the comprehensive analysis of Unilever PLC’s financial performance and management effectiveness, several strategic and operational recommendations can be proposed to enhance long-term performance, shareholder value, and organisational resilience. These recommendations aim to address identified areas of concern, including profitability pressures, operational inefficiencies, liquidity management, leverage levels, and the integration of non-financial performance measures. By implementing these measures, Unilever can build on its current strengths and ensure sustainable growth in a dynamic global FMCG environment.</w:t>
      </w:r>
    </w:p>
    <w:p w14:paraId="0AFC4146" w14:textId="77777777" w:rsidR="00B425C1" w:rsidRPr="00B425C1" w:rsidRDefault="00B425C1" w:rsidP="00B425C1">
      <w:pPr>
        <w:spacing w:line="360" w:lineRule="auto"/>
        <w:rPr>
          <w:rFonts w:ascii="Calibri" w:hAnsi="Calibri" w:cs="Calibri"/>
        </w:rPr>
      </w:pPr>
      <w:r w:rsidRPr="00B425C1">
        <w:rPr>
          <w:rFonts w:ascii="Calibri" w:hAnsi="Calibri" w:cs="Calibri"/>
        </w:rPr>
        <w:t>1. Cost Management</w:t>
      </w:r>
    </w:p>
    <w:p w14:paraId="0A60C990" w14:textId="77777777" w:rsidR="00B425C1" w:rsidRPr="00B425C1" w:rsidRDefault="00B425C1" w:rsidP="00B425C1">
      <w:pPr>
        <w:spacing w:line="360" w:lineRule="auto"/>
        <w:rPr>
          <w:rFonts w:ascii="Calibri" w:hAnsi="Calibri" w:cs="Calibri"/>
        </w:rPr>
      </w:pPr>
      <w:r w:rsidRPr="00B425C1">
        <w:rPr>
          <w:rFonts w:ascii="Calibri" w:hAnsi="Calibri" w:cs="Calibri"/>
        </w:rPr>
        <w:t>One of the key priorities for Unilever is to maintain stringent cost management practices. Profitability analysis for 2023–2024 highlighted a decline in operating and net profit margins, largely attributable to rising input costs, restructuring expenditures, and competitive pressures. To mitigate these challenges, the company should continue to focus on strengthening operational efficiency across all aspects of its supply chain and production processes.</w:t>
      </w:r>
    </w:p>
    <w:p w14:paraId="3E215674" w14:textId="77777777" w:rsidR="00B425C1" w:rsidRPr="00B425C1" w:rsidRDefault="00B425C1" w:rsidP="00B425C1">
      <w:pPr>
        <w:spacing w:line="360" w:lineRule="auto"/>
        <w:rPr>
          <w:rFonts w:ascii="Calibri" w:hAnsi="Calibri" w:cs="Calibri"/>
        </w:rPr>
      </w:pPr>
      <w:r w:rsidRPr="00B425C1">
        <w:rPr>
          <w:rFonts w:ascii="Calibri" w:hAnsi="Calibri" w:cs="Calibri"/>
        </w:rPr>
        <w:t>Optimising the supply chain can involve improving procurement strategies, negotiating better terms with suppliers, leveraging technology to streamline logistics, and reducing waste in production and distribution channels. These measures not only reduce operating costs but also contribute to greater agility in responding to market fluctuations (Damodaran, 2012; Ross, Westerfield and Jordan, 2022). Enhanced operational efficiency ensures that resources are utilised effectively, inventory is managed optimally, and products are delivered to markets in a cost-efficient manner.</w:t>
      </w:r>
    </w:p>
    <w:p w14:paraId="1FFE8260" w14:textId="77777777" w:rsidR="00B425C1" w:rsidRPr="00B425C1" w:rsidRDefault="00B425C1" w:rsidP="00B425C1">
      <w:pPr>
        <w:spacing w:line="360" w:lineRule="auto"/>
        <w:rPr>
          <w:rFonts w:ascii="Calibri" w:hAnsi="Calibri" w:cs="Calibri"/>
        </w:rPr>
      </w:pPr>
      <w:r w:rsidRPr="00B425C1">
        <w:rPr>
          <w:rFonts w:ascii="Calibri" w:hAnsi="Calibri" w:cs="Calibri"/>
        </w:rPr>
        <w:t>Furthermore, cost discipline should be embedded across organisational culture, ensuring that managers at all levels are accountable for controlling expenses while maintaining quality standards. Strategic cost reduction, when aligned with long-term growth objectives, can protect profit margins even during periods of inflation and economic uncertainty.</w:t>
      </w:r>
    </w:p>
    <w:p w14:paraId="01DC5560" w14:textId="7FC75C47" w:rsidR="00B425C1" w:rsidRPr="00B425C1" w:rsidRDefault="00B425C1" w:rsidP="00B425C1">
      <w:pPr>
        <w:spacing w:line="360" w:lineRule="auto"/>
        <w:rPr>
          <w:rFonts w:ascii="Calibri" w:hAnsi="Calibri" w:cs="Calibri"/>
        </w:rPr>
      </w:pPr>
    </w:p>
    <w:p w14:paraId="7CC3F5B3" w14:textId="77777777" w:rsidR="00B425C1" w:rsidRPr="00B425C1" w:rsidRDefault="00B425C1" w:rsidP="00B425C1">
      <w:pPr>
        <w:spacing w:line="360" w:lineRule="auto"/>
        <w:rPr>
          <w:rFonts w:ascii="Calibri" w:hAnsi="Calibri" w:cs="Calibri"/>
        </w:rPr>
      </w:pPr>
      <w:r w:rsidRPr="00B425C1">
        <w:rPr>
          <w:rFonts w:ascii="Calibri" w:hAnsi="Calibri" w:cs="Calibri"/>
        </w:rPr>
        <w:t>2. Working Capital Optimisation</w:t>
      </w:r>
    </w:p>
    <w:p w14:paraId="04B5CC38" w14:textId="77777777" w:rsidR="00B425C1" w:rsidRPr="00B425C1" w:rsidRDefault="00B425C1" w:rsidP="00B425C1">
      <w:pPr>
        <w:spacing w:line="360" w:lineRule="auto"/>
        <w:rPr>
          <w:rFonts w:ascii="Calibri" w:hAnsi="Calibri" w:cs="Calibri"/>
        </w:rPr>
      </w:pPr>
      <w:r w:rsidRPr="00B425C1">
        <w:rPr>
          <w:rFonts w:ascii="Calibri" w:hAnsi="Calibri" w:cs="Calibri"/>
        </w:rPr>
        <w:lastRenderedPageBreak/>
        <w:t>Liquidity analysis indicates that Unilever operates with relatively low current and quick ratios, reflecting reliance on effective cash flow management rather than substantial liquid reserves. While this approach aligns with industry norms, it increases vulnerability to unexpected financial pressures (</w:t>
      </w:r>
      <w:proofErr w:type="spellStart"/>
      <w:r w:rsidRPr="00B425C1">
        <w:rPr>
          <w:rFonts w:ascii="Calibri" w:hAnsi="Calibri" w:cs="Calibri"/>
        </w:rPr>
        <w:t>Atrill</w:t>
      </w:r>
      <w:proofErr w:type="spellEnd"/>
      <w:r w:rsidRPr="00B425C1">
        <w:rPr>
          <w:rFonts w:ascii="Calibri" w:hAnsi="Calibri" w:cs="Calibri"/>
        </w:rPr>
        <w:t xml:space="preserve"> and McLaney, 2019). Therefore, improving working capital management is essential to safeguard financial stability and support operational flexibility.</w:t>
      </w:r>
    </w:p>
    <w:p w14:paraId="4D683205" w14:textId="77777777" w:rsidR="00B425C1" w:rsidRPr="00B425C1" w:rsidRDefault="00B425C1" w:rsidP="00B425C1">
      <w:pPr>
        <w:spacing w:line="360" w:lineRule="auto"/>
        <w:rPr>
          <w:rFonts w:ascii="Calibri" w:hAnsi="Calibri" w:cs="Calibri"/>
        </w:rPr>
      </w:pPr>
      <w:r w:rsidRPr="00B425C1">
        <w:rPr>
          <w:rFonts w:ascii="Calibri" w:hAnsi="Calibri" w:cs="Calibri"/>
        </w:rPr>
        <w:t>Effective working capital optimisation requires targeted actions in three key areas: receivables, inventory, and payables. Strengthening receivables collection involves setting clear credit policies, monitoring overdue accounts closely, and offering incentives for early payments. This reduces the risk of cash flow shortages and ensures that funds are available to finance operational and strategic initiatives.</w:t>
      </w:r>
    </w:p>
    <w:p w14:paraId="3153D411" w14:textId="77777777" w:rsidR="00B425C1" w:rsidRPr="00B425C1" w:rsidRDefault="00B425C1" w:rsidP="00B425C1">
      <w:pPr>
        <w:spacing w:line="360" w:lineRule="auto"/>
        <w:rPr>
          <w:rFonts w:ascii="Calibri" w:hAnsi="Calibri" w:cs="Calibri"/>
        </w:rPr>
      </w:pPr>
      <w:r w:rsidRPr="00B425C1">
        <w:rPr>
          <w:rFonts w:ascii="Calibri" w:hAnsi="Calibri" w:cs="Calibri"/>
        </w:rPr>
        <w:t>Inventory management should focus on balancing adequate stock levels to meet demand without tying up excessive capital in slow-moving or obsolete products. Implementing advanced demand forecasting, lean inventory practices, and integrated supply chain systems can improve turnover and reduce holding costs.</w:t>
      </w:r>
    </w:p>
    <w:p w14:paraId="77FB5961" w14:textId="77777777" w:rsidR="00B425C1" w:rsidRPr="00B425C1" w:rsidRDefault="00B425C1" w:rsidP="00B425C1">
      <w:pPr>
        <w:spacing w:line="360" w:lineRule="auto"/>
        <w:rPr>
          <w:rFonts w:ascii="Calibri" w:hAnsi="Calibri" w:cs="Calibri"/>
        </w:rPr>
      </w:pPr>
      <w:r w:rsidRPr="00B425C1">
        <w:rPr>
          <w:rFonts w:ascii="Calibri" w:hAnsi="Calibri" w:cs="Calibri"/>
        </w:rPr>
        <w:t>Payables management is also critical. While extending payment terms with suppliers can support liquidity, it must be balanced to maintain strong supplier relationships and avoid operational disruptions. By optimising all elements of working capital, Unilever can improve its liquidity position, reduce financing costs, and increase the availability of cash for strategic investment and shareholder returns (Higgins, 2018).</w:t>
      </w:r>
    </w:p>
    <w:p w14:paraId="00A0C9D7" w14:textId="0CCF178E" w:rsidR="00B425C1" w:rsidRPr="00B425C1" w:rsidRDefault="00B425C1" w:rsidP="00B425C1">
      <w:pPr>
        <w:spacing w:line="360" w:lineRule="auto"/>
        <w:rPr>
          <w:rFonts w:ascii="Calibri" w:hAnsi="Calibri" w:cs="Calibri"/>
        </w:rPr>
      </w:pPr>
    </w:p>
    <w:p w14:paraId="336BEA4A" w14:textId="77777777" w:rsidR="00B425C1" w:rsidRPr="00B425C1" w:rsidRDefault="00B425C1" w:rsidP="00B425C1">
      <w:pPr>
        <w:spacing w:line="360" w:lineRule="auto"/>
        <w:rPr>
          <w:rFonts w:ascii="Calibri" w:hAnsi="Calibri" w:cs="Calibri"/>
        </w:rPr>
      </w:pPr>
      <w:r w:rsidRPr="00B425C1">
        <w:rPr>
          <w:rFonts w:ascii="Calibri" w:hAnsi="Calibri" w:cs="Calibri"/>
        </w:rPr>
        <w:t>3. Leverage Monitoring</w:t>
      </w:r>
    </w:p>
    <w:p w14:paraId="4E07E0AA" w14:textId="77777777" w:rsidR="00B425C1" w:rsidRPr="00B425C1" w:rsidRDefault="00B425C1" w:rsidP="00B425C1">
      <w:pPr>
        <w:spacing w:line="360" w:lineRule="auto"/>
        <w:rPr>
          <w:rFonts w:ascii="Calibri" w:hAnsi="Calibri" w:cs="Calibri"/>
        </w:rPr>
      </w:pPr>
      <w:r w:rsidRPr="00B425C1">
        <w:rPr>
          <w:rFonts w:ascii="Calibri" w:hAnsi="Calibri" w:cs="Calibri"/>
        </w:rPr>
        <w:t>The analysis of Unilever’s gearing ratios indicates relatively high debt levels, although the company has taken steps to reduce its debt-to-equity ratio and maintain interest coverage within manageable limits (Frank and Goyal, 2009; Myers, 2001). Despite these positive signs, it is essential that management continues to monitor leverage closely to safeguard financial flexibility and mitigate risks associated with rising interest rates or economic downturns.</w:t>
      </w:r>
    </w:p>
    <w:p w14:paraId="1F42BF8D" w14:textId="77777777" w:rsidR="00B425C1" w:rsidRPr="00B425C1" w:rsidRDefault="00B425C1" w:rsidP="00B425C1">
      <w:pPr>
        <w:spacing w:line="360" w:lineRule="auto"/>
        <w:rPr>
          <w:rFonts w:ascii="Calibri" w:hAnsi="Calibri" w:cs="Calibri"/>
        </w:rPr>
      </w:pPr>
      <w:r w:rsidRPr="00B425C1">
        <w:rPr>
          <w:rFonts w:ascii="Calibri" w:hAnsi="Calibri" w:cs="Calibri"/>
        </w:rPr>
        <w:t xml:space="preserve">Prudent debt management involves establishing clear limits on borrowing relative to equity, evaluating the cost of debt versus the benefits of tax shields, and maintaining sufficient </w:t>
      </w:r>
      <w:r w:rsidRPr="00B425C1">
        <w:rPr>
          <w:rFonts w:ascii="Calibri" w:hAnsi="Calibri" w:cs="Calibri"/>
        </w:rPr>
        <w:lastRenderedPageBreak/>
        <w:t>interest coverage to ensure obligations can be met under adverse conditions (Modigliani and Miller, 1963; Graham, 2000). Additionally, the company should explore opportunities to refinance existing debt under more favourable terms when market conditions allow, reducing interest expenses and freeing up capital for investment.</w:t>
      </w:r>
    </w:p>
    <w:p w14:paraId="5EBB41AA" w14:textId="77777777" w:rsidR="00B425C1" w:rsidRPr="00B425C1" w:rsidRDefault="00B425C1" w:rsidP="00B425C1">
      <w:pPr>
        <w:spacing w:line="360" w:lineRule="auto"/>
        <w:rPr>
          <w:rFonts w:ascii="Calibri" w:hAnsi="Calibri" w:cs="Calibri"/>
        </w:rPr>
      </w:pPr>
      <w:r w:rsidRPr="00B425C1">
        <w:rPr>
          <w:rFonts w:ascii="Calibri" w:hAnsi="Calibri" w:cs="Calibri"/>
        </w:rPr>
        <w:t>Monitoring leverage also requires stress-testing financial scenarios to assess the impact of unexpected changes in cash flows, interest rates, or macroeconomic conditions. By proactively managing debt and interest exposure, Unilever can maintain operational flexibility, reduce the risk of financial distress, and position itself to capitalise on growth opportunities even during periods of market volatility.</w:t>
      </w:r>
    </w:p>
    <w:p w14:paraId="50D2EE80" w14:textId="2C95E06A" w:rsidR="00B425C1" w:rsidRPr="00B425C1" w:rsidRDefault="00B425C1" w:rsidP="00B425C1">
      <w:pPr>
        <w:spacing w:line="360" w:lineRule="auto"/>
        <w:rPr>
          <w:rFonts w:ascii="Calibri" w:hAnsi="Calibri" w:cs="Calibri"/>
        </w:rPr>
      </w:pPr>
    </w:p>
    <w:p w14:paraId="471472E0" w14:textId="77777777" w:rsidR="00B425C1" w:rsidRPr="00B425C1" w:rsidRDefault="00B425C1" w:rsidP="00B425C1">
      <w:pPr>
        <w:spacing w:line="360" w:lineRule="auto"/>
        <w:rPr>
          <w:rFonts w:ascii="Calibri" w:hAnsi="Calibri" w:cs="Calibri"/>
        </w:rPr>
      </w:pPr>
      <w:r w:rsidRPr="00B425C1">
        <w:rPr>
          <w:rFonts w:ascii="Calibri" w:hAnsi="Calibri" w:cs="Calibri"/>
        </w:rPr>
        <w:t>4. Strategic Capital Allocation</w:t>
      </w:r>
    </w:p>
    <w:p w14:paraId="7687D510" w14:textId="77777777" w:rsidR="00B425C1" w:rsidRPr="00B425C1" w:rsidRDefault="00B425C1" w:rsidP="00B425C1">
      <w:pPr>
        <w:spacing w:line="360" w:lineRule="auto"/>
        <w:rPr>
          <w:rFonts w:ascii="Calibri" w:hAnsi="Calibri" w:cs="Calibri"/>
        </w:rPr>
      </w:pPr>
      <w:r w:rsidRPr="00B425C1">
        <w:rPr>
          <w:rFonts w:ascii="Calibri" w:hAnsi="Calibri" w:cs="Calibri"/>
        </w:rPr>
        <w:t>Capital allocation decisions play a critical role in supporting profitability and long-term value creation. Based on the findings, Unilever should prioritise investment in high-margin brands and initiatives that align closely with its competitive advantages (Barney, 1991; Porter, 1985). Strategic capital allocation ensures that resources are directed toward projects with the greatest potential to enhance shareholder value and strengthen market positioning.</w:t>
      </w:r>
    </w:p>
    <w:p w14:paraId="5405B0E9" w14:textId="77777777" w:rsidR="00B425C1" w:rsidRPr="00B425C1" w:rsidRDefault="00B425C1" w:rsidP="00B425C1">
      <w:pPr>
        <w:spacing w:line="360" w:lineRule="auto"/>
        <w:rPr>
          <w:rFonts w:ascii="Calibri" w:hAnsi="Calibri" w:cs="Calibri"/>
        </w:rPr>
      </w:pPr>
      <w:r w:rsidRPr="00B425C1">
        <w:rPr>
          <w:rFonts w:ascii="Calibri" w:hAnsi="Calibri" w:cs="Calibri"/>
        </w:rPr>
        <w:t>Investing in high-margin brands allows Unilever to leverage existing brand equity, consumer loyalty, and operational capabilities to achieve higher returns on invested capital. Additionally, capital should be directed toward innovation initiatives, market expansion, and technology-driven improvements that reinforce operational efficiency and product differentiation. Such investments not only support revenue growth but also enhance the company’s resilience against competitive pressures and market volatility.</w:t>
      </w:r>
    </w:p>
    <w:p w14:paraId="7960BC46" w14:textId="77777777" w:rsidR="00B425C1" w:rsidRPr="00B425C1" w:rsidRDefault="00B425C1" w:rsidP="00B425C1">
      <w:pPr>
        <w:spacing w:line="360" w:lineRule="auto"/>
        <w:rPr>
          <w:rFonts w:ascii="Calibri" w:hAnsi="Calibri" w:cs="Calibri"/>
        </w:rPr>
      </w:pPr>
      <w:r w:rsidRPr="00B425C1">
        <w:rPr>
          <w:rFonts w:ascii="Calibri" w:hAnsi="Calibri" w:cs="Calibri"/>
        </w:rPr>
        <w:t>Strategic allocation requires a rigorous project evaluation framework, incorporating both financial appraisal methods such as NPV and qualitative assessments including market potential, risk profile, and alignment with corporate strategy. By aligning capital investment with strategic priorities, Unilever can optimise returns, strengthen competitive positioning, and ensure sustainable long-term growth.</w:t>
      </w:r>
    </w:p>
    <w:p w14:paraId="0F23BD46" w14:textId="31628BB1" w:rsidR="00B425C1" w:rsidRPr="00B425C1" w:rsidRDefault="00B425C1" w:rsidP="00B425C1">
      <w:pPr>
        <w:spacing w:line="360" w:lineRule="auto"/>
        <w:rPr>
          <w:rFonts w:ascii="Calibri" w:hAnsi="Calibri" w:cs="Calibri"/>
        </w:rPr>
      </w:pPr>
    </w:p>
    <w:p w14:paraId="6920D303" w14:textId="77777777" w:rsidR="00B425C1" w:rsidRPr="00B425C1" w:rsidRDefault="00B425C1" w:rsidP="00B425C1">
      <w:pPr>
        <w:spacing w:line="360" w:lineRule="auto"/>
        <w:rPr>
          <w:rFonts w:ascii="Calibri" w:hAnsi="Calibri" w:cs="Calibri"/>
        </w:rPr>
      </w:pPr>
      <w:r w:rsidRPr="00B425C1">
        <w:rPr>
          <w:rFonts w:ascii="Calibri" w:hAnsi="Calibri" w:cs="Calibri"/>
        </w:rPr>
        <w:t>5. Integration of Non-Financial Key Performance Indicators (KPIs)</w:t>
      </w:r>
    </w:p>
    <w:p w14:paraId="2B4BF6DA" w14:textId="77777777" w:rsidR="00B425C1" w:rsidRPr="00B425C1" w:rsidRDefault="00B425C1" w:rsidP="00B425C1">
      <w:pPr>
        <w:spacing w:line="360" w:lineRule="auto"/>
        <w:rPr>
          <w:rFonts w:ascii="Calibri" w:hAnsi="Calibri" w:cs="Calibri"/>
        </w:rPr>
      </w:pPr>
      <w:r w:rsidRPr="00B425C1">
        <w:rPr>
          <w:rFonts w:ascii="Calibri" w:hAnsi="Calibri" w:cs="Calibri"/>
        </w:rPr>
        <w:lastRenderedPageBreak/>
        <w:t>Financial metrics alone do not provide a complete picture of organisational performance. To support holistic decision-making, Unilever should integrate non-financial performance indicators alongside traditional financial KPIs (Koller, Goedhart and Wessels, 2020). These may include environmental, social, and governance (ESG) measures, operational efficiency metrics, and strategic performance indicators.</w:t>
      </w:r>
    </w:p>
    <w:p w14:paraId="1C49DE17" w14:textId="77777777" w:rsidR="00B425C1" w:rsidRPr="00B425C1" w:rsidRDefault="00B425C1" w:rsidP="00B425C1">
      <w:pPr>
        <w:spacing w:line="360" w:lineRule="auto"/>
        <w:rPr>
          <w:rFonts w:ascii="Calibri" w:hAnsi="Calibri" w:cs="Calibri"/>
        </w:rPr>
      </w:pPr>
      <w:r w:rsidRPr="00B425C1">
        <w:rPr>
          <w:rFonts w:ascii="Calibri" w:hAnsi="Calibri" w:cs="Calibri"/>
        </w:rPr>
        <w:t>Incorporating ESG factors into performance evaluation not only addresses regulatory and stakeholder expectations but also enhances long-term sustainability and brand reputation. Operational metrics, such as production efficiency, supply chain reliability, and customer satisfaction, provide insights into areas where management can improve operational resilience and value creation. Strategic indicators, including market share growth, innovation pipeline performance, and alignment with corporate objectives, help ensure that decision-making remains consistent with the company’s long-term vision.</w:t>
      </w:r>
    </w:p>
    <w:p w14:paraId="58D9EA7A" w14:textId="77777777" w:rsidR="00B425C1" w:rsidRPr="00B425C1" w:rsidRDefault="00B425C1" w:rsidP="00B425C1">
      <w:pPr>
        <w:spacing w:line="360" w:lineRule="auto"/>
        <w:rPr>
          <w:rFonts w:ascii="Calibri" w:hAnsi="Calibri" w:cs="Calibri"/>
        </w:rPr>
      </w:pPr>
      <w:r w:rsidRPr="00B425C1">
        <w:rPr>
          <w:rFonts w:ascii="Calibri" w:hAnsi="Calibri" w:cs="Calibri"/>
        </w:rPr>
        <w:t>The integration of financial and non-financial KPIs allows for a balanced scorecard approach, enabling management to monitor performance comprehensively and make informed decisions that consider both economic and non-economic outcomes (Kaplan and Norton, 1996). This holistic perspective supports sustainable growth, strengthens stakeholder confidence, and reinforces Unilever’s commitment to responsible business practices.</w:t>
      </w:r>
    </w:p>
    <w:p w14:paraId="04D3AB11" w14:textId="304CF4CA" w:rsidR="00143D11" w:rsidRPr="00143D11" w:rsidRDefault="00143D11" w:rsidP="00B425C1">
      <w:pPr>
        <w:spacing w:line="360" w:lineRule="auto"/>
        <w:rPr>
          <w:rFonts w:ascii="Calibri" w:hAnsi="Calibri" w:cs="Calibri"/>
        </w:rPr>
      </w:pPr>
    </w:p>
    <w:p w14:paraId="475664B8" w14:textId="77777777" w:rsidR="00143D11" w:rsidRPr="00143D11" w:rsidRDefault="00143D11" w:rsidP="00B425C1">
      <w:pPr>
        <w:spacing w:line="360" w:lineRule="auto"/>
        <w:rPr>
          <w:rFonts w:ascii="Calibri" w:hAnsi="Calibri" w:cs="Calibri"/>
        </w:rPr>
      </w:pPr>
      <w:r w:rsidRPr="00143D11">
        <w:rPr>
          <w:rFonts w:ascii="Calibri" w:hAnsi="Calibri" w:cs="Calibri"/>
        </w:rPr>
        <w:t>7. Conclusion</w:t>
      </w:r>
    </w:p>
    <w:p w14:paraId="5862D3DD" w14:textId="77777777" w:rsidR="00143D11" w:rsidRDefault="00143D11" w:rsidP="00B425C1">
      <w:pPr>
        <w:spacing w:line="360" w:lineRule="auto"/>
        <w:rPr>
          <w:rFonts w:ascii="Calibri" w:hAnsi="Calibri" w:cs="Calibri"/>
        </w:rPr>
      </w:pPr>
      <w:r w:rsidRPr="00143D11">
        <w:rPr>
          <w:rFonts w:ascii="Calibri" w:hAnsi="Calibri" w:cs="Calibri"/>
        </w:rPr>
        <w:t>In conclusion, Unilever PLC demonstrates strong financial resilience and a leading competitive position in the FMCG sector. While profitability and efficiency indicators have declined, the company’s strategic initiatives and prudent financial management provide a solid foundation for sustainable growth. By maintaining cost discipline, improving operational efficiency, and aligning financial management with strategic priorities, Unilever is well-positioned to enhance shareholder value and support long-term success.</w:t>
      </w:r>
    </w:p>
    <w:p w14:paraId="24804F42" w14:textId="77777777" w:rsidR="00B425C1" w:rsidRDefault="00B425C1" w:rsidP="00B425C1">
      <w:pPr>
        <w:spacing w:line="360" w:lineRule="auto"/>
        <w:rPr>
          <w:rFonts w:ascii="Calibri" w:hAnsi="Calibri" w:cs="Calibri"/>
        </w:rPr>
      </w:pPr>
    </w:p>
    <w:p w14:paraId="21DC49A8" w14:textId="77777777" w:rsidR="00B425C1" w:rsidRPr="00143D11" w:rsidRDefault="00B425C1" w:rsidP="00B425C1">
      <w:pPr>
        <w:spacing w:line="360" w:lineRule="auto"/>
        <w:rPr>
          <w:rFonts w:ascii="Calibri" w:hAnsi="Calibri" w:cs="Calibri"/>
        </w:rPr>
      </w:pPr>
    </w:p>
    <w:p w14:paraId="3B84CCC2" w14:textId="04BC0E72" w:rsidR="00143D11" w:rsidRPr="00143D11" w:rsidRDefault="00143D11" w:rsidP="00B425C1">
      <w:pPr>
        <w:spacing w:line="360" w:lineRule="auto"/>
        <w:rPr>
          <w:rFonts w:ascii="Calibri" w:hAnsi="Calibri" w:cs="Calibri"/>
        </w:rPr>
      </w:pPr>
    </w:p>
    <w:p w14:paraId="4B1BC2ED" w14:textId="10421A3D" w:rsidR="00B425C1" w:rsidRDefault="00B425C1" w:rsidP="00B425C1">
      <w:pPr>
        <w:spacing w:line="360" w:lineRule="auto"/>
        <w:rPr>
          <w:rFonts w:ascii="Calibri" w:hAnsi="Calibri" w:cs="Calibri"/>
        </w:rPr>
      </w:pPr>
      <w:r>
        <w:rPr>
          <w:rFonts w:ascii="Calibri" w:hAnsi="Calibri" w:cs="Calibri"/>
        </w:rPr>
        <w:lastRenderedPageBreak/>
        <w:t>Part 2:</w:t>
      </w:r>
    </w:p>
    <w:p w14:paraId="12B91D37" w14:textId="52F54D3B" w:rsidR="00B425C1" w:rsidRPr="00B425C1" w:rsidRDefault="00B425C1" w:rsidP="00B425C1">
      <w:pPr>
        <w:spacing w:line="360" w:lineRule="auto"/>
        <w:rPr>
          <w:rFonts w:ascii="Calibri" w:hAnsi="Calibri" w:cs="Calibri"/>
        </w:rPr>
      </w:pPr>
      <w:r w:rsidRPr="00B425C1">
        <w:rPr>
          <w:rFonts w:ascii="Calibri" w:hAnsi="Calibri" w:cs="Calibri"/>
        </w:rPr>
        <w:t>Explanation to Management: Why NPV Is the Most Appropriate Investment Appraisal Method1. Rationale for Preferring Net Present Value (NPV)</w:t>
      </w:r>
    </w:p>
    <w:p w14:paraId="62A285B2" w14:textId="77777777" w:rsidR="00B425C1" w:rsidRPr="00B425C1" w:rsidRDefault="00B425C1" w:rsidP="00B425C1">
      <w:pPr>
        <w:spacing w:line="360" w:lineRule="auto"/>
        <w:rPr>
          <w:rFonts w:ascii="Calibri" w:hAnsi="Calibri" w:cs="Calibri"/>
        </w:rPr>
      </w:pPr>
      <w:r w:rsidRPr="00B425C1">
        <w:rPr>
          <w:rFonts w:ascii="Calibri" w:hAnsi="Calibri" w:cs="Calibri"/>
        </w:rPr>
        <w:t>Net Present Value (NPV) is widely regarded as the most appropriate method for evaluating capital investment projects, particularly in organisations seeking to maximise long-term shareholder wealth (Brealey et al., 2020). Unlike simpler appraisal techniques, NPV explicitly considers both the expected cash flows generated by a project and the time value of money, providing a direct estimate of the value that an investment is expected to add to the firm. By discounting future cash inflows and outflows to present values using the firm’s cost of capital, NPV offers a clear measure of whether a project is likely to enhance shareholder wealth.</w:t>
      </w:r>
    </w:p>
    <w:p w14:paraId="0FEFD8C8" w14:textId="77777777" w:rsidR="00B425C1" w:rsidRPr="00B425C1" w:rsidRDefault="00B425C1" w:rsidP="00B425C1">
      <w:pPr>
        <w:spacing w:line="360" w:lineRule="auto"/>
        <w:rPr>
          <w:rFonts w:ascii="Calibri" w:hAnsi="Calibri" w:cs="Calibri"/>
        </w:rPr>
      </w:pPr>
      <w:r w:rsidRPr="00B425C1">
        <w:rPr>
          <w:rFonts w:ascii="Calibri" w:hAnsi="Calibri" w:cs="Calibri"/>
        </w:rPr>
        <w:t>The primary advantage of NPV is that it expresses investment returns in absolute monetary terms rather than percentages or arbitrary units. This allows management to compare projects of different scales, durations, and cash flow patterns on a consistent basis. For mutually exclusive projects, where only one project can be undertaken, NPV provides a robust criterion for selecting the option that maximises value. Projects with a positive NPV are expected to generate returns exceeding the company’s required rate of return, thereby directly contributing to shareholder wealth (Ross et al., 2022).</w:t>
      </w:r>
    </w:p>
    <w:p w14:paraId="7F5C1F55" w14:textId="77777777" w:rsidR="00B425C1" w:rsidRPr="00B425C1" w:rsidRDefault="00B425C1" w:rsidP="00B425C1">
      <w:pPr>
        <w:spacing w:line="360" w:lineRule="auto"/>
        <w:rPr>
          <w:rFonts w:ascii="Calibri" w:hAnsi="Calibri" w:cs="Calibri"/>
        </w:rPr>
      </w:pPr>
      <w:r w:rsidRPr="00B425C1">
        <w:rPr>
          <w:rFonts w:ascii="Calibri" w:hAnsi="Calibri" w:cs="Calibri"/>
        </w:rPr>
        <w:t>NPV also integrates risk considerations by allowing for adjustments in discount rates for projects with higher uncertainty. By contrast, non-discounting methods such as the payback period or accounting rate of return (ARR) fail to account for the timing of cash flows and therefore provide a less accurate measure of value creation. In essence, NPV aligns project evaluation directly with the financial objective of the firm: maximising the economic value of invested capital.</w:t>
      </w:r>
    </w:p>
    <w:p w14:paraId="0C2B064E" w14:textId="27A0BDAE" w:rsidR="00B425C1" w:rsidRPr="00B425C1" w:rsidRDefault="00B425C1" w:rsidP="00B425C1">
      <w:pPr>
        <w:spacing w:line="360" w:lineRule="auto"/>
        <w:rPr>
          <w:rFonts w:ascii="Calibri" w:hAnsi="Calibri" w:cs="Calibri"/>
        </w:rPr>
      </w:pPr>
    </w:p>
    <w:p w14:paraId="699D8CB7" w14:textId="77777777" w:rsidR="00B425C1" w:rsidRPr="00B425C1" w:rsidRDefault="00B425C1" w:rsidP="00B425C1">
      <w:pPr>
        <w:spacing w:line="360" w:lineRule="auto"/>
        <w:rPr>
          <w:rFonts w:ascii="Calibri" w:hAnsi="Calibri" w:cs="Calibri"/>
        </w:rPr>
      </w:pPr>
      <w:r w:rsidRPr="00B425C1">
        <w:rPr>
          <w:rFonts w:ascii="Calibri" w:hAnsi="Calibri" w:cs="Calibri"/>
        </w:rPr>
        <w:t>2. Time Value of Money</w:t>
      </w:r>
    </w:p>
    <w:p w14:paraId="5C2C3307" w14:textId="77777777" w:rsidR="00B425C1" w:rsidRPr="00B425C1" w:rsidRDefault="00B425C1" w:rsidP="00B425C1">
      <w:pPr>
        <w:spacing w:line="360" w:lineRule="auto"/>
        <w:rPr>
          <w:rFonts w:ascii="Calibri" w:hAnsi="Calibri" w:cs="Calibri"/>
        </w:rPr>
      </w:pPr>
      <w:r w:rsidRPr="00B425C1">
        <w:rPr>
          <w:rFonts w:ascii="Calibri" w:hAnsi="Calibri" w:cs="Calibri"/>
        </w:rPr>
        <w:t xml:space="preserve">The concept of the time value of money underpins the NPV methodology. It is based on the principle that a pound received today is more valuable than the same amount received in the future because current funds can be invested to earn returns and are subject to lower </w:t>
      </w:r>
      <w:r w:rsidRPr="00B425C1">
        <w:rPr>
          <w:rFonts w:ascii="Calibri" w:hAnsi="Calibri" w:cs="Calibri"/>
        </w:rPr>
        <w:lastRenderedPageBreak/>
        <w:t>uncertainty. Future cash flows are affected by inflation, opportunity cost, and risk; failing to account for these factors can lead to overestimating the value of an investment (Arnold, 2013).</w:t>
      </w:r>
    </w:p>
    <w:p w14:paraId="26AE78A0" w14:textId="77777777" w:rsidR="00B425C1" w:rsidRPr="00B425C1" w:rsidRDefault="00B425C1" w:rsidP="00B425C1">
      <w:pPr>
        <w:spacing w:line="360" w:lineRule="auto"/>
        <w:rPr>
          <w:rFonts w:ascii="Calibri" w:hAnsi="Calibri" w:cs="Calibri"/>
        </w:rPr>
      </w:pPr>
      <w:r w:rsidRPr="00B425C1">
        <w:rPr>
          <w:rFonts w:ascii="Calibri" w:hAnsi="Calibri" w:cs="Calibri"/>
        </w:rPr>
        <w:t>NPV addresses this by discounting projected cash flows back to their present value, using the firm’s cost of capital as the discount rate. This ensures that each future inflow and outflow is evaluated in terms of its value in today’s money, reflecting both opportunity costs and risk exposure. By incorporating the time value of money, NPV allows managers to evaluate projects consistently and make more informed capital allocation decisions.</w:t>
      </w:r>
    </w:p>
    <w:p w14:paraId="0E5646E1" w14:textId="77777777" w:rsidR="00B425C1" w:rsidRPr="00B425C1" w:rsidRDefault="00B425C1" w:rsidP="00B425C1">
      <w:pPr>
        <w:spacing w:line="360" w:lineRule="auto"/>
        <w:rPr>
          <w:rFonts w:ascii="Calibri" w:hAnsi="Calibri" w:cs="Calibri"/>
        </w:rPr>
      </w:pPr>
      <w:r w:rsidRPr="00B425C1">
        <w:rPr>
          <w:rFonts w:ascii="Calibri" w:hAnsi="Calibri" w:cs="Calibri"/>
        </w:rPr>
        <w:t>This principle distinguishes NPV from simpler methods such as the payback period, which only considers the time required to recover the initial investment and ignores cash flows beyond that point. Ignoring the time value of money can lead to poor investment choices, particularly in long-term projects where cash flows are uneven or delayed. By converting future cash flows into present-value terms, NPV provides a more theoretically sound and practically useful assessment of an investment’s potential contribution to firm value (</w:t>
      </w:r>
      <w:proofErr w:type="spellStart"/>
      <w:r w:rsidRPr="00B425C1">
        <w:rPr>
          <w:rFonts w:ascii="Calibri" w:hAnsi="Calibri" w:cs="Calibri"/>
        </w:rPr>
        <w:t>Atrill</w:t>
      </w:r>
      <w:proofErr w:type="spellEnd"/>
      <w:r w:rsidRPr="00B425C1">
        <w:rPr>
          <w:rFonts w:ascii="Calibri" w:hAnsi="Calibri" w:cs="Calibri"/>
        </w:rPr>
        <w:t xml:space="preserve"> and McLaney, 2019).</w:t>
      </w:r>
    </w:p>
    <w:p w14:paraId="1EE9D46C" w14:textId="5C998F9B" w:rsidR="00B425C1" w:rsidRPr="00B425C1" w:rsidRDefault="00B425C1" w:rsidP="00B425C1">
      <w:pPr>
        <w:spacing w:line="360" w:lineRule="auto"/>
        <w:rPr>
          <w:rFonts w:ascii="Calibri" w:hAnsi="Calibri" w:cs="Calibri"/>
        </w:rPr>
      </w:pPr>
    </w:p>
    <w:p w14:paraId="0B86ECEF" w14:textId="77777777" w:rsidR="00B425C1" w:rsidRPr="00B425C1" w:rsidRDefault="00B425C1" w:rsidP="00B425C1">
      <w:pPr>
        <w:spacing w:line="360" w:lineRule="auto"/>
        <w:rPr>
          <w:rFonts w:ascii="Calibri" w:hAnsi="Calibri" w:cs="Calibri"/>
        </w:rPr>
      </w:pPr>
      <w:r w:rsidRPr="00B425C1">
        <w:rPr>
          <w:rFonts w:ascii="Calibri" w:hAnsi="Calibri" w:cs="Calibri"/>
        </w:rPr>
        <w:t>3. Shareholder Wealth Maximisation</w:t>
      </w:r>
    </w:p>
    <w:p w14:paraId="523C3B0E" w14:textId="77777777" w:rsidR="00B425C1" w:rsidRPr="00B425C1" w:rsidRDefault="00B425C1" w:rsidP="00B425C1">
      <w:pPr>
        <w:spacing w:line="360" w:lineRule="auto"/>
        <w:rPr>
          <w:rFonts w:ascii="Calibri" w:hAnsi="Calibri" w:cs="Calibri"/>
        </w:rPr>
      </w:pPr>
      <w:r w:rsidRPr="00B425C1">
        <w:rPr>
          <w:rFonts w:ascii="Calibri" w:hAnsi="Calibri" w:cs="Calibri"/>
        </w:rPr>
        <w:t>Maximising shareholder wealth is a central objective of financial management. NPV aligns directly with this goal because it quantifies the expected increase in the firm’s value resulting from a proposed investment (Ross et al., 2022). Projects with positive NPV are expected to generate returns that exceed the cost of capital, thereby creating economic value for shareholders. Conversely, projects with negative NPV destroy value and reduce shareholder wealth.</w:t>
      </w:r>
    </w:p>
    <w:p w14:paraId="6BB264B2" w14:textId="77777777" w:rsidR="00B425C1" w:rsidRPr="00B425C1" w:rsidRDefault="00B425C1" w:rsidP="00B425C1">
      <w:pPr>
        <w:spacing w:line="360" w:lineRule="auto"/>
        <w:rPr>
          <w:rFonts w:ascii="Calibri" w:hAnsi="Calibri" w:cs="Calibri"/>
        </w:rPr>
      </w:pPr>
      <w:r w:rsidRPr="00B425C1">
        <w:rPr>
          <w:rFonts w:ascii="Calibri" w:hAnsi="Calibri" w:cs="Calibri"/>
        </w:rPr>
        <w:t>Unlike relative performance measures such as the internal rate of return (IRR), NPV provides an absolute measure of value creation in monetary terms. This is particularly useful when comparing projects of different sizes, durations, or cash flow structures. It also facilitates more strategic decision-making, as managers can prioritise projects that maximise total economic benefit rather than focusing solely on percentage returns.</w:t>
      </w:r>
    </w:p>
    <w:p w14:paraId="35CDEDFC" w14:textId="77777777" w:rsidR="00B425C1" w:rsidRPr="00B425C1" w:rsidRDefault="00B425C1" w:rsidP="00B425C1">
      <w:pPr>
        <w:spacing w:line="360" w:lineRule="auto"/>
        <w:rPr>
          <w:rFonts w:ascii="Calibri" w:hAnsi="Calibri" w:cs="Calibri"/>
        </w:rPr>
      </w:pPr>
      <w:r w:rsidRPr="00B425C1">
        <w:rPr>
          <w:rFonts w:ascii="Calibri" w:hAnsi="Calibri" w:cs="Calibri"/>
        </w:rPr>
        <w:lastRenderedPageBreak/>
        <w:t>Additionally, NPV assumes that interim cash flows are reinvested at the firm’s cost of capital, which generally reflects realistic market conditions. In contrast, IRR assumes reinvestment at the internal rate of return itself, which may be impractical or overly optimistic, particularly for projects with unusually high returns (Damodaran, 2012). By using a consistent reinvestment assumption, NPV provides a more accurate and reliable measure of the project’s contribution to shareholder wealth.</w:t>
      </w:r>
    </w:p>
    <w:p w14:paraId="382FB6FC" w14:textId="68232839" w:rsidR="00B425C1" w:rsidRPr="00B425C1" w:rsidRDefault="00B425C1" w:rsidP="00B425C1">
      <w:pPr>
        <w:spacing w:line="360" w:lineRule="auto"/>
        <w:rPr>
          <w:rFonts w:ascii="Calibri" w:hAnsi="Calibri" w:cs="Calibri"/>
        </w:rPr>
      </w:pPr>
    </w:p>
    <w:p w14:paraId="198BC49B" w14:textId="77777777" w:rsidR="00B425C1" w:rsidRPr="00B425C1" w:rsidRDefault="00B425C1" w:rsidP="00B425C1">
      <w:pPr>
        <w:spacing w:line="360" w:lineRule="auto"/>
        <w:rPr>
          <w:rFonts w:ascii="Calibri" w:hAnsi="Calibri" w:cs="Calibri"/>
        </w:rPr>
      </w:pPr>
      <w:r w:rsidRPr="00B425C1">
        <w:rPr>
          <w:rFonts w:ascii="Calibri" w:hAnsi="Calibri" w:cs="Calibri"/>
        </w:rPr>
        <w:t>4. Implications for Management</w:t>
      </w:r>
    </w:p>
    <w:p w14:paraId="220226BB" w14:textId="77777777" w:rsidR="00B425C1" w:rsidRPr="00B425C1" w:rsidRDefault="00B425C1" w:rsidP="00B425C1">
      <w:pPr>
        <w:spacing w:line="360" w:lineRule="auto"/>
        <w:rPr>
          <w:rFonts w:ascii="Calibri" w:hAnsi="Calibri" w:cs="Calibri"/>
        </w:rPr>
      </w:pPr>
      <w:r w:rsidRPr="00B425C1">
        <w:rPr>
          <w:rFonts w:ascii="Calibri" w:hAnsi="Calibri" w:cs="Calibri"/>
        </w:rPr>
        <w:t>From a strategic management perspective, using NPV as the primary criterion for investment appraisal ensures that capital is allocated efficiently and in line with long-term value creation objectives. NPV provides a framework that integrates risk, taxation, and the timing of cash flows, enabling managers to evaluate projects comprehensively (Petty et al., 2015).</w:t>
      </w:r>
    </w:p>
    <w:p w14:paraId="4794A528" w14:textId="77777777" w:rsidR="00B425C1" w:rsidRPr="00B425C1" w:rsidRDefault="00B425C1" w:rsidP="00B425C1">
      <w:pPr>
        <w:spacing w:line="360" w:lineRule="auto"/>
        <w:rPr>
          <w:rFonts w:ascii="Calibri" w:hAnsi="Calibri" w:cs="Calibri"/>
        </w:rPr>
      </w:pPr>
      <w:r w:rsidRPr="00B425C1">
        <w:rPr>
          <w:rFonts w:ascii="Calibri" w:hAnsi="Calibri" w:cs="Calibri"/>
        </w:rPr>
        <w:t>The use of NPV facilitates prioritisation among competing investment opportunities, ensuring that resources are directed toward projects that enhance long-term financial performance. It also supports disciplined capital budgeting by discouraging investments that do not meet the firm’s required return threshold. Ultimately, NPV helps align managerial decisions with shareholder interests, providing a clear, quantifiable basis for evaluating the economic impact of capital projects.</w:t>
      </w:r>
    </w:p>
    <w:p w14:paraId="2C90C57A" w14:textId="4C8A13B7" w:rsidR="00B425C1" w:rsidRPr="00B425C1" w:rsidRDefault="00B425C1" w:rsidP="00B425C1">
      <w:pPr>
        <w:spacing w:line="360" w:lineRule="auto"/>
        <w:rPr>
          <w:rFonts w:ascii="Calibri" w:hAnsi="Calibri" w:cs="Calibri"/>
        </w:rPr>
      </w:pPr>
    </w:p>
    <w:p w14:paraId="48F499E9" w14:textId="77777777" w:rsidR="00B425C1" w:rsidRPr="00B425C1" w:rsidRDefault="00B425C1" w:rsidP="00B425C1">
      <w:pPr>
        <w:spacing w:line="360" w:lineRule="auto"/>
        <w:rPr>
          <w:rFonts w:ascii="Calibri" w:hAnsi="Calibri" w:cs="Calibri"/>
        </w:rPr>
      </w:pPr>
      <w:r w:rsidRPr="00B425C1">
        <w:rPr>
          <w:rFonts w:ascii="Calibri" w:hAnsi="Calibri" w:cs="Calibri"/>
        </w:rPr>
        <w:t>5. Reasons Managers Continue to Use Non-Discounting Investment Appraisal Methods</w:t>
      </w:r>
    </w:p>
    <w:p w14:paraId="6AC14926" w14:textId="77777777" w:rsidR="00B425C1" w:rsidRPr="00B425C1" w:rsidRDefault="00B425C1" w:rsidP="00B425C1">
      <w:pPr>
        <w:spacing w:line="360" w:lineRule="auto"/>
        <w:rPr>
          <w:rFonts w:ascii="Calibri" w:hAnsi="Calibri" w:cs="Calibri"/>
        </w:rPr>
      </w:pPr>
      <w:r w:rsidRPr="00B425C1">
        <w:rPr>
          <w:rFonts w:ascii="Calibri" w:hAnsi="Calibri" w:cs="Calibri"/>
        </w:rPr>
        <w:t>Despite the theoretical advantages of NPV, many managers continue to rely on non-discounting methods such as the payback period and accounting rate of return (ARR). This is largely due to practical considerations, including simplicity, speed of calculation, and ease of communication with non-financial stakeholders (Arnold, 2013).</w:t>
      </w:r>
    </w:p>
    <w:p w14:paraId="142017EA" w14:textId="77777777" w:rsidR="00B425C1" w:rsidRPr="00B425C1" w:rsidRDefault="00B425C1" w:rsidP="00B425C1">
      <w:pPr>
        <w:spacing w:line="360" w:lineRule="auto"/>
        <w:rPr>
          <w:rFonts w:ascii="Calibri" w:hAnsi="Calibri" w:cs="Calibri"/>
        </w:rPr>
      </w:pPr>
      <w:r w:rsidRPr="00B425C1">
        <w:rPr>
          <w:rFonts w:ascii="Calibri" w:hAnsi="Calibri" w:cs="Calibri"/>
        </w:rPr>
        <w:t>5.1 Payback Period</w:t>
      </w:r>
    </w:p>
    <w:p w14:paraId="2E422F12" w14:textId="77777777" w:rsidR="00B425C1" w:rsidRPr="00B425C1" w:rsidRDefault="00B425C1" w:rsidP="00B425C1">
      <w:pPr>
        <w:spacing w:line="360" w:lineRule="auto"/>
        <w:rPr>
          <w:rFonts w:ascii="Calibri" w:hAnsi="Calibri" w:cs="Calibri"/>
        </w:rPr>
      </w:pPr>
      <w:r w:rsidRPr="00B425C1">
        <w:rPr>
          <w:rFonts w:ascii="Calibri" w:hAnsi="Calibri" w:cs="Calibri"/>
        </w:rPr>
        <w:t xml:space="preserve">The payback period measures the time required for an investment to recover its initial outlay through net cash inflows. Managers often use this method as a preliminary screening tool, </w:t>
      </w:r>
      <w:r w:rsidRPr="00B425C1">
        <w:rPr>
          <w:rFonts w:ascii="Calibri" w:hAnsi="Calibri" w:cs="Calibri"/>
        </w:rPr>
        <w:lastRenderedPageBreak/>
        <w:t>particularly in environments characterised by capital constraints or uncertainty (</w:t>
      </w:r>
      <w:proofErr w:type="spellStart"/>
      <w:r w:rsidRPr="00B425C1">
        <w:rPr>
          <w:rFonts w:ascii="Calibri" w:hAnsi="Calibri" w:cs="Calibri"/>
        </w:rPr>
        <w:t>Atrill</w:t>
      </w:r>
      <w:proofErr w:type="spellEnd"/>
      <w:r w:rsidRPr="00B425C1">
        <w:rPr>
          <w:rFonts w:ascii="Calibri" w:hAnsi="Calibri" w:cs="Calibri"/>
        </w:rPr>
        <w:t xml:space="preserve"> and McLaney, 2019).</w:t>
      </w:r>
    </w:p>
    <w:p w14:paraId="3C148ED2" w14:textId="77777777" w:rsidR="00B425C1" w:rsidRPr="00B425C1" w:rsidRDefault="00B425C1" w:rsidP="00B425C1">
      <w:pPr>
        <w:spacing w:line="360" w:lineRule="auto"/>
        <w:rPr>
          <w:rFonts w:ascii="Calibri" w:hAnsi="Calibri" w:cs="Calibri"/>
        </w:rPr>
      </w:pPr>
      <w:r w:rsidRPr="00B425C1">
        <w:rPr>
          <w:rFonts w:ascii="Calibri" w:hAnsi="Calibri" w:cs="Calibri"/>
        </w:rPr>
        <w:t>Its main advantage is its focus on liquidity and risk. Projects with shorter payback periods are perceived as less risky because the initial investment is recovered more quickly, reducing exposure to future uncertainty. This is particularly valuable in industries such as FMCG or technology, where market conditions can change rapidly (Lumby and Jones, 2015).</w:t>
      </w:r>
    </w:p>
    <w:p w14:paraId="7BB7DA7D" w14:textId="77777777" w:rsidR="00B425C1" w:rsidRPr="00B425C1" w:rsidRDefault="00B425C1" w:rsidP="00B425C1">
      <w:pPr>
        <w:spacing w:line="360" w:lineRule="auto"/>
        <w:rPr>
          <w:rFonts w:ascii="Calibri" w:hAnsi="Calibri" w:cs="Calibri"/>
        </w:rPr>
      </w:pPr>
      <w:r w:rsidRPr="00B425C1">
        <w:rPr>
          <w:rFonts w:ascii="Calibri" w:hAnsi="Calibri" w:cs="Calibri"/>
        </w:rPr>
        <w:t>However, the payback method has significant limitations. It ignores cash flows that occur after the payback period and does not account for the time value of money, which can result in suboptimal investment decisions. While useful for initial project screening, it should not serve as the sole basis for investment appraisal (Brealey et al., 2020).</w:t>
      </w:r>
    </w:p>
    <w:p w14:paraId="5745E332" w14:textId="77777777" w:rsidR="00B425C1" w:rsidRPr="00B425C1" w:rsidRDefault="00B425C1" w:rsidP="00B425C1">
      <w:pPr>
        <w:spacing w:line="360" w:lineRule="auto"/>
        <w:rPr>
          <w:rFonts w:ascii="Calibri" w:hAnsi="Calibri" w:cs="Calibri"/>
        </w:rPr>
      </w:pPr>
      <w:r w:rsidRPr="00B425C1">
        <w:rPr>
          <w:rFonts w:ascii="Calibri" w:hAnsi="Calibri" w:cs="Calibri"/>
        </w:rPr>
        <w:t>5.2 Accounting Rate of Return (ARR)</w:t>
      </w:r>
    </w:p>
    <w:p w14:paraId="2F29E3AF" w14:textId="77777777" w:rsidR="00B425C1" w:rsidRPr="00B425C1" w:rsidRDefault="00B425C1" w:rsidP="00B425C1">
      <w:pPr>
        <w:spacing w:line="360" w:lineRule="auto"/>
        <w:rPr>
          <w:rFonts w:ascii="Calibri" w:hAnsi="Calibri" w:cs="Calibri"/>
        </w:rPr>
      </w:pPr>
      <w:r w:rsidRPr="00B425C1">
        <w:rPr>
          <w:rFonts w:ascii="Calibri" w:hAnsi="Calibri" w:cs="Calibri"/>
        </w:rPr>
        <w:t>ARR calculates the ratio of average accounting profit to the average investment in a project. Managers often prefer ARR because it is simple, familiar, and closely aligned with internal financial reporting metrics (Pike and Neale, 2016).</w:t>
      </w:r>
    </w:p>
    <w:p w14:paraId="75108757" w14:textId="77777777" w:rsidR="00B425C1" w:rsidRPr="00B425C1" w:rsidRDefault="00B425C1" w:rsidP="00B425C1">
      <w:pPr>
        <w:spacing w:line="360" w:lineRule="auto"/>
        <w:rPr>
          <w:rFonts w:ascii="Calibri" w:hAnsi="Calibri" w:cs="Calibri"/>
        </w:rPr>
      </w:pPr>
      <w:r w:rsidRPr="00B425C1">
        <w:rPr>
          <w:rFonts w:ascii="Calibri" w:hAnsi="Calibri" w:cs="Calibri"/>
        </w:rPr>
        <w:t>ARR is easy to communicate to stakeholders and is consistent with accounting-based performance measures such as return on capital employed (ROCE). However, ARR suffers from conceptual limitations, including reliance on accounting profit rather than cash flows and the failure to consider the timing of returns. Like the payback period, ARR does not account for the time value of money, making it theoretically inferior to NPV (Ross et al., 2022).</w:t>
      </w:r>
    </w:p>
    <w:p w14:paraId="1624FB7C" w14:textId="77777777" w:rsidR="00B425C1" w:rsidRPr="00B425C1" w:rsidRDefault="00B425C1" w:rsidP="00B425C1">
      <w:pPr>
        <w:spacing w:line="360" w:lineRule="auto"/>
        <w:rPr>
          <w:rFonts w:ascii="Calibri" w:hAnsi="Calibri" w:cs="Calibri"/>
        </w:rPr>
      </w:pPr>
      <w:r w:rsidRPr="00B425C1">
        <w:rPr>
          <w:rFonts w:ascii="Calibri" w:hAnsi="Calibri" w:cs="Calibri"/>
        </w:rPr>
        <w:t>5.3 Why Non-Discounting Methods Remain Popular</w:t>
      </w:r>
    </w:p>
    <w:p w14:paraId="23D086A9" w14:textId="77777777" w:rsidR="00B425C1" w:rsidRPr="00B425C1" w:rsidRDefault="00B425C1" w:rsidP="00B425C1">
      <w:pPr>
        <w:spacing w:line="360" w:lineRule="auto"/>
        <w:rPr>
          <w:rFonts w:ascii="Calibri" w:hAnsi="Calibri" w:cs="Calibri"/>
        </w:rPr>
      </w:pPr>
      <w:r w:rsidRPr="00B425C1">
        <w:rPr>
          <w:rFonts w:ascii="Calibri" w:hAnsi="Calibri" w:cs="Calibri"/>
        </w:rPr>
        <w:t>The continued use of non-discounting methods can be explained by behavioural and organisational factors. Their simplicity and transparency make them easier to explain to non-financial stakeholders, while their speed allows managers to quickly eliminate clearly unattractive projects before applying more sophisticated techniques (Graham and Harvey, 2001).</w:t>
      </w:r>
    </w:p>
    <w:p w14:paraId="11CAC73B" w14:textId="77777777" w:rsidR="00B425C1" w:rsidRPr="00B425C1" w:rsidRDefault="00B425C1" w:rsidP="00B425C1">
      <w:pPr>
        <w:spacing w:line="360" w:lineRule="auto"/>
        <w:rPr>
          <w:rFonts w:ascii="Calibri" w:hAnsi="Calibri" w:cs="Calibri"/>
        </w:rPr>
      </w:pPr>
      <w:r w:rsidRPr="00B425C1">
        <w:rPr>
          <w:rFonts w:ascii="Calibri" w:hAnsi="Calibri" w:cs="Calibri"/>
        </w:rPr>
        <w:t xml:space="preserve">Managerial incentives often emphasise accounting-based performance metrics, which can encourage reliance on ARR. Empirical studies indicate that firms frequently apply multiple appraisal methods simultaneously, combining non-discounting techniques with NPV to </w:t>
      </w:r>
      <w:r w:rsidRPr="00B425C1">
        <w:rPr>
          <w:rFonts w:ascii="Calibri" w:hAnsi="Calibri" w:cs="Calibri"/>
        </w:rPr>
        <w:lastRenderedPageBreak/>
        <w:t>balance theoretical accuracy and practical convenience (</w:t>
      </w:r>
      <w:proofErr w:type="spellStart"/>
      <w:r w:rsidRPr="00B425C1">
        <w:rPr>
          <w:rFonts w:ascii="Calibri" w:hAnsi="Calibri" w:cs="Calibri"/>
        </w:rPr>
        <w:t>Brounen</w:t>
      </w:r>
      <w:proofErr w:type="spellEnd"/>
      <w:r w:rsidRPr="00B425C1">
        <w:rPr>
          <w:rFonts w:ascii="Calibri" w:hAnsi="Calibri" w:cs="Calibri"/>
        </w:rPr>
        <w:t xml:space="preserve"> et al., 2004). While these methods are less precise, their continued use reflects managerial priorities rather than financial optimality.</w:t>
      </w:r>
    </w:p>
    <w:p w14:paraId="2B49E100" w14:textId="176659A7" w:rsidR="00B425C1" w:rsidRPr="00B425C1" w:rsidRDefault="00B425C1" w:rsidP="00B425C1">
      <w:pPr>
        <w:spacing w:line="360" w:lineRule="auto"/>
        <w:rPr>
          <w:rFonts w:ascii="Calibri" w:hAnsi="Calibri" w:cs="Calibri"/>
        </w:rPr>
      </w:pPr>
    </w:p>
    <w:p w14:paraId="4C498A2D" w14:textId="77777777" w:rsidR="00B425C1" w:rsidRPr="00B425C1" w:rsidRDefault="00B425C1" w:rsidP="00B425C1">
      <w:pPr>
        <w:spacing w:line="360" w:lineRule="auto"/>
        <w:rPr>
          <w:rFonts w:ascii="Calibri" w:hAnsi="Calibri" w:cs="Calibri"/>
        </w:rPr>
      </w:pPr>
      <w:r w:rsidRPr="00B425C1">
        <w:rPr>
          <w:rFonts w:ascii="Calibri" w:hAnsi="Calibri" w:cs="Calibri"/>
        </w:rPr>
        <w:t>6. Additional Factors in Capital Investment Decisions</w:t>
      </w:r>
    </w:p>
    <w:p w14:paraId="3C46BDA2" w14:textId="77777777" w:rsidR="00B425C1" w:rsidRPr="00B425C1" w:rsidRDefault="00B425C1" w:rsidP="00B425C1">
      <w:pPr>
        <w:spacing w:line="360" w:lineRule="auto"/>
        <w:rPr>
          <w:rFonts w:ascii="Calibri" w:hAnsi="Calibri" w:cs="Calibri"/>
        </w:rPr>
      </w:pPr>
      <w:r w:rsidRPr="00B425C1">
        <w:rPr>
          <w:rFonts w:ascii="Calibri" w:hAnsi="Calibri" w:cs="Calibri"/>
        </w:rPr>
        <w:t>While NPV provides a rigorous quantitative foundation for investment appraisal, decisions should not be based solely on financial metrics. Qualitative and strategic considerations are critical to ensuring long-term project success (Brealey et al., 2020).</w:t>
      </w:r>
    </w:p>
    <w:p w14:paraId="00E5CF2A" w14:textId="77777777" w:rsidR="00B425C1" w:rsidRPr="00B425C1" w:rsidRDefault="00B425C1" w:rsidP="00B425C1">
      <w:pPr>
        <w:spacing w:line="360" w:lineRule="auto"/>
        <w:rPr>
          <w:rFonts w:ascii="Calibri" w:hAnsi="Calibri" w:cs="Calibri"/>
        </w:rPr>
      </w:pPr>
      <w:r w:rsidRPr="00B425C1">
        <w:rPr>
          <w:rFonts w:ascii="Calibri" w:hAnsi="Calibri" w:cs="Calibri"/>
        </w:rPr>
        <w:t>6.1 Risk</w:t>
      </w:r>
    </w:p>
    <w:p w14:paraId="0B493389" w14:textId="77777777" w:rsidR="00B425C1" w:rsidRPr="00B425C1" w:rsidRDefault="00B425C1" w:rsidP="00B425C1">
      <w:pPr>
        <w:spacing w:line="360" w:lineRule="auto"/>
        <w:rPr>
          <w:rFonts w:ascii="Calibri" w:hAnsi="Calibri" w:cs="Calibri"/>
        </w:rPr>
      </w:pPr>
      <w:r w:rsidRPr="00B425C1">
        <w:rPr>
          <w:rFonts w:ascii="Calibri" w:hAnsi="Calibri" w:cs="Calibri"/>
        </w:rPr>
        <w:t>Risk reflects the uncertainty surrounding future cash flows and the possibility that actual outcomes may differ from forecasts. Even projects with positive NPV can underperform if risks are underestimated or poorly managed. Sources of risk include economic volatility, competitive pressures, technological changes, and operational disruptions (Arnold, 2013).</w:t>
      </w:r>
    </w:p>
    <w:p w14:paraId="124AC7DF" w14:textId="77777777" w:rsidR="00B425C1" w:rsidRPr="00B425C1" w:rsidRDefault="00B425C1" w:rsidP="00B425C1">
      <w:pPr>
        <w:spacing w:line="360" w:lineRule="auto"/>
        <w:rPr>
          <w:rFonts w:ascii="Calibri" w:hAnsi="Calibri" w:cs="Calibri"/>
        </w:rPr>
      </w:pPr>
      <w:r w:rsidRPr="00B425C1">
        <w:rPr>
          <w:rFonts w:ascii="Calibri" w:hAnsi="Calibri" w:cs="Calibri"/>
        </w:rPr>
        <w:t>Managers address risk through sensitivity analysis, scenario planning, and adjustments to discount rates for higher-risk projects. Not all risks can be quantified, however, and operational or strategic risks, such as reputational damage or supply chain failures, require managerial judgment beyond financial models (Damodaran, 2012). Understanding a project’s risk profile is essential to ensure that expected returns compensate adequately for uncertainty.</w:t>
      </w:r>
    </w:p>
    <w:p w14:paraId="59E25E5C" w14:textId="77777777" w:rsidR="00B425C1" w:rsidRPr="00B425C1" w:rsidRDefault="00B425C1" w:rsidP="00B425C1">
      <w:pPr>
        <w:spacing w:line="360" w:lineRule="auto"/>
        <w:rPr>
          <w:rFonts w:ascii="Calibri" w:hAnsi="Calibri" w:cs="Calibri"/>
        </w:rPr>
      </w:pPr>
      <w:r w:rsidRPr="00B425C1">
        <w:rPr>
          <w:rFonts w:ascii="Calibri" w:hAnsi="Calibri" w:cs="Calibri"/>
        </w:rPr>
        <w:t>6.2 Market Demand</w:t>
      </w:r>
    </w:p>
    <w:p w14:paraId="5C4AD549" w14:textId="77777777" w:rsidR="00B425C1" w:rsidRPr="00B425C1" w:rsidRDefault="00B425C1" w:rsidP="00B425C1">
      <w:pPr>
        <w:spacing w:line="360" w:lineRule="auto"/>
        <w:rPr>
          <w:rFonts w:ascii="Calibri" w:hAnsi="Calibri" w:cs="Calibri"/>
        </w:rPr>
      </w:pPr>
      <w:r w:rsidRPr="00B425C1">
        <w:rPr>
          <w:rFonts w:ascii="Calibri" w:hAnsi="Calibri" w:cs="Calibri"/>
        </w:rPr>
        <w:t>The success of an investment depends on its ability to generate sustainable demand. Cash flow forecasts are based on assumptions regarding customer behaviour, pricing strategies, and competitive dynamics. Overestimating demand can result in projects failing to achieve expected returns, despite sound financial planning (Kotler and Keller, 2016).</w:t>
      </w:r>
    </w:p>
    <w:p w14:paraId="3DE53C38" w14:textId="77777777" w:rsidR="00B425C1" w:rsidRPr="00B425C1" w:rsidRDefault="00B425C1" w:rsidP="00B425C1">
      <w:pPr>
        <w:spacing w:line="360" w:lineRule="auto"/>
        <w:rPr>
          <w:rFonts w:ascii="Calibri" w:hAnsi="Calibri" w:cs="Calibri"/>
        </w:rPr>
      </w:pPr>
      <w:r w:rsidRPr="00B425C1">
        <w:rPr>
          <w:rFonts w:ascii="Calibri" w:hAnsi="Calibri" w:cs="Calibri"/>
        </w:rPr>
        <w:t xml:space="preserve">To mitigate this, financial analysis should be complemented by market research, competitor analysis, and insights into consumer behaviour. Shifts in consumer preferences, technological substitution, and market saturation can all undermine revenue forecasts. </w:t>
      </w:r>
      <w:r w:rsidRPr="00B425C1">
        <w:rPr>
          <w:rFonts w:ascii="Calibri" w:hAnsi="Calibri" w:cs="Calibri"/>
        </w:rPr>
        <w:lastRenderedPageBreak/>
        <w:t>Accurate demand estimation is therefore a critical factor in capital investment decisions (Grant, 2019).</w:t>
      </w:r>
    </w:p>
    <w:p w14:paraId="1E43FCFF" w14:textId="77777777" w:rsidR="00B425C1" w:rsidRPr="00B425C1" w:rsidRDefault="00B425C1" w:rsidP="00B425C1">
      <w:pPr>
        <w:spacing w:line="360" w:lineRule="auto"/>
        <w:rPr>
          <w:rFonts w:ascii="Calibri" w:hAnsi="Calibri" w:cs="Calibri"/>
        </w:rPr>
      </w:pPr>
      <w:r w:rsidRPr="00B425C1">
        <w:rPr>
          <w:rFonts w:ascii="Calibri" w:hAnsi="Calibri" w:cs="Calibri"/>
        </w:rPr>
        <w:t>6.3 Strategic Fit</w:t>
      </w:r>
    </w:p>
    <w:p w14:paraId="314D9582" w14:textId="77777777" w:rsidR="00B425C1" w:rsidRPr="00B425C1" w:rsidRDefault="00B425C1" w:rsidP="00B425C1">
      <w:pPr>
        <w:spacing w:line="360" w:lineRule="auto"/>
        <w:rPr>
          <w:rFonts w:ascii="Calibri" w:hAnsi="Calibri" w:cs="Calibri"/>
        </w:rPr>
      </w:pPr>
      <w:r w:rsidRPr="00B425C1">
        <w:rPr>
          <w:rFonts w:ascii="Calibri" w:hAnsi="Calibri" w:cs="Calibri"/>
        </w:rPr>
        <w:t>Strategic fit refers to the alignment of an investment with the firm’s long-term objectives, core competencies, and competitive strategy. Projects that generate strong financial returns but do not support strategic priorities may divert resources from higher-value initiatives and weaken the company’s competitive position (Johnson et al., 2020).</w:t>
      </w:r>
    </w:p>
    <w:p w14:paraId="086D7206" w14:textId="77777777" w:rsidR="00B425C1" w:rsidRPr="00B425C1" w:rsidRDefault="00B425C1" w:rsidP="00B425C1">
      <w:pPr>
        <w:spacing w:line="360" w:lineRule="auto"/>
        <w:rPr>
          <w:rFonts w:ascii="Calibri" w:hAnsi="Calibri" w:cs="Calibri"/>
        </w:rPr>
      </w:pPr>
      <w:r w:rsidRPr="00B425C1">
        <w:rPr>
          <w:rFonts w:ascii="Calibri" w:hAnsi="Calibri" w:cs="Calibri"/>
        </w:rPr>
        <w:t>Conversely, investments aligned with strategic goals, such as innovation, market expansion, or brand development, may be justified even if short-term financial returns are modest. Ensuring strategic alignment guarantees that capital allocation contributes to sustainable competitive advantage rather than focusing solely on short-term profitability (Porter, 2008).</w:t>
      </w:r>
    </w:p>
    <w:p w14:paraId="69BC02D4" w14:textId="10C602CE" w:rsidR="00B425C1" w:rsidRPr="00B425C1" w:rsidRDefault="00B425C1" w:rsidP="00B425C1">
      <w:pPr>
        <w:spacing w:line="360" w:lineRule="auto"/>
        <w:rPr>
          <w:rFonts w:ascii="Calibri" w:hAnsi="Calibri" w:cs="Calibri"/>
        </w:rPr>
      </w:pPr>
    </w:p>
    <w:p w14:paraId="6CC57720" w14:textId="77777777" w:rsidR="00B425C1" w:rsidRPr="00B425C1" w:rsidRDefault="00B425C1" w:rsidP="00B425C1">
      <w:pPr>
        <w:spacing w:line="360" w:lineRule="auto"/>
        <w:rPr>
          <w:rFonts w:ascii="Calibri" w:hAnsi="Calibri" w:cs="Calibri"/>
        </w:rPr>
      </w:pPr>
      <w:r w:rsidRPr="00B425C1">
        <w:rPr>
          <w:rFonts w:ascii="Calibri" w:hAnsi="Calibri" w:cs="Calibri"/>
        </w:rPr>
        <w:t>7. Conclusion</w:t>
      </w:r>
    </w:p>
    <w:p w14:paraId="6E77E6FB" w14:textId="77777777" w:rsidR="00B425C1" w:rsidRPr="00B425C1" w:rsidRDefault="00B425C1" w:rsidP="00B425C1">
      <w:pPr>
        <w:spacing w:line="360" w:lineRule="auto"/>
        <w:rPr>
          <w:rFonts w:ascii="Calibri" w:hAnsi="Calibri" w:cs="Calibri"/>
        </w:rPr>
      </w:pPr>
      <w:r w:rsidRPr="00B425C1">
        <w:rPr>
          <w:rFonts w:ascii="Calibri" w:hAnsi="Calibri" w:cs="Calibri"/>
        </w:rPr>
        <w:t>In conclusion, Net Present Value (NPV) is the most theoretically robust and practically reliable method for evaluating capital investments. By accounting for the time value of money, aligning with the objective of shareholder wealth maximisation, and providing an absolute measure of value creation, NPV offers managers a clear, consistent basis for decision-making (Brealey et al., 2020; Ross et al., 2022).</w:t>
      </w:r>
    </w:p>
    <w:p w14:paraId="08E51BCE" w14:textId="77777777" w:rsidR="00B425C1" w:rsidRPr="00B425C1" w:rsidRDefault="00B425C1" w:rsidP="00B425C1">
      <w:pPr>
        <w:spacing w:line="360" w:lineRule="auto"/>
        <w:rPr>
          <w:rFonts w:ascii="Calibri" w:hAnsi="Calibri" w:cs="Calibri"/>
        </w:rPr>
      </w:pPr>
      <w:r w:rsidRPr="00B425C1">
        <w:rPr>
          <w:rFonts w:ascii="Calibri" w:hAnsi="Calibri" w:cs="Calibri"/>
        </w:rPr>
        <w:t>While non-discounting methods such as the payback period and ARR remain popular due to their simplicity and ease of communication, they should serve only as supplementary tools. A comprehensive investment appraisal should also consider qualitative factors such as risk, market demand, and strategic fit to ensure long-term project success (Arnold, 2013; Kotler and Keller, 2016; Johnson et al., 2020).</w:t>
      </w:r>
    </w:p>
    <w:p w14:paraId="5868619C" w14:textId="77777777" w:rsidR="00B425C1" w:rsidRPr="00B425C1" w:rsidRDefault="00B425C1" w:rsidP="00B425C1">
      <w:pPr>
        <w:spacing w:line="360" w:lineRule="auto"/>
        <w:rPr>
          <w:rFonts w:ascii="Calibri" w:hAnsi="Calibri" w:cs="Calibri"/>
        </w:rPr>
      </w:pPr>
      <w:r w:rsidRPr="00B425C1">
        <w:rPr>
          <w:rFonts w:ascii="Calibri" w:hAnsi="Calibri" w:cs="Calibri"/>
        </w:rPr>
        <w:t>Integrating rigorous financial evaluation with strategic and market-based judgment allows managers to make well-informed, resilient, and value-enhancing investment decisions, ultimately supporting sustainable growth and long-term shareholder wealth.</w:t>
      </w:r>
    </w:p>
    <w:p w14:paraId="3A86A7B3" w14:textId="77777777" w:rsidR="00BD0682" w:rsidRPr="00B425C1" w:rsidRDefault="00BD0682" w:rsidP="00B425C1">
      <w:pPr>
        <w:spacing w:line="360" w:lineRule="auto"/>
        <w:rPr>
          <w:rFonts w:ascii="Calibri" w:hAnsi="Calibri" w:cs="Calibri"/>
        </w:rPr>
      </w:pPr>
    </w:p>
    <w:p w14:paraId="173E637D" w14:textId="77777777" w:rsidR="00B425C1" w:rsidRDefault="00B425C1" w:rsidP="00B425C1">
      <w:pPr>
        <w:spacing w:line="360" w:lineRule="auto"/>
        <w:rPr>
          <w:rFonts w:ascii="Calibri" w:hAnsi="Calibri" w:cs="Calibri"/>
        </w:rPr>
      </w:pPr>
    </w:p>
    <w:p w14:paraId="4A9F2884" w14:textId="0A270D85" w:rsidR="00BD0682" w:rsidRPr="00B425C1" w:rsidRDefault="00BD0682" w:rsidP="00B425C1">
      <w:pPr>
        <w:spacing w:line="360" w:lineRule="auto"/>
        <w:rPr>
          <w:rFonts w:ascii="Calibri" w:hAnsi="Calibri" w:cs="Calibri"/>
        </w:rPr>
      </w:pPr>
      <w:r w:rsidRPr="00B425C1">
        <w:rPr>
          <w:rFonts w:ascii="Calibri" w:hAnsi="Calibri" w:cs="Calibri"/>
        </w:rPr>
        <w:lastRenderedPageBreak/>
        <w:t>Appendix 1:</w:t>
      </w:r>
    </w:p>
    <w:p w14:paraId="7C344FB5" w14:textId="77777777" w:rsidR="00BD0682" w:rsidRPr="00B425C1" w:rsidRDefault="00BD0682" w:rsidP="00B425C1">
      <w:pPr>
        <w:spacing w:line="360" w:lineRule="auto"/>
        <w:rPr>
          <w:rFonts w:ascii="Calibri" w:hAnsi="Calibri" w:cs="Calibri"/>
        </w:rPr>
      </w:pPr>
    </w:p>
    <w:tbl>
      <w:tblPr>
        <w:tblW w:w="9199" w:type="dxa"/>
        <w:tblCellSpacing w:w="15" w:type="dxa"/>
        <w:tblCellMar>
          <w:top w:w="15" w:type="dxa"/>
          <w:left w:w="15" w:type="dxa"/>
          <w:bottom w:w="15" w:type="dxa"/>
          <w:right w:w="15" w:type="dxa"/>
        </w:tblCellMar>
        <w:tblLook w:val="04A0" w:firstRow="1" w:lastRow="0" w:firstColumn="1" w:lastColumn="0" w:noHBand="0" w:noVBand="1"/>
      </w:tblPr>
      <w:tblGrid>
        <w:gridCol w:w="1266"/>
        <w:gridCol w:w="2146"/>
        <w:gridCol w:w="3877"/>
        <w:gridCol w:w="1060"/>
        <w:gridCol w:w="850"/>
      </w:tblGrid>
      <w:tr w:rsidR="00FB06F3" w:rsidRPr="00B425C1" w14:paraId="3A226759" w14:textId="77777777" w:rsidTr="008563D6">
        <w:trPr>
          <w:tblHeader/>
          <w:tblCellSpacing w:w="15" w:type="dxa"/>
        </w:trPr>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0D854EB5" w14:textId="77777777" w:rsidR="00BD0682" w:rsidRPr="00BD0682" w:rsidRDefault="00BD0682" w:rsidP="00B425C1">
            <w:pPr>
              <w:spacing w:line="360" w:lineRule="auto"/>
              <w:rPr>
                <w:rFonts w:ascii="Calibri" w:hAnsi="Calibri" w:cs="Calibri"/>
              </w:rPr>
            </w:pPr>
            <w:r w:rsidRPr="00BD0682">
              <w:rPr>
                <w:rFonts w:ascii="Calibri" w:hAnsi="Calibri" w:cs="Calibri"/>
              </w:rPr>
              <w:t>Category</w:t>
            </w:r>
          </w:p>
        </w:tc>
        <w:tc>
          <w:tcPr>
            <w:tcW w:w="0" w:type="auto"/>
            <w:tcBorders>
              <w:top w:val="single" w:sz="12" w:space="0" w:color="000000" w:themeColor="text1"/>
              <w:bottom w:val="single" w:sz="12" w:space="0" w:color="000000" w:themeColor="text1"/>
              <w:right w:val="single" w:sz="12" w:space="0" w:color="000000" w:themeColor="text1"/>
            </w:tcBorders>
            <w:vAlign w:val="center"/>
            <w:hideMark/>
          </w:tcPr>
          <w:p w14:paraId="4E29233C" w14:textId="77777777" w:rsidR="00BD0682" w:rsidRPr="00BD0682" w:rsidRDefault="00BD0682" w:rsidP="00B425C1">
            <w:pPr>
              <w:spacing w:line="360" w:lineRule="auto"/>
              <w:rPr>
                <w:rFonts w:ascii="Calibri" w:hAnsi="Calibri" w:cs="Calibri"/>
              </w:rPr>
            </w:pPr>
            <w:r w:rsidRPr="00BD0682">
              <w:rPr>
                <w:rFonts w:ascii="Calibri" w:hAnsi="Calibri" w:cs="Calibri"/>
              </w:rPr>
              <w:t>Ratio</w:t>
            </w:r>
          </w:p>
        </w:tc>
        <w:tc>
          <w:tcPr>
            <w:tcW w:w="0" w:type="auto"/>
            <w:tcBorders>
              <w:top w:val="single" w:sz="12" w:space="0" w:color="000000" w:themeColor="text1"/>
              <w:bottom w:val="single" w:sz="12" w:space="0" w:color="000000" w:themeColor="text1"/>
            </w:tcBorders>
            <w:vAlign w:val="center"/>
            <w:hideMark/>
          </w:tcPr>
          <w:p w14:paraId="1B399874" w14:textId="77777777" w:rsidR="00BD0682" w:rsidRPr="00BD0682" w:rsidRDefault="00BD0682" w:rsidP="00B425C1">
            <w:pPr>
              <w:spacing w:line="360" w:lineRule="auto"/>
              <w:rPr>
                <w:rFonts w:ascii="Calibri" w:hAnsi="Calibri" w:cs="Calibri"/>
              </w:rPr>
            </w:pPr>
            <w:r w:rsidRPr="00BD0682">
              <w:rPr>
                <w:rFonts w:ascii="Calibri" w:hAnsi="Calibri" w:cs="Calibri"/>
              </w:rPr>
              <w:t>Formula (where applicable)</w:t>
            </w:r>
          </w:p>
        </w:tc>
        <w:tc>
          <w:tcPr>
            <w:tcW w:w="1030" w:type="dxa"/>
            <w:tcBorders>
              <w:top w:val="single" w:sz="12" w:space="0" w:color="000000" w:themeColor="text1"/>
              <w:left w:val="single" w:sz="12" w:space="0" w:color="000000" w:themeColor="text1"/>
              <w:bottom w:val="single" w:sz="12" w:space="0" w:color="000000" w:themeColor="text1"/>
            </w:tcBorders>
            <w:vAlign w:val="center"/>
            <w:hideMark/>
          </w:tcPr>
          <w:p w14:paraId="0B9A63F3" w14:textId="77777777" w:rsidR="00BD0682" w:rsidRPr="00BD0682" w:rsidRDefault="00BD0682" w:rsidP="00B425C1">
            <w:pPr>
              <w:spacing w:line="360" w:lineRule="auto"/>
              <w:rPr>
                <w:rFonts w:ascii="Calibri" w:hAnsi="Calibri" w:cs="Calibri"/>
              </w:rPr>
            </w:pPr>
            <w:r w:rsidRPr="00BD0682">
              <w:rPr>
                <w:rFonts w:ascii="Calibri" w:hAnsi="Calibri" w:cs="Calibri"/>
              </w:rPr>
              <w:t>2023</w:t>
            </w:r>
          </w:p>
        </w:tc>
        <w:tc>
          <w:tcPr>
            <w:tcW w:w="8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3CF91188" w14:textId="77777777" w:rsidR="00BD0682" w:rsidRPr="00BD0682" w:rsidRDefault="00BD0682" w:rsidP="00B425C1">
            <w:pPr>
              <w:spacing w:line="360" w:lineRule="auto"/>
              <w:rPr>
                <w:rFonts w:ascii="Calibri" w:hAnsi="Calibri" w:cs="Calibri"/>
              </w:rPr>
            </w:pPr>
            <w:r w:rsidRPr="00BD0682">
              <w:rPr>
                <w:rFonts w:ascii="Calibri" w:hAnsi="Calibri" w:cs="Calibri"/>
              </w:rPr>
              <w:t>2024</w:t>
            </w:r>
          </w:p>
        </w:tc>
      </w:tr>
      <w:tr w:rsidR="00FB06F3" w:rsidRPr="00B425C1" w14:paraId="65A4648B" w14:textId="77777777" w:rsidTr="008563D6">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54E38C1C" w14:textId="77777777" w:rsidR="00BD0682" w:rsidRPr="00BD0682" w:rsidRDefault="00BD0682" w:rsidP="00B425C1">
            <w:pPr>
              <w:spacing w:line="360" w:lineRule="auto"/>
              <w:rPr>
                <w:rFonts w:ascii="Calibri" w:hAnsi="Calibri" w:cs="Calibri"/>
              </w:rPr>
            </w:pPr>
            <w:r w:rsidRPr="00BD0682">
              <w:rPr>
                <w:rFonts w:ascii="Calibri" w:hAnsi="Calibri" w:cs="Calibri"/>
              </w:rPr>
              <w:t>Profitability</w:t>
            </w:r>
          </w:p>
        </w:tc>
        <w:tc>
          <w:tcPr>
            <w:tcW w:w="0" w:type="auto"/>
            <w:tcBorders>
              <w:bottom w:val="single" w:sz="12" w:space="0" w:color="000000" w:themeColor="text1"/>
              <w:right w:val="single" w:sz="12" w:space="0" w:color="000000" w:themeColor="text1"/>
            </w:tcBorders>
            <w:vAlign w:val="center"/>
            <w:hideMark/>
          </w:tcPr>
          <w:p w14:paraId="3882F2A7" w14:textId="77777777" w:rsidR="00BD0682" w:rsidRPr="00BD0682" w:rsidRDefault="00BD0682" w:rsidP="00B425C1">
            <w:pPr>
              <w:spacing w:line="360" w:lineRule="auto"/>
              <w:rPr>
                <w:rFonts w:ascii="Calibri" w:hAnsi="Calibri" w:cs="Calibri"/>
              </w:rPr>
            </w:pPr>
            <w:r w:rsidRPr="00BD0682">
              <w:rPr>
                <w:rFonts w:ascii="Calibri" w:hAnsi="Calibri" w:cs="Calibri"/>
              </w:rPr>
              <w:t>Operating Profit Margin</w:t>
            </w:r>
          </w:p>
        </w:tc>
        <w:tc>
          <w:tcPr>
            <w:tcW w:w="0" w:type="auto"/>
            <w:tcBorders>
              <w:bottom w:val="single" w:sz="12" w:space="0" w:color="000000" w:themeColor="text1"/>
            </w:tcBorders>
            <w:vAlign w:val="center"/>
            <w:hideMark/>
          </w:tcPr>
          <w:p w14:paraId="12A3BA67" w14:textId="77777777" w:rsidR="00BD0682" w:rsidRPr="00BD0682" w:rsidRDefault="00BD0682" w:rsidP="00B425C1">
            <w:pPr>
              <w:spacing w:line="360" w:lineRule="auto"/>
              <w:rPr>
                <w:rFonts w:ascii="Calibri" w:hAnsi="Calibri" w:cs="Calibri"/>
              </w:rPr>
            </w:pPr>
            <w:r w:rsidRPr="00BD0682">
              <w:rPr>
                <w:rFonts w:ascii="Calibri" w:hAnsi="Calibri" w:cs="Calibri"/>
              </w:rPr>
              <w:t>Operating Profit ÷ Revenue</w:t>
            </w:r>
          </w:p>
        </w:tc>
        <w:tc>
          <w:tcPr>
            <w:tcW w:w="1030" w:type="dxa"/>
            <w:tcBorders>
              <w:left w:val="single" w:sz="12" w:space="0" w:color="000000" w:themeColor="text1"/>
              <w:bottom w:val="single" w:sz="12" w:space="0" w:color="000000" w:themeColor="text1"/>
            </w:tcBorders>
            <w:vAlign w:val="center"/>
            <w:hideMark/>
          </w:tcPr>
          <w:p w14:paraId="2E32AAB4" w14:textId="77777777" w:rsidR="00BD0682" w:rsidRPr="00BD0682" w:rsidRDefault="00BD0682" w:rsidP="00B425C1">
            <w:pPr>
              <w:spacing w:line="360" w:lineRule="auto"/>
              <w:rPr>
                <w:rFonts w:ascii="Calibri" w:hAnsi="Calibri" w:cs="Calibri"/>
              </w:rPr>
            </w:pPr>
            <w:r w:rsidRPr="00BD0682">
              <w:rPr>
                <w:rFonts w:ascii="Calibri" w:hAnsi="Calibri" w:cs="Calibri"/>
              </w:rPr>
              <w:t>16.4%</w:t>
            </w:r>
          </w:p>
        </w:tc>
        <w:tc>
          <w:tcPr>
            <w:tcW w:w="805" w:type="dxa"/>
            <w:tcBorders>
              <w:left w:val="single" w:sz="12" w:space="0" w:color="000000" w:themeColor="text1"/>
              <w:bottom w:val="single" w:sz="12" w:space="0" w:color="000000" w:themeColor="text1"/>
              <w:right w:val="single" w:sz="12" w:space="0" w:color="000000" w:themeColor="text1"/>
            </w:tcBorders>
            <w:vAlign w:val="center"/>
            <w:hideMark/>
          </w:tcPr>
          <w:p w14:paraId="68CB9873" w14:textId="77777777" w:rsidR="00BD0682" w:rsidRPr="00BD0682" w:rsidRDefault="00BD0682" w:rsidP="00B425C1">
            <w:pPr>
              <w:spacing w:line="360" w:lineRule="auto"/>
              <w:rPr>
                <w:rFonts w:ascii="Calibri" w:hAnsi="Calibri" w:cs="Calibri"/>
              </w:rPr>
            </w:pPr>
            <w:r w:rsidRPr="00BD0682">
              <w:rPr>
                <w:rFonts w:ascii="Calibri" w:hAnsi="Calibri" w:cs="Calibri"/>
              </w:rPr>
              <w:t>15.5%</w:t>
            </w:r>
          </w:p>
        </w:tc>
      </w:tr>
      <w:tr w:rsidR="00FB06F3" w:rsidRPr="00B425C1" w14:paraId="751F07C1" w14:textId="77777777" w:rsidTr="008563D6">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6EB2107E" w14:textId="77777777" w:rsidR="00BD0682" w:rsidRPr="00BD0682" w:rsidRDefault="00BD0682" w:rsidP="00B425C1">
            <w:pPr>
              <w:spacing w:line="360" w:lineRule="auto"/>
              <w:rPr>
                <w:rFonts w:ascii="Calibri" w:hAnsi="Calibri" w:cs="Calibri"/>
              </w:rPr>
            </w:pPr>
          </w:p>
        </w:tc>
        <w:tc>
          <w:tcPr>
            <w:tcW w:w="0" w:type="auto"/>
            <w:tcBorders>
              <w:bottom w:val="single" w:sz="12" w:space="0" w:color="000000" w:themeColor="text1"/>
              <w:right w:val="single" w:sz="12" w:space="0" w:color="000000" w:themeColor="text1"/>
            </w:tcBorders>
            <w:vAlign w:val="center"/>
            <w:hideMark/>
          </w:tcPr>
          <w:p w14:paraId="402FB679" w14:textId="77777777" w:rsidR="00BD0682" w:rsidRPr="00BD0682" w:rsidRDefault="00BD0682" w:rsidP="00B425C1">
            <w:pPr>
              <w:spacing w:line="360" w:lineRule="auto"/>
              <w:rPr>
                <w:rFonts w:ascii="Calibri" w:hAnsi="Calibri" w:cs="Calibri"/>
              </w:rPr>
            </w:pPr>
            <w:r w:rsidRPr="00BD0682">
              <w:rPr>
                <w:rFonts w:ascii="Calibri" w:hAnsi="Calibri" w:cs="Calibri"/>
              </w:rPr>
              <w:t>Net Profit Margin</w:t>
            </w:r>
          </w:p>
        </w:tc>
        <w:tc>
          <w:tcPr>
            <w:tcW w:w="0" w:type="auto"/>
            <w:tcBorders>
              <w:bottom w:val="single" w:sz="12" w:space="0" w:color="000000" w:themeColor="text1"/>
            </w:tcBorders>
            <w:vAlign w:val="center"/>
            <w:hideMark/>
          </w:tcPr>
          <w:p w14:paraId="01780DD0" w14:textId="77777777" w:rsidR="00BD0682" w:rsidRPr="00BD0682" w:rsidRDefault="00BD0682" w:rsidP="00B425C1">
            <w:pPr>
              <w:spacing w:line="360" w:lineRule="auto"/>
              <w:rPr>
                <w:rFonts w:ascii="Calibri" w:hAnsi="Calibri" w:cs="Calibri"/>
              </w:rPr>
            </w:pPr>
            <w:r w:rsidRPr="00BD0682">
              <w:rPr>
                <w:rFonts w:ascii="Calibri" w:hAnsi="Calibri" w:cs="Calibri"/>
              </w:rPr>
              <w:t>Net Profit ÷ Revenue</w:t>
            </w:r>
          </w:p>
        </w:tc>
        <w:tc>
          <w:tcPr>
            <w:tcW w:w="1030" w:type="dxa"/>
            <w:tcBorders>
              <w:left w:val="single" w:sz="12" w:space="0" w:color="000000" w:themeColor="text1"/>
              <w:bottom w:val="single" w:sz="12" w:space="0" w:color="000000" w:themeColor="text1"/>
            </w:tcBorders>
            <w:vAlign w:val="center"/>
            <w:hideMark/>
          </w:tcPr>
          <w:p w14:paraId="75B68D78" w14:textId="77777777" w:rsidR="00BD0682" w:rsidRPr="00BD0682" w:rsidRDefault="00BD0682" w:rsidP="00B425C1">
            <w:pPr>
              <w:spacing w:line="360" w:lineRule="auto"/>
              <w:rPr>
                <w:rFonts w:ascii="Calibri" w:hAnsi="Calibri" w:cs="Calibri"/>
              </w:rPr>
            </w:pPr>
            <w:r w:rsidRPr="00BD0682">
              <w:rPr>
                <w:rFonts w:ascii="Calibri" w:hAnsi="Calibri" w:cs="Calibri"/>
              </w:rPr>
              <w:t>12.0%</w:t>
            </w:r>
          </w:p>
        </w:tc>
        <w:tc>
          <w:tcPr>
            <w:tcW w:w="805" w:type="dxa"/>
            <w:tcBorders>
              <w:left w:val="single" w:sz="12" w:space="0" w:color="000000" w:themeColor="text1"/>
              <w:bottom w:val="single" w:sz="12" w:space="0" w:color="000000" w:themeColor="text1"/>
              <w:right w:val="single" w:sz="12" w:space="0" w:color="000000" w:themeColor="text1"/>
            </w:tcBorders>
            <w:vAlign w:val="center"/>
            <w:hideMark/>
          </w:tcPr>
          <w:p w14:paraId="775E3B8A" w14:textId="77777777" w:rsidR="00BD0682" w:rsidRPr="00BD0682" w:rsidRDefault="00BD0682" w:rsidP="00B425C1">
            <w:pPr>
              <w:spacing w:line="360" w:lineRule="auto"/>
              <w:rPr>
                <w:rFonts w:ascii="Calibri" w:hAnsi="Calibri" w:cs="Calibri"/>
              </w:rPr>
            </w:pPr>
            <w:r w:rsidRPr="00BD0682">
              <w:rPr>
                <w:rFonts w:ascii="Calibri" w:hAnsi="Calibri" w:cs="Calibri"/>
              </w:rPr>
              <w:t>10.5%</w:t>
            </w:r>
          </w:p>
        </w:tc>
      </w:tr>
      <w:tr w:rsidR="00FB06F3" w:rsidRPr="00B425C1" w14:paraId="010FB371" w14:textId="77777777" w:rsidTr="008563D6">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4279633C" w14:textId="77777777" w:rsidR="00BD0682" w:rsidRPr="00BD0682" w:rsidRDefault="00BD0682" w:rsidP="00B425C1">
            <w:pPr>
              <w:spacing w:line="360" w:lineRule="auto"/>
              <w:rPr>
                <w:rFonts w:ascii="Calibri" w:hAnsi="Calibri" w:cs="Calibri"/>
              </w:rPr>
            </w:pPr>
          </w:p>
        </w:tc>
        <w:tc>
          <w:tcPr>
            <w:tcW w:w="0" w:type="auto"/>
            <w:tcBorders>
              <w:bottom w:val="single" w:sz="12" w:space="0" w:color="000000" w:themeColor="text1"/>
              <w:right w:val="single" w:sz="12" w:space="0" w:color="000000" w:themeColor="text1"/>
            </w:tcBorders>
            <w:vAlign w:val="center"/>
            <w:hideMark/>
          </w:tcPr>
          <w:p w14:paraId="45E0D2D5" w14:textId="77777777" w:rsidR="00BD0682" w:rsidRPr="00BD0682" w:rsidRDefault="00BD0682" w:rsidP="00B425C1">
            <w:pPr>
              <w:spacing w:line="360" w:lineRule="auto"/>
              <w:rPr>
                <w:rFonts w:ascii="Calibri" w:hAnsi="Calibri" w:cs="Calibri"/>
              </w:rPr>
            </w:pPr>
            <w:r w:rsidRPr="00BD0682">
              <w:rPr>
                <w:rFonts w:ascii="Calibri" w:hAnsi="Calibri" w:cs="Calibri"/>
              </w:rPr>
              <w:t>Return on Equity (ROE)</w:t>
            </w:r>
          </w:p>
        </w:tc>
        <w:tc>
          <w:tcPr>
            <w:tcW w:w="0" w:type="auto"/>
            <w:tcBorders>
              <w:bottom w:val="single" w:sz="12" w:space="0" w:color="000000" w:themeColor="text1"/>
            </w:tcBorders>
            <w:vAlign w:val="center"/>
            <w:hideMark/>
          </w:tcPr>
          <w:p w14:paraId="5D050DA5" w14:textId="77777777" w:rsidR="00BD0682" w:rsidRPr="00BD0682" w:rsidRDefault="00BD0682" w:rsidP="00B425C1">
            <w:pPr>
              <w:spacing w:line="360" w:lineRule="auto"/>
              <w:rPr>
                <w:rFonts w:ascii="Calibri" w:hAnsi="Calibri" w:cs="Calibri"/>
              </w:rPr>
            </w:pPr>
            <w:r w:rsidRPr="00BD0682">
              <w:rPr>
                <w:rFonts w:ascii="Calibri" w:hAnsi="Calibri" w:cs="Calibri"/>
              </w:rPr>
              <w:t>Net Profit ÷ Shareholders’ Equity</w:t>
            </w:r>
          </w:p>
        </w:tc>
        <w:tc>
          <w:tcPr>
            <w:tcW w:w="1030" w:type="dxa"/>
            <w:tcBorders>
              <w:left w:val="single" w:sz="12" w:space="0" w:color="000000" w:themeColor="text1"/>
              <w:bottom w:val="single" w:sz="12" w:space="0" w:color="000000" w:themeColor="text1"/>
            </w:tcBorders>
            <w:vAlign w:val="center"/>
            <w:hideMark/>
          </w:tcPr>
          <w:p w14:paraId="25E94BBC" w14:textId="77777777" w:rsidR="00BD0682" w:rsidRPr="00BD0682" w:rsidRDefault="00BD0682" w:rsidP="00B425C1">
            <w:pPr>
              <w:spacing w:line="360" w:lineRule="auto"/>
              <w:rPr>
                <w:rFonts w:ascii="Calibri" w:hAnsi="Calibri" w:cs="Calibri"/>
              </w:rPr>
            </w:pPr>
            <w:r w:rsidRPr="00BD0682">
              <w:rPr>
                <w:rFonts w:ascii="Calibri" w:hAnsi="Calibri" w:cs="Calibri"/>
              </w:rPr>
              <w:t>34.4%</w:t>
            </w:r>
          </w:p>
        </w:tc>
        <w:tc>
          <w:tcPr>
            <w:tcW w:w="805" w:type="dxa"/>
            <w:tcBorders>
              <w:left w:val="single" w:sz="12" w:space="0" w:color="000000" w:themeColor="text1"/>
              <w:bottom w:val="single" w:sz="12" w:space="0" w:color="000000" w:themeColor="text1"/>
              <w:right w:val="single" w:sz="12" w:space="0" w:color="000000" w:themeColor="text1"/>
            </w:tcBorders>
            <w:vAlign w:val="center"/>
            <w:hideMark/>
          </w:tcPr>
          <w:p w14:paraId="020B2825" w14:textId="77777777" w:rsidR="00BD0682" w:rsidRPr="00BD0682" w:rsidRDefault="00BD0682" w:rsidP="00B425C1">
            <w:pPr>
              <w:spacing w:line="360" w:lineRule="auto"/>
              <w:rPr>
                <w:rFonts w:ascii="Calibri" w:hAnsi="Calibri" w:cs="Calibri"/>
              </w:rPr>
            </w:pPr>
            <w:r w:rsidRPr="00BD0682">
              <w:rPr>
                <w:rFonts w:ascii="Calibri" w:hAnsi="Calibri" w:cs="Calibri"/>
              </w:rPr>
              <w:t>28.2%</w:t>
            </w:r>
          </w:p>
        </w:tc>
      </w:tr>
      <w:tr w:rsidR="00FB06F3" w:rsidRPr="00B425C1" w14:paraId="443E37CC" w14:textId="77777777" w:rsidTr="008563D6">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526398AB" w14:textId="77777777" w:rsidR="00BD0682" w:rsidRPr="00BD0682" w:rsidRDefault="00BD0682" w:rsidP="00B425C1">
            <w:pPr>
              <w:spacing w:line="360" w:lineRule="auto"/>
              <w:rPr>
                <w:rFonts w:ascii="Calibri" w:hAnsi="Calibri" w:cs="Calibri"/>
              </w:rPr>
            </w:pPr>
            <w:r w:rsidRPr="00BD0682">
              <w:rPr>
                <w:rFonts w:ascii="Calibri" w:hAnsi="Calibri" w:cs="Calibri"/>
              </w:rPr>
              <w:t>Liquidity</w:t>
            </w:r>
          </w:p>
        </w:tc>
        <w:tc>
          <w:tcPr>
            <w:tcW w:w="0" w:type="auto"/>
            <w:tcBorders>
              <w:bottom w:val="single" w:sz="12" w:space="0" w:color="000000" w:themeColor="text1"/>
              <w:right w:val="single" w:sz="12" w:space="0" w:color="000000" w:themeColor="text1"/>
            </w:tcBorders>
            <w:vAlign w:val="center"/>
            <w:hideMark/>
          </w:tcPr>
          <w:p w14:paraId="51E4C5CF" w14:textId="77777777" w:rsidR="00BD0682" w:rsidRPr="00BD0682" w:rsidRDefault="00BD0682" w:rsidP="00B425C1">
            <w:pPr>
              <w:spacing w:line="360" w:lineRule="auto"/>
              <w:rPr>
                <w:rFonts w:ascii="Calibri" w:hAnsi="Calibri" w:cs="Calibri"/>
              </w:rPr>
            </w:pPr>
            <w:r w:rsidRPr="00BD0682">
              <w:rPr>
                <w:rFonts w:ascii="Calibri" w:hAnsi="Calibri" w:cs="Calibri"/>
              </w:rPr>
              <w:t>Current Ratio</w:t>
            </w:r>
          </w:p>
        </w:tc>
        <w:tc>
          <w:tcPr>
            <w:tcW w:w="0" w:type="auto"/>
            <w:tcBorders>
              <w:bottom w:val="single" w:sz="12" w:space="0" w:color="000000" w:themeColor="text1"/>
            </w:tcBorders>
            <w:vAlign w:val="center"/>
            <w:hideMark/>
          </w:tcPr>
          <w:p w14:paraId="5085804C" w14:textId="77777777" w:rsidR="00BD0682" w:rsidRPr="00BD0682" w:rsidRDefault="00BD0682" w:rsidP="00B425C1">
            <w:pPr>
              <w:spacing w:line="360" w:lineRule="auto"/>
              <w:rPr>
                <w:rFonts w:ascii="Calibri" w:hAnsi="Calibri" w:cs="Calibri"/>
              </w:rPr>
            </w:pPr>
            <w:r w:rsidRPr="00BD0682">
              <w:rPr>
                <w:rFonts w:ascii="Calibri" w:hAnsi="Calibri" w:cs="Calibri"/>
              </w:rPr>
              <w:t>Current Assets ÷ Current Liabilities</w:t>
            </w:r>
          </w:p>
        </w:tc>
        <w:tc>
          <w:tcPr>
            <w:tcW w:w="1030" w:type="dxa"/>
            <w:tcBorders>
              <w:left w:val="single" w:sz="12" w:space="0" w:color="000000" w:themeColor="text1"/>
              <w:bottom w:val="single" w:sz="12" w:space="0" w:color="000000" w:themeColor="text1"/>
            </w:tcBorders>
            <w:vAlign w:val="center"/>
            <w:hideMark/>
          </w:tcPr>
          <w:p w14:paraId="2C97C53E" w14:textId="77777777" w:rsidR="00BD0682" w:rsidRPr="00BD0682" w:rsidRDefault="00BD0682" w:rsidP="00B425C1">
            <w:pPr>
              <w:spacing w:line="360" w:lineRule="auto"/>
              <w:rPr>
                <w:rFonts w:ascii="Calibri" w:hAnsi="Calibri" w:cs="Calibri"/>
              </w:rPr>
            </w:pPr>
            <w:r w:rsidRPr="00BD0682">
              <w:rPr>
                <w:rFonts w:ascii="Calibri" w:hAnsi="Calibri" w:cs="Calibri"/>
              </w:rPr>
              <w:t>0.76</w:t>
            </w:r>
          </w:p>
        </w:tc>
        <w:tc>
          <w:tcPr>
            <w:tcW w:w="805" w:type="dxa"/>
            <w:tcBorders>
              <w:left w:val="single" w:sz="12" w:space="0" w:color="000000" w:themeColor="text1"/>
              <w:bottom w:val="single" w:sz="12" w:space="0" w:color="000000" w:themeColor="text1"/>
              <w:right w:val="single" w:sz="12" w:space="0" w:color="000000" w:themeColor="text1"/>
            </w:tcBorders>
            <w:vAlign w:val="center"/>
            <w:hideMark/>
          </w:tcPr>
          <w:p w14:paraId="5576A900" w14:textId="77777777" w:rsidR="00BD0682" w:rsidRPr="00BD0682" w:rsidRDefault="00BD0682" w:rsidP="00B425C1">
            <w:pPr>
              <w:spacing w:line="360" w:lineRule="auto"/>
              <w:rPr>
                <w:rFonts w:ascii="Calibri" w:hAnsi="Calibri" w:cs="Calibri"/>
              </w:rPr>
            </w:pPr>
            <w:r w:rsidRPr="00BD0682">
              <w:rPr>
                <w:rFonts w:ascii="Calibri" w:hAnsi="Calibri" w:cs="Calibri"/>
              </w:rPr>
              <w:t>0.76</w:t>
            </w:r>
          </w:p>
        </w:tc>
      </w:tr>
      <w:tr w:rsidR="00FB06F3" w:rsidRPr="00B425C1" w14:paraId="0D9A0061" w14:textId="77777777" w:rsidTr="008563D6">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21EF5BF0" w14:textId="77777777" w:rsidR="00BD0682" w:rsidRPr="00BD0682" w:rsidRDefault="00BD0682" w:rsidP="00B425C1">
            <w:pPr>
              <w:spacing w:line="360" w:lineRule="auto"/>
              <w:rPr>
                <w:rFonts w:ascii="Calibri" w:hAnsi="Calibri" w:cs="Calibri"/>
              </w:rPr>
            </w:pPr>
          </w:p>
        </w:tc>
        <w:tc>
          <w:tcPr>
            <w:tcW w:w="0" w:type="auto"/>
            <w:tcBorders>
              <w:bottom w:val="single" w:sz="12" w:space="0" w:color="000000" w:themeColor="text1"/>
              <w:right w:val="single" w:sz="12" w:space="0" w:color="000000" w:themeColor="text1"/>
            </w:tcBorders>
            <w:vAlign w:val="center"/>
            <w:hideMark/>
          </w:tcPr>
          <w:p w14:paraId="76A6BCF5" w14:textId="77777777" w:rsidR="00BD0682" w:rsidRPr="00BD0682" w:rsidRDefault="00BD0682" w:rsidP="00B425C1">
            <w:pPr>
              <w:spacing w:line="360" w:lineRule="auto"/>
              <w:rPr>
                <w:rFonts w:ascii="Calibri" w:hAnsi="Calibri" w:cs="Calibri"/>
              </w:rPr>
            </w:pPr>
            <w:r w:rsidRPr="00BD0682">
              <w:rPr>
                <w:rFonts w:ascii="Calibri" w:hAnsi="Calibri" w:cs="Calibri"/>
              </w:rPr>
              <w:t>Quick Ratio</w:t>
            </w:r>
          </w:p>
        </w:tc>
        <w:tc>
          <w:tcPr>
            <w:tcW w:w="0" w:type="auto"/>
            <w:tcBorders>
              <w:bottom w:val="single" w:sz="12" w:space="0" w:color="000000" w:themeColor="text1"/>
            </w:tcBorders>
            <w:vAlign w:val="center"/>
            <w:hideMark/>
          </w:tcPr>
          <w:p w14:paraId="75ABFABD" w14:textId="77777777" w:rsidR="00BD0682" w:rsidRPr="00BD0682" w:rsidRDefault="00BD0682" w:rsidP="00B425C1">
            <w:pPr>
              <w:spacing w:line="360" w:lineRule="auto"/>
              <w:rPr>
                <w:rFonts w:ascii="Calibri" w:hAnsi="Calibri" w:cs="Calibri"/>
              </w:rPr>
            </w:pPr>
            <w:r w:rsidRPr="00BD0682">
              <w:rPr>
                <w:rFonts w:ascii="Calibri" w:hAnsi="Calibri" w:cs="Calibri"/>
              </w:rPr>
              <w:t>(Current Assets – Inventory) ÷ Current Liabilities</w:t>
            </w:r>
          </w:p>
        </w:tc>
        <w:tc>
          <w:tcPr>
            <w:tcW w:w="1030" w:type="dxa"/>
            <w:tcBorders>
              <w:left w:val="single" w:sz="12" w:space="0" w:color="000000" w:themeColor="text1"/>
              <w:bottom w:val="single" w:sz="12" w:space="0" w:color="000000" w:themeColor="text1"/>
            </w:tcBorders>
            <w:vAlign w:val="center"/>
            <w:hideMark/>
          </w:tcPr>
          <w:p w14:paraId="61BF08B0" w14:textId="77777777" w:rsidR="00BD0682" w:rsidRPr="00BD0682" w:rsidRDefault="00BD0682" w:rsidP="00B425C1">
            <w:pPr>
              <w:spacing w:line="360" w:lineRule="auto"/>
              <w:rPr>
                <w:rFonts w:ascii="Calibri" w:hAnsi="Calibri" w:cs="Calibri"/>
              </w:rPr>
            </w:pPr>
            <w:r w:rsidRPr="00BD0682">
              <w:rPr>
                <w:rFonts w:ascii="Calibri" w:hAnsi="Calibri" w:cs="Calibri"/>
              </w:rPr>
              <w:t>0.52</w:t>
            </w:r>
          </w:p>
        </w:tc>
        <w:tc>
          <w:tcPr>
            <w:tcW w:w="805" w:type="dxa"/>
            <w:tcBorders>
              <w:left w:val="single" w:sz="12" w:space="0" w:color="000000" w:themeColor="text1"/>
              <w:bottom w:val="single" w:sz="12" w:space="0" w:color="000000" w:themeColor="text1"/>
              <w:right w:val="single" w:sz="12" w:space="0" w:color="000000" w:themeColor="text1"/>
            </w:tcBorders>
            <w:vAlign w:val="center"/>
            <w:hideMark/>
          </w:tcPr>
          <w:p w14:paraId="78BD34A8" w14:textId="77777777" w:rsidR="00BD0682" w:rsidRPr="00BD0682" w:rsidRDefault="00BD0682" w:rsidP="00B425C1">
            <w:pPr>
              <w:spacing w:line="360" w:lineRule="auto"/>
              <w:rPr>
                <w:rFonts w:ascii="Calibri" w:hAnsi="Calibri" w:cs="Calibri"/>
              </w:rPr>
            </w:pPr>
            <w:r w:rsidRPr="00BD0682">
              <w:rPr>
                <w:rFonts w:ascii="Calibri" w:hAnsi="Calibri" w:cs="Calibri"/>
              </w:rPr>
              <w:t>0.54</w:t>
            </w:r>
          </w:p>
        </w:tc>
      </w:tr>
      <w:tr w:rsidR="00FB06F3" w:rsidRPr="00B425C1" w14:paraId="559B1A2A" w14:textId="77777777" w:rsidTr="008563D6">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680D39B7" w14:textId="77777777" w:rsidR="00BD0682" w:rsidRPr="00BD0682" w:rsidRDefault="00BD0682" w:rsidP="00B425C1">
            <w:pPr>
              <w:spacing w:line="360" w:lineRule="auto"/>
              <w:rPr>
                <w:rFonts w:ascii="Calibri" w:hAnsi="Calibri" w:cs="Calibri"/>
              </w:rPr>
            </w:pPr>
            <w:r w:rsidRPr="00BD0682">
              <w:rPr>
                <w:rFonts w:ascii="Calibri" w:hAnsi="Calibri" w:cs="Calibri"/>
              </w:rPr>
              <w:t>Gearing</w:t>
            </w:r>
          </w:p>
        </w:tc>
        <w:tc>
          <w:tcPr>
            <w:tcW w:w="0" w:type="auto"/>
            <w:tcBorders>
              <w:bottom w:val="single" w:sz="12" w:space="0" w:color="000000" w:themeColor="text1"/>
              <w:right w:val="single" w:sz="12" w:space="0" w:color="000000" w:themeColor="text1"/>
            </w:tcBorders>
            <w:vAlign w:val="center"/>
            <w:hideMark/>
          </w:tcPr>
          <w:p w14:paraId="5E6C0F53" w14:textId="77777777" w:rsidR="00BD0682" w:rsidRPr="00BD0682" w:rsidRDefault="00BD0682" w:rsidP="00B425C1">
            <w:pPr>
              <w:spacing w:line="360" w:lineRule="auto"/>
              <w:rPr>
                <w:rFonts w:ascii="Calibri" w:hAnsi="Calibri" w:cs="Calibri"/>
              </w:rPr>
            </w:pPr>
            <w:r w:rsidRPr="00BD0682">
              <w:rPr>
                <w:rFonts w:ascii="Calibri" w:hAnsi="Calibri" w:cs="Calibri"/>
              </w:rPr>
              <w:t>Debt-to-Equity Ratio</w:t>
            </w:r>
          </w:p>
        </w:tc>
        <w:tc>
          <w:tcPr>
            <w:tcW w:w="0" w:type="auto"/>
            <w:tcBorders>
              <w:bottom w:val="single" w:sz="12" w:space="0" w:color="000000" w:themeColor="text1"/>
            </w:tcBorders>
            <w:vAlign w:val="center"/>
            <w:hideMark/>
          </w:tcPr>
          <w:p w14:paraId="7294C7EE" w14:textId="77777777" w:rsidR="00BD0682" w:rsidRPr="00BD0682" w:rsidRDefault="00BD0682" w:rsidP="00B425C1">
            <w:pPr>
              <w:spacing w:line="360" w:lineRule="auto"/>
              <w:rPr>
                <w:rFonts w:ascii="Calibri" w:hAnsi="Calibri" w:cs="Calibri"/>
              </w:rPr>
            </w:pPr>
            <w:r w:rsidRPr="00BD0682">
              <w:rPr>
                <w:rFonts w:ascii="Calibri" w:hAnsi="Calibri" w:cs="Calibri"/>
              </w:rPr>
              <w:t>Total Debt ÷ Shareholders’ Equity</w:t>
            </w:r>
          </w:p>
        </w:tc>
        <w:tc>
          <w:tcPr>
            <w:tcW w:w="1030" w:type="dxa"/>
            <w:tcBorders>
              <w:left w:val="single" w:sz="12" w:space="0" w:color="000000" w:themeColor="text1"/>
              <w:bottom w:val="single" w:sz="12" w:space="0" w:color="000000" w:themeColor="text1"/>
            </w:tcBorders>
            <w:vAlign w:val="center"/>
            <w:hideMark/>
          </w:tcPr>
          <w:p w14:paraId="50C6DB10" w14:textId="77777777" w:rsidR="00BD0682" w:rsidRPr="00BD0682" w:rsidRDefault="00BD0682" w:rsidP="00B425C1">
            <w:pPr>
              <w:spacing w:line="360" w:lineRule="auto"/>
              <w:rPr>
                <w:rFonts w:ascii="Calibri" w:hAnsi="Calibri" w:cs="Calibri"/>
              </w:rPr>
            </w:pPr>
            <w:r w:rsidRPr="00BD0682">
              <w:rPr>
                <w:rFonts w:ascii="Calibri" w:hAnsi="Calibri" w:cs="Calibri"/>
              </w:rPr>
              <w:t>1.38</w:t>
            </w:r>
          </w:p>
        </w:tc>
        <w:tc>
          <w:tcPr>
            <w:tcW w:w="805" w:type="dxa"/>
            <w:tcBorders>
              <w:left w:val="single" w:sz="12" w:space="0" w:color="000000" w:themeColor="text1"/>
              <w:bottom w:val="single" w:sz="12" w:space="0" w:color="000000" w:themeColor="text1"/>
              <w:right w:val="single" w:sz="12" w:space="0" w:color="000000" w:themeColor="text1"/>
            </w:tcBorders>
            <w:vAlign w:val="center"/>
            <w:hideMark/>
          </w:tcPr>
          <w:p w14:paraId="77CEDA56" w14:textId="77777777" w:rsidR="00BD0682" w:rsidRPr="00BD0682" w:rsidRDefault="00BD0682" w:rsidP="00B425C1">
            <w:pPr>
              <w:spacing w:line="360" w:lineRule="auto"/>
              <w:rPr>
                <w:rFonts w:ascii="Calibri" w:hAnsi="Calibri" w:cs="Calibri"/>
              </w:rPr>
            </w:pPr>
            <w:r w:rsidRPr="00BD0682">
              <w:rPr>
                <w:rFonts w:ascii="Calibri" w:hAnsi="Calibri" w:cs="Calibri"/>
              </w:rPr>
              <w:t>1.36</w:t>
            </w:r>
          </w:p>
        </w:tc>
      </w:tr>
      <w:tr w:rsidR="00FB06F3" w:rsidRPr="00B425C1" w14:paraId="60868FEC" w14:textId="77777777" w:rsidTr="008563D6">
        <w:trPr>
          <w:tblCellSpacing w:w="15" w:type="dxa"/>
        </w:trPr>
        <w:tc>
          <w:tcPr>
            <w:tcW w:w="0" w:type="auto"/>
            <w:tcBorders>
              <w:left w:val="single" w:sz="12" w:space="0" w:color="000000" w:themeColor="text1"/>
              <w:right w:val="single" w:sz="12" w:space="0" w:color="000000" w:themeColor="text1"/>
            </w:tcBorders>
            <w:vAlign w:val="center"/>
            <w:hideMark/>
          </w:tcPr>
          <w:p w14:paraId="3A47A017" w14:textId="77777777" w:rsidR="00BD0682" w:rsidRPr="00BD0682" w:rsidRDefault="00BD0682" w:rsidP="00B425C1">
            <w:pPr>
              <w:spacing w:line="360" w:lineRule="auto"/>
              <w:rPr>
                <w:rFonts w:ascii="Calibri" w:hAnsi="Calibri" w:cs="Calibri"/>
              </w:rPr>
            </w:pPr>
          </w:p>
        </w:tc>
        <w:tc>
          <w:tcPr>
            <w:tcW w:w="0" w:type="auto"/>
            <w:tcBorders>
              <w:right w:val="single" w:sz="12" w:space="0" w:color="000000" w:themeColor="text1"/>
            </w:tcBorders>
            <w:vAlign w:val="center"/>
            <w:hideMark/>
          </w:tcPr>
          <w:p w14:paraId="68D55C3C" w14:textId="77777777" w:rsidR="00BD0682" w:rsidRPr="00BD0682" w:rsidRDefault="00BD0682" w:rsidP="00B425C1">
            <w:pPr>
              <w:spacing w:line="360" w:lineRule="auto"/>
              <w:rPr>
                <w:rFonts w:ascii="Calibri" w:hAnsi="Calibri" w:cs="Calibri"/>
              </w:rPr>
            </w:pPr>
            <w:r w:rsidRPr="00BD0682">
              <w:rPr>
                <w:rFonts w:ascii="Calibri" w:hAnsi="Calibri" w:cs="Calibri"/>
              </w:rPr>
              <w:t>Interest Cover</w:t>
            </w:r>
          </w:p>
        </w:tc>
        <w:tc>
          <w:tcPr>
            <w:tcW w:w="0" w:type="auto"/>
            <w:vAlign w:val="center"/>
            <w:hideMark/>
          </w:tcPr>
          <w:p w14:paraId="5C404762" w14:textId="77777777" w:rsidR="00BD0682" w:rsidRPr="00BD0682" w:rsidRDefault="00BD0682" w:rsidP="00B425C1">
            <w:pPr>
              <w:spacing w:line="360" w:lineRule="auto"/>
              <w:rPr>
                <w:rFonts w:ascii="Calibri" w:hAnsi="Calibri" w:cs="Calibri"/>
              </w:rPr>
            </w:pPr>
            <w:r w:rsidRPr="00BD0682">
              <w:rPr>
                <w:rFonts w:ascii="Calibri" w:hAnsi="Calibri" w:cs="Calibri"/>
              </w:rPr>
              <w:t>Operating Profit ÷ Finance Costs</w:t>
            </w:r>
          </w:p>
        </w:tc>
        <w:tc>
          <w:tcPr>
            <w:tcW w:w="1030" w:type="dxa"/>
            <w:tcBorders>
              <w:left w:val="single" w:sz="12" w:space="0" w:color="000000" w:themeColor="text1"/>
            </w:tcBorders>
            <w:vAlign w:val="center"/>
            <w:hideMark/>
          </w:tcPr>
          <w:p w14:paraId="28FF4F6C" w14:textId="77777777" w:rsidR="00BD0682" w:rsidRPr="00BD0682" w:rsidRDefault="00BD0682" w:rsidP="00B425C1">
            <w:pPr>
              <w:spacing w:line="360" w:lineRule="auto"/>
              <w:rPr>
                <w:rFonts w:ascii="Calibri" w:hAnsi="Calibri" w:cs="Calibri"/>
              </w:rPr>
            </w:pPr>
            <w:r w:rsidRPr="00BD0682">
              <w:rPr>
                <w:rFonts w:ascii="Calibri" w:hAnsi="Calibri" w:cs="Calibri"/>
              </w:rPr>
              <w:t>9.8×</w:t>
            </w:r>
          </w:p>
        </w:tc>
        <w:tc>
          <w:tcPr>
            <w:tcW w:w="805" w:type="dxa"/>
            <w:tcBorders>
              <w:left w:val="single" w:sz="12" w:space="0" w:color="000000" w:themeColor="text1"/>
              <w:right w:val="single" w:sz="12" w:space="0" w:color="000000" w:themeColor="text1"/>
            </w:tcBorders>
            <w:vAlign w:val="center"/>
            <w:hideMark/>
          </w:tcPr>
          <w:p w14:paraId="6596AD63" w14:textId="77777777" w:rsidR="00BD0682" w:rsidRPr="00BD0682" w:rsidRDefault="00BD0682" w:rsidP="00B425C1">
            <w:pPr>
              <w:spacing w:line="360" w:lineRule="auto"/>
              <w:rPr>
                <w:rFonts w:ascii="Calibri" w:hAnsi="Calibri" w:cs="Calibri"/>
              </w:rPr>
            </w:pPr>
            <w:r w:rsidRPr="00BD0682">
              <w:rPr>
                <w:rFonts w:ascii="Calibri" w:hAnsi="Calibri" w:cs="Calibri"/>
              </w:rPr>
              <w:t>8.9×</w:t>
            </w:r>
          </w:p>
        </w:tc>
      </w:tr>
      <w:tr w:rsidR="00FB06F3" w:rsidRPr="00B425C1" w14:paraId="3E205CCC" w14:textId="77777777" w:rsidTr="008563D6">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254C2C39" w14:textId="77777777" w:rsidR="00BD0682" w:rsidRPr="00BD0682" w:rsidRDefault="00BD0682" w:rsidP="00B425C1">
            <w:pPr>
              <w:spacing w:line="360" w:lineRule="auto"/>
              <w:rPr>
                <w:rFonts w:ascii="Calibri" w:hAnsi="Calibri" w:cs="Calibri"/>
              </w:rPr>
            </w:pPr>
            <w:r w:rsidRPr="00BD0682">
              <w:rPr>
                <w:rFonts w:ascii="Calibri" w:hAnsi="Calibri" w:cs="Calibri"/>
              </w:rPr>
              <w:t>Efficiency</w:t>
            </w:r>
          </w:p>
        </w:tc>
        <w:tc>
          <w:tcPr>
            <w:tcW w:w="0" w:type="auto"/>
            <w:tcBorders>
              <w:bottom w:val="single" w:sz="12" w:space="0" w:color="000000" w:themeColor="text1"/>
              <w:right w:val="single" w:sz="12" w:space="0" w:color="000000" w:themeColor="text1"/>
            </w:tcBorders>
            <w:vAlign w:val="center"/>
            <w:hideMark/>
          </w:tcPr>
          <w:p w14:paraId="7649583A" w14:textId="77777777" w:rsidR="00BD0682" w:rsidRPr="00BD0682" w:rsidRDefault="00BD0682" w:rsidP="00B425C1">
            <w:pPr>
              <w:spacing w:line="360" w:lineRule="auto"/>
              <w:rPr>
                <w:rFonts w:ascii="Calibri" w:hAnsi="Calibri" w:cs="Calibri"/>
              </w:rPr>
            </w:pPr>
            <w:r w:rsidRPr="00BD0682">
              <w:rPr>
                <w:rFonts w:ascii="Calibri" w:hAnsi="Calibri" w:cs="Calibri"/>
              </w:rPr>
              <w:t>Asset Turnover</w:t>
            </w:r>
          </w:p>
        </w:tc>
        <w:tc>
          <w:tcPr>
            <w:tcW w:w="0" w:type="auto"/>
            <w:tcBorders>
              <w:bottom w:val="single" w:sz="12" w:space="0" w:color="000000" w:themeColor="text1"/>
            </w:tcBorders>
            <w:vAlign w:val="center"/>
            <w:hideMark/>
          </w:tcPr>
          <w:p w14:paraId="76CA9AE2" w14:textId="77777777" w:rsidR="00BD0682" w:rsidRPr="00BD0682" w:rsidRDefault="00BD0682" w:rsidP="00B425C1">
            <w:pPr>
              <w:spacing w:line="360" w:lineRule="auto"/>
              <w:rPr>
                <w:rFonts w:ascii="Calibri" w:hAnsi="Calibri" w:cs="Calibri"/>
              </w:rPr>
            </w:pPr>
            <w:r w:rsidRPr="00BD0682">
              <w:rPr>
                <w:rFonts w:ascii="Calibri" w:hAnsi="Calibri" w:cs="Calibri"/>
              </w:rPr>
              <w:t>Revenue ÷ Total Assets</w:t>
            </w:r>
          </w:p>
        </w:tc>
        <w:tc>
          <w:tcPr>
            <w:tcW w:w="1030" w:type="dxa"/>
            <w:tcBorders>
              <w:left w:val="single" w:sz="12" w:space="0" w:color="000000" w:themeColor="text1"/>
              <w:bottom w:val="single" w:sz="12" w:space="0" w:color="000000" w:themeColor="text1"/>
            </w:tcBorders>
            <w:vAlign w:val="center"/>
            <w:hideMark/>
          </w:tcPr>
          <w:p w14:paraId="55A4CD02" w14:textId="77777777" w:rsidR="00BD0682" w:rsidRPr="00BD0682" w:rsidRDefault="00BD0682" w:rsidP="00B425C1">
            <w:pPr>
              <w:spacing w:line="360" w:lineRule="auto"/>
              <w:rPr>
                <w:rFonts w:ascii="Calibri" w:hAnsi="Calibri" w:cs="Calibri"/>
              </w:rPr>
            </w:pPr>
            <w:r w:rsidRPr="00BD0682">
              <w:rPr>
                <w:rFonts w:ascii="Calibri" w:hAnsi="Calibri" w:cs="Calibri"/>
              </w:rPr>
              <w:t>0.79</w:t>
            </w:r>
          </w:p>
        </w:tc>
        <w:tc>
          <w:tcPr>
            <w:tcW w:w="805" w:type="dxa"/>
            <w:tcBorders>
              <w:left w:val="single" w:sz="12" w:space="0" w:color="000000" w:themeColor="text1"/>
              <w:bottom w:val="single" w:sz="12" w:space="0" w:color="000000" w:themeColor="text1"/>
              <w:right w:val="single" w:sz="12" w:space="0" w:color="000000" w:themeColor="text1"/>
            </w:tcBorders>
            <w:vAlign w:val="center"/>
            <w:hideMark/>
          </w:tcPr>
          <w:p w14:paraId="2E5997C6" w14:textId="77777777" w:rsidR="00BD0682" w:rsidRPr="00BD0682" w:rsidRDefault="00BD0682" w:rsidP="00B425C1">
            <w:pPr>
              <w:spacing w:line="360" w:lineRule="auto"/>
              <w:rPr>
                <w:rFonts w:ascii="Calibri" w:hAnsi="Calibri" w:cs="Calibri"/>
              </w:rPr>
            </w:pPr>
            <w:r w:rsidRPr="00BD0682">
              <w:rPr>
                <w:rFonts w:ascii="Calibri" w:hAnsi="Calibri" w:cs="Calibri"/>
              </w:rPr>
              <w:t>0.76</w:t>
            </w:r>
          </w:p>
        </w:tc>
      </w:tr>
      <w:tr w:rsidR="00FB06F3" w:rsidRPr="00B425C1" w14:paraId="52A9C35F" w14:textId="77777777" w:rsidTr="008563D6">
        <w:trPr>
          <w:tblCellSpacing w:w="15" w:type="dxa"/>
        </w:trPr>
        <w:tc>
          <w:tcPr>
            <w:tcW w:w="0" w:type="auto"/>
            <w:tcBorders>
              <w:left w:val="single" w:sz="12" w:space="0" w:color="000000" w:themeColor="text1"/>
              <w:right w:val="single" w:sz="12" w:space="0" w:color="000000" w:themeColor="text1"/>
            </w:tcBorders>
            <w:vAlign w:val="center"/>
            <w:hideMark/>
          </w:tcPr>
          <w:p w14:paraId="7A94DE17" w14:textId="77777777" w:rsidR="00BD0682" w:rsidRPr="00BD0682" w:rsidRDefault="00BD0682" w:rsidP="00B425C1">
            <w:pPr>
              <w:spacing w:line="360" w:lineRule="auto"/>
              <w:rPr>
                <w:rFonts w:ascii="Calibri" w:hAnsi="Calibri" w:cs="Calibri"/>
              </w:rPr>
            </w:pPr>
          </w:p>
        </w:tc>
        <w:tc>
          <w:tcPr>
            <w:tcW w:w="0" w:type="auto"/>
            <w:tcBorders>
              <w:right w:val="single" w:sz="12" w:space="0" w:color="000000" w:themeColor="text1"/>
            </w:tcBorders>
            <w:vAlign w:val="center"/>
            <w:hideMark/>
          </w:tcPr>
          <w:p w14:paraId="3C190C58" w14:textId="77777777" w:rsidR="00BD0682" w:rsidRPr="00BD0682" w:rsidRDefault="00BD0682" w:rsidP="00B425C1">
            <w:pPr>
              <w:spacing w:line="360" w:lineRule="auto"/>
              <w:rPr>
                <w:rFonts w:ascii="Calibri" w:hAnsi="Calibri" w:cs="Calibri"/>
              </w:rPr>
            </w:pPr>
            <w:r w:rsidRPr="00BD0682">
              <w:rPr>
                <w:rFonts w:ascii="Calibri" w:hAnsi="Calibri" w:cs="Calibri"/>
              </w:rPr>
              <w:t>Receivables Days</w:t>
            </w:r>
          </w:p>
        </w:tc>
        <w:tc>
          <w:tcPr>
            <w:tcW w:w="0" w:type="auto"/>
            <w:vAlign w:val="center"/>
            <w:hideMark/>
          </w:tcPr>
          <w:p w14:paraId="27FB6CB4" w14:textId="77777777" w:rsidR="00BD0682" w:rsidRPr="00BD0682" w:rsidRDefault="00BD0682" w:rsidP="00B425C1">
            <w:pPr>
              <w:spacing w:line="360" w:lineRule="auto"/>
              <w:rPr>
                <w:rFonts w:ascii="Calibri" w:hAnsi="Calibri" w:cs="Calibri"/>
              </w:rPr>
            </w:pPr>
            <w:r w:rsidRPr="00BD0682">
              <w:rPr>
                <w:rFonts w:ascii="Calibri" w:hAnsi="Calibri" w:cs="Calibri"/>
              </w:rPr>
              <w:t>(Trade Receivables ÷ Revenue) × 365</w:t>
            </w:r>
          </w:p>
        </w:tc>
        <w:tc>
          <w:tcPr>
            <w:tcW w:w="1030" w:type="dxa"/>
            <w:tcBorders>
              <w:left w:val="single" w:sz="12" w:space="0" w:color="000000" w:themeColor="text1"/>
            </w:tcBorders>
            <w:vAlign w:val="center"/>
            <w:hideMark/>
          </w:tcPr>
          <w:p w14:paraId="7385FBF8" w14:textId="77777777" w:rsidR="00BD0682" w:rsidRPr="00BD0682" w:rsidRDefault="00BD0682" w:rsidP="00B425C1">
            <w:pPr>
              <w:spacing w:line="360" w:lineRule="auto"/>
              <w:rPr>
                <w:rFonts w:ascii="Calibri" w:hAnsi="Calibri" w:cs="Calibri"/>
              </w:rPr>
            </w:pPr>
            <w:r w:rsidRPr="00BD0682">
              <w:rPr>
                <w:rFonts w:ascii="Calibri" w:hAnsi="Calibri" w:cs="Calibri"/>
              </w:rPr>
              <w:t>34 days</w:t>
            </w:r>
          </w:p>
        </w:tc>
        <w:tc>
          <w:tcPr>
            <w:tcW w:w="805" w:type="dxa"/>
            <w:tcBorders>
              <w:left w:val="single" w:sz="12" w:space="0" w:color="000000" w:themeColor="text1"/>
              <w:right w:val="single" w:sz="12" w:space="0" w:color="000000" w:themeColor="text1"/>
            </w:tcBorders>
            <w:vAlign w:val="center"/>
            <w:hideMark/>
          </w:tcPr>
          <w:p w14:paraId="76205D57" w14:textId="77777777" w:rsidR="00BD0682" w:rsidRPr="00BD0682" w:rsidRDefault="00BD0682" w:rsidP="00B425C1">
            <w:pPr>
              <w:spacing w:line="360" w:lineRule="auto"/>
              <w:rPr>
                <w:rFonts w:ascii="Calibri" w:hAnsi="Calibri" w:cs="Calibri"/>
              </w:rPr>
            </w:pPr>
            <w:r w:rsidRPr="00BD0682">
              <w:rPr>
                <w:rFonts w:ascii="Calibri" w:hAnsi="Calibri" w:cs="Calibri"/>
              </w:rPr>
              <w:t>36 days</w:t>
            </w:r>
          </w:p>
        </w:tc>
      </w:tr>
      <w:tr w:rsidR="00FB06F3" w:rsidRPr="00B425C1" w14:paraId="70EF718C" w14:textId="77777777" w:rsidTr="008563D6">
        <w:trPr>
          <w:tblCellSpacing w:w="15" w:type="dxa"/>
        </w:trPr>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55B8FB96" w14:textId="77777777" w:rsidR="00BD0682" w:rsidRPr="00BD0682" w:rsidRDefault="00BD0682" w:rsidP="00B425C1">
            <w:pPr>
              <w:spacing w:line="360" w:lineRule="auto"/>
              <w:rPr>
                <w:rFonts w:ascii="Calibri" w:hAnsi="Calibri" w:cs="Calibri"/>
              </w:rPr>
            </w:pPr>
            <w:r w:rsidRPr="00BD0682">
              <w:rPr>
                <w:rFonts w:ascii="Calibri" w:hAnsi="Calibri" w:cs="Calibri"/>
              </w:rPr>
              <w:t>Investor</w:t>
            </w:r>
          </w:p>
        </w:tc>
        <w:tc>
          <w:tcPr>
            <w:tcW w:w="0" w:type="auto"/>
            <w:tcBorders>
              <w:top w:val="single" w:sz="12" w:space="0" w:color="000000" w:themeColor="text1"/>
              <w:bottom w:val="single" w:sz="12" w:space="0" w:color="000000" w:themeColor="text1"/>
              <w:right w:val="single" w:sz="12" w:space="0" w:color="000000" w:themeColor="text1"/>
            </w:tcBorders>
            <w:vAlign w:val="center"/>
            <w:hideMark/>
          </w:tcPr>
          <w:p w14:paraId="34988ECC" w14:textId="77777777" w:rsidR="00BD0682" w:rsidRPr="00BD0682" w:rsidRDefault="00BD0682" w:rsidP="00B425C1">
            <w:pPr>
              <w:spacing w:line="360" w:lineRule="auto"/>
              <w:rPr>
                <w:rFonts w:ascii="Calibri" w:hAnsi="Calibri" w:cs="Calibri"/>
              </w:rPr>
            </w:pPr>
            <w:r w:rsidRPr="00BD0682">
              <w:rPr>
                <w:rFonts w:ascii="Calibri" w:hAnsi="Calibri" w:cs="Calibri"/>
              </w:rPr>
              <w:t>Earnings per Share (EPS)</w:t>
            </w:r>
          </w:p>
        </w:tc>
        <w:tc>
          <w:tcPr>
            <w:tcW w:w="0" w:type="auto"/>
            <w:tcBorders>
              <w:top w:val="single" w:sz="12" w:space="0" w:color="000000" w:themeColor="text1"/>
              <w:bottom w:val="single" w:sz="12" w:space="0" w:color="000000" w:themeColor="text1"/>
            </w:tcBorders>
            <w:vAlign w:val="center"/>
            <w:hideMark/>
          </w:tcPr>
          <w:p w14:paraId="5BAAF1C3" w14:textId="77777777" w:rsidR="00BD0682" w:rsidRPr="00BD0682" w:rsidRDefault="00BD0682" w:rsidP="00B425C1">
            <w:pPr>
              <w:spacing w:line="360" w:lineRule="auto"/>
              <w:rPr>
                <w:rFonts w:ascii="Calibri" w:hAnsi="Calibri" w:cs="Calibri"/>
              </w:rPr>
            </w:pPr>
            <w:r w:rsidRPr="00BD0682">
              <w:rPr>
                <w:rFonts w:ascii="Calibri" w:hAnsi="Calibri" w:cs="Calibri"/>
              </w:rPr>
              <w:t>Net Profit ÷ Shares Outstanding</w:t>
            </w:r>
          </w:p>
        </w:tc>
        <w:tc>
          <w:tcPr>
            <w:tcW w:w="1030" w:type="dxa"/>
            <w:tcBorders>
              <w:top w:val="single" w:sz="12" w:space="0" w:color="000000" w:themeColor="text1"/>
              <w:left w:val="single" w:sz="12" w:space="0" w:color="000000" w:themeColor="text1"/>
              <w:bottom w:val="single" w:sz="12" w:space="0" w:color="000000" w:themeColor="text1"/>
            </w:tcBorders>
            <w:vAlign w:val="center"/>
            <w:hideMark/>
          </w:tcPr>
          <w:p w14:paraId="4809B4E2" w14:textId="77777777" w:rsidR="00BD0682" w:rsidRPr="00BD0682" w:rsidRDefault="00BD0682" w:rsidP="00B425C1">
            <w:pPr>
              <w:spacing w:line="360" w:lineRule="auto"/>
              <w:rPr>
                <w:rFonts w:ascii="Calibri" w:hAnsi="Calibri" w:cs="Calibri"/>
              </w:rPr>
            </w:pPr>
            <w:r w:rsidRPr="00BD0682">
              <w:rPr>
                <w:rFonts w:ascii="Calibri" w:hAnsi="Calibri" w:cs="Calibri"/>
              </w:rPr>
              <w:t>€2.85</w:t>
            </w:r>
          </w:p>
        </w:tc>
        <w:tc>
          <w:tcPr>
            <w:tcW w:w="8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376D2349" w14:textId="77777777" w:rsidR="00BD0682" w:rsidRPr="00BD0682" w:rsidRDefault="00BD0682" w:rsidP="00B425C1">
            <w:pPr>
              <w:spacing w:line="360" w:lineRule="auto"/>
              <w:rPr>
                <w:rFonts w:ascii="Calibri" w:hAnsi="Calibri" w:cs="Calibri"/>
              </w:rPr>
            </w:pPr>
            <w:r w:rsidRPr="00BD0682">
              <w:rPr>
                <w:rFonts w:ascii="Calibri" w:hAnsi="Calibri" w:cs="Calibri"/>
              </w:rPr>
              <w:t>€2.54</w:t>
            </w:r>
          </w:p>
        </w:tc>
      </w:tr>
      <w:tr w:rsidR="00FB06F3" w:rsidRPr="00B425C1" w14:paraId="65A3E102" w14:textId="77777777" w:rsidTr="008563D6">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2CE3F362" w14:textId="77777777" w:rsidR="00BD0682" w:rsidRPr="00BD0682" w:rsidRDefault="00BD0682" w:rsidP="00B425C1">
            <w:pPr>
              <w:spacing w:line="360" w:lineRule="auto"/>
              <w:rPr>
                <w:rFonts w:ascii="Calibri" w:hAnsi="Calibri" w:cs="Calibri"/>
              </w:rPr>
            </w:pPr>
          </w:p>
        </w:tc>
        <w:tc>
          <w:tcPr>
            <w:tcW w:w="0" w:type="auto"/>
            <w:tcBorders>
              <w:bottom w:val="single" w:sz="12" w:space="0" w:color="000000" w:themeColor="text1"/>
              <w:right w:val="single" w:sz="12" w:space="0" w:color="000000" w:themeColor="text1"/>
            </w:tcBorders>
            <w:vAlign w:val="center"/>
            <w:hideMark/>
          </w:tcPr>
          <w:p w14:paraId="3FFCC341" w14:textId="77777777" w:rsidR="00BD0682" w:rsidRPr="00BD0682" w:rsidRDefault="00BD0682" w:rsidP="00B425C1">
            <w:pPr>
              <w:spacing w:line="360" w:lineRule="auto"/>
              <w:rPr>
                <w:rFonts w:ascii="Calibri" w:hAnsi="Calibri" w:cs="Calibri"/>
              </w:rPr>
            </w:pPr>
            <w:r w:rsidRPr="00BD0682">
              <w:rPr>
                <w:rFonts w:ascii="Calibri" w:hAnsi="Calibri" w:cs="Calibri"/>
              </w:rPr>
              <w:t>Dividend Yield</w:t>
            </w:r>
          </w:p>
        </w:tc>
        <w:tc>
          <w:tcPr>
            <w:tcW w:w="0" w:type="auto"/>
            <w:tcBorders>
              <w:bottom w:val="single" w:sz="12" w:space="0" w:color="000000" w:themeColor="text1"/>
            </w:tcBorders>
            <w:vAlign w:val="center"/>
            <w:hideMark/>
          </w:tcPr>
          <w:p w14:paraId="5EDB677B" w14:textId="77777777" w:rsidR="00BD0682" w:rsidRPr="00BD0682" w:rsidRDefault="00BD0682" w:rsidP="00B425C1">
            <w:pPr>
              <w:spacing w:line="360" w:lineRule="auto"/>
              <w:rPr>
                <w:rFonts w:ascii="Calibri" w:hAnsi="Calibri" w:cs="Calibri"/>
              </w:rPr>
            </w:pPr>
            <w:r w:rsidRPr="00BD0682">
              <w:rPr>
                <w:rFonts w:ascii="Calibri" w:hAnsi="Calibri" w:cs="Calibri"/>
              </w:rPr>
              <w:t>Dividend per Share ÷ Market Price</w:t>
            </w:r>
          </w:p>
        </w:tc>
        <w:tc>
          <w:tcPr>
            <w:tcW w:w="1030" w:type="dxa"/>
            <w:tcBorders>
              <w:left w:val="single" w:sz="12" w:space="0" w:color="000000" w:themeColor="text1"/>
              <w:bottom w:val="single" w:sz="12" w:space="0" w:color="000000" w:themeColor="text1"/>
            </w:tcBorders>
            <w:vAlign w:val="center"/>
            <w:hideMark/>
          </w:tcPr>
          <w:p w14:paraId="221DD5D8" w14:textId="77777777" w:rsidR="00BD0682" w:rsidRPr="00BD0682" w:rsidRDefault="00BD0682" w:rsidP="00B425C1">
            <w:pPr>
              <w:spacing w:line="360" w:lineRule="auto"/>
              <w:rPr>
                <w:rFonts w:ascii="Calibri" w:hAnsi="Calibri" w:cs="Calibri"/>
              </w:rPr>
            </w:pPr>
            <w:r w:rsidRPr="00BD0682">
              <w:rPr>
                <w:rFonts w:ascii="Calibri" w:hAnsi="Calibri" w:cs="Calibri"/>
              </w:rPr>
              <w:t>3.6%</w:t>
            </w:r>
          </w:p>
        </w:tc>
        <w:tc>
          <w:tcPr>
            <w:tcW w:w="805" w:type="dxa"/>
            <w:tcBorders>
              <w:left w:val="single" w:sz="12" w:space="0" w:color="000000" w:themeColor="text1"/>
              <w:bottom w:val="single" w:sz="12" w:space="0" w:color="000000" w:themeColor="text1"/>
              <w:right w:val="single" w:sz="12" w:space="0" w:color="000000" w:themeColor="text1"/>
            </w:tcBorders>
            <w:vAlign w:val="center"/>
            <w:hideMark/>
          </w:tcPr>
          <w:p w14:paraId="6DA1721E" w14:textId="77777777" w:rsidR="00BD0682" w:rsidRPr="00BD0682" w:rsidRDefault="00BD0682" w:rsidP="00B425C1">
            <w:pPr>
              <w:spacing w:line="360" w:lineRule="auto"/>
              <w:rPr>
                <w:rFonts w:ascii="Calibri" w:hAnsi="Calibri" w:cs="Calibri"/>
              </w:rPr>
            </w:pPr>
            <w:r w:rsidRPr="00BD0682">
              <w:rPr>
                <w:rFonts w:ascii="Calibri" w:hAnsi="Calibri" w:cs="Calibri"/>
              </w:rPr>
              <w:t>3.8%</w:t>
            </w:r>
          </w:p>
        </w:tc>
      </w:tr>
    </w:tbl>
    <w:p w14:paraId="7D7FFB1C" w14:textId="77777777" w:rsidR="00BD0682" w:rsidRPr="00B425C1" w:rsidRDefault="00BD0682" w:rsidP="00B425C1">
      <w:pPr>
        <w:spacing w:line="360" w:lineRule="auto"/>
        <w:rPr>
          <w:rFonts w:ascii="Calibri" w:hAnsi="Calibri" w:cs="Calibri"/>
        </w:rPr>
      </w:pPr>
    </w:p>
    <w:p w14:paraId="337B306A" w14:textId="77777777" w:rsidR="00812533" w:rsidRPr="00812533" w:rsidRDefault="00812533" w:rsidP="00B425C1">
      <w:pPr>
        <w:spacing w:line="360" w:lineRule="auto"/>
        <w:rPr>
          <w:rFonts w:ascii="Calibri" w:hAnsi="Calibri" w:cs="Calibri"/>
        </w:rPr>
      </w:pPr>
    </w:p>
    <w:p w14:paraId="79075DAE" w14:textId="77777777" w:rsidR="00F65098" w:rsidRPr="00B425C1" w:rsidRDefault="00F65098" w:rsidP="00B425C1">
      <w:pPr>
        <w:spacing w:line="360" w:lineRule="auto"/>
        <w:rPr>
          <w:rFonts w:ascii="Calibri" w:hAnsi="Calibri" w:cs="Calibri"/>
        </w:rPr>
      </w:pPr>
    </w:p>
    <w:p w14:paraId="0192F507" w14:textId="77777777" w:rsidR="00BD0682" w:rsidRPr="00B425C1" w:rsidRDefault="00BD0682" w:rsidP="00B425C1">
      <w:pPr>
        <w:spacing w:line="360" w:lineRule="auto"/>
        <w:rPr>
          <w:rFonts w:ascii="Calibri" w:hAnsi="Calibri" w:cs="Calibri"/>
        </w:rPr>
      </w:pPr>
    </w:p>
    <w:p w14:paraId="00D82298" w14:textId="77777777" w:rsidR="00BD0682" w:rsidRPr="00B425C1" w:rsidRDefault="00BD0682" w:rsidP="00B425C1">
      <w:pPr>
        <w:spacing w:line="360" w:lineRule="auto"/>
        <w:rPr>
          <w:rFonts w:ascii="Calibri" w:hAnsi="Calibri" w:cs="Calibri"/>
        </w:rPr>
      </w:pPr>
    </w:p>
    <w:p w14:paraId="56496770" w14:textId="77777777" w:rsidR="00BD0682" w:rsidRPr="00B425C1" w:rsidRDefault="00BD0682" w:rsidP="00B425C1">
      <w:pPr>
        <w:spacing w:line="360" w:lineRule="auto"/>
        <w:rPr>
          <w:rFonts w:ascii="Calibri" w:hAnsi="Calibri" w:cs="Calibri"/>
        </w:rPr>
      </w:pPr>
    </w:p>
    <w:p w14:paraId="244D4957" w14:textId="77777777" w:rsidR="00BD0682" w:rsidRPr="00B425C1" w:rsidRDefault="00BD0682" w:rsidP="00B425C1">
      <w:pPr>
        <w:spacing w:line="360" w:lineRule="auto"/>
        <w:rPr>
          <w:rFonts w:ascii="Calibri" w:hAnsi="Calibri" w:cs="Calibri"/>
        </w:rPr>
      </w:pPr>
    </w:p>
    <w:p w14:paraId="4C05318F" w14:textId="77777777" w:rsidR="00BD0682" w:rsidRPr="00B425C1" w:rsidRDefault="00BD0682" w:rsidP="00B425C1">
      <w:pPr>
        <w:spacing w:line="360" w:lineRule="auto"/>
        <w:rPr>
          <w:rFonts w:ascii="Calibri" w:hAnsi="Calibri" w:cs="Calibri"/>
        </w:rPr>
      </w:pPr>
    </w:p>
    <w:p w14:paraId="22944D9B" w14:textId="77777777" w:rsidR="00BD0682" w:rsidRPr="00B425C1" w:rsidRDefault="00BD0682" w:rsidP="00B425C1">
      <w:pPr>
        <w:spacing w:line="360" w:lineRule="auto"/>
        <w:rPr>
          <w:rFonts w:ascii="Calibri" w:hAnsi="Calibri" w:cs="Calibri"/>
        </w:rPr>
      </w:pPr>
    </w:p>
    <w:p w14:paraId="47925AB0" w14:textId="0AA07846" w:rsidR="00BD0682" w:rsidRPr="00B425C1" w:rsidRDefault="00BD0682" w:rsidP="00B425C1">
      <w:pPr>
        <w:spacing w:line="360" w:lineRule="auto"/>
        <w:rPr>
          <w:rFonts w:ascii="Calibri" w:hAnsi="Calibri" w:cs="Calibri"/>
        </w:rPr>
      </w:pPr>
      <w:r w:rsidRPr="00B425C1">
        <w:rPr>
          <w:rFonts w:ascii="Calibri" w:hAnsi="Calibri" w:cs="Calibri"/>
        </w:rPr>
        <w:t xml:space="preserve">Appendix 2: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5"/>
        <w:gridCol w:w="2137"/>
        <w:gridCol w:w="2969"/>
        <w:gridCol w:w="2160"/>
      </w:tblGrid>
      <w:tr w:rsidR="00186578" w:rsidRPr="00B425C1" w14:paraId="464094E0" w14:textId="77777777" w:rsidTr="00E83624">
        <w:trPr>
          <w:tblHeade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15D6481A" w14:textId="77777777" w:rsidR="001A378C" w:rsidRPr="001A378C" w:rsidRDefault="001A378C" w:rsidP="00B425C1">
            <w:pPr>
              <w:spacing w:line="360" w:lineRule="auto"/>
              <w:rPr>
                <w:rFonts w:ascii="Calibri" w:hAnsi="Calibri" w:cs="Calibri"/>
              </w:rPr>
            </w:pPr>
            <w:r w:rsidRPr="001A378C">
              <w:rPr>
                <w:rFonts w:ascii="Calibri" w:hAnsi="Calibri" w:cs="Calibri"/>
              </w:rPr>
              <w:t>Project</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5898C2A5" w14:textId="77777777" w:rsidR="001A378C" w:rsidRPr="001A378C" w:rsidRDefault="001A378C" w:rsidP="00B425C1">
            <w:pPr>
              <w:spacing w:line="360" w:lineRule="auto"/>
              <w:rPr>
                <w:rFonts w:ascii="Calibri" w:hAnsi="Calibri" w:cs="Calibri"/>
              </w:rPr>
            </w:pPr>
            <w:r w:rsidRPr="001A378C">
              <w:rPr>
                <w:rFonts w:ascii="Calibri" w:hAnsi="Calibri" w:cs="Calibri"/>
              </w:rPr>
              <w:t>Initial Investment (£)</w:t>
            </w:r>
          </w:p>
        </w:tc>
        <w:tc>
          <w:tcPr>
            <w:tcW w:w="0" w:type="auto"/>
            <w:tcBorders>
              <w:top w:val="single" w:sz="12" w:space="0" w:color="000000" w:themeColor="text1"/>
              <w:bottom w:val="single" w:sz="12" w:space="0" w:color="000000" w:themeColor="text1"/>
            </w:tcBorders>
            <w:vAlign w:val="center"/>
            <w:hideMark/>
          </w:tcPr>
          <w:p w14:paraId="77700C6E" w14:textId="77777777" w:rsidR="001A378C" w:rsidRPr="001A378C" w:rsidRDefault="001A378C" w:rsidP="00B425C1">
            <w:pPr>
              <w:spacing w:line="360" w:lineRule="auto"/>
              <w:rPr>
                <w:rFonts w:ascii="Calibri" w:hAnsi="Calibri" w:cs="Calibri"/>
              </w:rPr>
            </w:pPr>
            <w:r w:rsidRPr="001A378C">
              <w:rPr>
                <w:rFonts w:ascii="Calibri" w:hAnsi="Calibri" w:cs="Calibri"/>
              </w:rPr>
              <w:t>Capital Allowance per Year (£)</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2099C5A8" w14:textId="77777777" w:rsidR="001A378C" w:rsidRPr="001A378C" w:rsidRDefault="001A378C" w:rsidP="00B425C1">
            <w:pPr>
              <w:spacing w:line="360" w:lineRule="auto"/>
              <w:rPr>
                <w:rFonts w:ascii="Calibri" w:hAnsi="Calibri" w:cs="Calibri"/>
              </w:rPr>
            </w:pPr>
            <w:r w:rsidRPr="001A378C">
              <w:rPr>
                <w:rFonts w:ascii="Calibri" w:hAnsi="Calibri" w:cs="Calibri"/>
              </w:rPr>
              <w:t>Annual Tax Shield (£)</w:t>
            </w:r>
          </w:p>
        </w:tc>
      </w:tr>
      <w:tr w:rsidR="00186578" w:rsidRPr="00B425C1" w14:paraId="5F47DE32" w14:textId="77777777" w:rsidTr="00E83624">
        <w:trPr>
          <w:tblCellSpacing w:w="15" w:type="dxa"/>
        </w:trPr>
        <w:tc>
          <w:tcPr>
            <w:tcW w:w="0" w:type="auto"/>
            <w:tcBorders>
              <w:left w:val="single" w:sz="12" w:space="0" w:color="000000" w:themeColor="text1"/>
              <w:bottom w:val="single" w:sz="12" w:space="0" w:color="000000" w:themeColor="text1"/>
            </w:tcBorders>
            <w:vAlign w:val="center"/>
            <w:hideMark/>
          </w:tcPr>
          <w:p w14:paraId="369C1CDC"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A</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1E0BE257"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600,000</w:t>
            </w:r>
          </w:p>
        </w:tc>
        <w:tc>
          <w:tcPr>
            <w:tcW w:w="0" w:type="auto"/>
            <w:tcBorders>
              <w:bottom w:val="single" w:sz="12" w:space="0" w:color="000000" w:themeColor="text1"/>
            </w:tcBorders>
            <w:vAlign w:val="center"/>
            <w:hideMark/>
          </w:tcPr>
          <w:p w14:paraId="48F6E2D8"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120,000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42695DFF"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30,000</w:t>
            </w:r>
          </w:p>
        </w:tc>
      </w:tr>
      <w:tr w:rsidR="00186578" w:rsidRPr="00B425C1" w14:paraId="72AF39EC" w14:textId="77777777" w:rsidTr="00E83624">
        <w:trPr>
          <w:tblCellSpacing w:w="15" w:type="dxa"/>
        </w:trPr>
        <w:tc>
          <w:tcPr>
            <w:tcW w:w="0" w:type="auto"/>
            <w:tcBorders>
              <w:left w:val="single" w:sz="12" w:space="0" w:color="000000" w:themeColor="text1"/>
              <w:bottom w:val="single" w:sz="12" w:space="0" w:color="000000" w:themeColor="text1"/>
            </w:tcBorders>
            <w:vAlign w:val="center"/>
            <w:hideMark/>
          </w:tcPr>
          <w:p w14:paraId="632406D8"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B</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78276EC6"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1,000,000</w:t>
            </w:r>
          </w:p>
        </w:tc>
        <w:tc>
          <w:tcPr>
            <w:tcW w:w="0" w:type="auto"/>
            <w:tcBorders>
              <w:bottom w:val="single" w:sz="12" w:space="0" w:color="000000" w:themeColor="text1"/>
            </w:tcBorders>
            <w:vAlign w:val="center"/>
            <w:hideMark/>
          </w:tcPr>
          <w:p w14:paraId="1BD187C3"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200,000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5051F19F"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50,000</w:t>
            </w:r>
          </w:p>
        </w:tc>
      </w:tr>
      <w:tr w:rsidR="00186578" w:rsidRPr="00B425C1" w14:paraId="1EFE439F" w14:textId="77777777" w:rsidTr="00E83624">
        <w:trPr>
          <w:tblCellSpacing w:w="15" w:type="dxa"/>
        </w:trPr>
        <w:tc>
          <w:tcPr>
            <w:tcW w:w="0" w:type="auto"/>
            <w:tcBorders>
              <w:left w:val="single" w:sz="12" w:space="0" w:color="000000" w:themeColor="text1"/>
              <w:bottom w:val="single" w:sz="12" w:space="0" w:color="000000" w:themeColor="text1"/>
            </w:tcBorders>
            <w:vAlign w:val="center"/>
            <w:hideMark/>
          </w:tcPr>
          <w:p w14:paraId="474E18C8"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C</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1A1988D9"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1,600,000</w:t>
            </w:r>
          </w:p>
        </w:tc>
        <w:tc>
          <w:tcPr>
            <w:tcW w:w="0" w:type="auto"/>
            <w:tcBorders>
              <w:bottom w:val="single" w:sz="12" w:space="0" w:color="000000" w:themeColor="text1"/>
            </w:tcBorders>
            <w:vAlign w:val="center"/>
            <w:hideMark/>
          </w:tcPr>
          <w:p w14:paraId="60A3BEA7"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320,000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04D5F3FF"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80,000</w:t>
            </w:r>
          </w:p>
        </w:tc>
      </w:tr>
    </w:tbl>
    <w:p w14:paraId="692D01EE" w14:textId="77777777" w:rsidR="001A378C" w:rsidRPr="00B425C1" w:rsidRDefault="001A378C" w:rsidP="00B425C1">
      <w:pPr>
        <w:spacing w:line="360" w:lineRule="auto"/>
        <w:rPr>
          <w:rFonts w:ascii="Calibri" w:hAnsi="Calibri" w:cs="Calibri"/>
        </w:rPr>
      </w:pPr>
    </w:p>
    <w:p w14:paraId="35D78656" w14:textId="77777777" w:rsidR="0081226E" w:rsidRPr="0081226E" w:rsidRDefault="0081226E" w:rsidP="00B425C1">
      <w:pPr>
        <w:spacing w:line="360" w:lineRule="auto"/>
        <w:rPr>
          <w:rFonts w:ascii="Calibri" w:hAnsi="Calibri" w:cs="Calibri"/>
        </w:rPr>
      </w:pPr>
      <w:r w:rsidRPr="0081226E">
        <w:rPr>
          <w:rFonts w:ascii="Calibri" w:hAnsi="Calibri" w:cs="Calibri"/>
        </w:rPr>
        <w:t>Project A: Net Present Value Calculation (6% Discount Rate)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3"/>
        <w:gridCol w:w="1502"/>
        <w:gridCol w:w="1581"/>
        <w:gridCol w:w="1063"/>
        <w:gridCol w:w="1396"/>
        <w:gridCol w:w="1516"/>
        <w:gridCol w:w="1415"/>
      </w:tblGrid>
      <w:tr w:rsidR="00E319CD" w:rsidRPr="00B425C1" w14:paraId="1A8532DA" w14:textId="77777777" w:rsidTr="00E319CD">
        <w:trPr>
          <w:tblHeade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28496158" w14:textId="77777777" w:rsidR="0081226E" w:rsidRPr="0081226E" w:rsidRDefault="0081226E" w:rsidP="00B425C1">
            <w:pPr>
              <w:spacing w:line="360" w:lineRule="auto"/>
              <w:rPr>
                <w:rFonts w:ascii="Calibri" w:hAnsi="Calibri" w:cs="Calibri"/>
              </w:rPr>
            </w:pPr>
            <w:r w:rsidRPr="0081226E">
              <w:rPr>
                <w:rFonts w:ascii="Calibri" w:hAnsi="Calibri" w:cs="Calibri"/>
              </w:rPr>
              <w:t>Year</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22283294" w14:textId="77777777" w:rsidR="0081226E" w:rsidRPr="0081226E" w:rsidRDefault="0081226E" w:rsidP="00B425C1">
            <w:pPr>
              <w:spacing w:line="360" w:lineRule="auto"/>
              <w:rPr>
                <w:rFonts w:ascii="Calibri" w:hAnsi="Calibri" w:cs="Calibri"/>
              </w:rPr>
            </w:pPr>
            <w:r w:rsidRPr="0081226E">
              <w:rPr>
                <w:rFonts w:ascii="Calibri" w:hAnsi="Calibri" w:cs="Calibri"/>
              </w:rPr>
              <w:t>Pre-tax Cash Flow (£)</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7B2927C9" w14:textId="77777777" w:rsidR="0081226E" w:rsidRPr="0081226E" w:rsidRDefault="0081226E" w:rsidP="00B425C1">
            <w:pPr>
              <w:spacing w:line="360" w:lineRule="auto"/>
              <w:rPr>
                <w:rFonts w:ascii="Calibri" w:hAnsi="Calibri" w:cs="Calibri"/>
              </w:rPr>
            </w:pPr>
            <w:r w:rsidRPr="0081226E">
              <w:rPr>
                <w:rFonts w:ascii="Calibri" w:hAnsi="Calibri" w:cs="Calibri"/>
              </w:rPr>
              <w:t>After-tax Cash Flow (£)</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74E849EB" w14:textId="77777777" w:rsidR="0081226E" w:rsidRPr="0081226E" w:rsidRDefault="0081226E" w:rsidP="00B425C1">
            <w:pPr>
              <w:spacing w:line="360" w:lineRule="auto"/>
              <w:rPr>
                <w:rFonts w:ascii="Calibri" w:hAnsi="Calibri" w:cs="Calibri"/>
              </w:rPr>
            </w:pPr>
            <w:r w:rsidRPr="0081226E">
              <w:rPr>
                <w:rFonts w:ascii="Calibri" w:hAnsi="Calibri" w:cs="Calibri"/>
              </w:rPr>
              <w:t>Tax Shield (£)</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0E68BEF9" w14:textId="77777777" w:rsidR="0081226E" w:rsidRPr="0081226E" w:rsidRDefault="0081226E" w:rsidP="00B425C1">
            <w:pPr>
              <w:spacing w:line="360" w:lineRule="auto"/>
              <w:rPr>
                <w:rFonts w:ascii="Calibri" w:hAnsi="Calibri" w:cs="Calibri"/>
              </w:rPr>
            </w:pPr>
            <w:r w:rsidRPr="0081226E">
              <w:rPr>
                <w:rFonts w:ascii="Calibri" w:hAnsi="Calibri" w:cs="Calibri"/>
              </w:rPr>
              <w:t>Net Cash Flow (£)</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63732102" w14:textId="77777777" w:rsidR="0081226E" w:rsidRPr="0081226E" w:rsidRDefault="0081226E" w:rsidP="00B425C1">
            <w:pPr>
              <w:spacing w:line="360" w:lineRule="auto"/>
              <w:rPr>
                <w:rFonts w:ascii="Calibri" w:hAnsi="Calibri" w:cs="Calibri"/>
              </w:rPr>
            </w:pPr>
            <w:r w:rsidRPr="0081226E">
              <w:rPr>
                <w:rFonts w:ascii="Calibri" w:hAnsi="Calibri" w:cs="Calibri"/>
              </w:rPr>
              <w:t>Discount Factor (6%)</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52C63FAA" w14:textId="77777777" w:rsidR="0081226E" w:rsidRPr="0081226E" w:rsidRDefault="0081226E" w:rsidP="00B425C1">
            <w:pPr>
              <w:spacing w:line="360" w:lineRule="auto"/>
              <w:rPr>
                <w:rFonts w:ascii="Calibri" w:hAnsi="Calibri" w:cs="Calibri"/>
              </w:rPr>
            </w:pPr>
            <w:r w:rsidRPr="0081226E">
              <w:rPr>
                <w:rFonts w:ascii="Calibri" w:hAnsi="Calibri" w:cs="Calibri"/>
              </w:rPr>
              <w:t>Present Value (£)</w:t>
            </w:r>
          </w:p>
        </w:tc>
      </w:tr>
      <w:tr w:rsidR="00E319CD" w:rsidRPr="00B425C1" w14:paraId="34D1971D" w14:textId="77777777" w:rsidTr="00E319CD">
        <w:trPr>
          <w:tblCellSpacing w:w="15" w:type="dxa"/>
        </w:trPr>
        <w:tc>
          <w:tcPr>
            <w:tcW w:w="0" w:type="auto"/>
            <w:tcBorders>
              <w:left w:val="single" w:sz="12" w:space="0" w:color="000000" w:themeColor="text1"/>
              <w:bottom w:val="single" w:sz="12" w:space="0" w:color="000000" w:themeColor="text1"/>
            </w:tcBorders>
            <w:vAlign w:val="center"/>
            <w:hideMark/>
          </w:tcPr>
          <w:p w14:paraId="02FCA3B9"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0</w:t>
            </w:r>
          </w:p>
        </w:tc>
        <w:tc>
          <w:tcPr>
            <w:tcW w:w="0" w:type="auto"/>
            <w:tcBorders>
              <w:left w:val="single" w:sz="12" w:space="0" w:color="000000" w:themeColor="text1"/>
              <w:bottom w:val="single" w:sz="12" w:space="0" w:color="000000" w:themeColor="text1"/>
            </w:tcBorders>
            <w:vAlign w:val="center"/>
            <w:hideMark/>
          </w:tcPr>
          <w:p w14:paraId="3121B179"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w:t>
            </w:r>
          </w:p>
        </w:tc>
        <w:tc>
          <w:tcPr>
            <w:tcW w:w="0" w:type="auto"/>
            <w:tcBorders>
              <w:left w:val="single" w:sz="12" w:space="0" w:color="000000" w:themeColor="text1"/>
              <w:bottom w:val="single" w:sz="12" w:space="0" w:color="000000" w:themeColor="text1"/>
            </w:tcBorders>
            <w:vAlign w:val="center"/>
            <w:hideMark/>
          </w:tcPr>
          <w:p w14:paraId="74A22A73"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w:t>
            </w:r>
          </w:p>
        </w:tc>
        <w:tc>
          <w:tcPr>
            <w:tcW w:w="0" w:type="auto"/>
            <w:tcBorders>
              <w:left w:val="single" w:sz="12" w:space="0" w:color="000000" w:themeColor="text1"/>
              <w:bottom w:val="single" w:sz="12" w:space="0" w:color="000000" w:themeColor="text1"/>
            </w:tcBorders>
            <w:vAlign w:val="center"/>
            <w:hideMark/>
          </w:tcPr>
          <w:p w14:paraId="0C43772A"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w:t>
            </w:r>
          </w:p>
        </w:tc>
        <w:tc>
          <w:tcPr>
            <w:tcW w:w="0" w:type="auto"/>
            <w:tcBorders>
              <w:left w:val="single" w:sz="12" w:space="0" w:color="000000" w:themeColor="text1"/>
              <w:bottom w:val="single" w:sz="12" w:space="0" w:color="000000" w:themeColor="text1"/>
            </w:tcBorders>
            <w:vAlign w:val="center"/>
            <w:hideMark/>
          </w:tcPr>
          <w:p w14:paraId="133F43A1"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−600,000</w:t>
            </w:r>
          </w:p>
        </w:tc>
        <w:tc>
          <w:tcPr>
            <w:tcW w:w="0" w:type="auto"/>
            <w:tcBorders>
              <w:left w:val="single" w:sz="12" w:space="0" w:color="000000" w:themeColor="text1"/>
              <w:bottom w:val="single" w:sz="12" w:space="0" w:color="000000" w:themeColor="text1"/>
            </w:tcBorders>
            <w:vAlign w:val="center"/>
            <w:hideMark/>
          </w:tcPr>
          <w:p w14:paraId="7D1221E5"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1.000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3BAB470D"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−600,000</w:t>
            </w:r>
          </w:p>
        </w:tc>
      </w:tr>
      <w:tr w:rsidR="00E319CD" w:rsidRPr="00B425C1" w14:paraId="0C9F3334" w14:textId="77777777" w:rsidTr="00E319CD">
        <w:trPr>
          <w:tblCellSpacing w:w="15" w:type="dxa"/>
        </w:trPr>
        <w:tc>
          <w:tcPr>
            <w:tcW w:w="0" w:type="auto"/>
            <w:tcBorders>
              <w:left w:val="single" w:sz="12" w:space="0" w:color="000000" w:themeColor="text1"/>
              <w:bottom w:val="single" w:sz="12" w:space="0" w:color="000000" w:themeColor="text1"/>
            </w:tcBorders>
            <w:vAlign w:val="center"/>
            <w:hideMark/>
          </w:tcPr>
          <w:p w14:paraId="679F01C2"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1</w:t>
            </w:r>
          </w:p>
        </w:tc>
        <w:tc>
          <w:tcPr>
            <w:tcW w:w="0" w:type="auto"/>
            <w:tcBorders>
              <w:left w:val="single" w:sz="12" w:space="0" w:color="000000" w:themeColor="text1"/>
              <w:bottom w:val="single" w:sz="12" w:space="0" w:color="000000" w:themeColor="text1"/>
            </w:tcBorders>
            <w:vAlign w:val="center"/>
            <w:hideMark/>
          </w:tcPr>
          <w:p w14:paraId="5A136197"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200,000</w:t>
            </w:r>
          </w:p>
        </w:tc>
        <w:tc>
          <w:tcPr>
            <w:tcW w:w="0" w:type="auto"/>
            <w:tcBorders>
              <w:left w:val="single" w:sz="12" w:space="0" w:color="000000" w:themeColor="text1"/>
              <w:bottom w:val="single" w:sz="12" w:space="0" w:color="000000" w:themeColor="text1"/>
            </w:tcBorders>
            <w:vAlign w:val="center"/>
            <w:hideMark/>
          </w:tcPr>
          <w:p w14:paraId="3493D032"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150,000</w:t>
            </w:r>
          </w:p>
        </w:tc>
        <w:tc>
          <w:tcPr>
            <w:tcW w:w="0" w:type="auto"/>
            <w:tcBorders>
              <w:left w:val="single" w:sz="12" w:space="0" w:color="000000" w:themeColor="text1"/>
              <w:bottom w:val="single" w:sz="12" w:space="0" w:color="000000" w:themeColor="text1"/>
            </w:tcBorders>
            <w:vAlign w:val="center"/>
            <w:hideMark/>
          </w:tcPr>
          <w:p w14:paraId="25A6EF0C"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30,000</w:t>
            </w:r>
          </w:p>
        </w:tc>
        <w:tc>
          <w:tcPr>
            <w:tcW w:w="0" w:type="auto"/>
            <w:tcBorders>
              <w:left w:val="single" w:sz="12" w:space="0" w:color="000000" w:themeColor="text1"/>
              <w:bottom w:val="single" w:sz="12" w:space="0" w:color="000000" w:themeColor="text1"/>
            </w:tcBorders>
            <w:vAlign w:val="center"/>
            <w:hideMark/>
          </w:tcPr>
          <w:p w14:paraId="102D73E2"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180,000</w:t>
            </w:r>
          </w:p>
        </w:tc>
        <w:tc>
          <w:tcPr>
            <w:tcW w:w="0" w:type="auto"/>
            <w:tcBorders>
              <w:left w:val="single" w:sz="12" w:space="0" w:color="000000" w:themeColor="text1"/>
              <w:bottom w:val="single" w:sz="12" w:space="0" w:color="000000" w:themeColor="text1"/>
            </w:tcBorders>
            <w:vAlign w:val="center"/>
            <w:hideMark/>
          </w:tcPr>
          <w:p w14:paraId="3AC35462"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0.943</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7288FEAD"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169,811</w:t>
            </w:r>
          </w:p>
        </w:tc>
      </w:tr>
      <w:tr w:rsidR="00E319CD" w:rsidRPr="00B425C1" w14:paraId="062C277E" w14:textId="77777777" w:rsidTr="00E319CD">
        <w:trPr>
          <w:tblCellSpacing w:w="15" w:type="dxa"/>
        </w:trPr>
        <w:tc>
          <w:tcPr>
            <w:tcW w:w="0" w:type="auto"/>
            <w:tcBorders>
              <w:left w:val="single" w:sz="12" w:space="0" w:color="000000" w:themeColor="text1"/>
              <w:bottom w:val="single" w:sz="12" w:space="0" w:color="000000" w:themeColor="text1"/>
            </w:tcBorders>
            <w:vAlign w:val="center"/>
            <w:hideMark/>
          </w:tcPr>
          <w:p w14:paraId="527C0B36"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2</w:t>
            </w:r>
          </w:p>
        </w:tc>
        <w:tc>
          <w:tcPr>
            <w:tcW w:w="0" w:type="auto"/>
            <w:tcBorders>
              <w:left w:val="single" w:sz="12" w:space="0" w:color="000000" w:themeColor="text1"/>
              <w:bottom w:val="single" w:sz="12" w:space="0" w:color="000000" w:themeColor="text1"/>
            </w:tcBorders>
            <w:vAlign w:val="center"/>
            <w:hideMark/>
          </w:tcPr>
          <w:p w14:paraId="7BC6EEBB"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400,000</w:t>
            </w:r>
          </w:p>
        </w:tc>
        <w:tc>
          <w:tcPr>
            <w:tcW w:w="0" w:type="auto"/>
            <w:tcBorders>
              <w:left w:val="single" w:sz="12" w:space="0" w:color="000000" w:themeColor="text1"/>
              <w:bottom w:val="single" w:sz="12" w:space="0" w:color="000000" w:themeColor="text1"/>
            </w:tcBorders>
            <w:vAlign w:val="center"/>
            <w:hideMark/>
          </w:tcPr>
          <w:p w14:paraId="19C16D27"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300,000</w:t>
            </w:r>
          </w:p>
        </w:tc>
        <w:tc>
          <w:tcPr>
            <w:tcW w:w="0" w:type="auto"/>
            <w:tcBorders>
              <w:left w:val="single" w:sz="12" w:space="0" w:color="000000" w:themeColor="text1"/>
              <w:bottom w:val="single" w:sz="12" w:space="0" w:color="000000" w:themeColor="text1"/>
            </w:tcBorders>
            <w:vAlign w:val="center"/>
            <w:hideMark/>
          </w:tcPr>
          <w:p w14:paraId="2C853654"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30,000</w:t>
            </w:r>
          </w:p>
        </w:tc>
        <w:tc>
          <w:tcPr>
            <w:tcW w:w="0" w:type="auto"/>
            <w:tcBorders>
              <w:left w:val="single" w:sz="12" w:space="0" w:color="000000" w:themeColor="text1"/>
              <w:bottom w:val="single" w:sz="12" w:space="0" w:color="000000" w:themeColor="text1"/>
            </w:tcBorders>
            <w:vAlign w:val="center"/>
            <w:hideMark/>
          </w:tcPr>
          <w:p w14:paraId="0D820119"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330,000</w:t>
            </w:r>
          </w:p>
        </w:tc>
        <w:tc>
          <w:tcPr>
            <w:tcW w:w="0" w:type="auto"/>
            <w:tcBorders>
              <w:left w:val="single" w:sz="12" w:space="0" w:color="000000" w:themeColor="text1"/>
              <w:bottom w:val="single" w:sz="12" w:space="0" w:color="000000" w:themeColor="text1"/>
            </w:tcBorders>
            <w:vAlign w:val="center"/>
            <w:hideMark/>
          </w:tcPr>
          <w:p w14:paraId="4F70C19F"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0.890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33C0CAAD"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293,699</w:t>
            </w:r>
          </w:p>
        </w:tc>
      </w:tr>
      <w:tr w:rsidR="00E319CD" w:rsidRPr="00B425C1" w14:paraId="5E135220" w14:textId="77777777" w:rsidTr="00E319CD">
        <w:trPr>
          <w:tblCellSpacing w:w="15" w:type="dxa"/>
        </w:trPr>
        <w:tc>
          <w:tcPr>
            <w:tcW w:w="0" w:type="auto"/>
            <w:tcBorders>
              <w:left w:val="single" w:sz="12" w:space="0" w:color="000000" w:themeColor="text1"/>
              <w:bottom w:val="single" w:sz="12" w:space="0" w:color="000000" w:themeColor="text1"/>
            </w:tcBorders>
            <w:vAlign w:val="center"/>
            <w:hideMark/>
          </w:tcPr>
          <w:p w14:paraId="66F3BBAD"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w:t>
            </w:r>
          </w:p>
        </w:tc>
        <w:tc>
          <w:tcPr>
            <w:tcW w:w="0" w:type="auto"/>
            <w:tcBorders>
              <w:left w:val="single" w:sz="12" w:space="0" w:color="000000" w:themeColor="text1"/>
              <w:bottom w:val="single" w:sz="12" w:space="0" w:color="000000" w:themeColor="text1"/>
            </w:tcBorders>
            <w:vAlign w:val="center"/>
            <w:hideMark/>
          </w:tcPr>
          <w:p w14:paraId="2F73D0D0"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500,000</w:t>
            </w:r>
          </w:p>
        </w:tc>
        <w:tc>
          <w:tcPr>
            <w:tcW w:w="0" w:type="auto"/>
            <w:tcBorders>
              <w:left w:val="single" w:sz="12" w:space="0" w:color="000000" w:themeColor="text1"/>
              <w:bottom w:val="single" w:sz="12" w:space="0" w:color="000000" w:themeColor="text1"/>
            </w:tcBorders>
            <w:vAlign w:val="center"/>
            <w:hideMark/>
          </w:tcPr>
          <w:p w14:paraId="091E83CC"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375,000</w:t>
            </w:r>
          </w:p>
        </w:tc>
        <w:tc>
          <w:tcPr>
            <w:tcW w:w="0" w:type="auto"/>
            <w:tcBorders>
              <w:left w:val="single" w:sz="12" w:space="0" w:color="000000" w:themeColor="text1"/>
              <w:bottom w:val="single" w:sz="12" w:space="0" w:color="000000" w:themeColor="text1"/>
            </w:tcBorders>
            <w:vAlign w:val="center"/>
            <w:hideMark/>
          </w:tcPr>
          <w:p w14:paraId="72B2E07B"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30,000</w:t>
            </w:r>
          </w:p>
        </w:tc>
        <w:tc>
          <w:tcPr>
            <w:tcW w:w="0" w:type="auto"/>
            <w:tcBorders>
              <w:left w:val="single" w:sz="12" w:space="0" w:color="000000" w:themeColor="text1"/>
              <w:bottom w:val="single" w:sz="12" w:space="0" w:color="000000" w:themeColor="text1"/>
            </w:tcBorders>
            <w:vAlign w:val="center"/>
            <w:hideMark/>
          </w:tcPr>
          <w:p w14:paraId="535AB170"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405,000</w:t>
            </w:r>
          </w:p>
        </w:tc>
        <w:tc>
          <w:tcPr>
            <w:tcW w:w="0" w:type="auto"/>
            <w:tcBorders>
              <w:left w:val="single" w:sz="12" w:space="0" w:color="000000" w:themeColor="text1"/>
              <w:bottom w:val="single" w:sz="12" w:space="0" w:color="000000" w:themeColor="text1"/>
            </w:tcBorders>
            <w:vAlign w:val="center"/>
            <w:hideMark/>
          </w:tcPr>
          <w:p w14:paraId="5955FF1C"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0.840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5328C4D0"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340,046</w:t>
            </w:r>
          </w:p>
        </w:tc>
      </w:tr>
      <w:tr w:rsidR="00E319CD" w:rsidRPr="00B425C1" w14:paraId="261FFF7D" w14:textId="77777777" w:rsidTr="00E319CD">
        <w:trPr>
          <w:tblCellSpacing w:w="15" w:type="dxa"/>
        </w:trPr>
        <w:tc>
          <w:tcPr>
            <w:tcW w:w="0" w:type="auto"/>
            <w:tcBorders>
              <w:left w:val="single" w:sz="12" w:space="0" w:color="000000" w:themeColor="text1"/>
              <w:bottom w:val="single" w:sz="12" w:space="0" w:color="000000" w:themeColor="text1"/>
            </w:tcBorders>
            <w:vAlign w:val="center"/>
            <w:hideMark/>
          </w:tcPr>
          <w:p w14:paraId="26428B6A"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4</w:t>
            </w:r>
          </w:p>
        </w:tc>
        <w:tc>
          <w:tcPr>
            <w:tcW w:w="0" w:type="auto"/>
            <w:tcBorders>
              <w:left w:val="single" w:sz="12" w:space="0" w:color="000000" w:themeColor="text1"/>
              <w:bottom w:val="single" w:sz="12" w:space="0" w:color="000000" w:themeColor="text1"/>
            </w:tcBorders>
            <w:vAlign w:val="center"/>
            <w:hideMark/>
          </w:tcPr>
          <w:p w14:paraId="61EB29A9"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700,000</w:t>
            </w:r>
          </w:p>
        </w:tc>
        <w:tc>
          <w:tcPr>
            <w:tcW w:w="0" w:type="auto"/>
            <w:tcBorders>
              <w:left w:val="single" w:sz="12" w:space="0" w:color="000000" w:themeColor="text1"/>
              <w:bottom w:val="single" w:sz="12" w:space="0" w:color="000000" w:themeColor="text1"/>
            </w:tcBorders>
            <w:vAlign w:val="center"/>
            <w:hideMark/>
          </w:tcPr>
          <w:p w14:paraId="15AA3587"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525,000</w:t>
            </w:r>
          </w:p>
        </w:tc>
        <w:tc>
          <w:tcPr>
            <w:tcW w:w="0" w:type="auto"/>
            <w:tcBorders>
              <w:left w:val="single" w:sz="12" w:space="0" w:color="000000" w:themeColor="text1"/>
              <w:bottom w:val="single" w:sz="12" w:space="0" w:color="000000" w:themeColor="text1"/>
            </w:tcBorders>
            <w:vAlign w:val="center"/>
            <w:hideMark/>
          </w:tcPr>
          <w:p w14:paraId="3DD43C8F"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30,000</w:t>
            </w:r>
          </w:p>
        </w:tc>
        <w:tc>
          <w:tcPr>
            <w:tcW w:w="0" w:type="auto"/>
            <w:tcBorders>
              <w:left w:val="single" w:sz="12" w:space="0" w:color="000000" w:themeColor="text1"/>
              <w:bottom w:val="single" w:sz="12" w:space="0" w:color="000000" w:themeColor="text1"/>
            </w:tcBorders>
            <w:vAlign w:val="center"/>
            <w:hideMark/>
          </w:tcPr>
          <w:p w14:paraId="1223FC7D"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555,000</w:t>
            </w:r>
          </w:p>
        </w:tc>
        <w:tc>
          <w:tcPr>
            <w:tcW w:w="0" w:type="auto"/>
            <w:tcBorders>
              <w:left w:val="single" w:sz="12" w:space="0" w:color="000000" w:themeColor="text1"/>
              <w:bottom w:val="single" w:sz="12" w:space="0" w:color="000000" w:themeColor="text1"/>
            </w:tcBorders>
            <w:vAlign w:val="center"/>
            <w:hideMark/>
          </w:tcPr>
          <w:p w14:paraId="099A0647"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0.792</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74EF947A"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439,612</w:t>
            </w:r>
          </w:p>
        </w:tc>
      </w:tr>
    </w:tbl>
    <w:p w14:paraId="438E4761" w14:textId="0F1EE464" w:rsidR="0081226E" w:rsidRPr="00B425C1" w:rsidRDefault="0081226E" w:rsidP="00B425C1">
      <w:pPr>
        <w:spacing w:line="360" w:lineRule="auto"/>
        <w:rPr>
          <w:rFonts w:ascii="Calibri" w:hAnsi="Calibri" w:cs="Calibri"/>
        </w:rPr>
      </w:pPr>
      <w:r w:rsidRPr="00B425C1">
        <w:rPr>
          <w:rFonts w:ascii="Calibri" w:hAnsi="Calibri" w:cs="Calibri"/>
        </w:rPr>
        <w:t>NPV (Project A): £643,168</w:t>
      </w:r>
    </w:p>
    <w:p w14:paraId="03A7969E" w14:textId="77777777" w:rsidR="0081226E" w:rsidRPr="00B425C1" w:rsidRDefault="0081226E" w:rsidP="00B425C1">
      <w:pPr>
        <w:spacing w:line="360" w:lineRule="auto"/>
        <w:rPr>
          <w:rFonts w:ascii="Calibri" w:hAnsi="Calibri" w:cs="Calibri"/>
        </w:rPr>
      </w:pPr>
    </w:p>
    <w:p w14:paraId="7C7F0D84" w14:textId="77777777" w:rsidR="00BD49BB" w:rsidRPr="00B425C1" w:rsidRDefault="00BD49BB" w:rsidP="00B425C1">
      <w:pPr>
        <w:spacing w:line="360" w:lineRule="auto"/>
        <w:rPr>
          <w:rFonts w:ascii="Calibri" w:hAnsi="Calibri" w:cs="Calibri"/>
        </w:rPr>
      </w:pPr>
    </w:p>
    <w:p w14:paraId="111463BB" w14:textId="77777777" w:rsidR="00BD49BB" w:rsidRPr="00B425C1" w:rsidRDefault="00BD49BB" w:rsidP="00B425C1">
      <w:pPr>
        <w:spacing w:line="360" w:lineRule="auto"/>
        <w:rPr>
          <w:rFonts w:ascii="Calibri" w:hAnsi="Calibri" w:cs="Calibri"/>
        </w:rPr>
      </w:pPr>
    </w:p>
    <w:p w14:paraId="5717A215" w14:textId="77777777" w:rsidR="00BD49BB" w:rsidRPr="00B425C1" w:rsidRDefault="00BD49BB" w:rsidP="00B425C1">
      <w:pPr>
        <w:spacing w:line="360" w:lineRule="auto"/>
        <w:rPr>
          <w:rFonts w:ascii="Calibri" w:hAnsi="Calibri" w:cs="Calibri"/>
        </w:rPr>
      </w:pPr>
    </w:p>
    <w:p w14:paraId="05015EF7" w14:textId="77777777" w:rsidR="00BD49BB" w:rsidRPr="00B425C1" w:rsidRDefault="00BD49BB" w:rsidP="00B425C1">
      <w:pPr>
        <w:spacing w:line="360" w:lineRule="auto"/>
        <w:rPr>
          <w:rFonts w:ascii="Calibri" w:hAnsi="Calibri" w:cs="Calibri"/>
        </w:rPr>
      </w:pPr>
    </w:p>
    <w:p w14:paraId="6DD5C24C" w14:textId="77777777" w:rsidR="00BD49BB" w:rsidRPr="00B425C1" w:rsidRDefault="00BD49BB" w:rsidP="00B425C1">
      <w:pPr>
        <w:spacing w:line="360" w:lineRule="auto"/>
        <w:rPr>
          <w:rFonts w:ascii="Calibri" w:hAnsi="Calibri" w:cs="Calibri"/>
        </w:rPr>
      </w:pPr>
    </w:p>
    <w:p w14:paraId="5A53C28E" w14:textId="77777777" w:rsidR="00BD49BB" w:rsidRPr="00B425C1" w:rsidRDefault="00BD49BB" w:rsidP="00B425C1">
      <w:pPr>
        <w:spacing w:line="360" w:lineRule="auto"/>
        <w:rPr>
          <w:rFonts w:ascii="Calibri" w:hAnsi="Calibri" w:cs="Calibri"/>
        </w:rPr>
      </w:pPr>
    </w:p>
    <w:p w14:paraId="0A5A7443" w14:textId="77777777" w:rsidR="00BD49BB" w:rsidRPr="00B425C1" w:rsidRDefault="00BD49BB" w:rsidP="00B425C1">
      <w:pPr>
        <w:spacing w:line="360" w:lineRule="auto"/>
        <w:rPr>
          <w:rFonts w:ascii="Calibri" w:hAnsi="Calibri" w:cs="Calibri"/>
        </w:rPr>
      </w:pPr>
    </w:p>
    <w:p w14:paraId="02ADD05D" w14:textId="43C26B85" w:rsidR="0081226E" w:rsidRPr="00B425C1" w:rsidRDefault="0081226E" w:rsidP="00B425C1">
      <w:pPr>
        <w:spacing w:line="360" w:lineRule="auto"/>
        <w:rPr>
          <w:rFonts w:ascii="Calibri" w:hAnsi="Calibri" w:cs="Calibri"/>
        </w:rPr>
      </w:pPr>
      <w:r w:rsidRPr="00B425C1">
        <w:rPr>
          <w:rFonts w:ascii="Calibri" w:hAnsi="Calibri" w:cs="Calibri"/>
        </w:rPr>
        <w:t>Project B: Net Present Value Calculation (6% Discount Rate)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3"/>
        <w:gridCol w:w="1461"/>
        <w:gridCol w:w="1535"/>
        <w:gridCol w:w="1073"/>
        <w:gridCol w:w="1437"/>
        <w:gridCol w:w="1479"/>
        <w:gridCol w:w="1488"/>
      </w:tblGrid>
      <w:tr w:rsidR="00B425C1" w:rsidRPr="00B425C1" w14:paraId="487DA27A" w14:textId="77777777" w:rsidTr="003644C8">
        <w:trPr>
          <w:tblHeade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6A77A5B7" w14:textId="77777777" w:rsidR="0081226E" w:rsidRPr="0081226E" w:rsidRDefault="0081226E" w:rsidP="00B425C1">
            <w:pPr>
              <w:spacing w:line="360" w:lineRule="auto"/>
              <w:rPr>
                <w:rFonts w:ascii="Calibri" w:hAnsi="Calibri" w:cs="Calibri"/>
              </w:rPr>
            </w:pPr>
            <w:r w:rsidRPr="0081226E">
              <w:rPr>
                <w:rFonts w:ascii="Calibri" w:hAnsi="Calibri" w:cs="Calibri"/>
              </w:rPr>
              <w:t>Year</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0B1D4FF9" w14:textId="77777777" w:rsidR="0081226E" w:rsidRPr="0081226E" w:rsidRDefault="0081226E" w:rsidP="00B425C1">
            <w:pPr>
              <w:spacing w:line="360" w:lineRule="auto"/>
              <w:rPr>
                <w:rFonts w:ascii="Calibri" w:hAnsi="Calibri" w:cs="Calibri"/>
              </w:rPr>
            </w:pPr>
            <w:r w:rsidRPr="0081226E">
              <w:rPr>
                <w:rFonts w:ascii="Calibri" w:hAnsi="Calibri" w:cs="Calibri"/>
              </w:rPr>
              <w:t>Pre-tax Cash Flow (£)</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7E91CBE9" w14:textId="77777777" w:rsidR="0081226E" w:rsidRPr="0081226E" w:rsidRDefault="0081226E" w:rsidP="00B425C1">
            <w:pPr>
              <w:spacing w:line="360" w:lineRule="auto"/>
              <w:rPr>
                <w:rFonts w:ascii="Calibri" w:hAnsi="Calibri" w:cs="Calibri"/>
              </w:rPr>
            </w:pPr>
            <w:r w:rsidRPr="0081226E">
              <w:rPr>
                <w:rFonts w:ascii="Calibri" w:hAnsi="Calibri" w:cs="Calibri"/>
              </w:rPr>
              <w:t>After-tax Cash Flow (£)</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3A489C49" w14:textId="77777777" w:rsidR="0081226E" w:rsidRPr="0081226E" w:rsidRDefault="0081226E" w:rsidP="00B425C1">
            <w:pPr>
              <w:spacing w:line="360" w:lineRule="auto"/>
              <w:rPr>
                <w:rFonts w:ascii="Calibri" w:hAnsi="Calibri" w:cs="Calibri"/>
              </w:rPr>
            </w:pPr>
            <w:r w:rsidRPr="0081226E">
              <w:rPr>
                <w:rFonts w:ascii="Calibri" w:hAnsi="Calibri" w:cs="Calibri"/>
              </w:rPr>
              <w:t>Tax Shield (£)</w:t>
            </w:r>
          </w:p>
        </w:tc>
        <w:tc>
          <w:tcPr>
            <w:tcW w:w="0" w:type="auto"/>
            <w:tcBorders>
              <w:top w:val="single" w:sz="12" w:space="0" w:color="000000" w:themeColor="text1"/>
              <w:bottom w:val="single" w:sz="12" w:space="0" w:color="000000" w:themeColor="text1"/>
            </w:tcBorders>
            <w:vAlign w:val="center"/>
            <w:hideMark/>
          </w:tcPr>
          <w:p w14:paraId="0EA07311" w14:textId="77777777" w:rsidR="0081226E" w:rsidRPr="0081226E" w:rsidRDefault="0081226E" w:rsidP="00B425C1">
            <w:pPr>
              <w:spacing w:line="360" w:lineRule="auto"/>
              <w:rPr>
                <w:rFonts w:ascii="Calibri" w:hAnsi="Calibri" w:cs="Calibri"/>
              </w:rPr>
            </w:pPr>
            <w:r w:rsidRPr="0081226E">
              <w:rPr>
                <w:rFonts w:ascii="Calibri" w:hAnsi="Calibri" w:cs="Calibri"/>
              </w:rPr>
              <w:t>Net Cash Flow (£)</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3C6AFEC9" w14:textId="77777777" w:rsidR="0081226E" w:rsidRPr="0081226E" w:rsidRDefault="0081226E" w:rsidP="00B425C1">
            <w:pPr>
              <w:spacing w:line="360" w:lineRule="auto"/>
              <w:rPr>
                <w:rFonts w:ascii="Calibri" w:hAnsi="Calibri" w:cs="Calibri"/>
              </w:rPr>
            </w:pPr>
            <w:r w:rsidRPr="0081226E">
              <w:rPr>
                <w:rFonts w:ascii="Calibri" w:hAnsi="Calibri" w:cs="Calibri"/>
              </w:rPr>
              <w:t>Discount Factor (6%)</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6FBD33EB" w14:textId="77777777" w:rsidR="0081226E" w:rsidRPr="0081226E" w:rsidRDefault="0081226E" w:rsidP="00B425C1">
            <w:pPr>
              <w:spacing w:line="360" w:lineRule="auto"/>
              <w:rPr>
                <w:rFonts w:ascii="Calibri" w:hAnsi="Calibri" w:cs="Calibri"/>
              </w:rPr>
            </w:pPr>
            <w:r w:rsidRPr="0081226E">
              <w:rPr>
                <w:rFonts w:ascii="Calibri" w:hAnsi="Calibri" w:cs="Calibri"/>
              </w:rPr>
              <w:t>Present Value (£)</w:t>
            </w:r>
          </w:p>
        </w:tc>
      </w:tr>
      <w:tr w:rsidR="00B425C1" w:rsidRPr="00B425C1" w14:paraId="7BF208AF" w14:textId="77777777" w:rsidTr="003644C8">
        <w:trPr>
          <w:tblCellSpacing w:w="15" w:type="dxa"/>
        </w:trPr>
        <w:tc>
          <w:tcPr>
            <w:tcW w:w="0" w:type="auto"/>
            <w:tcBorders>
              <w:left w:val="single" w:sz="12" w:space="0" w:color="000000" w:themeColor="text1"/>
              <w:bottom w:val="single" w:sz="12" w:space="0" w:color="000000" w:themeColor="text1"/>
            </w:tcBorders>
            <w:vAlign w:val="center"/>
            <w:hideMark/>
          </w:tcPr>
          <w:p w14:paraId="16CEEF93"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0</w:t>
            </w:r>
          </w:p>
        </w:tc>
        <w:tc>
          <w:tcPr>
            <w:tcW w:w="0" w:type="auto"/>
            <w:tcBorders>
              <w:left w:val="single" w:sz="12" w:space="0" w:color="000000" w:themeColor="text1"/>
              <w:bottom w:val="single" w:sz="12" w:space="0" w:color="000000" w:themeColor="text1"/>
            </w:tcBorders>
            <w:vAlign w:val="center"/>
            <w:hideMark/>
          </w:tcPr>
          <w:p w14:paraId="1BC9984C"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w:t>
            </w:r>
          </w:p>
        </w:tc>
        <w:tc>
          <w:tcPr>
            <w:tcW w:w="0" w:type="auto"/>
            <w:tcBorders>
              <w:left w:val="single" w:sz="12" w:space="0" w:color="000000" w:themeColor="text1"/>
              <w:bottom w:val="single" w:sz="12" w:space="0" w:color="000000" w:themeColor="text1"/>
            </w:tcBorders>
            <w:vAlign w:val="center"/>
            <w:hideMark/>
          </w:tcPr>
          <w:p w14:paraId="1FE45070"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14EE8E57"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w:t>
            </w:r>
          </w:p>
        </w:tc>
        <w:tc>
          <w:tcPr>
            <w:tcW w:w="0" w:type="auto"/>
            <w:tcBorders>
              <w:bottom w:val="single" w:sz="12" w:space="0" w:color="000000" w:themeColor="text1"/>
            </w:tcBorders>
            <w:vAlign w:val="center"/>
            <w:hideMark/>
          </w:tcPr>
          <w:p w14:paraId="1ED7552E"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−1,000,000</w:t>
            </w:r>
          </w:p>
        </w:tc>
        <w:tc>
          <w:tcPr>
            <w:tcW w:w="0" w:type="auto"/>
            <w:tcBorders>
              <w:left w:val="single" w:sz="12" w:space="0" w:color="000000" w:themeColor="text1"/>
              <w:bottom w:val="single" w:sz="12" w:space="0" w:color="000000" w:themeColor="text1"/>
            </w:tcBorders>
            <w:vAlign w:val="center"/>
            <w:hideMark/>
          </w:tcPr>
          <w:p w14:paraId="45EB9AAE"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1.000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7A99DE4C"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−1,000,000</w:t>
            </w:r>
          </w:p>
        </w:tc>
      </w:tr>
      <w:tr w:rsidR="00B425C1" w:rsidRPr="00B425C1" w14:paraId="43CA09A0" w14:textId="77777777" w:rsidTr="003644C8">
        <w:trPr>
          <w:tblCellSpacing w:w="15" w:type="dxa"/>
        </w:trPr>
        <w:tc>
          <w:tcPr>
            <w:tcW w:w="0" w:type="auto"/>
            <w:tcBorders>
              <w:left w:val="single" w:sz="12" w:space="0" w:color="000000" w:themeColor="text1"/>
              <w:bottom w:val="single" w:sz="12" w:space="0" w:color="000000" w:themeColor="text1"/>
            </w:tcBorders>
            <w:vAlign w:val="center"/>
            <w:hideMark/>
          </w:tcPr>
          <w:p w14:paraId="0F44242D"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1</w:t>
            </w:r>
          </w:p>
        </w:tc>
        <w:tc>
          <w:tcPr>
            <w:tcW w:w="0" w:type="auto"/>
            <w:tcBorders>
              <w:left w:val="single" w:sz="12" w:space="0" w:color="000000" w:themeColor="text1"/>
              <w:bottom w:val="single" w:sz="12" w:space="0" w:color="000000" w:themeColor="text1"/>
            </w:tcBorders>
            <w:vAlign w:val="center"/>
            <w:hideMark/>
          </w:tcPr>
          <w:p w14:paraId="442C9CE7"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400,000</w:t>
            </w:r>
          </w:p>
        </w:tc>
        <w:tc>
          <w:tcPr>
            <w:tcW w:w="0" w:type="auto"/>
            <w:tcBorders>
              <w:left w:val="single" w:sz="12" w:space="0" w:color="000000" w:themeColor="text1"/>
              <w:bottom w:val="single" w:sz="12" w:space="0" w:color="000000" w:themeColor="text1"/>
            </w:tcBorders>
            <w:vAlign w:val="center"/>
            <w:hideMark/>
          </w:tcPr>
          <w:p w14:paraId="7E8C197D"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300,000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5FBACCDD"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50,000</w:t>
            </w:r>
          </w:p>
        </w:tc>
        <w:tc>
          <w:tcPr>
            <w:tcW w:w="0" w:type="auto"/>
            <w:tcBorders>
              <w:bottom w:val="single" w:sz="12" w:space="0" w:color="000000" w:themeColor="text1"/>
            </w:tcBorders>
            <w:vAlign w:val="center"/>
            <w:hideMark/>
          </w:tcPr>
          <w:p w14:paraId="1C522F40"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350,000</w:t>
            </w:r>
          </w:p>
        </w:tc>
        <w:tc>
          <w:tcPr>
            <w:tcW w:w="0" w:type="auto"/>
            <w:tcBorders>
              <w:left w:val="single" w:sz="12" w:space="0" w:color="000000" w:themeColor="text1"/>
              <w:bottom w:val="single" w:sz="12" w:space="0" w:color="000000" w:themeColor="text1"/>
            </w:tcBorders>
            <w:vAlign w:val="center"/>
            <w:hideMark/>
          </w:tcPr>
          <w:p w14:paraId="17EB727C"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0.943</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3E93B66B"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330,189</w:t>
            </w:r>
          </w:p>
        </w:tc>
      </w:tr>
      <w:tr w:rsidR="00186578" w:rsidRPr="00B425C1" w14:paraId="1D2398D4" w14:textId="77777777" w:rsidTr="00BD49BB">
        <w:trPr>
          <w:tblCellSpacing w:w="15" w:type="dxa"/>
        </w:trPr>
        <w:tc>
          <w:tcPr>
            <w:tcW w:w="0" w:type="auto"/>
            <w:tcBorders>
              <w:left w:val="single" w:sz="12" w:space="0" w:color="000000" w:themeColor="text1"/>
              <w:bottom w:val="single" w:sz="12" w:space="0" w:color="000000" w:themeColor="text1"/>
            </w:tcBorders>
            <w:vAlign w:val="center"/>
            <w:hideMark/>
          </w:tcPr>
          <w:p w14:paraId="38E02866"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2</w:t>
            </w:r>
          </w:p>
        </w:tc>
        <w:tc>
          <w:tcPr>
            <w:tcW w:w="0" w:type="auto"/>
            <w:tcBorders>
              <w:left w:val="single" w:sz="12" w:space="0" w:color="000000" w:themeColor="text1"/>
              <w:bottom w:val="single" w:sz="12" w:space="0" w:color="000000" w:themeColor="text1"/>
            </w:tcBorders>
            <w:vAlign w:val="center"/>
            <w:hideMark/>
          </w:tcPr>
          <w:p w14:paraId="0A7AB2C4"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450,000</w:t>
            </w:r>
          </w:p>
        </w:tc>
        <w:tc>
          <w:tcPr>
            <w:tcW w:w="0" w:type="auto"/>
            <w:tcBorders>
              <w:left w:val="single" w:sz="12" w:space="0" w:color="000000" w:themeColor="text1"/>
              <w:bottom w:val="single" w:sz="12" w:space="0" w:color="000000" w:themeColor="text1"/>
            </w:tcBorders>
            <w:vAlign w:val="center"/>
            <w:hideMark/>
          </w:tcPr>
          <w:p w14:paraId="2028B749"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337,500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550C3A31"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50,000</w:t>
            </w:r>
          </w:p>
        </w:tc>
        <w:tc>
          <w:tcPr>
            <w:tcW w:w="0" w:type="auto"/>
            <w:tcBorders>
              <w:bottom w:val="single" w:sz="12" w:space="0" w:color="000000" w:themeColor="text1"/>
            </w:tcBorders>
            <w:vAlign w:val="center"/>
            <w:hideMark/>
          </w:tcPr>
          <w:p w14:paraId="51215F5D"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387,500</w:t>
            </w:r>
          </w:p>
        </w:tc>
        <w:tc>
          <w:tcPr>
            <w:tcW w:w="0" w:type="auto"/>
            <w:tcBorders>
              <w:left w:val="single" w:sz="12" w:space="0" w:color="000000" w:themeColor="text1"/>
              <w:bottom w:val="single" w:sz="12" w:space="0" w:color="000000" w:themeColor="text1"/>
            </w:tcBorders>
            <w:vAlign w:val="center"/>
            <w:hideMark/>
          </w:tcPr>
          <w:p w14:paraId="08544C67"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0.890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2503C830"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344,874</w:t>
            </w:r>
          </w:p>
        </w:tc>
      </w:tr>
      <w:tr w:rsidR="00B425C1" w:rsidRPr="00B425C1" w14:paraId="35588D72" w14:textId="77777777" w:rsidTr="00BD49BB">
        <w:trPr>
          <w:tblCellSpacing w:w="15" w:type="dxa"/>
        </w:trPr>
        <w:tc>
          <w:tcPr>
            <w:tcW w:w="0" w:type="auto"/>
            <w:tcBorders>
              <w:left w:val="single" w:sz="12" w:space="0" w:color="000000" w:themeColor="text1"/>
              <w:bottom w:val="single" w:sz="12" w:space="0" w:color="000000" w:themeColor="text1"/>
            </w:tcBorders>
            <w:vAlign w:val="center"/>
            <w:hideMark/>
          </w:tcPr>
          <w:p w14:paraId="79AACA1D"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3</w:t>
            </w:r>
          </w:p>
        </w:tc>
        <w:tc>
          <w:tcPr>
            <w:tcW w:w="0" w:type="auto"/>
            <w:tcBorders>
              <w:left w:val="single" w:sz="12" w:space="0" w:color="000000" w:themeColor="text1"/>
              <w:bottom w:val="single" w:sz="12" w:space="0" w:color="000000" w:themeColor="text1"/>
            </w:tcBorders>
            <w:vAlign w:val="center"/>
            <w:hideMark/>
          </w:tcPr>
          <w:p w14:paraId="2818B738"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720,000</w:t>
            </w:r>
          </w:p>
        </w:tc>
        <w:tc>
          <w:tcPr>
            <w:tcW w:w="0" w:type="auto"/>
            <w:tcBorders>
              <w:left w:val="single" w:sz="12" w:space="0" w:color="000000" w:themeColor="text1"/>
              <w:bottom w:val="single" w:sz="12" w:space="0" w:color="000000" w:themeColor="text1"/>
            </w:tcBorders>
            <w:vAlign w:val="center"/>
            <w:hideMark/>
          </w:tcPr>
          <w:p w14:paraId="57399C69"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540,000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58324368"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50,000</w:t>
            </w:r>
          </w:p>
        </w:tc>
        <w:tc>
          <w:tcPr>
            <w:tcW w:w="0" w:type="auto"/>
            <w:tcBorders>
              <w:bottom w:val="single" w:sz="12" w:space="0" w:color="000000" w:themeColor="text1"/>
            </w:tcBorders>
            <w:vAlign w:val="center"/>
            <w:hideMark/>
          </w:tcPr>
          <w:p w14:paraId="1B50CFC4"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590,000</w:t>
            </w:r>
          </w:p>
        </w:tc>
        <w:tc>
          <w:tcPr>
            <w:tcW w:w="0" w:type="auto"/>
            <w:tcBorders>
              <w:left w:val="single" w:sz="12" w:space="0" w:color="000000" w:themeColor="text1"/>
              <w:bottom w:val="single" w:sz="12" w:space="0" w:color="000000" w:themeColor="text1"/>
            </w:tcBorders>
            <w:vAlign w:val="center"/>
            <w:hideMark/>
          </w:tcPr>
          <w:p w14:paraId="063F43A9"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0.840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44135960"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495,375</w:t>
            </w:r>
          </w:p>
        </w:tc>
      </w:tr>
      <w:tr w:rsidR="00B425C1" w:rsidRPr="00B425C1" w14:paraId="1AA0A61E" w14:textId="77777777" w:rsidTr="00BD49BB">
        <w:trPr>
          <w:tblCellSpacing w:w="15" w:type="dxa"/>
        </w:trPr>
        <w:tc>
          <w:tcPr>
            <w:tcW w:w="0" w:type="auto"/>
            <w:tcBorders>
              <w:left w:val="single" w:sz="12" w:space="0" w:color="000000" w:themeColor="text1"/>
              <w:bottom w:val="single" w:sz="12" w:space="0" w:color="000000" w:themeColor="text1"/>
            </w:tcBorders>
            <w:vAlign w:val="center"/>
            <w:hideMark/>
          </w:tcPr>
          <w:p w14:paraId="21371287"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4</w:t>
            </w:r>
          </w:p>
        </w:tc>
        <w:tc>
          <w:tcPr>
            <w:tcW w:w="0" w:type="auto"/>
            <w:tcBorders>
              <w:left w:val="single" w:sz="12" w:space="0" w:color="000000" w:themeColor="text1"/>
              <w:bottom w:val="single" w:sz="12" w:space="0" w:color="000000" w:themeColor="text1"/>
            </w:tcBorders>
            <w:vAlign w:val="center"/>
            <w:hideMark/>
          </w:tcPr>
          <w:p w14:paraId="58CE7CCA"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980,000</w:t>
            </w:r>
          </w:p>
        </w:tc>
        <w:tc>
          <w:tcPr>
            <w:tcW w:w="0" w:type="auto"/>
            <w:tcBorders>
              <w:left w:val="single" w:sz="12" w:space="0" w:color="000000" w:themeColor="text1"/>
              <w:bottom w:val="single" w:sz="12" w:space="0" w:color="000000" w:themeColor="text1"/>
            </w:tcBorders>
            <w:vAlign w:val="center"/>
            <w:hideMark/>
          </w:tcPr>
          <w:p w14:paraId="0496309F"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735,000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10D3F212"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50,000</w:t>
            </w:r>
          </w:p>
        </w:tc>
        <w:tc>
          <w:tcPr>
            <w:tcW w:w="0" w:type="auto"/>
            <w:tcBorders>
              <w:bottom w:val="single" w:sz="12" w:space="0" w:color="000000" w:themeColor="text1"/>
            </w:tcBorders>
            <w:vAlign w:val="center"/>
            <w:hideMark/>
          </w:tcPr>
          <w:p w14:paraId="2DFA59C2"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785,000</w:t>
            </w:r>
          </w:p>
        </w:tc>
        <w:tc>
          <w:tcPr>
            <w:tcW w:w="0" w:type="auto"/>
            <w:tcBorders>
              <w:left w:val="single" w:sz="12" w:space="0" w:color="000000" w:themeColor="text1"/>
              <w:bottom w:val="single" w:sz="12" w:space="0" w:color="000000" w:themeColor="text1"/>
            </w:tcBorders>
            <w:vAlign w:val="center"/>
            <w:hideMark/>
          </w:tcPr>
          <w:p w14:paraId="78522A4F"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0.792</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032E19CE" w14:textId="77777777" w:rsidR="0081226E" w:rsidRPr="0081226E" w:rsidRDefault="0081226E" w:rsidP="00B425C1">
            <w:pPr>
              <w:spacing w:line="360" w:lineRule="auto"/>
              <w:jc w:val="center"/>
              <w:rPr>
                <w:rFonts w:ascii="Calibri" w:hAnsi="Calibri" w:cs="Calibri"/>
              </w:rPr>
            </w:pPr>
            <w:r w:rsidRPr="0081226E">
              <w:rPr>
                <w:rFonts w:ascii="Calibri" w:hAnsi="Calibri" w:cs="Calibri"/>
              </w:rPr>
              <w:t>621,794</w:t>
            </w:r>
          </w:p>
        </w:tc>
      </w:tr>
    </w:tbl>
    <w:p w14:paraId="28111634" w14:textId="74F3616C" w:rsidR="0081226E" w:rsidRPr="00B425C1" w:rsidRDefault="0081226E" w:rsidP="00B425C1">
      <w:pPr>
        <w:spacing w:line="360" w:lineRule="auto"/>
        <w:rPr>
          <w:rFonts w:ascii="Calibri" w:hAnsi="Calibri" w:cs="Calibri"/>
        </w:rPr>
      </w:pPr>
      <w:r w:rsidRPr="00B425C1">
        <w:rPr>
          <w:rFonts w:ascii="Calibri" w:hAnsi="Calibri" w:cs="Calibri"/>
        </w:rPr>
        <w:t>NPV (Project B): £792,231</w:t>
      </w:r>
    </w:p>
    <w:p w14:paraId="620051A3" w14:textId="77777777" w:rsidR="0081226E" w:rsidRPr="00B425C1" w:rsidRDefault="0081226E" w:rsidP="00B425C1">
      <w:pPr>
        <w:spacing w:line="360" w:lineRule="auto"/>
        <w:rPr>
          <w:rFonts w:ascii="Calibri" w:hAnsi="Calibri" w:cs="Calibri"/>
        </w:rPr>
      </w:pPr>
    </w:p>
    <w:p w14:paraId="62BE192E" w14:textId="17887F79" w:rsidR="0081226E" w:rsidRPr="00B425C1" w:rsidRDefault="0081226E" w:rsidP="00B425C1">
      <w:pPr>
        <w:spacing w:line="360" w:lineRule="auto"/>
        <w:rPr>
          <w:rFonts w:ascii="Calibri" w:hAnsi="Calibri" w:cs="Calibri"/>
        </w:rPr>
      </w:pPr>
      <w:r w:rsidRPr="00B425C1">
        <w:rPr>
          <w:rFonts w:ascii="Calibri" w:hAnsi="Calibri" w:cs="Calibri"/>
        </w:rPr>
        <w:t>Project C: Net Present Value Calculation (6% Discount Rate)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4"/>
        <w:gridCol w:w="1540"/>
        <w:gridCol w:w="1479"/>
        <w:gridCol w:w="1062"/>
        <w:gridCol w:w="1426"/>
        <w:gridCol w:w="1458"/>
        <w:gridCol w:w="1477"/>
      </w:tblGrid>
      <w:tr w:rsidR="00400D9A" w:rsidRPr="00B425C1" w14:paraId="082FF009" w14:textId="77777777" w:rsidTr="00400D9A">
        <w:trPr>
          <w:tblHeader/>
          <w:tblCellSpacing w:w="15" w:type="dxa"/>
        </w:trPr>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0448A28C" w14:textId="77777777" w:rsidR="001A378C" w:rsidRPr="001A378C" w:rsidRDefault="001A378C" w:rsidP="00B425C1">
            <w:pPr>
              <w:spacing w:line="360" w:lineRule="auto"/>
              <w:rPr>
                <w:rFonts w:ascii="Calibri" w:hAnsi="Calibri" w:cs="Calibri"/>
              </w:rPr>
            </w:pPr>
            <w:r w:rsidRPr="001A378C">
              <w:rPr>
                <w:rFonts w:ascii="Calibri" w:hAnsi="Calibri" w:cs="Calibri"/>
              </w:rPr>
              <w:t>Year</w:t>
            </w:r>
          </w:p>
        </w:tc>
        <w:tc>
          <w:tcPr>
            <w:tcW w:w="0" w:type="auto"/>
            <w:tcBorders>
              <w:top w:val="single" w:sz="12" w:space="0" w:color="000000" w:themeColor="text1"/>
              <w:bottom w:val="single" w:sz="12" w:space="0" w:color="000000" w:themeColor="text1"/>
              <w:right w:val="single" w:sz="12" w:space="0" w:color="000000" w:themeColor="text1"/>
            </w:tcBorders>
            <w:vAlign w:val="center"/>
            <w:hideMark/>
          </w:tcPr>
          <w:p w14:paraId="71908C87" w14:textId="77777777" w:rsidR="001A378C" w:rsidRPr="001A378C" w:rsidRDefault="001A378C" w:rsidP="00B425C1">
            <w:pPr>
              <w:spacing w:line="360" w:lineRule="auto"/>
              <w:rPr>
                <w:rFonts w:ascii="Calibri" w:hAnsi="Calibri" w:cs="Calibri"/>
              </w:rPr>
            </w:pPr>
            <w:r w:rsidRPr="001A378C">
              <w:rPr>
                <w:rFonts w:ascii="Calibri" w:hAnsi="Calibri" w:cs="Calibri"/>
              </w:rPr>
              <w:t>Pre-tax Cash Flow (£)</w:t>
            </w:r>
          </w:p>
        </w:tc>
        <w:tc>
          <w:tcPr>
            <w:tcW w:w="0" w:type="auto"/>
            <w:tcBorders>
              <w:top w:val="single" w:sz="12" w:space="0" w:color="000000" w:themeColor="text1"/>
              <w:bottom w:val="single" w:sz="12" w:space="0" w:color="000000" w:themeColor="text1"/>
            </w:tcBorders>
            <w:vAlign w:val="center"/>
            <w:hideMark/>
          </w:tcPr>
          <w:p w14:paraId="516C15AC" w14:textId="77777777" w:rsidR="001A378C" w:rsidRPr="001A378C" w:rsidRDefault="001A378C" w:rsidP="00B425C1">
            <w:pPr>
              <w:spacing w:line="360" w:lineRule="auto"/>
              <w:rPr>
                <w:rFonts w:ascii="Calibri" w:hAnsi="Calibri" w:cs="Calibri"/>
              </w:rPr>
            </w:pPr>
            <w:r w:rsidRPr="001A378C">
              <w:rPr>
                <w:rFonts w:ascii="Calibri" w:hAnsi="Calibri" w:cs="Calibri"/>
              </w:rPr>
              <w:t>After-tax Cash Flow (£)</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3A88406D" w14:textId="77777777" w:rsidR="001A378C" w:rsidRPr="001A378C" w:rsidRDefault="001A378C" w:rsidP="00B425C1">
            <w:pPr>
              <w:spacing w:line="360" w:lineRule="auto"/>
              <w:rPr>
                <w:rFonts w:ascii="Calibri" w:hAnsi="Calibri" w:cs="Calibri"/>
              </w:rPr>
            </w:pPr>
            <w:r w:rsidRPr="001A378C">
              <w:rPr>
                <w:rFonts w:ascii="Calibri" w:hAnsi="Calibri" w:cs="Calibri"/>
              </w:rPr>
              <w:t>Tax Shield (£)</w:t>
            </w:r>
          </w:p>
        </w:tc>
        <w:tc>
          <w:tcPr>
            <w:tcW w:w="0" w:type="auto"/>
            <w:tcBorders>
              <w:top w:val="single" w:sz="12" w:space="0" w:color="000000" w:themeColor="text1"/>
              <w:bottom w:val="single" w:sz="12" w:space="0" w:color="000000" w:themeColor="text1"/>
            </w:tcBorders>
            <w:vAlign w:val="center"/>
            <w:hideMark/>
          </w:tcPr>
          <w:p w14:paraId="181C6061" w14:textId="77777777" w:rsidR="001A378C" w:rsidRPr="001A378C" w:rsidRDefault="001A378C" w:rsidP="00B425C1">
            <w:pPr>
              <w:spacing w:line="360" w:lineRule="auto"/>
              <w:rPr>
                <w:rFonts w:ascii="Calibri" w:hAnsi="Calibri" w:cs="Calibri"/>
              </w:rPr>
            </w:pPr>
            <w:r w:rsidRPr="001A378C">
              <w:rPr>
                <w:rFonts w:ascii="Calibri" w:hAnsi="Calibri" w:cs="Calibri"/>
              </w:rPr>
              <w:t>Net Cash Flow (£)</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13AA275B" w14:textId="77777777" w:rsidR="001A378C" w:rsidRPr="001A378C" w:rsidRDefault="001A378C" w:rsidP="00B425C1">
            <w:pPr>
              <w:spacing w:line="360" w:lineRule="auto"/>
              <w:rPr>
                <w:rFonts w:ascii="Calibri" w:hAnsi="Calibri" w:cs="Calibri"/>
              </w:rPr>
            </w:pPr>
            <w:r w:rsidRPr="001A378C">
              <w:rPr>
                <w:rFonts w:ascii="Calibri" w:hAnsi="Calibri" w:cs="Calibri"/>
              </w:rPr>
              <w:t>Discount Factor (6%)</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01B497CB" w14:textId="77777777" w:rsidR="001A378C" w:rsidRPr="001A378C" w:rsidRDefault="001A378C" w:rsidP="00B425C1">
            <w:pPr>
              <w:spacing w:line="360" w:lineRule="auto"/>
              <w:rPr>
                <w:rFonts w:ascii="Calibri" w:hAnsi="Calibri" w:cs="Calibri"/>
              </w:rPr>
            </w:pPr>
            <w:r w:rsidRPr="001A378C">
              <w:rPr>
                <w:rFonts w:ascii="Calibri" w:hAnsi="Calibri" w:cs="Calibri"/>
              </w:rPr>
              <w:t>Present Value (£)</w:t>
            </w:r>
          </w:p>
        </w:tc>
      </w:tr>
      <w:tr w:rsidR="00400D9A" w:rsidRPr="00B425C1" w14:paraId="73101995" w14:textId="77777777" w:rsidTr="00400D9A">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32183FF9"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0</w:t>
            </w:r>
          </w:p>
        </w:tc>
        <w:tc>
          <w:tcPr>
            <w:tcW w:w="0" w:type="auto"/>
            <w:tcBorders>
              <w:bottom w:val="single" w:sz="12" w:space="0" w:color="000000" w:themeColor="text1"/>
              <w:right w:val="single" w:sz="12" w:space="0" w:color="000000" w:themeColor="text1"/>
            </w:tcBorders>
            <w:vAlign w:val="center"/>
            <w:hideMark/>
          </w:tcPr>
          <w:p w14:paraId="675AEE7D"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w:t>
            </w:r>
          </w:p>
        </w:tc>
        <w:tc>
          <w:tcPr>
            <w:tcW w:w="0" w:type="auto"/>
            <w:tcBorders>
              <w:bottom w:val="single" w:sz="12" w:space="0" w:color="000000" w:themeColor="text1"/>
            </w:tcBorders>
            <w:vAlign w:val="center"/>
            <w:hideMark/>
          </w:tcPr>
          <w:p w14:paraId="267C2776"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0402A732"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w:t>
            </w:r>
          </w:p>
        </w:tc>
        <w:tc>
          <w:tcPr>
            <w:tcW w:w="0" w:type="auto"/>
            <w:tcBorders>
              <w:bottom w:val="single" w:sz="12" w:space="0" w:color="000000" w:themeColor="text1"/>
            </w:tcBorders>
            <w:vAlign w:val="center"/>
            <w:hideMark/>
          </w:tcPr>
          <w:p w14:paraId="74D4EE05"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−1,600,000</w:t>
            </w:r>
          </w:p>
        </w:tc>
        <w:tc>
          <w:tcPr>
            <w:tcW w:w="0" w:type="auto"/>
            <w:tcBorders>
              <w:left w:val="single" w:sz="12" w:space="0" w:color="000000" w:themeColor="text1"/>
              <w:bottom w:val="single" w:sz="12" w:space="0" w:color="000000" w:themeColor="text1"/>
            </w:tcBorders>
            <w:vAlign w:val="center"/>
            <w:hideMark/>
          </w:tcPr>
          <w:p w14:paraId="27BC3340"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1.000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7A06D46C"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−1,600,000</w:t>
            </w:r>
          </w:p>
        </w:tc>
      </w:tr>
      <w:tr w:rsidR="00400D9A" w:rsidRPr="00B425C1" w14:paraId="2494079D" w14:textId="77777777" w:rsidTr="00400D9A">
        <w:trPr>
          <w:tblCellSpacing w:w="15" w:type="dxa"/>
        </w:trPr>
        <w:tc>
          <w:tcPr>
            <w:tcW w:w="0" w:type="auto"/>
            <w:tcBorders>
              <w:left w:val="single" w:sz="12" w:space="0" w:color="000000" w:themeColor="text1"/>
              <w:right w:val="single" w:sz="12" w:space="0" w:color="000000" w:themeColor="text1"/>
            </w:tcBorders>
            <w:vAlign w:val="center"/>
            <w:hideMark/>
          </w:tcPr>
          <w:p w14:paraId="4BB26E20"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1</w:t>
            </w:r>
          </w:p>
        </w:tc>
        <w:tc>
          <w:tcPr>
            <w:tcW w:w="0" w:type="auto"/>
            <w:tcBorders>
              <w:right w:val="single" w:sz="12" w:space="0" w:color="000000" w:themeColor="text1"/>
            </w:tcBorders>
            <w:vAlign w:val="center"/>
            <w:hideMark/>
          </w:tcPr>
          <w:p w14:paraId="1737AB5A"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450,000</w:t>
            </w:r>
          </w:p>
        </w:tc>
        <w:tc>
          <w:tcPr>
            <w:tcW w:w="0" w:type="auto"/>
            <w:vAlign w:val="center"/>
            <w:hideMark/>
          </w:tcPr>
          <w:p w14:paraId="4DB55A7C"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337,500</w:t>
            </w:r>
          </w:p>
        </w:tc>
        <w:tc>
          <w:tcPr>
            <w:tcW w:w="0" w:type="auto"/>
            <w:tcBorders>
              <w:left w:val="single" w:sz="12" w:space="0" w:color="000000" w:themeColor="text1"/>
              <w:right w:val="single" w:sz="12" w:space="0" w:color="000000" w:themeColor="text1"/>
            </w:tcBorders>
            <w:vAlign w:val="center"/>
            <w:hideMark/>
          </w:tcPr>
          <w:p w14:paraId="415D2921"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80,000</w:t>
            </w:r>
          </w:p>
        </w:tc>
        <w:tc>
          <w:tcPr>
            <w:tcW w:w="0" w:type="auto"/>
            <w:vAlign w:val="center"/>
            <w:hideMark/>
          </w:tcPr>
          <w:p w14:paraId="2DFFA7EA"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417,500</w:t>
            </w:r>
          </w:p>
        </w:tc>
        <w:tc>
          <w:tcPr>
            <w:tcW w:w="0" w:type="auto"/>
            <w:tcBorders>
              <w:left w:val="single" w:sz="12" w:space="0" w:color="000000" w:themeColor="text1"/>
            </w:tcBorders>
            <w:vAlign w:val="center"/>
            <w:hideMark/>
          </w:tcPr>
          <w:p w14:paraId="43D97614"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0.943</w:t>
            </w:r>
          </w:p>
        </w:tc>
        <w:tc>
          <w:tcPr>
            <w:tcW w:w="0" w:type="auto"/>
            <w:tcBorders>
              <w:left w:val="single" w:sz="12" w:space="0" w:color="000000" w:themeColor="text1"/>
              <w:right w:val="single" w:sz="12" w:space="0" w:color="000000" w:themeColor="text1"/>
            </w:tcBorders>
            <w:vAlign w:val="center"/>
            <w:hideMark/>
          </w:tcPr>
          <w:p w14:paraId="0893AE57"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393,868</w:t>
            </w:r>
          </w:p>
        </w:tc>
      </w:tr>
      <w:tr w:rsidR="00400D9A" w:rsidRPr="00B425C1" w14:paraId="00B2C719" w14:textId="77777777" w:rsidTr="00400D9A">
        <w:trPr>
          <w:tblCellSpacing w:w="15" w:type="dxa"/>
        </w:trPr>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5DF4DADD"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2</w:t>
            </w:r>
          </w:p>
        </w:tc>
        <w:tc>
          <w:tcPr>
            <w:tcW w:w="0" w:type="auto"/>
            <w:tcBorders>
              <w:top w:val="single" w:sz="12" w:space="0" w:color="000000" w:themeColor="text1"/>
              <w:bottom w:val="single" w:sz="12" w:space="0" w:color="000000" w:themeColor="text1"/>
              <w:right w:val="single" w:sz="12" w:space="0" w:color="000000" w:themeColor="text1"/>
            </w:tcBorders>
            <w:vAlign w:val="center"/>
            <w:hideMark/>
          </w:tcPr>
          <w:p w14:paraId="157D3F68"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700,000</w:t>
            </w:r>
          </w:p>
        </w:tc>
        <w:tc>
          <w:tcPr>
            <w:tcW w:w="0" w:type="auto"/>
            <w:tcBorders>
              <w:top w:val="single" w:sz="12" w:space="0" w:color="000000" w:themeColor="text1"/>
              <w:bottom w:val="single" w:sz="12" w:space="0" w:color="000000" w:themeColor="text1"/>
            </w:tcBorders>
            <w:vAlign w:val="center"/>
            <w:hideMark/>
          </w:tcPr>
          <w:p w14:paraId="00F63A93"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525,000</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0131B8F4"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80,000</w:t>
            </w:r>
          </w:p>
        </w:tc>
        <w:tc>
          <w:tcPr>
            <w:tcW w:w="0" w:type="auto"/>
            <w:tcBorders>
              <w:top w:val="single" w:sz="12" w:space="0" w:color="000000" w:themeColor="text1"/>
              <w:bottom w:val="single" w:sz="12" w:space="0" w:color="000000" w:themeColor="text1"/>
            </w:tcBorders>
            <w:vAlign w:val="center"/>
            <w:hideMark/>
          </w:tcPr>
          <w:p w14:paraId="6B9107CF"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605,000</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35E58B1E"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0.890</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4216D33E"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538,448</w:t>
            </w:r>
          </w:p>
        </w:tc>
      </w:tr>
      <w:tr w:rsidR="00400D9A" w:rsidRPr="00B425C1" w14:paraId="6566A7C6" w14:textId="77777777" w:rsidTr="00400D9A">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658CA7D4"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lastRenderedPageBreak/>
              <w:t>3</w:t>
            </w:r>
          </w:p>
        </w:tc>
        <w:tc>
          <w:tcPr>
            <w:tcW w:w="0" w:type="auto"/>
            <w:tcBorders>
              <w:bottom w:val="single" w:sz="12" w:space="0" w:color="000000" w:themeColor="text1"/>
              <w:right w:val="single" w:sz="12" w:space="0" w:color="000000" w:themeColor="text1"/>
            </w:tcBorders>
            <w:vAlign w:val="center"/>
            <w:hideMark/>
          </w:tcPr>
          <w:p w14:paraId="600F4E20"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900,000</w:t>
            </w:r>
          </w:p>
        </w:tc>
        <w:tc>
          <w:tcPr>
            <w:tcW w:w="0" w:type="auto"/>
            <w:tcBorders>
              <w:bottom w:val="single" w:sz="12" w:space="0" w:color="000000" w:themeColor="text1"/>
            </w:tcBorders>
            <w:vAlign w:val="center"/>
            <w:hideMark/>
          </w:tcPr>
          <w:p w14:paraId="46350C53"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675,000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7C2698CD"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80,000</w:t>
            </w:r>
          </w:p>
        </w:tc>
        <w:tc>
          <w:tcPr>
            <w:tcW w:w="0" w:type="auto"/>
            <w:tcBorders>
              <w:bottom w:val="single" w:sz="12" w:space="0" w:color="000000" w:themeColor="text1"/>
            </w:tcBorders>
            <w:vAlign w:val="center"/>
            <w:hideMark/>
          </w:tcPr>
          <w:p w14:paraId="6FC0E9B4"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755,000</w:t>
            </w:r>
          </w:p>
        </w:tc>
        <w:tc>
          <w:tcPr>
            <w:tcW w:w="0" w:type="auto"/>
            <w:tcBorders>
              <w:left w:val="single" w:sz="12" w:space="0" w:color="000000" w:themeColor="text1"/>
              <w:bottom w:val="single" w:sz="12" w:space="0" w:color="000000" w:themeColor="text1"/>
            </w:tcBorders>
            <w:vAlign w:val="center"/>
            <w:hideMark/>
          </w:tcPr>
          <w:p w14:paraId="56D29AB2"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0.840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688585B0"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633,913</w:t>
            </w:r>
          </w:p>
        </w:tc>
      </w:tr>
      <w:tr w:rsidR="00400D9A" w:rsidRPr="00B425C1" w14:paraId="653E5756" w14:textId="77777777" w:rsidTr="00400D9A">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2E3F33EB"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4</w:t>
            </w:r>
          </w:p>
        </w:tc>
        <w:tc>
          <w:tcPr>
            <w:tcW w:w="0" w:type="auto"/>
            <w:tcBorders>
              <w:bottom w:val="single" w:sz="12" w:space="0" w:color="000000" w:themeColor="text1"/>
              <w:right w:val="single" w:sz="12" w:space="0" w:color="000000" w:themeColor="text1"/>
            </w:tcBorders>
            <w:vAlign w:val="center"/>
            <w:hideMark/>
          </w:tcPr>
          <w:p w14:paraId="49B781CE"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1,200,000</w:t>
            </w:r>
          </w:p>
        </w:tc>
        <w:tc>
          <w:tcPr>
            <w:tcW w:w="0" w:type="auto"/>
            <w:tcBorders>
              <w:bottom w:val="single" w:sz="12" w:space="0" w:color="000000" w:themeColor="text1"/>
            </w:tcBorders>
            <w:vAlign w:val="center"/>
            <w:hideMark/>
          </w:tcPr>
          <w:p w14:paraId="1FFBA7F6"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900,000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14673FF8"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80,000</w:t>
            </w:r>
          </w:p>
        </w:tc>
        <w:tc>
          <w:tcPr>
            <w:tcW w:w="0" w:type="auto"/>
            <w:tcBorders>
              <w:bottom w:val="single" w:sz="12" w:space="0" w:color="000000" w:themeColor="text1"/>
            </w:tcBorders>
            <w:vAlign w:val="center"/>
            <w:hideMark/>
          </w:tcPr>
          <w:p w14:paraId="580DB807"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980,000</w:t>
            </w:r>
          </w:p>
        </w:tc>
        <w:tc>
          <w:tcPr>
            <w:tcW w:w="0" w:type="auto"/>
            <w:tcBorders>
              <w:left w:val="single" w:sz="12" w:space="0" w:color="000000" w:themeColor="text1"/>
              <w:bottom w:val="single" w:sz="12" w:space="0" w:color="000000" w:themeColor="text1"/>
            </w:tcBorders>
            <w:vAlign w:val="center"/>
            <w:hideMark/>
          </w:tcPr>
          <w:p w14:paraId="2159C175"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0.792</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0B5F61F9"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776,252</w:t>
            </w:r>
          </w:p>
        </w:tc>
      </w:tr>
    </w:tbl>
    <w:p w14:paraId="68967D78" w14:textId="77777777" w:rsidR="001A378C" w:rsidRPr="001A378C" w:rsidRDefault="001A378C" w:rsidP="00B425C1">
      <w:pPr>
        <w:spacing w:line="360" w:lineRule="auto"/>
        <w:rPr>
          <w:rFonts w:ascii="Calibri" w:hAnsi="Calibri" w:cs="Calibri"/>
        </w:rPr>
      </w:pPr>
      <w:r w:rsidRPr="001A378C">
        <w:rPr>
          <w:rFonts w:ascii="Calibri" w:hAnsi="Calibri" w:cs="Calibri"/>
        </w:rPr>
        <w:t>NPV (Project C): £742,480</w:t>
      </w:r>
    </w:p>
    <w:p w14:paraId="332F4806" w14:textId="77777777" w:rsidR="001A378C" w:rsidRPr="00B425C1" w:rsidRDefault="001A378C" w:rsidP="00B425C1">
      <w:pPr>
        <w:spacing w:line="360" w:lineRule="auto"/>
        <w:rPr>
          <w:rFonts w:ascii="Calibri" w:hAnsi="Calibri" w:cs="Calibri"/>
        </w:rPr>
      </w:pPr>
    </w:p>
    <w:p w14:paraId="25E71999" w14:textId="77777777" w:rsidR="004C3B90" w:rsidRPr="00B425C1" w:rsidRDefault="004C3B90" w:rsidP="00B425C1">
      <w:pPr>
        <w:spacing w:line="360" w:lineRule="auto"/>
        <w:rPr>
          <w:rFonts w:ascii="Calibri" w:hAnsi="Calibri" w:cs="Calibri"/>
        </w:rPr>
      </w:pPr>
    </w:p>
    <w:p w14:paraId="49B6D923" w14:textId="77777777" w:rsidR="004C3B90" w:rsidRPr="00B425C1" w:rsidRDefault="004C3B90" w:rsidP="00B425C1">
      <w:pPr>
        <w:spacing w:line="360" w:lineRule="auto"/>
        <w:rPr>
          <w:rFonts w:ascii="Calibri" w:hAnsi="Calibri" w:cs="Calibri"/>
        </w:rPr>
      </w:pPr>
    </w:p>
    <w:p w14:paraId="6477C45D" w14:textId="77777777" w:rsidR="004C3B90" w:rsidRPr="00B425C1" w:rsidRDefault="004C3B90" w:rsidP="00B425C1">
      <w:pPr>
        <w:spacing w:line="360" w:lineRule="auto"/>
        <w:rPr>
          <w:rFonts w:ascii="Calibri" w:hAnsi="Calibri" w:cs="Calibri"/>
        </w:rPr>
      </w:pPr>
    </w:p>
    <w:p w14:paraId="779AF2FC" w14:textId="77777777" w:rsidR="004C3B90" w:rsidRPr="00B425C1" w:rsidRDefault="004C3B90" w:rsidP="00B425C1">
      <w:pPr>
        <w:spacing w:line="360" w:lineRule="auto"/>
        <w:rPr>
          <w:rFonts w:ascii="Calibri" w:hAnsi="Calibri" w:cs="Calibri"/>
        </w:rPr>
      </w:pPr>
    </w:p>
    <w:p w14:paraId="5DE792A3" w14:textId="77777777" w:rsidR="004C3B90" w:rsidRPr="00B425C1" w:rsidRDefault="004C3B90" w:rsidP="00B425C1">
      <w:pPr>
        <w:spacing w:line="360" w:lineRule="auto"/>
        <w:rPr>
          <w:rFonts w:ascii="Calibri" w:hAnsi="Calibri" w:cs="Calibri"/>
        </w:rPr>
      </w:pPr>
    </w:p>
    <w:p w14:paraId="0F8999CC" w14:textId="3CCF191A" w:rsidR="001A378C" w:rsidRPr="00B425C1" w:rsidRDefault="001A378C" w:rsidP="00B425C1">
      <w:pPr>
        <w:spacing w:line="360" w:lineRule="auto"/>
        <w:rPr>
          <w:rFonts w:ascii="Calibri" w:hAnsi="Calibri" w:cs="Calibri"/>
        </w:rPr>
      </w:pPr>
      <w:r w:rsidRPr="00B425C1">
        <w:rPr>
          <w:rFonts w:ascii="Calibri" w:hAnsi="Calibri" w:cs="Calibri"/>
        </w:rPr>
        <w:t>Step 3: Project Comparison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5"/>
        <w:gridCol w:w="2199"/>
      </w:tblGrid>
      <w:tr w:rsidR="001A378C" w:rsidRPr="001A378C" w14:paraId="58674D1E" w14:textId="77777777" w:rsidTr="004C3B90">
        <w:trPr>
          <w:tblHeade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1D19E657" w14:textId="77777777" w:rsidR="001A378C" w:rsidRPr="001A378C" w:rsidRDefault="001A378C" w:rsidP="00B425C1">
            <w:pPr>
              <w:spacing w:line="360" w:lineRule="auto"/>
              <w:rPr>
                <w:rFonts w:ascii="Calibri" w:hAnsi="Calibri" w:cs="Calibri"/>
              </w:rPr>
            </w:pPr>
            <w:r w:rsidRPr="001A378C">
              <w:rPr>
                <w:rFonts w:ascii="Calibri" w:hAnsi="Calibri" w:cs="Calibri"/>
              </w:rPr>
              <w:t>Project</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05A65068" w14:textId="77777777" w:rsidR="001A378C" w:rsidRPr="001A378C" w:rsidRDefault="001A378C" w:rsidP="00B425C1">
            <w:pPr>
              <w:spacing w:line="360" w:lineRule="auto"/>
              <w:rPr>
                <w:rFonts w:ascii="Calibri" w:hAnsi="Calibri" w:cs="Calibri"/>
              </w:rPr>
            </w:pPr>
            <w:r w:rsidRPr="001A378C">
              <w:rPr>
                <w:rFonts w:ascii="Calibri" w:hAnsi="Calibri" w:cs="Calibri"/>
              </w:rPr>
              <w:t>Net Present Value (£)</w:t>
            </w:r>
          </w:p>
        </w:tc>
      </w:tr>
      <w:tr w:rsidR="001A378C" w:rsidRPr="001A378C" w14:paraId="6108C90A" w14:textId="77777777" w:rsidTr="004C3B90">
        <w:trPr>
          <w:tblCellSpacing w:w="15" w:type="dxa"/>
        </w:trPr>
        <w:tc>
          <w:tcPr>
            <w:tcW w:w="0" w:type="auto"/>
            <w:tcBorders>
              <w:left w:val="single" w:sz="12" w:space="0" w:color="000000" w:themeColor="text1"/>
              <w:bottom w:val="single" w:sz="12" w:space="0" w:color="000000" w:themeColor="text1"/>
            </w:tcBorders>
            <w:vAlign w:val="center"/>
            <w:hideMark/>
          </w:tcPr>
          <w:p w14:paraId="0E065F9A"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A</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258E5969"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643,168</w:t>
            </w:r>
          </w:p>
        </w:tc>
      </w:tr>
      <w:tr w:rsidR="001A378C" w:rsidRPr="001A378C" w14:paraId="5A98C6AB" w14:textId="77777777" w:rsidTr="004C3B90">
        <w:trPr>
          <w:tblCellSpacing w:w="15" w:type="dxa"/>
        </w:trPr>
        <w:tc>
          <w:tcPr>
            <w:tcW w:w="0" w:type="auto"/>
            <w:tcBorders>
              <w:left w:val="single" w:sz="12" w:space="0" w:color="000000" w:themeColor="text1"/>
              <w:bottom w:val="single" w:sz="12" w:space="0" w:color="000000" w:themeColor="text1"/>
            </w:tcBorders>
            <w:vAlign w:val="center"/>
            <w:hideMark/>
          </w:tcPr>
          <w:p w14:paraId="291571CE"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B</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36BBB844"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792,231</w:t>
            </w:r>
          </w:p>
        </w:tc>
      </w:tr>
      <w:tr w:rsidR="001A378C" w:rsidRPr="001A378C" w14:paraId="7DD2B4E2" w14:textId="77777777" w:rsidTr="004C3B90">
        <w:trPr>
          <w:tblCellSpacing w:w="15" w:type="dxa"/>
        </w:trPr>
        <w:tc>
          <w:tcPr>
            <w:tcW w:w="0" w:type="auto"/>
            <w:tcBorders>
              <w:left w:val="single" w:sz="12" w:space="0" w:color="000000" w:themeColor="text1"/>
              <w:bottom w:val="single" w:sz="12" w:space="0" w:color="000000" w:themeColor="text1"/>
            </w:tcBorders>
            <w:vAlign w:val="center"/>
            <w:hideMark/>
          </w:tcPr>
          <w:p w14:paraId="320A7047"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C</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55822BAF" w14:textId="77777777" w:rsidR="001A378C" w:rsidRPr="001A378C" w:rsidRDefault="001A378C" w:rsidP="00B425C1">
            <w:pPr>
              <w:spacing w:line="360" w:lineRule="auto"/>
              <w:jc w:val="center"/>
              <w:rPr>
                <w:rFonts w:ascii="Calibri" w:hAnsi="Calibri" w:cs="Calibri"/>
              </w:rPr>
            </w:pPr>
            <w:r w:rsidRPr="001A378C">
              <w:rPr>
                <w:rFonts w:ascii="Calibri" w:hAnsi="Calibri" w:cs="Calibri"/>
              </w:rPr>
              <w:t>742,480</w:t>
            </w:r>
          </w:p>
        </w:tc>
      </w:tr>
    </w:tbl>
    <w:p w14:paraId="44006170" w14:textId="77777777" w:rsidR="001A378C" w:rsidRPr="00B425C1" w:rsidRDefault="001A378C" w:rsidP="00B425C1">
      <w:pPr>
        <w:spacing w:line="360" w:lineRule="auto"/>
        <w:rPr>
          <w:rFonts w:ascii="Calibri" w:hAnsi="Calibri" w:cs="Calibri"/>
        </w:rPr>
      </w:pPr>
    </w:p>
    <w:p w14:paraId="697E7E44" w14:textId="77777777" w:rsidR="00CF5C90" w:rsidRPr="00B425C1" w:rsidRDefault="00CF5C90" w:rsidP="00B425C1">
      <w:pPr>
        <w:spacing w:line="360" w:lineRule="auto"/>
        <w:rPr>
          <w:rFonts w:ascii="Calibri" w:hAnsi="Calibri" w:cs="Calibri"/>
        </w:rPr>
      </w:pPr>
    </w:p>
    <w:p w14:paraId="19EE182B" w14:textId="77777777" w:rsidR="00CF5C90" w:rsidRPr="00B425C1" w:rsidRDefault="00CF5C90" w:rsidP="00B425C1">
      <w:pPr>
        <w:spacing w:line="360" w:lineRule="auto"/>
        <w:rPr>
          <w:rFonts w:ascii="Calibri" w:hAnsi="Calibri" w:cs="Calibri"/>
        </w:rPr>
      </w:pPr>
    </w:p>
    <w:p w14:paraId="548D955B" w14:textId="77777777" w:rsidR="00CF5C90" w:rsidRPr="00B425C1" w:rsidRDefault="00CF5C90" w:rsidP="00B425C1">
      <w:pPr>
        <w:spacing w:line="360" w:lineRule="auto"/>
        <w:rPr>
          <w:rFonts w:ascii="Calibri" w:hAnsi="Calibri" w:cs="Calibri"/>
        </w:rPr>
      </w:pPr>
    </w:p>
    <w:p w14:paraId="794FBBFB" w14:textId="77777777" w:rsidR="00CF5C90" w:rsidRPr="00B425C1" w:rsidRDefault="00CF5C90" w:rsidP="00B425C1">
      <w:pPr>
        <w:spacing w:line="360" w:lineRule="auto"/>
        <w:rPr>
          <w:rFonts w:ascii="Calibri" w:hAnsi="Calibri" w:cs="Calibri"/>
        </w:rPr>
      </w:pPr>
    </w:p>
    <w:p w14:paraId="4B2EB094" w14:textId="77777777" w:rsidR="00B425C1" w:rsidRDefault="00B425C1" w:rsidP="00B425C1">
      <w:pPr>
        <w:spacing w:line="360" w:lineRule="auto"/>
        <w:rPr>
          <w:rFonts w:ascii="Calibri" w:hAnsi="Calibri" w:cs="Calibri"/>
        </w:rPr>
      </w:pPr>
    </w:p>
    <w:p w14:paraId="46A0B90D" w14:textId="4F7B606A" w:rsidR="00CF5C90" w:rsidRPr="00B425C1" w:rsidRDefault="00CF5C90" w:rsidP="00B425C1">
      <w:pPr>
        <w:spacing w:line="360" w:lineRule="auto"/>
        <w:rPr>
          <w:rFonts w:ascii="Calibri" w:hAnsi="Calibri" w:cs="Calibri"/>
        </w:rPr>
      </w:pPr>
      <w:r w:rsidRPr="00B425C1">
        <w:rPr>
          <w:rFonts w:ascii="Calibri" w:hAnsi="Calibri" w:cs="Calibri"/>
        </w:rPr>
        <w:lastRenderedPageBreak/>
        <w:t>Appendix 3:</w:t>
      </w:r>
    </w:p>
    <w:p w14:paraId="5ADF4D78" w14:textId="20FB93E9" w:rsidR="00CF5C90" w:rsidRPr="00B425C1" w:rsidRDefault="00CF5C90" w:rsidP="00B425C1">
      <w:pPr>
        <w:spacing w:line="360" w:lineRule="auto"/>
        <w:rPr>
          <w:rFonts w:ascii="Calibri" w:hAnsi="Calibri" w:cs="Calibri"/>
        </w:rPr>
      </w:pPr>
      <w:r w:rsidRPr="00B425C1">
        <w:rPr>
          <w:rFonts w:ascii="Calibri" w:hAnsi="Calibri" w:cs="Calibri"/>
        </w:rPr>
        <w:t>IRR Calculation – Project B</w:t>
      </w:r>
    </w:p>
    <w:p w14:paraId="5DC7C670" w14:textId="26FEFC9F" w:rsidR="00CF5C90" w:rsidRPr="00B425C1" w:rsidRDefault="00CF5C90" w:rsidP="00B425C1">
      <w:pPr>
        <w:spacing w:line="360" w:lineRule="auto"/>
        <w:rPr>
          <w:rFonts w:ascii="Calibri" w:hAnsi="Calibri" w:cs="Calibri"/>
        </w:rPr>
      </w:pPr>
      <w:r w:rsidRPr="00B425C1">
        <w:rPr>
          <w:rFonts w:ascii="Calibri" w:hAnsi="Calibri" w:cs="Calibri"/>
        </w:rPr>
        <w:t>Project Information Used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37"/>
        <w:gridCol w:w="1752"/>
      </w:tblGrid>
      <w:tr w:rsidR="00CF5C90" w:rsidRPr="00CF5C90" w14:paraId="3ACE28E5" w14:textId="77777777" w:rsidTr="00186578">
        <w:trPr>
          <w:tblHeade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4A508D11"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Item</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0F408F82"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Value</w:t>
            </w:r>
          </w:p>
        </w:tc>
      </w:tr>
      <w:tr w:rsidR="00CF5C90" w:rsidRPr="00CF5C90" w14:paraId="7A829794"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1203BBA6"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Initial investment</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34429CB5"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£1,000,000</w:t>
            </w:r>
          </w:p>
        </w:tc>
      </w:tr>
      <w:tr w:rsidR="00CF5C90" w:rsidRPr="00CF5C90" w14:paraId="7FA58198"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7EFE0212"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Corporation tax rate</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71A26FBC"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25%</w:t>
            </w:r>
          </w:p>
        </w:tc>
      </w:tr>
      <w:tr w:rsidR="00CF5C90" w:rsidRPr="00CF5C90" w14:paraId="0126C88B"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0B699FA1"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Capital allowance</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6E1D9D41"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20% straight line</w:t>
            </w:r>
          </w:p>
        </w:tc>
      </w:tr>
      <w:tr w:rsidR="00CF5C90" w:rsidRPr="00CF5C90" w14:paraId="79ED7997" w14:textId="77777777" w:rsidTr="00186578">
        <w:trPr>
          <w:tblCellSpacing w:w="15" w:type="dxa"/>
        </w:trPr>
        <w:tc>
          <w:tcPr>
            <w:tcW w:w="0" w:type="auto"/>
            <w:tcBorders>
              <w:left w:val="single" w:sz="12" w:space="0" w:color="000000" w:themeColor="text1"/>
            </w:tcBorders>
            <w:vAlign w:val="center"/>
            <w:hideMark/>
          </w:tcPr>
          <w:p w14:paraId="47E82EC6"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Annual tax shield</w:t>
            </w:r>
          </w:p>
        </w:tc>
        <w:tc>
          <w:tcPr>
            <w:tcW w:w="0" w:type="auto"/>
            <w:tcBorders>
              <w:left w:val="single" w:sz="12" w:space="0" w:color="000000" w:themeColor="text1"/>
              <w:right w:val="single" w:sz="12" w:space="0" w:color="000000" w:themeColor="text1"/>
            </w:tcBorders>
            <w:vAlign w:val="center"/>
            <w:hideMark/>
          </w:tcPr>
          <w:p w14:paraId="31573733"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£50,000</w:t>
            </w:r>
          </w:p>
        </w:tc>
      </w:tr>
      <w:tr w:rsidR="00CF5C90" w:rsidRPr="00CF5C90" w14:paraId="3903DAEA" w14:textId="77777777" w:rsidTr="00186578">
        <w:trP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265E7C6F"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Benchmark discount rate</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11D87B6E"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6%</w:t>
            </w:r>
          </w:p>
        </w:tc>
      </w:tr>
    </w:tbl>
    <w:p w14:paraId="005996AF" w14:textId="77777777" w:rsidR="00805F1C" w:rsidRPr="00B425C1" w:rsidRDefault="00805F1C" w:rsidP="00B425C1">
      <w:pPr>
        <w:spacing w:line="360" w:lineRule="auto"/>
        <w:jc w:val="center"/>
        <w:rPr>
          <w:rFonts w:ascii="Calibri" w:hAnsi="Calibri" w:cs="Calibri"/>
        </w:rPr>
      </w:pPr>
    </w:p>
    <w:p w14:paraId="14951677" w14:textId="77777777" w:rsidR="00805F1C" w:rsidRPr="00B425C1" w:rsidRDefault="00805F1C" w:rsidP="00B425C1">
      <w:pPr>
        <w:spacing w:line="360" w:lineRule="auto"/>
        <w:rPr>
          <w:rFonts w:ascii="Calibri" w:hAnsi="Calibri" w:cs="Calibri"/>
        </w:rPr>
      </w:pPr>
    </w:p>
    <w:p w14:paraId="254D5A54" w14:textId="77777777" w:rsidR="00805F1C" w:rsidRPr="00B425C1" w:rsidRDefault="00805F1C" w:rsidP="00B425C1">
      <w:pPr>
        <w:spacing w:line="360" w:lineRule="auto"/>
        <w:rPr>
          <w:rFonts w:ascii="Calibri" w:hAnsi="Calibri" w:cs="Calibri"/>
        </w:rPr>
      </w:pPr>
    </w:p>
    <w:p w14:paraId="417F98C3" w14:textId="77777777" w:rsidR="00805F1C" w:rsidRPr="00B425C1" w:rsidRDefault="00805F1C" w:rsidP="00B425C1">
      <w:pPr>
        <w:spacing w:line="360" w:lineRule="auto"/>
        <w:rPr>
          <w:rFonts w:ascii="Calibri" w:hAnsi="Calibri" w:cs="Calibri"/>
        </w:rPr>
      </w:pPr>
    </w:p>
    <w:p w14:paraId="4DA1D0CA" w14:textId="238F0A01" w:rsidR="00CF5C90" w:rsidRPr="00B425C1" w:rsidRDefault="00CF5C90" w:rsidP="00B425C1">
      <w:pPr>
        <w:spacing w:line="360" w:lineRule="auto"/>
        <w:rPr>
          <w:rFonts w:ascii="Calibri" w:hAnsi="Calibri" w:cs="Calibri"/>
        </w:rPr>
      </w:pPr>
      <w:r w:rsidRPr="00B425C1">
        <w:rPr>
          <w:rFonts w:ascii="Calibri" w:hAnsi="Calibri" w:cs="Calibri"/>
        </w:rPr>
        <w:t>Net Cash Flows – Project B</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3"/>
        <w:gridCol w:w="1814"/>
      </w:tblGrid>
      <w:tr w:rsidR="00CF5C90" w:rsidRPr="00CF5C90" w14:paraId="2FD7A37D" w14:textId="77777777" w:rsidTr="00805F1C">
        <w:trPr>
          <w:tblHeader/>
          <w:tblCellSpacing w:w="15" w:type="dxa"/>
        </w:trPr>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7FB42E20"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Year</w:t>
            </w:r>
          </w:p>
        </w:tc>
        <w:tc>
          <w:tcPr>
            <w:tcW w:w="0" w:type="auto"/>
            <w:tcBorders>
              <w:top w:val="single" w:sz="12" w:space="0" w:color="000000" w:themeColor="text1"/>
              <w:bottom w:val="single" w:sz="12" w:space="0" w:color="000000" w:themeColor="text1"/>
              <w:right w:val="single" w:sz="12" w:space="0" w:color="000000" w:themeColor="text1"/>
            </w:tcBorders>
            <w:vAlign w:val="center"/>
            <w:hideMark/>
          </w:tcPr>
          <w:p w14:paraId="3E5A78C3"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Net Cash Flow (£)</w:t>
            </w:r>
          </w:p>
        </w:tc>
      </w:tr>
      <w:tr w:rsidR="00CF5C90" w:rsidRPr="00CF5C90" w14:paraId="5B876D9B" w14:textId="77777777" w:rsidTr="00805F1C">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7EA7B34B"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w:t>
            </w:r>
          </w:p>
        </w:tc>
        <w:tc>
          <w:tcPr>
            <w:tcW w:w="0" w:type="auto"/>
            <w:tcBorders>
              <w:bottom w:val="single" w:sz="12" w:space="0" w:color="000000" w:themeColor="text1"/>
              <w:right w:val="single" w:sz="12" w:space="0" w:color="000000" w:themeColor="text1"/>
            </w:tcBorders>
            <w:vAlign w:val="center"/>
            <w:hideMark/>
          </w:tcPr>
          <w:p w14:paraId="02964FFE"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−1,000,000</w:t>
            </w:r>
          </w:p>
        </w:tc>
      </w:tr>
      <w:tr w:rsidR="00CF5C90" w:rsidRPr="00CF5C90" w14:paraId="45ECCD0F" w14:textId="77777777" w:rsidTr="00805F1C">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7584C533"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w:t>
            </w:r>
          </w:p>
        </w:tc>
        <w:tc>
          <w:tcPr>
            <w:tcW w:w="0" w:type="auto"/>
            <w:tcBorders>
              <w:bottom w:val="single" w:sz="12" w:space="0" w:color="000000" w:themeColor="text1"/>
              <w:right w:val="single" w:sz="12" w:space="0" w:color="000000" w:themeColor="text1"/>
            </w:tcBorders>
            <w:vAlign w:val="center"/>
            <w:hideMark/>
          </w:tcPr>
          <w:p w14:paraId="018E29F8"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350,000</w:t>
            </w:r>
          </w:p>
        </w:tc>
      </w:tr>
      <w:tr w:rsidR="00CF5C90" w:rsidRPr="00CF5C90" w14:paraId="3198C10E" w14:textId="77777777" w:rsidTr="00805F1C">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28839A9C"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w:t>
            </w:r>
          </w:p>
        </w:tc>
        <w:tc>
          <w:tcPr>
            <w:tcW w:w="0" w:type="auto"/>
            <w:tcBorders>
              <w:bottom w:val="single" w:sz="12" w:space="0" w:color="000000" w:themeColor="text1"/>
              <w:right w:val="single" w:sz="12" w:space="0" w:color="000000" w:themeColor="text1"/>
            </w:tcBorders>
            <w:vAlign w:val="center"/>
            <w:hideMark/>
          </w:tcPr>
          <w:p w14:paraId="5BCF0FAA"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387,500</w:t>
            </w:r>
          </w:p>
        </w:tc>
      </w:tr>
      <w:tr w:rsidR="00CF5C90" w:rsidRPr="00CF5C90" w14:paraId="115C7596" w14:textId="77777777" w:rsidTr="00805F1C">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4C32F6D3"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w:t>
            </w:r>
          </w:p>
        </w:tc>
        <w:tc>
          <w:tcPr>
            <w:tcW w:w="0" w:type="auto"/>
            <w:tcBorders>
              <w:bottom w:val="single" w:sz="12" w:space="0" w:color="000000" w:themeColor="text1"/>
              <w:right w:val="single" w:sz="12" w:space="0" w:color="000000" w:themeColor="text1"/>
            </w:tcBorders>
            <w:vAlign w:val="center"/>
            <w:hideMark/>
          </w:tcPr>
          <w:p w14:paraId="5A33D418"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590,000</w:t>
            </w:r>
          </w:p>
        </w:tc>
      </w:tr>
      <w:tr w:rsidR="00CF5C90" w:rsidRPr="00CF5C90" w14:paraId="2A9831C2" w14:textId="77777777" w:rsidTr="00805F1C">
        <w:trPr>
          <w:tblCellSpacing w:w="15" w:type="dxa"/>
        </w:trPr>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2317BF4E"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4</w:t>
            </w:r>
          </w:p>
        </w:tc>
        <w:tc>
          <w:tcPr>
            <w:tcW w:w="0" w:type="auto"/>
            <w:tcBorders>
              <w:bottom w:val="single" w:sz="12" w:space="0" w:color="000000" w:themeColor="text1"/>
              <w:right w:val="single" w:sz="12" w:space="0" w:color="000000" w:themeColor="text1"/>
            </w:tcBorders>
            <w:vAlign w:val="center"/>
            <w:hideMark/>
          </w:tcPr>
          <w:p w14:paraId="6112D592"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785,000</w:t>
            </w:r>
          </w:p>
        </w:tc>
      </w:tr>
    </w:tbl>
    <w:p w14:paraId="66FC4B0B" w14:textId="0E546FA0" w:rsidR="00CF5C90" w:rsidRPr="00B425C1" w:rsidRDefault="00CF5C90" w:rsidP="00B425C1">
      <w:pPr>
        <w:spacing w:line="360" w:lineRule="auto"/>
        <w:rPr>
          <w:rFonts w:ascii="Calibri" w:hAnsi="Calibri" w:cs="Calibri"/>
        </w:rPr>
      </w:pPr>
      <w:r w:rsidRPr="00B425C1">
        <w:rPr>
          <w:rFonts w:ascii="Calibri" w:hAnsi="Calibri" w:cs="Calibri"/>
        </w:rPr>
        <w:t>Discount Factors at 25%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3"/>
        <w:gridCol w:w="2266"/>
      </w:tblGrid>
      <w:tr w:rsidR="00CF5C90" w:rsidRPr="00CF5C90" w14:paraId="23E8CC53" w14:textId="77777777" w:rsidTr="00186578">
        <w:trPr>
          <w:tblHeade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5593AB16"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lastRenderedPageBreak/>
              <w:t>Year</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1D175A1D"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Discount Factor (25%)</w:t>
            </w:r>
          </w:p>
        </w:tc>
      </w:tr>
      <w:tr w:rsidR="00CF5C90" w:rsidRPr="00CF5C90" w14:paraId="14942064"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34F35210"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759FF558"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0.800</w:t>
            </w:r>
          </w:p>
        </w:tc>
      </w:tr>
      <w:tr w:rsidR="00CF5C90" w:rsidRPr="00CF5C90" w14:paraId="2640CDEF"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11AB53B4"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74B6DCC8"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0.640</w:t>
            </w:r>
          </w:p>
        </w:tc>
      </w:tr>
      <w:tr w:rsidR="00CF5C90" w:rsidRPr="00CF5C90" w14:paraId="36A01FBE"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1F29053F"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03BAF6F1"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0.512</w:t>
            </w:r>
          </w:p>
        </w:tc>
      </w:tr>
      <w:tr w:rsidR="00CF5C90" w:rsidRPr="00CF5C90" w14:paraId="0200B560"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37EE8B99"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4</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556E42AC"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0.410</w:t>
            </w:r>
          </w:p>
        </w:tc>
      </w:tr>
    </w:tbl>
    <w:p w14:paraId="4E049AAF" w14:textId="58D548C4" w:rsidR="00CF5C90" w:rsidRPr="00B425C1" w:rsidRDefault="00CF5C90" w:rsidP="00B425C1">
      <w:pPr>
        <w:spacing w:line="360" w:lineRule="auto"/>
        <w:rPr>
          <w:rFonts w:ascii="Calibri" w:hAnsi="Calibri" w:cs="Calibri"/>
        </w:rPr>
      </w:pPr>
      <w:r w:rsidRPr="00B425C1">
        <w:rPr>
          <w:rFonts w:ascii="Calibri" w:hAnsi="Calibri" w:cs="Calibri"/>
        </w:rPr>
        <w:t>Present Value Calculation at 25%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3"/>
        <w:gridCol w:w="1799"/>
        <w:gridCol w:w="963"/>
        <w:gridCol w:w="1791"/>
      </w:tblGrid>
      <w:tr w:rsidR="00CF5C90" w:rsidRPr="00CF5C90" w14:paraId="4495305D" w14:textId="77777777" w:rsidTr="00186578">
        <w:trPr>
          <w:tblHeade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2A14711B"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Year</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6D43E3BC"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Net Cash Flow (£)</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608495B6"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DF (25%)</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59704F0B"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Present Value (£)</w:t>
            </w:r>
          </w:p>
        </w:tc>
      </w:tr>
      <w:tr w:rsidR="00CF5C90" w:rsidRPr="00CF5C90" w14:paraId="7B168D35" w14:textId="77777777" w:rsidTr="00186578">
        <w:trPr>
          <w:tblCellSpacing w:w="15" w:type="dxa"/>
        </w:trPr>
        <w:tc>
          <w:tcPr>
            <w:tcW w:w="0" w:type="auto"/>
            <w:tcBorders>
              <w:left w:val="single" w:sz="12" w:space="0" w:color="000000" w:themeColor="text1"/>
            </w:tcBorders>
            <w:vAlign w:val="center"/>
            <w:hideMark/>
          </w:tcPr>
          <w:p w14:paraId="2A6D31AF"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w:t>
            </w:r>
          </w:p>
        </w:tc>
        <w:tc>
          <w:tcPr>
            <w:tcW w:w="0" w:type="auto"/>
            <w:tcBorders>
              <w:left w:val="single" w:sz="12" w:space="0" w:color="000000" w:themeColor="text1"/>
            </w:tcBorders>
            <w:vAlign w:val="center"/>
            <w:hideMark/>
          </w:tcPr>
          <w:p w14:paraId="3A17CE82"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−1,000,000</w:t>
            </w:r>
          </w:p>
        </w:tc>
        <w:tc>
          <w:tcPr>
            <w:tcW w:w="0" w:type="auto"/>
            <w:tcBorders>
              <w:left w:val="single" w:sz="12" w:space="0" w:color="000000" w:themeColor="text1"/>
            </w:tcBorders>
            <w:vAlign w:val="center"/>
            <w:hideMark/>
          </w:tcPr>
          <w:p w14:paraId="3E5A1317"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1.000</w:t>
            </w:r>
          </w:p>
        </w:tc>
        <w:tc>
          <w:tcPr>
            <w:tcW w:w="0" w:type="auto"/>
            <w:tcBorders>
              <w:left w:val="single" w:sz="12" w:space="0" w:color="000000" w:themeColor="text1"/>
              <w:right w:val="single" w:sz="12" w:space="0" w:color="000000" w:themeColor="text1"/>
            </w:tcBorders>
            <w:vAlign w:val="center"/>
            <w:hideMark/>
          </w:tcPr>
          <w:p w14:paraId="209B263C"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−1,000,000</w:t>
            </w:r>
          </w:p>
        </w:tc>
      </w:tr>
      <w:tr w:rsidR="00CF5C90" w:rsidRPr="00CF5C90" w14:paraId="3887CD68" w14:textId="77777777" w:rsidTr="00186578">
        <w:trP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2B341A0C"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08D81880"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350,000</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6530ADAE"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0.800</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1783DB7B"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280,000</w:t>
            </w:r>
          </w:p>
        </w:tc>
      </w:tr>
      <w:tr w:rsidR="00CF5C90" w:rsidRPr="00CF5C90" w14:paraId="4A8B9BB1"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4CDFF2CF"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w:t>
            </w:r>
          </w:p>
        </w:tc>
        <w:tc>
          <w:tcPr>
            <w:tcW w:w="0" w:type="auto"/>
            <w:tcBorders>
              <w:left w:val="single" w:sz="12" w:space="0" w:color="000000" w:themeColor="text1"/>
              <w:bottom w:val="single" w:sz="12" w:space="0" w:color="000000" w:themeColor="text1"/>
            </w:tcBorders>
            <w:vAlign w:val="center"/>
            <w:hideMark/>
          </w:tcPr>
          <w:p w14:paraId="4672DBD8"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387,500</w:t>
            </w:r>
          </w:p>
        </w:tc>
        <w:tc>
          <w:tcPr>
            <w:tcW w:w="0" w:type="auto"/>
            <w:tcBorders>
              <w:left w:val="single" w:sz="12" w:space="0" w:color="000000" w:themeColor="text1"/>
              <w:bottom w:val="single" w:sz="12" w:space="0" w:color="000000" w:themeColor="text1"/>
            </w:tcBorders>
            <w:vAlign w:val="center"/>
            <w:hideMark/>
          </w:tcPr>
          <w:p w14:paraId="3F68D5D8"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0.640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33E09A48"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248,000</w:t>
            </w:r>
          </w:p>
        </w:tc>
      </w:tr>
      <w:tr w:rsidR="00CF5C90" w:rsidRPr="00CF5C90" w14:paraId="136AF2F9"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68E09F7A"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w:t>
            </w:r>
          </w:p>
        </w:tc>
        <w:tc>
          <w:tcPr>
            <w:tcW w:w="0" w:type="auto"/>
            <w:tcBorders>
              <w:left w:val="single" w:sz="12" w:space="0" w:color="000000" w:themeColor="text1"/>
              <w:bottom w:val="single" w:sz="12" w:space="0" w:color="000000" w:themeColor="text1"/>
            </w:tcBorders>
            <w:vAlign w:val="center"/>
            <w:hideMark/>
          </w:tcPr>
          <w:p w14:paraId="0C5304C8"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590,000</w:t>
            </w:r>
          </w:p>
        </w:tc>
        <w:tc>
          <w:tcPr>
            <w:tcW w:w="0" w:type="auto"/>
            <w:tcBorders>
              <w:left w:val="single" w:sz="12" w:space="0" w:color="000000" w:themeColor="text1"/>
              <w:bottom w:val="single" w:sz="12" w:space="0" w:color="000000" w:themeColor="text1"/>
            </w:tcBorders>
            <w:vAlign w:val="center"/>
            <w:hideMark/>
          </w:tcPr>
          <w:p w14:paraId="67EB30FD"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0.512</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44C34CED"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302,080</w:t>
            </w:r>
          </w:p>
        </w:tc>
      </w:tr>
      <w:tr w:rsidR="00CF5C90" w:rsidRPr="00CF5C90" w14:paraId="6AEB49E4"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08F7E9E4"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4</w:t>
            </w:r>
          </w:p>
        </w:tc>
        <w:tc>
          <w:tcPr>
            <w:tcW w:w="0" w:type="auto"/>
            <w:tcBorders>
              <w:left w:val="single" w:sz="12" w:space="0" w:color="000000" w:themeColor="text1"/>
              <w:bottom w:val="single" w:sz="12" w:space="0" w:color="000000" w:themeColor="text1"/>
            </w:tcBorders>
            <w:vAlign w:val="center"/>
            <w:hideMark/>
          </w:tcPr>
          <w:p w14:paraId="29D4827B"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785,000</w:t>
            </w:r>
          </w:p>
        </w:tc>
        <w:tc>
          <w:tcPr>
            <w:tcW w:w="0" w:type="auto"/>
            <w:tcBorders>
              <w:left w:val="single" w:sz="12" w:space="0" w:color="000000" w:themeColor="text1"/>
              <w:bottom w:val="single" w:sz="12" w:space="0" w:color="000000" w:themeColor="text1"/>
            </w:tcBorders>
            <w:vAlign w:val="center"/>
            <w:hideMark/>
          </w:tcPr>
          <w:p w14:paraId="589E7A6E"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0.410</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52CBAE51"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321,850</w:t>
            </w:r>
          </w:p>
        </w:tc>
      </w:tr>
    </w:tbl>
    <w:p w14:paraId="4E47F6AA" w14:textId="6F898271" w:rsidR="00CF5C90" w:rsidRPr="00B425C1" w:rsidRDefault="00CF5C90" w:rsidP="00B425C1">
      <w:pPr>
        <w:spacing w:line="360" w:lineRule="auto"/>
        <w:rPr>
          <w:rFonts w:ascii="Calibri" w:hAnsi="Calibri" w:cs="Calibri"/>
        </w:rPr>
      </w:pPr>
      <w:r w:rsidRPr="00B425C1">
        <w:rPr>
          <w:rFonts w:ascii="Calibri" w:hAnsi="Calibri" w:cs="Calibri"/>
        </w:rPr>
        <w:t>Discount Factors at 35%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3"/>
        <w:gridCol w:w="2266"/>
      </w:tblGrid>
      <w:tr w:rsidR="00CF5C90" w:rsidRPr="00CF5C90" w14:paraId="31E184D2" w14:textId="77777777" w:rsidTr="00186578">
        <w:trPr>
          <w:tblHeade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122BF910"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Year</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3BFE9D33"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Discount Factor (35%)</w:t>
            </w:r>
          </w:p>
        </w:tc>
      </w:tr>
      <w:tr w:rsidR="00CF5C90" w:rsidRPr="00CF5C90" w14:paraId="0BADA98C" w14:textId="77777777" w:rsidTr="00186578">
        <w:trPr>
          <w:tblCellSpacing w:w="15" w:type="dxa"/>
        </w:trPr>
        <w:tc>
          <w:tcPr>
            <w:tcW w:w="0" w:type="auto"/>
            <w:tcBorders>
              <w:left w:val="single" w:sz="12" w:space="0" w:color="000000" w:themeColor="text1"/>
            </w:tcBorders>
            <w:vAlign w:val="center"/>
            <w:hideMark/>
          </w:tcPr>
          <w:p w14:paraId="33B13738"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w:t>
            </w:r>
          </w:p>
        </w:tc>
        <w:tc>
          <w:tcPr>
            <w:tcW w:w="0" w:type="auto"/>
            <w:tcBorders>
              <w:left w:val="single" w:sz="12" w:space="0" w:color="000000" w:themeColor="text1"/>
              <w:right w:val="single" w:sz="12" w:space="0" w:color="000000" w:themeColor="text1"/>
            </w:tcBorders>
            <w:vAlign w:val="center"/>
            <w:hideMark/>
          </w:tcPr>
          <w:p w14:paraId="30A02B66"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0.741</w:t>
            </w:r>
          </w:p>
        </w:tc>
      </w:tr>
      <w:tr w:rsidR="00CF5C90" w:rsidRPr="00CF5C90" w14:paraId="2BEA1B2D" w14:textId="77777777" w:rsidTr="00186578">
        <w:trP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204E09E5"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6CDE6C35"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0.549</w:t>
            </w:r>
          </w:p>
        </w:tc>
      </w:tr>
      <w:tr w:rsidR="00CF5C90" w:rsidRPr="00CF5C90" w14:paraId="623C7F4D"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4F2152CE"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4C729149"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0.407</w:t>
            </w:r>
          </w:p>
        </w:tc>
      </w:tr>
      <w:tr w:rsidR="00CF5C90" w:rsidRPr="00CF5C90" w14:paraId="0D08A5E5"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45EC8863"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4</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1E390885"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0.301</w:t>
            </w:r>
          </w:p>
        </w:tc>
      </w:tr>
    </w:tbl>
    <w:p w14:paraId="5CF90EF7" w14:textId="2FCC9018" w:rsidR="00CF5C90" w:rsidRPr="00B425C1" w:rsidRDefault="00CF5C90" w:rsidP="00B425C1">
      <w:pPr>
        <w:spacing w:line="360" w:lineRule="auto"/>
        <w:rPr>
          <w:rFonts w:ascii="Calibri" w:hAnsi="Calibri" w:cs="Calibri"/>
        </w:rPr>
      </w:pPr>
      <w:r w:rsidRPr="00B425C1">
        <w:rPr>
          <w:rFonts w:ascii="Calibri" w:hAnsi="Calibri" w:cs="Calibri"/>
        </w:rPr>
        <w:t>Present Value Calculation at 35%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3"/>
        <w:gridCol w:w="1799"/>
        <w:gridCol w:w="993"/>
        <w:gridCol w:w="1761"/>
      </w:tblGrid>
      <w:tr w:rsidR="00CF5C90" w:rsidRPr="00CF5C90" w14:paraId="5A42B5AF" w14:textId="77777777" w:rsidTr="00186578">
        <w:trPr>
          <w:tblHeade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69644F9D"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lastRenderedPageBreak/>
              <w:t>Year</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484F1C44"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Net Cash Flow (£)</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1DFC3B91"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DF (35%)</w:t>
            </w:r>
          </w:p>
        </w:tc>
        <w:tc>
          <w:tcPr>
            <w:tcW w:w="0" w:type="auto"/>
            <w:tcBorders>
              <w:top w:val="single" w:sz="12" w:space="0" w:color="000000" w:themeColor="text1"/>
              <w:bottom w:val="single" w:sz="12" w:space="0" w:color="000000" w:themeColor="text1"/>
              <w:right w:val="single" w:sz="12" w:space="0" w:color="000000" w:themeColor="text1"/>
            </w:tcBorders>
            <w:vAlign w:val="center"/>
            <w:hideMark/>
          </w:tcPr>
          <w:p w14:paraId="7085DB80"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Present Value (£)</w:t>
            </w:r>
          </w:p>
        </w:tc>
      </w:tr>
      <w:tr w:rsidR="00CF5C90" w:rsidRPr="00CF5C90" w14:paraId="5212AD87" w14:textId="77777777" w:rsidTr="00186578">
        <w:trPr>
          <w:tblCellSpacing w:w="15" w:type="dxa"/>
        </w:trPr>
        <w:tc>
          <w:tcPr>
            <w:tcW w:w="0" w:type="auto"/>
            <w:tcBorders>
              <w:left w:val="single" w:sz="12" w:space="0" w:color="000000" w:themeColor="text1"/>
            </w:tcBorders>
            <w:vAlign w:val="center"/>
            <w:hideMark/>
          </w:tcPr>
          <w:p w14:paraId="4C40E1E6"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w:t>
            </w:r>
          </w:p>
        </w:tc>
        <w:tc>
          <w:tcPr>
            <w:tcW w:w="0" w:type="auto"/>
            <w:tcBorders>
              <w:left w:val="single" w:sz="12" w:space="0" w:color="000000" w:themeColor="text1"/>
            </w:tcBorders>
            <w:vAlign w:val="center"/>
            <w:hideMark/>
          </w:tcPr>
          <w:p w14:paraId="702720E6"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−1,000,000</w:t>
            </w:r>
          </w:p>
        </w:tc>
        <w:tc>
          <w:tcPr>
            <w:tcW w:w="0" w:type="auto"/>
            <w:tcBorders>
              <w:left w:val="single" w:sz="12" w:space="0" w:color="000000" w:themeColor="text1"/>
              <w:right w:val="single" w:sz="12" w:space="0" w:color="000000" w:themeColor="text1"/>
            </w:tcBorders>
            <w:vAlign w:val="center"/>
            <w:hideMark/>
          </w:tcPr>
          <w:p w14:paraId="28260A6C"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1.000</w:t>
            </w:r>
          </w:p>
        </w:tc>
        <w:tc>
          <w:tcPr>
            <w:tcW w:w="0" w:type="auto"/>
            <w:tcBorders>
              <w:right w:val="single" w:sz="12" w:space="0" w:color="000000" w:themeColor="text1"/>
            </w:tcBorders>
            <w:vAlign w:val="center"/>
            <w:hideMark/>
          </w:tcPr>
          <w:p w14:paraId="566A963E"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−1,000,000</w:t>
            </w:r>
          </w:p>
        </w:tc>
      </w:tr>
      <w:tr w:rsidR="00CF5C90" w:rsidRPr="00CF5C90" w14:paraId="2393822A" w14:textId="77777777" w:rsidTr="00186578">
        <w:trP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3197E830"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2BB3529B"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350,000</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1974BDA2"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0.741</w:t>
            </w:r>
          </w:p>
        </w:tc>
        <w:tc>
          <w:tcPr>
            <w:tcW w:w="0" w:type="auto"/>
            <w:tcBorders>
              <w:top w:val="single" w:sz="12" w:space="0" w:color="000000" w:themeColor="text1"/>
              <w:bottom w:val="single" w:sz="12" w:space="0" w:color="000000" w:themeColor="text1"/>
              <w:right w:val="single" w:sz="12" w:space="0" w:color="000000" w:themeColor="text1"/>
            </w:tcBorders>
            <w:vAlign w:val="center"/>
            <w:hideMark/>
          </w:tcPr>
          <w:p w14:paraId="2E9BA19B"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259,350</w:t>
            </w:r>
          </w:p>
        </w:tc>
      </w:tr>
      <w:tr w:rsidR="00CF5C90" w:rsidRPr="00CF5C90" w14:paraId="57C761C9" w14:textId="77777777" w:rsidTr="00186578">
        <w:trPr>
          <w:tblCellSpacing w:w="15" w:type="dxa"/>
        </w:trPr>
        <w:tc>
          <w:tcPr>
            <w:tcW w:w="0" w:type="auto"/>
            <w:tcBorders>
              <w:left w:val="single" w:sz="12" w:space="0" w:color="000000" w:themeColor="text1"/>
            </w:tcBorders>
            <w:vAlign w:val="center"/>
            <w:hideMark/>
          </w:tcPr>
          <w:p w14:paraId="6CF54A57"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w:t>
            </w:r>
          </w:p>
        </w:tc>
        <w:tc>
          <w:tcPr>
            <w:tcW w:w="0" w:type="auto"/>
            <w:tcBorders>
              <w:left w:val="single" w:sz="12" w:space="0" w:color="000000" w:themeColor="text1"/>
            </w:tcBorders>
            <w:vAlign w:val="center"/>
            <w:hideMark/>
          </w:tcPr>
          <w:p w14:paraId="1931D794"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387,500</w:t>
            </w:r>
          </w:p>
        </w:tc>
        <w:tc>
          <w:tcPr>
            <w:tcW w:w="0" w:type="auto"/>
            <w:tcBorders>
              <w:left w:val="single" w:sz="12" w:space="0" w:color="000000" w:themeColor="text1"/>
              <w:right w:val="single" w:sz="12" w:space="0" w:color="000000" w:themeColor="text1"/>
            </w:tcBorders>
            <w:vAlign w:val="center"/>
            <w:hideMark/>
          </w:tcPr>
          <w:p w14:paraId="282818DE"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0.549</w:t>
            </w:r>
          </w:p>
        </w:tc>
        <w:tc>
          <w:tcPr>
            <w:tcW w:w="0" w:type="auto"/>
            <w:tcBorders>
              <w:right w:val="single" w:sz="12" w:space="0" w:color="000000" w:themeColor="text1"/>
            </w:tcBorders>
            <w:vAlign w:val="center"/>
            <w:hideMark/>
          </w:tcPr>
          <w:p w14:paraId="254EB6CB"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212,738</w:t>
            </w:r>
          </w:p>
        </w:tc>
      </w:tr>
      <w:tr w:rsidR="00CF5C90" w:rsidRPr="00CF5C90" w14:paraId="0A73091F" w14:textId="77777777" w:rsidTr="00186578">
        <w:trPr>
          <w:tblCellSpacing w:w="15" w:type="dxa"/>
        </w:trPr>
        <w:tc>
          <w:tcPr>
            <w:tcW w:w="0" w:type="auto"/>
            <w:tcBorders>
              <w:top w:val="single" w:sz="12" w:space="0" w:color="000000" w:themeColor="text1"/>
              <w:left w:val="single" w:sz="12" w:space="0" w:color="000000" w:themeColor="text1"/>
            </w:tcBorders>
            <w:vAlign w:val="center"/>
            <w:hideMark/>
          </w:tcPr>
          <w:p w14:paraId="16FF4645"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w:t>
            </w:r>
          </w:p>
        </w:tc>
        <w:tc>
          <w:tcPr>
            <w:tcW w:w="0" w:type="auto"/>
            <w:tcBorders>
              <w:top w:val="single" w:sz="12" w:space="0" w:color="000000" w:themeColor="text1"/>
              <w:left w:val="single" w:sz="12" w:space="0" w:color="000000" w:themeColor="text1"/>
            </w:tcBorders>
            <w:vAlign w:val="center"/>
            <w:hideMark/>
          </w:tcPr>
          <w:p w14:paraId="5A378E45"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590,000</w:t>
            </w:r>
          </w:p>
        </w:tc>
        <w:tc>
          <w:tcPr>
            <w:tcW w:w="0" w:type="auto"/>
            <w:tcBorders>
              <w:top w:val="single" w:sz="12" w:space="0" w:color="000000" w:themeColor="text1"/>
              <w:left w:val="single" w:sz="12" w:space="0" w:color="000000" w:themeColor="text1"/>
              <w:right w:val="single" w:sz="12" w:space="0" w:color="000000" w:themeColor="text1"/>
            </w:tcBorders>
            <w:vAlign w:val="center"/>
            <w:hideMark/>
          </w:tcPr>
          <w:p w14:paraId="2059D8AA"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0.407</w:t>
            </w:r>
          </w:p>
        </w:tc>
        <w:tc>
          <w:tcPr>
            <w:tcW w:w="0" w:type="auto"/>
            <w:tcBorders>
              <w:top w:val="single" w:sz="12" w:space="0" w:color="000000" w:themeColor="text1"/>
              <w:right w:val="single" w:sz="12" w:space="0" w:color="000000" w:themeColor="text1"/>
            </w:tcBorders>
            <w:vAlign w:val="center"/>
            <w:hideMark/>
          </w:tcPr>
          <w:p w14:paraId="31D9C54E"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240,130</w:t>
            </w:r>
          </w:p>
        </w:tc>
      </w:tr>
      <w:tr w:rsidR="00CF5C90" w:rsidRPr="00CF5C90" w14:paraId="4F322D36" w14:textId="77777777" w:rsidTr="00186578">
        <w:trP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7A319E2F"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4</w:t>
            </w:r>
          </w:p>
        </w:tc>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5C8E6C8E"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785,000</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5EE76A9C"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0.301</w:t>
            </w:r>
          </w:p>
        </w:tc>
        <w:tc>
          <w:tcPr>
            <w:tcW w:w="0" w:type="auto"/>
            <w:tcBorders>
              <w:top w:val="single" w:sz="12" w:space="0" w:color="000000" w:themeColor="text1"/>
              <w:bottom w:val="single" w:sz="12" w:space="0" w:color="000000" w:themeColor="text1"/>
              <w:right w:val="single" w:sz="12" w:space="0" w:color="000000" w:themeColor="text1"/>
            </w:tcBorders>
            <w:vAlign w:val="center"/>
            <w:hideMark/>
          </w:tcPr>
          <w:p w14:paraId="6EF1D981"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236,285</w:t>
            </w:r>
          </w:p>
        </w:tc>
      </w:tr>
    </w:tbl>
    <w:p w14:paraId="3446BD6A" w14:textId="5B211814" w:rsidR="00CF5C90" w:rsidRPr="00B425C1" w:rsidRDefault="00CF5C90" w:rsidP="00B425C1">
      <w:pPr>
        <w:spacing w:line="360" w:lineRule="auto"/>
        <w:rPr>
          <w:rFonts w:ascii="Calibri" w:hAnsi="Calibri" w:cs="Calibri"/>
        </w:rPr>
      </w:pPr>
      <w:r w:rsidRPr="00B425C1">
        <w:rPr>
          <w:rFonts w:ascii="Calibri" w:hAnsi="Calibri" w:cs="Calibri"/>
        </w:rPr>
        <w:t>Summary for IRR Interpolation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3"/>
        <w:gridCol w:w="1045"/>
      </w:tblGrid>
      <w:tr w:rsidR="00CF5C90" w:rsidRPr="00CF5C90" w14:paraId="2D0DE795" w14:textId="77777777" w:rsidTr="00186578">
        <w:trPr>
          <w:tblHeader/>
          <w:tblCellSpacing w:w="15" w:type="dxa"/>
        </w:trPr>
        <w:tc>
          <w:tcPr>
            <w:tcW w:w="0" w:type="auto"/>
            <w:tcBorders>
              <w:top w:val="single" w:sz="12" w:space="0" w:color="000000" w:themeColor="text1"/>
              <w:left w:val="single" w:sz="12" w:space="0" w:color="000000" w:themeColor="text1"/>
            </w:tcBorders>
            <w:vAlign w:val="center"/>
            <w:hideMark/>
          </w:tcPr>
          <w:p w14:paraId="77D687FA"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Discount Rate</w:t>
            </w:r>
          </w:p>
        </w:tc>
        <w:tc>
          <w:tcPr>
            <w:tcW w:w="0" w:type="auto"/>
            <w:tcBorders>
              <w:top w:val="single" w:sz="12" w:space="0" w:color="000000" w:themeColor="text1"/>
              <w:left w:val="single" w:sz="12" w:space="0" w:color="000000" w:themeColor="text1"/>
              <w:right w:val="single" w:sz="12" w:space="0" w:color="000000" w:themeColor="text1"/>
            </w:tcBorders>
            <w:vAlign w:val="center"/>
            <w:hideMark/>
          </w:tcPr>
          <w:p w14:paraId="7C2B8803"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NPV (£)</w:t>
            </w:r>
          </w:p>
        </w:tc>
      </w:tr>
      <w:tr w:rsidR="00CF5C90" w:rsidRPr="00CF5C90" w14:paraId="58BFE735" w14:textId="77777777" w:rsidTr="00186578">
        <w:trPr>
          <w:tblCellSpacing w:w="15" w:type="dxa"/>
        </w:trPr>
        <w:tc>
          <w:tcPr>
            <w:tcW w:w="0" w:type="auto"/>
            <w:tcBorders>
              <w:top w:val="single" w:sz="12" w:space="0" w:color="000000" w:themeColor="text1"/>
              <w:left w:val="single" w:sz="12" w:space="0" w:color="000000" w:themeColor="text1"/>
              <w:bottom w:val="single" w:sz="12" w:space="0" w:color="000000" w:themeColor="text1"/>
            </w:tcBorders>
            <w:vAlign w:val="center"/>
            <w:hideMark/>
          </w:tcPr>
          <w:p w14:paraId="097A08C9"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25%</w:t>
            </w:r>
          </w:p>
        </w:tc>
        <w:tc>
          <w:tcPr>
            <w:tcW w:w="0" w:type="auto"/>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hideMark/>
          </w:tcPr>
          <w:p w14:paraId="29AFCFB4"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+151,930</w:t>
            </w:r>
          </w:p>
        </w:tc>
      </w:tr>
      <w:tr w:rsidR="00CF5C90" w:rsidRPr="00CF5C90" w14:paraId="2802BECF" w14:textId="77777777" w:rsidTr="00186578">
        <w:trPr>
          <w:tblCellSpacing w:w="15" w:type="dxa"/>
        </w:trPr>
        <w:tc>
          <w:tcPr>
            <w:tcW w:w="0" w:type="auto"/>
            <w:tcBorders>
              <w:left w:val="single" w:sz="12" w:space="0" w:color="000000" w:themeColor="text1"/>
              <w:bottom w:val="single" w:sz="12" w:space="0" w:color="000000" w:themeColor="text1"/>
            </w:tcBorders>
            <w:vAlign w:val="center"/>
            <w:hideMark/>
          </w:tcPr>
          <w:p w14:paraId="5515CCA5"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35%</w:t>
            </w:r>
          </w:p>
        </w:tc>
        <w:tc>
          <w:tcPr>
            <w:tcW w:w="0" w:type="auto"/>
            <w:tcBorders>
              <w:left w:val="single" w:sz="12" w:space="0" w:color="000000" w:themeColor="text1"/>
              <w:bottom w:val="single" w:sz="12" w:space="0" w:color="000000" w:themeColor="text1"/>
              <w:right w:val="single" w:sz="12" w:space="0" w:color="000000" w:themeColor="text1"/>
            </w:tcBorders>
            <w:vAlign w:val="center"/>
            <w:hideMark/>
          </w:tcPr>
          <w:p w14:paraId="4058C177" w14:textId="77777777" w:rsidR="00CF5C90" w:rsidRPr="00CF5C90" w:rsidRDefault="00CF5C90" w:rsidP="00B425C1">
            <w:pPr>
              <w:spacing w:line="360" w:lineRule="auto"/>
              <w:jc w:val="center"/>
              <w:rPr>
                <w:rFonts w:ascii="Calibri" w:hAnsi="Calibri" w:cs="Calibri"/>
              </w:rPr>
            </w:pPr>
            <w:r w:rsidRPr="00CF5C90">
              <w:rPr>
                <w:rFonts w:ascii="Calibri" w:hAnsi="Calibri" w:cs="Calibri"/>
              </w:rPr>
              <w:t>−51,497</w:t>
            </w:r>
          </w:p>
        </w:tc>
      </w:tr>
    </w:tbl>
    <w:p w14:paraId="49F3FCF8" w14:textId="77777777" w:rsidR="00CF5C90" w:rsidRPr="00B425C1" w:rsidRDefault="00CF5C90" w:rsidP="00B425C1">
      <w:pPr>
        <w:spacing w:line="360" w:lineRule="auto"/>
        <w:rPr>
          <w:rFonts w:ascii="Calibri" w:hAnsi="Calibri" w:cs="Calibri"/>
        </w:rPr>
      </w:pPr>
    </w:p>
    <w:p w14:paraId="16AECC39" w14:textId="77777777" w:rsidR="00CF5C90" w:rsidRPr="00B425C1" w:rsidRDefault="00CF5C90" w:rsidP="00B425C1">
      <w:pPr>
        <w:spacing w:line="360" w:lineRule="auto"/>
        <w:rPr>
          <w:rFonts w:ascii="Calibri" w:hAnsi="Calibri" w:cs="Calibri"/>
        </w:rPr>
      </w:pPr>
    </w:p>
    <w:p w14:paraId="28D0EF23" w14:textId="77777777" w:rsidR="00CF5C90" w:rsidRPr="00B425C1" w:rsidRDefault="00CF5C90" w:rsidP="00B425C1">
      <w:pPr>
        <w:spacing w:line="360" w:lineRule="auto"/>
        <w:rPr>
          <w:rFonts w:ascii="Calibri" w:hAnsi="Calibri" w:cs="Calibri"/>
        </w:rPr>
      </w:pPr>
    </w:p>
    <w:p w14:paraId="02773987" w14:textId="77777777" w:rsidR="00186578" w:rsidRPr="00B425C1" w:rsidRDefault="00CF5C90" w:rsidP="00B425C1">
      <w:pPr>
        <w:spacing w:line="360" w:lineRule="auto"/>
        <w:rPr>
          <w:rFonts w:ascii="Calibri" w:hAnsi="Calibri" w:cs="Calibri"/>
        </w:rPr>
      </w:pPr>
      <w:proofErr w:type="spellStart"/>
      <w:r w:rsidRPr="00B425C1">
        <w:rPr>
          <w:rFonts w:ascii="Calibri" w:hAnsi="Calibri" w:cs="Calibri"/>
        </w:rPr>
        <w:t>Refern</w:t>
      </w:r>
      <w:r w:rsidR="00186578" w:rsidRPr="00B425C1">
        <w:rPr>
          <w:rFonts w:ascii="Calibri" w:hAnsi="Calibri" w:cs="Calibri"/>
        </w:rPr>
        <w:t>ces</w:t>
      </w:r>
      <w:proofErr w:type="spellEnd"/>
      <w:r w:rsidR="00186578" w:rsidRPr="00B425C1">
        <w:rPr>
          <w:rFonts w:ascii="Calibri" w:hAnsi="Calibri" w:cs="Calibri"/>
        </w:rPr>
        <w:t>:</w:t>
      </w:r>
    </w:p>
    <w:p w14:paraId="352BE897"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Arnold, G. (2013) </w:t>
      </w:r>
      <w:r w:rsidRPr="00186578">
        <w:rPr>
          <w:rFonts w:ascii="Calibri" w:hAnsi="Calibri" w:cs="Calibri"/>
          <w:i/>
          <w:iCs/>
        </w:rPr>
        <w:t>Corporate Financial Management</w:t>
      </w:r>
      <w:r w:rsidRPr="00186578">
        <w:rPr>
          <w:rFonts w:ascii="Calibri" w:hAnsi="Calibri" w:cs="Calibri"/>
        </w:rPr>
        <w:t xml:space="preserve">. 5th </w:t>
      </w:r>
      <w:proofErr w:type="spellStart"/>
      <w:r w:rsidRPr="00186578">
        <w:rPr>
          <w:rFonts w:ascii="Calibri" w:hAnsi="Calibri" w:cs="Calibri"/>
        </w:rPr>
        <w:t>edn</w:t>
      </w:r>
      <w:proofErr w:type="spellEnd"/>
      <w:r w:rsidRPr="00186578">
        <w:rPr>
          <w:rFonts w:ascii="Calibri" w:hAnsi="Calibri" w:cs="Calibri"/>
        </w:rPr>
        <w:t>. Harlow: Pearson Education.</w:t>
      </w:r>
    </w:p>
    <w:p w14:paraId="7086B402" w14:textId="77777777" w:rsidR="00186578" w:rsidRPr="00186578" w:rsidRDefault="00186578" w:rsidP="00B425C1">
      <w:pPr>
        <w:spacing w:line="360" w:lineRule="auto"/>
        <w:rPr>
          <w:rFonts w:ascii="Calibri" w:hAnsi="Calibri" w:cs="Calibri"/>
        </w:rPr>
      </w:pPr>
      <w:proofErr w:type="spellStart"/>
      <w:r w:rsidRPr="00186578">
        <w:rPr>
          <w:rFonts w:ascii="Calibri" w:hAnsi="Calibri" w:cs="Calibri"/>
        </w:rPr>
        <w:t>Atrill</w:t>
      </w:r>
      <w:proofErr w:type="spellEnd"/>
      <w:r w:rsidRPr="00186578">
        <w:rPr>
          <w:rFonts w:ascii="Calibri" w:hAnsi="Calibri" w:cs="Calibri"/>
        </w:rPr>
        <w:t xml:space="preserve">, P. and McLaney, E. (2019) </w:t>
      </w:r>
      <w:r w:rsidRPr="00186578">
        <w:rPr>
          <w:rFonts w:ascii="Calibri" w:hAnsi="Calibri" w:cs="Calibri"/>
          <w:i/>
          <w:iCs/>
        </w:rPr>
        <w:t>Financial Management for Decision Makers</w:t>
      </w:r>
      <w:r w:rsidRPr="00186578">
        <w:rPr>
          <w:rFonts w:ascii="Calibri" w:hAnsi="Calibri" w:cs="Calibri"/>
        </w:rPr>
        <w:t xml:space="preserve">. 9th </w:t>
      </w:r>
      <w:proofErr w:type="spellStart"/>
      <w:r w:rsidRPr="00186578">
        <w:rPr>
          <w:rFonts w:ascii="Calibri" w:hAnsi="Calibri" w:cs="Calibri"/>
        </w:rPr>
        <w:t>edn</w:t>
      </w:r>
      <w:proofErr w:type="spellEnd"/>
      <w:r w:rsidRPr="00186578">
        <w:rPr>
          <w:rFonts w:ascii="Calibri" w:hAnsi="Calibri" w:cs="Calibri"/>
        </w:rPr>
        <w:t>. Harlow: Pearson Education.</w:t>
      </w:r>
    </w:p>
    <w:p w14:paraId="7AB491AE"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Barney, J. (1991) ‘Firm resources and sustained competitive advantage’, </w:t>
      </w:r>
      <w:r w:rsidRPr="00186578">
        <w:rPr>
          <w:rFonts w:ascii="Calibri" w:hAnsi="Calibri" w:cs="Calibri"/>
          <w:i/>
          <w:iCs/>
        </w:rPr>
        <w:t>Journal of Management</w:t>
      </w:r>
      <w:r w:rsidRPr="00186578">
        <w:rPr>
          <w:rFonts w:ascii="Calibri" w:hAnsi="Calibri" w:cs="Calibri"/>
        </w:rPr>
        <w:t>, 17(1), pp. 99–120.</w:t>
      </w:r>
    </w:p>
    <w:p w14:paraId="7C45C235"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Bodie, Z., Kane, A. and Marcus, A.J. (2021) </w:t>
      </w:r>
      <w:r w:rsidRPr="00186578">
        <w:rPr>
          <w:rFonts w:ascii="Calibri" w:hAnsi="Calibri" w:cs="Calibri"/>
          <w:i/>
          <w:iCs/>
        </w:rPr>
        <w:t>Investments</w:t>
      </w:r>
      <w:r w:rsidRPr="00186578">
        <w:rPr>
          <w:rFonts w:ascii="Calibri" w:hAnsi="Calibri" w:cs="Calibri"/>
        </w:rPr>
        <w:t xml:space="preserve">. 12th </w:t>
      </w:r>
      <w:proofErr w:type="spellStart"/>
      <w:r w:rsidRPr="00186578">
        <w:rPr>
          <w:rFonts w:ascii="Calibri" w:hAnsi="Calibri" w:cs="Calibri"/>
        </w:rPr>
        <w:t>edn</w:t>
      </w:r>
      <w:proofErr w:type="spellEnd"/>
      <w:r w:rsidRPr="00186578">
        <w:rPr>
          <w:rFonts w:ascii="Calibri" w:hAnsi="Calibri" w:cs="Calibri"/>
        </w:rPr>
        <w:t>. New York: McGraw-Hill Education.</w:t>
      </w:r>
    </w:p>
    <w:p w14:paraId="1B387127"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Brealey, R.A., Myers, S.C. and Allen, F. (2020) </w:t>
      </w:r>
      <w:r w:rsidRPr="00186578">
        <w:rPr>
          <w:rFonts w:ascii="Calibri" w:hAnsi="Calibri" w:cs="Calibri"/>
          <w:i/>
          <w:iCs/>
        </w:rPr>
        <w:t>Principles of Corporate Finance</w:t>
      </w:r>
      <w:r w:rsidRPr="00186578">
        <w:rPr>
          <w:rFonts w:ascii="Calibri" w:hAnsi="Calibri" w:cs="Calibri"/>
        </w:rPr>
        <w:t xml:space="preserve">. 13th </w:t>
      </w:r>
      <w:proofErr w:type="spellStart"/>
      <w:r w:rsidRPr="00186578">
        <w:rPr>
          <w:rFonts w:ascii="Calibri" w:hAnsi="Calibri" w:cs="Calibri"/>
        </w:rPr>
        <w:t>edn</w:t>
      </w:r>
      <w:proofErr w:type="spellEnd"/>
      <w:r w:rsidRPr="00186578">
        <w:rPr>
          <w:rFonts w:ascii="Calibri" w:hAnsi="Calibri" w:cs="Calibri"/>
        </w:rPr>
        <w:t>. New York: McGraw-Hill Education.</w:t>
      </w:r>
    </w:p>
    <w:p w14:paraId="5F59AF6C" w14:textId="77777777" w:rsidR="00186578" w:rsidRPr="00186578" w:rsidRDefault="00186578" w:rsidP="00B425C1">
      <w:pPr>
        <w:spacing w:line="360" w:lineRule="auto"/>
        <w:rPr>
          <w:rFonts w:ascii="Calibri" w:hAnsi="Calibri" w:cs="Calibri"/>
        </w:rPr>
      </w:pPr>
      <w:r w:rsidRPr="00186578">
        <w:rPr>
          <w:rFonts w:ascii="Calibri" w:hAnsi="Calibri" w:cs="Calibri"/>
        </w:rPr>
        <w:lastRenderedPageBreak/>
        <w:t xml:space="preserve">Brigham, E.F. and Ehrhardt, M.C. (2017) </w:t>
      </w:r>
      <w:r w:rsidRPr="00186578">
        <w:rPr>
          <w:rFonts w:ascii="Calibri" w:hAnsi="Calibri" w:cs="Calibri"/>
          <w:i/>
          <w:iCs/>
        </w:rPr>
        <w:t>Financial Management: Theory and Practice</w:t>
      </w:r>
      <w:r w:rsidRPr="00186578">
        <w:rPr>
          <w:rFonts w:ascii="Calibri" w:hAnsi="Calibri" w:cs="Calibri"/>
        </w:rPr>
        <w:t xml:space="preserve">. 15th </w:t>
      </w:r>
      <w:proofErr w:type="spellStart"/>
      <w:r w:rsidRPr="00186578">
        <w:rPr>
          <w:rFonts w:ascii="Calibri" w:hAnsi="Calibri" w:cs="Calibri"/>
        </w:rPr>
        <w:t>edn</w:t>
      </w:r>
      <w:proofErr w:type="spellEnd"/>
      <w:r w:rsidRPr="00186578">
        <w:rPr>
          <w:rFonts w:ascii="Calibri" w:hAnsi="Calibri" w:cs="Calibri"/>
        </w:rPr>
        <w:t>. Boston: Cengage Learning.</w:t>
      </w:r>
    </w:p>
    <w:p w14:paraId="0EAB9C4D" w14:textId="77777777" w:rsidR="00186578" w:rsidRPr="00186578" w:rsidRDefault="00186578" w:rsidP="00B425C1">
      <w:pPr>
        <w:spacing w:line="360" w:lineRule="auto"/>
        <w:rPr>
          <w:rFonts w:ascii="Calibri" w:hAnsi="Calibri" w:cs="Calibri"/>
        </w:rPr>
      </w:pPr>
      <w:proofErr w:type="spellStart"/>
      <w:r w:rsidRPr="00186578">
        <w:rPr>
          <w:rFonts w:ascii="Calibri" w:hAnsi="Calibri" w:cs="Calibri"/>
        </w:rPr>
        <w:t>Brounen</w:t>
      </w:r>
      <w:proofErr w:type="spellEnd"/>
      <w:r w:rsidRPr="00186578">
        <w:rPr>
          <w:rFonts w:ascii="Calibri" w:hAnsi="Calibri" w:cs="Calibri"/>
        </w:rPr>
        <w:t xml:space="preserve">, D., de Jong, A. and </w:t>
      </w:r>
      <w:proofErr w:type="spellStart"/>
      <w:r w:rsidRPr="00186578">
        <w:rPr>
          <w:rFonts w:ascii="Calibri" w:hAnsi="Calibri" w:cs="Calibri"/>
        </w:rPr>
        <w:t>Koedijk</w:t>
      </w:r>
      <w:proofErr w:type="spellEnd"/>
      <w:r w:rsidRPr="00186578">
        <w:rPr>
          <w:rFonts w:ascii="Calibri" w:hAnsi="Calibri" w:cs="Calibri"/>
        </w:rPr>
        <w:t xml:space="preserve">, K. (2004) ‘Corporate finance in Europe: Confronting theory with practice’, </w:t>
      </w:r>
      <w:r w:rsidRPr="00186578">
        <w:rPr>
          <w:rFonts w:ascii="Calibri" w:hAnsi="Calibri" w:cs="Calibri"/>
          <w:i/>
          <w:iCs/>
        </w:rPr>
        <w:t>Financial Management</w:t>
      </w:r>
      <w:r w:rsidRPr="00186578">
        <w:rPr>
          <w:rFonts w:ascii="Calibri" w:hAnsi="Calibri" w:cs="Calibri"/>
        </w:rPr>
        <w:t>, 33(4), pp. 71–101.</w:t>
      </w:r>
    </w:p>
    <w:p w14:paraId="6897F62F"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Damodaran, A. (2012) </w:t>
      </w:r>
      <w:r w:rsidRPr="00186578">
        <w:rPr>
          <w:rFonts w:ascii="Calibri" w:hAnsi="Calibri" w:cs="Calibri"/>
          <w:i/>
          <w:iCs/>
        </w:rPr>
        <w:t>Investment Valuation: Tools and Techniques for Determining the Value of Any Asset</w:t>
      </w:r>
      <w:r w:rsidRPr="00186578">
        <w:rPr>
          <w:rFonts w:ascii="Calibri" w:hAnsi="Calibri" w:cs="Calibri"/>
        </w:rPr>
        <w:t xml:space="preserve">. 3rd </w:t>
      </w:r>
      <w:proofErr w:type="spellStart"/>
      <w:r w:rsidRPr="00186578">
        <w:rPr>
          <w:rFonts w:ascii="Calibri" w:hAnsi="Calibri" w:cs="Calibri"/>
        </w:rPr>
        <w:t>edn</w:t>
      </w:r>
      <w:proofErr w:type="spellEnd"/>
      <w:r w:rsidRPr="00186578">
        <w:rPr>
          <w:rFonts w:ascii="Calibri" w:hAnsi="Calibri" w:cs="Calibri"/>
        </w:rPr>
        <w:t>. Hoboken: John Wiley &amp; Sons.</w:t>
      </w:r>
    </w:p>
    <w:p w14:paraId="28CC5C77"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Damodaran, A. (2015) </w:t>
      </w:r>
      <w:r w:rsidRPr="00186578">
        <w:rPr>
          <w:rFonts w:ascii="Calibri" w:hAnsi="Calibri" w:cs="Calibri"/>
          <w:i/>
          <w:iCs/>
        </w:rPr>
        <w:t>Applied Corporate Finance</w:t>
      </w:r>
      <w:r w:rsidRPr="00186578">
        <w:rPr>
          <w:rFonts w:ascii="Calibri" w:hAnsi="Calibri" w:cs="Calibri"/>
        </w:rPr>
        <w:t xml:space="preserve">. 4th </w:t>
      </w:r>
      <w:proofErr w:type="spellStart"/>
      <w:r w:rsidRPr="00186578">
        <w:rPr>
          <w:rFonts w:ascii="Calibri" w:hAnsi="Calibri" w:cs="Calibri"/>
        </w:rPr>
        <w:t>edn</w:t>
      </w:r>
      <w:proofErr w:type="spellEnd"/>
      <w:r w:rsidRPr="00186578">
        <w:rPr>
          <w:rFonts w:ascii="Calibri" w:hAnsi="Calibri" w:cs="Calibri"/>
        </w:rPr>
        <w:t>. Hoboken: John Wiley &amp; Sons.</w:t>
      </w:r>
    </w:p>
    <w:p w14:paraId="43041094"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DeAngelo, H. and DeAngelo, L. (2007) ‘Payout policy’, </w:t>
      </w:r>
      <w:r w:rsidRPr="00186578">
        <w:rPr>
          <w:rFonts w:ascii="Calibri" w:hAnsi="Calibri" w:cs="Calibri"/>
          <w:i/>
          <w:iCs/>
        </w:rPr>
        <w:t>Foundations and Trends in Finance</w:t>
      </w:r>
      <w:r w:rsidRPr="00186578">
        <w:rPr>
          <w:rFonts w:ascii="Calibri" w:hAnsi="Calibri" w:cs="Calibri"/>
        </w:rPr>
        <w:t>, 3(2–3), pp. 95–287.</w:t>
      </w:r>
    </w:p>
    <w:p w14:paraId="0DFCE552"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Deegan, C. (2014) </w:t>
      </w:r>
      <w:r w:rsidRPr="00186578">
        <w:rPr>
          <w:rFonts w:ascii="Calibri" w:hAnsi="Calibri" w:cs="Calibri"/>
          <w:i/>
          <w:iCs/>
        </w:rPr>
        <w:t>Financial Accounting Theory</w:t>
      </w:r>
      <w:r w:rsidRPr="00186578">
        <w:rPr>
          <w:rFonts w:ascii="Calibri" w:hAnsi="Calibri" w:cs="Calibri"/>
        </w:rPr>
        <w:t xml:space="preserve">. 4th </w:t>
      </w:r>
      <w:proofErr w:type="spellStart"/>
      <w:r w:rsidRPr="00186578">
        <w:rPr>
          <w:rFonts w:ascii="Calibri" w:hAnsi="Calibri" w:cs="Calibri"/>
        </w:rPr>
        <w:t>edn</w:t>
      </w:r>
      <w:proofErr w:type="spellEnd"/>
      <w:r w:rsidRPr="00186578">
        <w:rPr>
          <w:rFonts w:ascii="Calibri" w:hAnsi="Calibri" w:cs="Calibri"/>
        </w:rPr>
        <w:t>. Sydney: McGraw-Hill Education.</w:t>
      </w:r>
    </w:p>
    <w:p w14:paraId="39F62F51"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Eccles, R.G., Ioannou, I. and Serafeim, G. (2014) ‘The impact of corporate sustainability on organisational processes and performance’, </w:t>
      </w:r>
      <w:r w:rsidRPr="00186578">
        <w:rPr>
          <w:rFonts w:ascii="Calibri" w:hAnsi="Calibri" w:cs="Calibri"/>
          <w:i/>
          <w:iCs/>
        </w:rPr>
        <w:t>Management Science</w:t>
      </w:r>
      <w:r w:rsidRPr="00186578">
        <w:rPr>
          <w:rFonts w:ascii="Calibri" w:hAnsi="Calibri" w:cs="Calibri"/>
        </w:rPr>
        <w:t>, 60(11), pp. 2835–2857.</w:t>
      </w:r>
    </w:p>
    <w:p w14:paraId="3481F691"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Fama, E.F. and French, K.R. (2004) ‘Financing decisions: Who issues stock?’, </w:t>
      </w:r>
      <w:r w:rsidRPr="00186578">
        <w:rPr>
          <w:rFonts w:ascii="Calibri" w:hAnsi="Calibri" w:cs="Calibri"/>
          <w:i/>
          <w:iCs/>
        </w:rPr>
        <w:t>Journal of Financial Economics</w:t>
      </w:r>
      <w:r w:rsidRPr="00186578">
        <w:rPr>
          <w:rFonts w:ascii="Calibri" w:hAnsi="Calibri" w:cs="Calibri"/>
        </w:rPr>
        <w:t>, 76(3), pp. 549–582.</w:t>
      </w:r>
    </w:p>
    <w:p w14:paraId="78DCDEBB"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Frank, M.Z. and Goyal, V.K. (2009) ‘Capital structure decisions: Which factors are reliably important?’, </w:t>
      </w:r>
      <w:r w:rsidRPr="00186578">
        <w:rPr>
          <w:rFonts w:ascii="Calibri" w:hAnsi="Calibri" w:cs="Calibri"/>
          <w:i/>
          <w:iCs/>
        </w:rPr>
        <w:t>Financial Management</w:t>
      </w:r>
      <w:r w:rsidRPr="00186578">
        <w:rPr>
          <w:rFonts w:ascii="Calibri" w:hAnsi="Calibri" w:cs="Calibri"/>
        </w:rPr>
        <w:t>, 38(1), pp. 1–37.</w:t>
      </w:r>
    </w:p>
    <w:p w14:paraId="4C59A5C4"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Graham, J.R. (2000) ‘How big are the tax benefits of debt?’, </w:t>
      </w:r>
      <w:r w:rsidRPr="00186578">
        <w:rPr>
          <w:rFonts w:ascii="Calibri" w:hAnsi="Calibri" w:cs="Calibri"/>
          <w:i/>
          <w:iCs/>
        </w:rPr>
        <w:t>Journal of Finance</w:t>
      </w:r>
      <w:r w:rsidRPr="00186578">
        <w:rPr>
          <w:rFonts w:ascii="Calibri" w:hAnsi="Calibri" w:cs="Calibri"/>
        </w:rPr>
        <w:t>, 55(5), pp. 1901–1941.</w:t>
      </w:r>
    </w:p>
    <w:p w14:paraId="26393788"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Graham, J.R. and Harvey, C.R. (2001) ‘The theory and practice of corporate finance’, </w:t>
      </w:r>
      <w:r w:rsidRPr="00186578">
        <w:rPr>
          <w:rFonts w:ascii="Calibri" w:hAnsi="Calibri" w:cs="Calibri"/>
          <w:i/>
          <w:iCs/>
        </w:rPr>
        <w:t>Journal of Financial Economics</w:t>
      </w:r>
      <w:r w:rsidRPr="00186578">
        <w:rPr>
          <w:rFonts w:ascii="Calibri" w:hAnsi="Calibri" w:cs="Calibri"/>
        </w:rPr>
        <w:t>, 60(2–3), pp. 187–243.</w:t>
      </w:r>
    </w:p>
    <w:p w14:paraId="7C142263"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Grant, R.M. (2019) </w:t>
      </w:r>
      <w:r w:rsidRPr="00186578">
        <w:rPr>
          <w:rFonts w:ascii="Calibri" w:hAnsi="Calibri" w:cs="Calibri"/>
          <w:i/>
          <w:iCs/>
        </w:rPr>
        <w:t>Contemporary Strategy Analysis</w:t>
      </w:r>
      <w:r w:rsidRPr="00186578">
        <w:rPr>
          <w:rFonts w:ascii="Calibri" w:hAnsi="Calibri" w:cs="Calibri"/>
        </w:rPr>
        <w:t xml:space="preserve">. 10th </w:t>
      </w:r>
      <w:proofErr w:type="spellStart"/>
      <w:r w:rsidRPr="00186578">
        <w:rPr>
          <w:rFonts w:ascii="Calibri" w:hAnsi="Calibri" w:cs="Calibri"/>
        </w:rPr>
        <w:t>edn</w:t>
      </w:r>
      <w:proofErr w:type="spellEnd"/>
      <w:r w:rsidRPr="00186578">
        <w:rPr>
          <w:rFonts w:ascii="Calibri" w:hAnsi="Calibri" w:cs="Calibri"/>
        </w:rPr>
        <w:t>. Chichester: John Wiley &amp; Sons.</w:t>
      </w:r>
    </w:p>
    <w:p w14:paraId="2B7822D5"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Higgins, R.C. (2018) </w:t>
      </w:r>
      <w:r w:rsidRPr="00186578">
        <w:rPr>
          <w:rFonts w:ascii="Calibri" w:hAnsi="Calibri" w:cs="Calibri"/>
          <w:i/>
          <w:iCs/>
        </w:rPr>
        <w:t>Analysis for Financial Management</w:t>
      </w:r>
      <w:r w:rsidRPr="00186578">
        <w:rPr>
          <w:rFonts w:ascii="Calibri" w:hAnsi="Calibri" w:cs="Calibri"/>
        </w:rPr>
        <w:t xml:space="preserve">. 12th </w:t>
      </w:r>
      <w:proofErr w:type="spellStart"/>
      <w:r w:rsidRPr="00186578">
        <w:rPr>
          <w:rFonts w:ascii="Calibri" w:hAnsi="Calibri" w:cs="Calibri"/>
        </w:rPr>
        <w:t>edn</w:t>
      </w:r>
      <w:proofErr w:type="spellEnd"/>
      <w:r w:rsidRPr="00186578">
        <w:rPr>
          <w:rFonts w:ascii="Calibri" w:hAnsi="Calibri" w:cs="Calibri"/>
        </w:rPr>
        <w:t>. New York: McGraw-Hill Education.</w:t>
      </w:r>
    </w:p>
    <w:p w14:paraId="3ADD0A63"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Jensen, M.C. (1986) ‘Agency costs of free cash flow, corporate finance, and takeovers’, </w:t>
      </w:r>
      <w:r w:rsidRPr="00186578">
        <w:rPr>
          <w:rFonts w:ascii="Calibri" w:hAnsi="Calibri" w:cs="Calibri"/>
          <w:i/>
          <w:iCs/>
        </w:rPr>
        <w:t>American Economic Review</w:t>
      </w:r>
      <w:r w:rsidRPr="00186578">
        <w:rPr>
          <w:rFonts w:ascii="Calibri" w:hAnsi="Calibri" w:cs="Calibri"/>
        </w:rPr>
        <w:t>, 76(2), pp. 323–329.</w:t>
      </w:r>
    </w:p>
    <w:p w14:paraId="4CE45CF8" w14:textId="77777777" w:rsidR="00186578" w:rsidRPr="00186578" w:rsidRDefault="00186578" w:rsidP="00B425C1">
      <w:pPr>
        <w:spacing w:line="360" w:lineRule="auto"/>
        <w:rPr>
          <w:rFonts w:ascii="Calibri" w:hAnsi="Calibri" w:cs="Calibri"/>
        </w:rPr>
      </w:pPr>
      <w:r w:rsidRPr="00186578">
        <w:rPr>
          <w:rFonts w:ascii="Calibri" w:hAnsi="Calibri" w:cs="Calibri"/>
        </w:rPr>
        <w:lastRenderedPageBreak/>
        <w:t xml:space="preserve">Johnson, G., Scholes, K. and Whittington, R. (2020) </w:t>
      </w:r>
      <w:r w:rsidRPr="00186578">
        <w:rPr>
          <w:rFonts w:ascii="Calibri" w:hAnsi="Calibri" w:cs="Calibri"/>
          <w:i/>
          <w:iCs/>
        </w:rPr>
        <w:t>Exploring Strategy</w:t>
      </w:r>
      <w:r w:rsidRPr="00186578">
        <w:rPr>
          <w:rFonts w:ascii="Calibri" w:hAnsi="Calibri" w:cs="Calibri"/>
        </w:rPr>
        <w:t xml:space="preserve">. 12th </w:t>
      </w:r>
      <w:proofErr w:type="spellStart"/>
      <w:r w:rsidRPr="00186578">
        <w:rPr>
          <w:rFonts w:ascii="Calibri" w:hAnsi="Calibri" w:cs="Calibri"/>
        </w:rPr>
        <w:t>edn</w:t>
      </w:r>
      <w:proofErr w:type="spellEnd"/>
      <w:r w:rsidRPr="00186578">
        <w:rPr>
          <w:rFonts w:ascii="Calibri" w:hAnsi="Calibri" w:cs="Calibri"/>
        </w:rPr>
        <w:t>. Harlow: Pearson Education.</w:t>
      </w:r>
    </w:p>
    <w:p w14:paraId="6FCF6A3C"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Kaplan, R.S. and Norton, D.P. (1996) </w:t>
      </w:r>
      <w:r w:rsidRPr="00186578">
        <w:rPr>
          <w:rFonts w:ascii="Calibri" w:hAnsi="Calibri" w:cs="Calibri"/>
          <w:i/>
          <w:iCs/>
        </w:rPr>
        <w:t>The Balanced Scorecard: Translating Strategy into Action</w:t>
      </w:r>
      <w:r w:rsidRPr="00186578">
        <w:rPr>
          <w:rFonts w:ascii="Calibri" w:hAnsi="Calibri" w:cs="Calibri"/>
        </w:rPr>
        <w:t>. Boston: Harvard Business School Press.</w:t>
      </w:r>
    </w:p>
    <w:p w14:paraId="032B7F54"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Koller, T., Goedhart, M. and Wessels, D. (2020) </w:t>
      </w:r>
      <w:r w:rsidRPr="00186578">
        <w:rPr>
          <w:rFonts w:ascii="Calibri" w:hAnsi="Calibri" w:cs="Calibri"/>
          <w:i/>
          <w:iCs/>
        </w:rPr>
        <w:t>Valuation: Measuring and Managing the Value of Companies</w:t>
      </w:r>
      <w:r w:rsidRPr="00186578">
        <w:rPr>
          <w:rFonts w:ascii="Calibri" w:hAnsi="Calibri" w:cs="Calibri"/>
        </w:rPr>
        <w:t xml:space="preserve">. 7th </w:t>
      </w:r>
      <w:proofErr w:type="spellStart"/>
      <w:r w:rsidRPr="00186578">
        <w:rPr>
          <w:rFonts w:ascii="Calibri" w:hAnsi="Calibri" w:cs="Calibri"/>
        </w:rPr>
        <w:t>edn</w:t>
      </w:r>
      <w:proofErr w:type="spellEnd"/>
      <w:r w:rsidRPr="00186578">
        <w:rPr>
          <w:rFonts w:ascii="Calibri" w:hAnsi="Calibri" w:cs="Calibri"/>
        </w:rPr>
        <w:t>. Hoboken: John Wiley &amp; Sons.</w:t>
      </w:r>
    </w:p>
    <w:p w14:paraId="36C072FD"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Kotler, P. and Keller, K.L. (2016) </w:t>
      </w:r>
      <w:r w:rsidRPr="00186578">
        <w:rPr>
          <w:rFonts w:ascii="Calibri" w:hAnsi="Calibri" w:cs="Calibri"/>
          <w:i/>
          <w:iCs/>
        </w:rPr>
        <w:t>Marketing Management</w:t>
      </w:r>
      <w:r w:rsidRPr="00186578">
        <w:rPr>
          <w:rFonts w:ascii="Calibri" w:hAnsi="Calibri" w:cs="Calibri"/>
        </w:rPr>
        <w:t xml:space="preserve">. 15th </w:t>
      </w:r>
      <w:proofErr w:type="spellStart"/>
      <w:r w:rsidRPr="00186578">
        <w:rPr>
          <w:rFonts w:ascii="Calibri" w:hAnsi="Calibri" w:cs="Calibri"/>
        </w:rPr>
        <w:t>edn</w:t>
      </w:r>
      <w:proofErr w:type="spellEnd"/>
      <w:r w:rsidRPr="00186578">
        <w:rPr>
          <w:rFonts w:ascii="Calibri" w:hAnsi="Calibri" w:cs="Calibri"/>
        </w:rPr>
        <w:t>. Harlow: Pearson Education.</w:t>
      </w:r>
    </w:p>
    <w:p w14:paraId="1008139B"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Lev, B. and Gu, F. (2016) </w:t>
      </w:r>
      <w:r w:rsidRPr="00186578">
        <w:rPr>
          <w:rFonts w:ascii="Calibri" w:hAnsi="Calibri" w:cs="Calibri"/>
          <w:i/>
          <w:iCs/>
        </w:rPr>
        <w:t>The End of Accounting and the Path Forward for Investors and Managers</w:t>
      </w:r>
      <w:r w:rsidRPr="00186578">
        <w:rPr>
          <w:rFonts w:ascii="Calibri" w:hAnsi="Calibri" w:cs="Calibri"/>
        </w:rPr>
        <w:t>. Hoboken: John Wiley &amp; Sons.</w:t>
      </w:r>
    </w:p>
    <w:p w14:paraId="20E4D490"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Lintner, J. (1956) ‘Distribution of incomes of corporations among dividends, retained earnings, and taxes’, </w:t>
      </w:r>
      <w:r w:rsidRPr="00186578">
        <w:rPr>
          <w:rFonts w:ascii="Calibri" w:hAnsi="Calibri" w:cs="Calibri"/>
          <w:i/>
          <w:iCs/>
        </w:rPr>
        <w:t>American Economic Review</w:t>
      </w:r>
      <w:r w:rsidRPr="00186578">
        <w:rPr>
          <w:rFonts w:ascii="Calibri" w:hAnsi="Calibri" w:cs="Calibri"/>
        </w:rPr>
        <w:t>, 46(2), pp. 97–113.</w:t>
      </w:r>
    </w:p>
    <w:p w14:paraId="05BB5515"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Lumby, S. and Jones, C. (2015) </w:t>
      </w:r>
      <w:r w:rsidRPr="00186578">
        <w:rPr>
          <w:rFonts w:ascii="Calibri" w:hAnsi="Calibri" w:cs="Calibri"/>
          <w:i/>
          <w:iCs/>
        </w:rPr>
        <w:t>Corporate Finance: Theory and Practice</w:t>
      </w:r>
      <w:r w:rsidRPr="00186578">
        <w:rPr>
          <w:rFonts w:ascii="Calibri" w:hAnsi="Calibri" w:cs="Calibri"/>
        </w:rPr>
        <w:t xml:space="preserve">. 9th </w:t>
      </w:r>
      <w:proofErr w:type="spellStart"/>
      <w:r w:rsidRPr="00186578">
        <w:rPr>
          <w:rFonts w:ascii="Calibri" w:hAnsi="Calibri" w:cs="Calibri"/>
        </w:rPr>
        <w:t>edn</w:t>
      </w:r>
      <w:proofErr w:type="spellEnd"/>
      <w:r w:rsidRPr="00186578">
        <w:rPr>
          <w:rFonts w:ascii="Calibri" w:hAnsi="Calibri" w:cs="Calibri"/>
        </w:rPr>
        <w:t>. Andover: Cengage Learning.</w:t>
      </w:r>
    </w:p>
    <w:p w14:paraId="7EBBC604"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Modigliani, F. and Miller, M.H. (1963) ‘Corporate income taxes and the cost of capital: A correction’, </w:t>
      </w:r>
      <w:r w:rsidRPr="00186578">
        <w:rPr>
          <w:rFonts w:ascii="Calibri" w:hAnsi="Calibri" w:cs="Calibri"/>
          <w:i/>
          <w:iCs/>
        </w:rPr>
        <w:t>American Economic Review</w:t>
      </w:r>
      <w:r w:rsidRPr="00186578">
        <w:rPr>
          <w:rFonts w:ascii="Calibri" w:hAnsi="Calibri" w:cs="Calibri"/>
        </w:rPr>
        <w:t>, 53(3), pp. 433–443.</w:t>
      </w:r>
    </w:p>
    <w:p w14:paraId="04A87AEC"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Myers, S.C. (2001) ‘Capital structure’, </w:t>
      </w:r>
      <w:r w:rsidRPr="00186578">
        <w:rPr>
          <w:rFonts w:ascii="Calibri" w:hAnsi="Calibri" w:cs="Calibri"/>
          <w:i/>
          <w:iCs/>
        </w:rPr>
        <w:t>Journal of Economic Perspectives</w:t>
      </w:r>
      <w:r w:rsidRPr="00186578">
        <w:rPr>
          <w:rFonts w:ascii="Calibri" w:hAnsi="Calibri" w:cs="Calibri"/>
        </w:rPr>
        <w:t>, 15(2), pp. 81–102.</w:t>
      </w:r>
    </w:p>
    <w:p w14:paraId="4E805FC3"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Palepu, K.G., Healy, P.M. and Peek, E. (2020) </w:t>
      </w:r>
      <w:r w:rsidRPr="00186578">
        <w:rPr>
          <w:rFonts w:ascii="Calibri" w:hAnsi="Calibri" w:cs="Calibri"/>
          <w:i/>
          <w:iCs/>
        </w:rPr>
        <w:t>Business Analysis and Valuation: Using Financial Statements</w:t>
      </w:r>
      <w:r w:rsidRPr="00186578">
        <w:rPr>
          <w:rFonts w:ascii="Calibri" w:hAnsi="Calibri" w:cs="Calibri"/>
        </w:rPr>
        <w:t xml:space="preserve">. 5th </w:t>
      </w:r>
      <w:proofErr w:type="spellStart"/>
      <w:r w:rsidRPr="00186578">
        <w:rPr>
          <w:rFonts w:ascii="Calibri" w:hAnsi="Calibri" w:cs="Calibri"/>
        </w:rPr>
        <w:t>edn</w:t>
      </w:r>
      <w:proofErr w:type="spellEnd"/>
      <w:r w:rsidRPr="00186578">
        <w:rPr>
          <w:rFonts w:ascii="Calibri" w:hAnsi="Calibri" w:cs="Calibri"/>
        </w:rPr>
        <w:t>. Andover: Cengage Learning.</w:t>
      </w:r>
    </w:p>
    <w:p w14:paraId="2DE6A63D"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Penman, S.H. (2013) </w:t>
      </w:r>
      <w:r w:rsidRPr="00186578">
        <w:rPr>
          <w:rFonts w:ascii="Calibri" w:hAnsi="Calibri" w:cs="Calibri"/>
          <w:i/>
          <w:iCs/>
        </w:rPr>
        <w:t>Financial Statement Analysis and Security Valuation</w:t>
      </w:r>
      <w:r w:rsidRPr="00186578">
        <w:rPr>
          <w:rFonts w:ascii="Calibri" w:hAnsi="Calibri" w:cs="Calibri"/>
        </w:rPr>
        <w:t xml:space="preserve">. 5th </w:t>
      </w:r>
      <w:proofErr w:type="spellStart"/>
      <w:r w:rsidRPr="00186578">
        <w:rPr>
          <w:rFonts w:ascii="Calibri" w:hAnsi="Calibri" w:cs="Calibri"/>
        </w:rPr>
        <w:t>edn</w:t>
      </w:r>
      <w:proofErr w:type="spellEnd"/>
      <w:r w:rsidRPr="00186578">
        <w:rPr>
          <w:rFonts w:ascii="Calibri" w:hAnsi="Calibri" w:cs="Calibri"/>
        </w:rPr>
        <w:t>. New York: McGraw-Hill Education.</w:t>
      </w:r>
    </w:p>
    <w:p w14:paraId="0484494E"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Petty, J.W., Titman, S., Keown, A.J., Martin, J.D. and Burrow, M. (2015) </w:t>
      </w:r>
      <w:r w:rsidRPr="00186578">
        <w:rPr>
          <w:rFonts w:ascii="Calibri" w:hAnsi="Calibri" w:cs="Calibri"/>
          <w:i/>
          <w:iCs/>
        </w:rPr>
        <w:t>Financial Management: Principles and Applications</w:t>
      </w:r>
      <w:r w:rsidRPr="00186578">
        <w:rPr>
          <w:rFonts w:ascii="Calibri" w:hAnsi="Calibri" w:cs="Calibri"/>
        </w:rPr>
        <w:t xml:space="preserve">. 13th </w:t>
      </w:r>
      <w:proofErr w:type="spellStart"/>
      <w:r w:rsidRPr="00186578">
        <w:rPr>
          <w:rFonts w:ascii="Calibri" w:hAnsi="Calibri" w:cs="Calibri"/>
        </w:rPr>
        <w:t>edn</w:t>
      </w:r>
      <w:proofErr w:type="spellEnd"/>
      <w:r w:rsidRPr="00186578">
        <w:rPr>
          <w:rFonts w:ascii="Calibri" w:hAnsi="Calibri" w:cs="Calibri"/>
        </w:rPr>
        <w:t>. Harlow: Pearson Education.</w:t>
      </w:r>
    </w:p>
    <w:p w14:paraId="61FCF253"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Pike, R. and Neale, B. (2016) </w:t>
      </w:r>
      <w:r w:rsidRPr="00186578">
        <w:rPr>
          <w:rFonts w:ascii="Calibri" w:hAnsi="Calibri" w:cs="Calibri"/>
          <w:i/>
          <w:iCs/>
        </w:rPr>
        <w:t>Corporate Finance and Investment</w:t>
      </w:r>
      <w:r w:rsidRPr="00186578">
        <w:rPr>
          <w:rFonts w:ascii="Calibri" w:hAnsi="Calibri" w:cs="Calibri"/>
        </w:rPr>
        <w:t xml:space="preserve">. 7th </w:t>
      </w:r>
      <w:proofErr w:type="spellStart"/>
      <w:r w:rsidRPr="00186578">
        <w:rPr>
          <w:rFonts w:ascii="Calibri" w:hAnsi="Calibri" w:cs="Calibri"/>
        </w:rPr>
        <w:t>edn</w:t>
      </w:r>
      <w:proofErr w:type="spellEnd"/>
      <w:r w:rsidRPr="00186578">
        <w:rPr>
          <w:rFonts w:ascii="Calibri" w:hAnsi="Calibri" w:cs="Calibri"/>
        </w:rPr>
        <w:t>. Harlow: Pearson Education.</w:t>
      </w:r>
    </w:p>
    <w:p w14:paraId="3FE954CF"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Porter, M.E. (1985) </w:t>
      </w:r>
      <w:r w:rsidRPr="00186578">
        <w:rPr>
          <w:rFonts w:ascii="Calibri" w:hAnsi="Calibri" w:cs="Calibri"/>
          <w:i/>
          <w:iCs/>
        </w:rPr>
        <w:t>Competitive Advantage: Creating and Sustaining Superior Performance</w:t>
      </w:r>
      <w:r w:rsidRPr="00186578">
        <w:rPr>
          <w:rFonts w:ascii="Calibri" w:hAnsi="Calibri" w:cs="Calibri"/>
        </w:rPr>
        <w:t>. New York: Free Press.</w:t>
      </w:r>
    </w:p>
    <w:p w14:paraId="7567704C" w14:textId="77777777" w:rsidR="00186578" w:rsidRPr="00186578" w:rsidRDefault="00186578" w:rsidP="00B425C1">
      <w:pPr>
        <w:spacing w:line="360" w:lineRule="auto"/>
        <w:rPr>
          <w:rFonts w:ascii="Calibri" w:hAnsi="Calibri" w:cs="Calibri"/>
        </w:rPr>
      </w:pPr>
      <w:r w:rsidRPr="00186578">
        <w:rPr>
          <w:rFonts w:ascii="Calibri" w:hAnsi="Calibri" w:cs="Calibri"/>
        </w:rPr>
        <w:lastRenderedPageBreak/>
        <w:t xml:space="preserve">Porter, M.E. (2008) ‘The five competitive forces that shape strategy’, </w:t>
      </w:r>
      <w:r w:rsidRPr="00186578">
        <w:rPr>
          <w:rFonts w:ascii="Calibri" w:hAnsi="Calibri" w:cs="Calibri"/>
          <w:i/>
          <w:iCs/>
        </w:rPr>
        <w:t>Harvard Business Review</w:t>
      </w:r>
      <w:r w:rsidRPr="00186578">
        <w:rPr>
          <w:rFonts w:ascii="Calibri" w:hAnsi="Calibri" w:cs="Calibri"/>
        </w:rPr>
        <w:t>, 86(1), pp. 78–93.</w:t>
      </w:r>
    </w:p>
    <w:p w14:paraId="1C4C116B"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Ross, S.A., Westerfield, R.W. and Jordan, B.D. (2022) </w:t>
      </w:r>
      <w:r w:rsidRPr="00186578">
        <w:rPr>
          <w:rFonts w:ascii="Calibri" w:hAnsi="Calibri" w:cs="Calibri"/>
          <w:i/>
          <w:iCs/>
        </w:rPr>
        <w:t>Fundamentals of Corporate Finance</w:t>
      </w:r>
      <w:r w:rsidRPr="00186578">
        <w:rPr>
          <w:rFonts w:ascii="Calibri" w:hAnsi="Calibri" w:cs="Calibri"/>
        </w:rPr>
        <w:t xml:space="preserve">. 13th </w:t>
      </w:r>
      <w:proofErr w:type="spellStart"/>
      <w:r w:rsidRPr="00186578">
        <w:rPr>
          <w:rFonts w:ascii="Calibri" w:hAnsi="Calibri" w:cs="Calibri"/>
        </w:rPr>
        <w:t>edn</w:t>
      </w:r>
      <w:proofErr w:type="spellEnd"/>
      <w:r w:rsidRPr="00186578">
        <w:rPr>
          <w:rFonts w:ascii="Calibri" w:hAnsi="Calibri" w:cs="Calibri"/>
        </w:rPr>
        <w:t>. New York: McGraw-Hill Education.</w:t>
      </w:r>
    </w:p>
    <w:p w14:paraId="2D44E873"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Shleifer, A. and </w:t>
      </w:r>
      <w:proofErr w:type="spellStart"/>
      <w:r w:rsidRPr="00186578">
        <w:rPr>
          <w:rFonts w:ascii="Calibri" w:hAnsi="Calibri" w:cs="Calibri"/>
        </w:rPr>
        <w:t>Vishny</w:t>
      </w:r>
      <w:proofErr w:type="spellEnd"/>
      <w:r w:rsidRPr="00186578">
        <w:rPr>
          <w:rFonts w:ascii="Calibri" w:hAnsi="Calibri" w:cs="Calibri"/>
        </w:rPr>
        <w:t xml:space="preserve">, R.W. (1997) ‘A survey of corporate governance’, </w:t>
      </w:r>
      <w:r w:rsidRPr="00186578">
        <w:rPr>
          <w:rFonts w:ascii="Calibri" w:hAnsi="Calibri" w:cs="Calibri"/>
          <w:i/>
          <w:iCs/>
        </w:rPr>
        <w:t>Journal of Finance</w:t>
      </w:r>
      <w:r w:rsidRPr="00186578">
        <w:rPr>
          <w:rFonts w:ascii="Calibri" w:hAnsi="Calibri" w:cs="Calibri"/>
        </w:rPr>
        <w:t>, 52(2), pp. 737–783.</w:t>
      </w:r>
    </w:p>
    <w:p w14:paraId="47964E8E"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Titman, S. and Wessels, R. (1988) ‘The determinants of capital structure choice’, </w:t>
      </w:r>
      <w:r w:rsidRPr="00186578">
        <w:rPr>
          <w:rFonts w:ascii="Calibri" w:hAnsi="Calibri" w:cs="Calibri"/>
          <w:i/>
          <w:iCs/>
        </w:rPr>
        <w:t>Journal of Finance</w:t>
      </w:r>
      <w:r w:rsidRPr="00186578">
        <w:rPr>
          <w:rFonts w:ascii="Calibri" w:hAnsi="Calibri" w:cs="Calibri"/>
        </w:rPr>
        <w:t>, 43(1), pp. 1–19.</w:t>
      </w:r>
    </w:p>
    <w:p w14:paraId="6C508210" w14:textId="77777777" w:rsidR="00186578" w:rsidRPr="00186578" w:rsidRDefault="00186578" w:rsidP="00B425C1">
      <w:pPr>
        <w:spacing w:line="360" w:lineRule="auto"/>
        <w:rPr>
          <w:rFonts w:ascii="Calibri" w:hAnsi="Calibri" w:cs="Calibri"/>
        </w:rPr>
      </w:pPr>
      <w:r w:rsidRPr="00186578">
        <w:rPr>
          <w:rFonts w:ascii="Calibri" w:hAnsi="Calibri" w:cs="Calibri"/>
        </w:rPr>
        <w:t xml:space="preserve">Wild, J.J., Subramanyam, K.R. and Halsey, R.F. (2019) </w:t>
      </w:r>
      <w:r w:rsidRPr="00186578">
        <w:rPr>
          <w:rFonts w:ascii="Calibri" w:hAnsi="Calibri" w:cs="Calibri"/>
          <w:i/>
          <w:iCs/>
        </w:rPr>
        <w:t>Financial Statement Analysis</w:t>
      </w:r>
      <w:r w:rsidRPr="00186578">
        <w:rPr>
          <w:rFonts w:ascii="Calibri" w:hAnsi="Calibri" w:cs="Calibri"/>
        </w:rPr>
        <w:t xml:space="preserve">. 12th </w:t>
      </w:r>
      <w:proofErr w:type="spellStart"/>
      <w:r w:rsidRPr="00186578">
        <w:rPr>
          <w:rFonts w:ascii="Calibri" w:hAnsi="Calibri" w:cs="Calibri"/>
        </w:rPr>
        <w:t>edn</w:t>
      </w:r>
      <w:proofErr w:type="spellEnd"/>
      <w:r w:rsidRPr="00186578">
        <w:rPr>
          <w:rFonts w:ascii="Calibri" w:hAnsi="Calibri" w:cs="Calibri"/>
        </w:rPr>
        <w:t>. New York: McGraw-Hill Education.</w:t>
      </w:r>
    </w:p>
    <w:p w14:paraId="2161AF99" w14:textId="74913A51" w:rsidR="00CF5C90" w:rsidRPr="00B425C1" w:rsidRDefault="00186578" w:rsidP="00B425C1">
      <w:pPr>
        <w:spacing w:line="360" w:lineRule="auto"/>
        <w:rPr>
          <w:rFonts w:ascii="Calibri" w:hAnsi="Calibri" w:cs="Calibri"/>
        </w:rPr>
      </w:pPr>
      <w:r w:rsidRPr="00B425C1">
        <w:rPr>
          <w:rFonts w:ascii="Calibri" w:hAnsi="Calibri" w:cs="Calibri"/>
        </w:rPr>
        <w:t xml:space="preserve"> </w:t>
      </w:r>
    </w:p>
    <w:p w14:paraId="10C376ED" w14:textId="77777777" w:rsidR="00CF5C90" w:rsidRPr="00B425C1" w:rsidRDefault="00CF5C90" w:rsidP="00B425C1">
      <w:pPr>
        <w:spacing w:line="360" w:lineRule="auto"/>
        <w:rPr>
          <w:rFonts w:ascii="Calibri" w:hAnsi="Calibri" w:cs="Calibri"/>
        </w:rPr>
      </w:pPr>
    </w:p>
    <w:p w14:paraId="3EDA2C78" w14:textId="77777777" w:rsidR="00CF5C90" w:rsidRPr="00B425C1" w:rsidRDefault="00CF5C90" w:rsidP="00B425C1">
      <w:pPr>
        <w:spacing w:line="360" w:lineRule="auto"/>
        <w:rPr>
          <w:rFonts w:ascii="Calibri" w:hAnsi="Calibri" w:cs="Calibri"/>
        </w:rPr>
      </w:pPr>
    </w:p>
    <w:p w14:paraId="241FDBC2" w14:textId="77777777" w:rsidR="0081226E" w:rsidRPr="00B425C1" w:rsidRDefault="0081226E" w:rsidP="00B425C1">
      <w:pPr>
        <w:spacing w:line="360" w:lineRule="auto"/>
        <w:rPr>
          <w:rFonts w:ascii="Calibri" w:hAnsi="Calibri" w:cs="Calibri"/>
        </w:rPr>
      </w:pPr>
    </w:p>
    <w:sectPr w:rsidR="0081226E" w:rsidRPr="00B42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C669C"/>
    <w:multiLevelType w:val="multilevel"/>
    <w:tmpl w:val="6CC2B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824FFB"/>
    <w:multiLevelType w:val="multilevel"/>
    <w:tmpl w:val="2AD0D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076085"/>
    <w:multiLevelType w:val="multilevel"/>
    <w:tmpl w:val="0CA6B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2648E2"/>
    <w:multiLevelType w:val="multilevel"/>
    <w:tmpl w:val="A5948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0D2729"/>
    <w:multiLevelType w:val="multilevel"/>
    <w:tmpl w:val="0AFCD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5C56AC"/>
    <w:multiLevelType w:val="multilevel"/>
    <w:tmpl w:val="96B2B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9242FD"/>
    <w:multiLevelType w:val="multilevel"/>
    <w:tmpl w:val="3AA40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98278A"/>
    <w:multiLevelType w:val="multilevel"/>
    <w:tmpl w:val="49B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AE51C2"/>
    <w:multiLevelType w:val="multilevel"/>
    <w:tmpl w:val="8F982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525211"/>
    <w:multiLevelType w:val="multilevel"/>
    <w:tmpl w:val="54E8D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3576236">
    <w:abstractNumId w:val="0"/>
  </w:num>
  <w:num w:numId="2" w16cid:durableId="908462853">
    <w:abstractNumId w:val="1"/>
  </w:num>
  <w:num w:numId="3" w16cid:durableId="1483690223">
    <w:abstractNumId w:val="9"/>
  </w:num>
  <w:num w:numId="4" w16cid:durableId="818690805">
    <w:abstractNumId w:val="8"/>
  </w:num>
  <w:num w:numId="5" w16cid:durableId="1406025365">
    <w:abstractNumId w:val="2"/>
  </w:num>
  <w:num w:numId="6" w16cid:durableId="185217513">
    <w:abstractNumId w:val="5"/>
  </w:num>
  <w:num w:numId="7" w16cid:durableId="1064714365">
    <w:abstractNumId w:val="6"/>
  </w:num>
  <w:num w:numId="8" w16cid:durableId="1069425680">
    <w:abstractNumId w:val="4"/>
  </w:num>
  <w:num w:numId="9" w16cid:durableId="1741555719">
    <w:abstractNumId w:val="7"/>
  </w:num>
  <w:num w:numId="10" w16cid:durableId="7627961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533"/>
    <w:rsid w:val="000D423D"/>
    <w:rsid w:val="00143D11"/>
    <w:rsid w:val="0017071F"/>
    <w:rsid w:val="00186578"/>
    <w:rsid w:val="001A378C"/>
    <w:rsid w:val="003644C8"/>
    <w:rsid w:val="00400D9A"/>
    <w:rsid w:val="004C3B90"/>
    <w:rsid w:val="00513D97"/>
    <w:rsid w:val="00805F1C"/>
    <w:rsid w:val="0081226E"/>
    <w:rsid w:val="00812533"/>
    <w:rsid w:val="008563D6"/>
    <w:rsid w:val="009A3E40"/>
    <w:rsid w:val="00B425C1"/>
    <w:rsid w:val="00BD0682"/>
    <w:rsid w:val="00BD49BB"/>
    <w:rsid w:val="00C645C8"/>
    <w:rsid w:val="00C80896"/>
    <w:rsid w:val="00CF5C90"/>
    <w:rsid w:val="00E319CD"/>
    <w:rsid w:val="00E83624"/>
    <w:rsid w:val="00F17E90"/>
    <w:rsid w:val="00F65098"/>
    <w:rsid w:val="00F86718"/>
    <w:rsid w:val="00F95E3C"/>
    <w:rsid w:val="00FB06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60ACA"/>
  <w15:chartTrackingRefBased/>
  <w15:docId w15:val="{FFFEFA50-75FE-485B-BA19-9171584D4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533"/>
  </w:style>
  <w:style w:type="paragraph" w:styleId="Heading1">
    <w:name w:val="heading 1"/>
    <w:basedOn w:val="Normal"/>
    <w:next w:val="Normal"/>
    <w:link w:val="Heading1Char"/>
    <w:uiPriority w:val="9"/>
    <w:qFormat/>
    <w:rsid w:val="008125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25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25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25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25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25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5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5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5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5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25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25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25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25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25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25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25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2533"/>
    <w:rPr>
      <w:rFonts w:eastAsiaTheme="majorEastAsia" w:cstheme="majorBidi"/>
      <w:color w:val="272727" w:themeColor="text1" w:themeTint="D8"/>
    </w:rPr>
  </w:style>
  <w:style w:type="paragraph" w:styleId="Title">
    <w:name w:val="Title"/>
    <w:basedOn w:val="Normal"/>
    <w:next w:val="Normal"/>
    <w:link w:val="TitleChar"/>
    <w:uiPriority w:val="10"/>
    <w:qFormat/>
    <w:rsid w:val="008125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5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25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5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2533"/>
    <w:pPr>
      <w:spacing w:before="160"/>
      <w:jc w:val="center"/>
    </w:pPr>
    <w:rPr>
      <w:i/>
      <w:iCs/>
      <w:color w:val="404040" w:themeColor="text1" w:themeTint="BF"/>
    </w:rPr>
  </w:style>
  <w:style w:type="character" w:customStyle="1" w:styleId="QuoteChar">
    <w:name w:val="Quote Char"/>
    <w:basedOn w:val="DefaultParagraphFont"/>
    <w:link w:val="Quote"/>
    <w:uiPriority w:val="29"/>
    <w:rsid w:val="00812533"/>
    <w:rPr>
      <w:i/>
      <w:iCs/>
      <w:color w:val="404040" w:themeColor="text1" w:themeTint="BF"/>
    </w:rPr>
  </w:style>
  <w:style w:type="paragraph" w:styleId="ListParagraph">
    <w:name w:val="List Paragraph"/>
    <w:basedOn w:val="Normal"/>
    <w:uiPriority w:val="34"/>
    <w:qFormat/>
    <w:rsid w:val="00812533"/>
    <w:pPr>
      <w:ind w:left="720"/>
      <w:contextualSpacing/>
    </w:pPr>
  </w:style>
  <w:style w:type="character" w:styleId="IntenseEmphasis">
    <w:name w:val="Intense Emphasis"/>
    <w:basedOn w:val="DefaultParagraphFont"/>
    <w:uiPriority w:val="21"/>
    <w:qFormat/>
    <w:rsid w:val="00812533"/>
    <w:rPr>
      <w:i/>
      <w:iCs/>
      <w:color w:val="0F4761" w:themeColor="accent1" w:themeShade="BF"/>
    </w:rPr>
  </w:style>
  <w:style w:type="paragraph" w:styleId="IntenseQuote">
    <w:name w:val="Intense Quote"/>
    <w:basedOn w:val="Normal"/>
    <w:next w:val="Normal"/>
    <w:link w:val="IntenseQuoteChar"/>
    <w:uiPriority w:val="30"/>
    <w:qFormat/>
    <w:rsid w:val="008125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2533"/>
    <w:rPr>
      <w:i/>
      <w:iCs/>
      <w:color w:val="0F4761" w:themeColor="accent1" w:themeShade="BF"/>
    </w:rPr>
  </w:style>
  <w:style w:type="character" w:styleId="IntenseReference">
    <w:name w:val="Intense Reference"/>
    <w:basedOn w:val="DefaultParagraphFont"/>
    <w:uiPriority w:val="32"/>
    <w:qFormat/>
    <w:rsid w:val="00812533"/>
    <w:rPr>
      <w:b/>
      <w:bCs/>
      <w:smallCaps/>
      <w:color w:val="0F4761" w:themeColor="accent1" w:themeShade="BF"/>
      <w:spacing w:val="5"/>
    </w:rPr>
  </w:style>
  <w:style w:type="table" w:styleId="TableGrid">
    <w:name w:val="Table Grid"/>
    <w:basedOn w:val="TableNormal"/>
    <w:uiPriority w:val="39"/>
    <w:rsid w:val="00FB0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5C9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TotalTime>
  <Pages>26</Pages>
  <Words>6253</Words>
  <Characters>35645</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Bhumika Thoriya</dc:creator>
  <cp:keywords/>
  <dc:description/>
  <cp:lastModifiedBy>Bhumika Thoriya</cp:lastModifiedBy>
  <cp:revision>19</cp:revision>
  <dcterms:created xsi:type="dcterms:W3CDTF">2026-01-12T20:55:00Z</dcterms:created>
  <dcterms:modified xsi:type="dcterms:W3CDTF">2026-01-12T22:52:00Z</dcterms:modified>
</cp:coreProperties>
</file>