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F013B24" w:rsidP="0A3DC8CE" w:rsidRDefault="4F013B24" w14:paraId="257D0E94" w14:textId="17F0BCD1">
      <w:pPr>
        <w:jc w:val="right"/>
        <w:rPr>
          <w:rFonts w:ascii="Arial" w:hAnsi="Arial" w:eastAsia="Arial" w:cs="Arial"/>
          <w:b w:val="0"/>
          <w:bCs w:val="0"/>
          <w:i w:val="0"/>
          <w:iCs w:val="0"/>
          <w:caps w:val="0"/>
          <w:smallCaps w:val="0"/>
          <w:noProof w:val="0"/>
          <w:color w:val="000000" w:themeColor="text1" w:themeTint="FF" w:themeShade="FF"/>
          <w:sz w:val="52"/>
          <w:szCs w:val="52"/>
          <w:lang w:val="en-US"/>
        </w:rPr>
      </w:pPr>
      <w:r w:rsidRPr="0A3DC8CE" w:rsidR="4F013B24">
        <w:rPr>
          <w:rFonts w:ascii="Arial" w:hAnsi="Arial" w:eastAsia="Arial" w:cs="Arial"/>
          <w:b w:val="1"/>
          <w:bCs w:val="1"/>
          <w:i w:val="0"/>
          <w:iCs w:val="0"/>
          <w:caps w:val="0"/>
          <w:smallCaps w:val="0"/>
          <w:noProof w:val="0"/>
          <w:color w:val="000000" w:themeColor="text1" w:themeTint="FF" w:themeShade="FF"/>
          <w:sz w:val="52"/>
          <w:szCs w:val="52"/>
          <w:lang w:val="en-US"/>
        </w:rPr>
        <w:t>Report Case Study: The City Hotel</w:t>
      </w:r>
    </w:p>
    <w:p w:rsidR="0A3DC8CE" w:rsidP="0A3DC8CE" w:rsidRDefault="0A3DC8CE" w14:paraId="3C5E9E58" w14:textId="7001D698">
      <w:pPr>
        <w:jc w:val="right"/>
        <w:rPr>
          <w:rFonts w:ascii="Arial" w:hAnsi="Arial" w:eastAsia="Arial" w:cs="Arial"/>
          <w:b w:val="0"/>
          <w:bCs w:val="0"/>
          <w:i w:val="0"/>
          <w:iCs w:val="0"/>
          <w:caps w:val="0"/>
          <w:smallCaps w:val="0"/>
          <w:noProof w:val="0"/>
          <w:color w:val="000000" w:themeColor="text1" w:themeTint="FF" w:themeShade="FF"/>
          <w:sz w:val="32"/>
          <w:szCs w:val="32"/>
          <w:lang w:val="en-US"/>
        </w:rPr>
      </w:pPr>
    </w:p>
    <w:p w:rsidR="4F013B24" w:rsidP="0A3DC8CE" w:rsidRDefault="4F013B24" w14:paraId="7E43F2CD" w14:textId="462C58C5">
      <w:pPr>
        <w:jc w:val="right"/>
        <w:rPr>
          <w:rFonts w:ascii="Arial" w:hAnsi="Arial" w:eastAsia="Arial" w:cs="Arial"/>
          <w:b w:val="0"/>
          <w:bCs w:val="0"/>
          <w:i w:val="0"/>
          <w:iCs w:val="0"/>
          <w:caps w:val="0"/>
          <w:smallCaps w:val="0"/>
          <w:noProof w:val="0"/>
          <w:color w:val="000000" w:themeColor="text1" w:themeTint="FF" w:themeShade="FF"/>
          <w:sz w:val="32"/>
          <w:szCs w:val="32"/>
          <w:lang w:val="en-US"/>
        </w:rPr>
      </w:pPr>
      <w:r w:rsidRPr="0A3DC8CE" w:rsidR="4F013B24">
        <w:rPr>
          <w:rFonts w:ascii="Arial" w:hAnsi="Arial" w:eastAsia="Arial" w:cs="Arial"/>
          <w:b w:val="1"/>
          <w:bCs w:val="1"/>
          <w:i w:val="0"/>
          <w:iCs w:val="0"/>
          <w:caps w:val="0"/>
          <w:smallCaps w:val="0"/>
          <w:noProof w:val="0"/>
          <w:color w:val="000000" w:themeColor="text1" w:themeTint="FF" w:themeShade="FF"/>
          <w:sz w:val="32"/>
          <w:szCs w:val="32"/>
          <w:lang w:val="en-US"/>
        </w:rPr>
        <w:t>BA International Hotel Management</w:t>
      </w:r>
    </w:p>
    <w:p w:rsidR="4F013B24" w:rsidP="0A3DC8CE" w:rsidRDefault="4F013B24" w14:paraId="29ACA082" w14:textId="7A411082">
      <w:pPr>
        <w:spacing w:line="360" w:lineRule="auto"/>
        <w:jc w:val="right"/>
        <w:rPr>
          <w:rFonts w:ascii="Arial" w:hAnsi="Arial" w:eastAsia="Arial" w:cs="Arial"/>
          <w:b w:val="0"/>
          <w:bCs w:val="0"/>
          <w:i w:val="0"/>
          <w:iCs w:val="0"/>
          <w:caps w:val="0"/>
          <w:smallCaps w:val="0"/>
          <w:noProof w:val="0"/>
          <w:color w:val="000000" w:themeColor="text1" w:themeTint="FF" w:themeShade="FF"/>
          <w:sz w:val="32"/>
          <w:szCs w:val="32"/>
          <w:lang w:val="en-US"/>
        </w:rPr>
      </w:pPr>
      <w:r w:rsidRPr="0A3DC8CE" w:rsidR="4F013B24">
        <w:rPr>
          <w:rFonts w:ascii="Arial" w:hAnsi="Arial" w:eastAsia="Arial" w:cs="Arial"/>
          <w:b w:val="1"/>
          <w:bCs w:val="1"/>
          <w:i w:val="0"/>
          <w:iCs w:val="0"/>
          <w:caps w:val="0"/>
          <w:smallCaps w:val="0"/>
          <w:noProof w:val="0"/>
          <w:color w:val="000000" w:themeColor="text1" w:themeTint="FF" w:themeShade="FF"/>
          <w:sz w:val="32"/>
          <w:szCs w:val="32"/>
          <w:lang w:val="en-US"/>
        </w:rPr>
        <w:t>Module: Financial Management for the Hotel Industry</w:t>
      </w:r>
    </w:p>
    <w:p w:rsidR="4F013B24" w:rsidP="0A3DC8CE" w:rsidRDefault="4F013B24" w14:paraId="71E51F7E" w14:textId="1646EAA0">
      <w:pPr>
        <w:spacing w:line="360" w:lineRule="auto"/>
        <w:jc w:val="right"/>
        <w:rPr>
          <w:rFonts w:ascii="Arial" w:hAnsi="Arial" w:eastAsia="Arial" w:cs="Arial"/>
          <w:b w:val="0"/>
          <w:bCs w:val="0"/>
          <w:i w:val="0"/>
          <w:iCs w:val="0"/>
          <w:caps w:val="0"/>
          <w:smallCaps w:val="0"/>
          <w:noProof w:val="0"/>
          <w:color w:val="000000" w:themeColor="text1" w:themeTint="FF" w:themeShade="FF"/>
          <w:sz w:val="32"/>
          <w:szCs w:val="32"/>
          <w:lang w:val="en-US"/>
        </w:rPr>
      </w:pPr>
      <w:r w:rsidRPr="0A3DC8CE" w:rsidR="4F013B24">
        <w:rPr>
          <w:rFonts w:ascii="Arial" w:hAnsi="Arial" w:eastAsia="Arial" w:cs="Arial"/>
          <w:b w:val="1"/>
          <w:bCs w:val="1"/>
          <w:i w:val="0"/>
          <w:iCs w:val="0"/>
          <w:caps w:val="0"/>
          <w:smallCaps w:val="0"/>
          <w:noProof w:val="0"/>
          <w:color w:val="000000" w:themeColor="text1" w:themeTint="FF" w:themeShade="FF"/>
          <w:sz w:val="32"/>
          <w:szCs w:val="32"/>
          <w:lang w:val="en-US"/>
        </w:rPr>
        <w:t>Module code: BMIH5007</w:t>
      </w:r>
    </w:p>
    <w:p w:rsidR="4F013B24" w:rsidP="0A3DC8CE" w:rsidRDefault="4F013B24" w14:paraId="64F9259D" w14:textId="18252D9F">
      <w:pPr>
        <w:spacing w:line="360" w:lineRule="auto"/>
        <w:jc w:val="right"/>
        <w:rPr>
          <w:rFonts w:ascii="Arial" w:hAnsi="Arial" w:eastAsia="Arial" w:cs="Arial"/>
          <w:b w:val="0"/>
          <w:bCs w:val="0"/>
          <w:i w:val="0"/>
          <w:iCs w:val="0"/>
          <w:caps w:val="0"/>
          <w:smallCaps w:val="0"/>
          <w:noProof w:val="0"/>
          <w:color w:val="000000" w:themeColor="text1" w:themeTint="FF" w:themeShade="FF"/>
          <w:sz w:val="32"/>
          <w:szCs w:val="32"/>
          <w:lang w:val="en-US"/>
        </w:rPr>
      </w:pPr>
      <w:r w:rsidRPr="0A3DC8CE" w:rsidR="4F013B24">
        <w:rPr>
          <w:rFonts w:ascii="Arial" w:hAnsi="Arial" w:eastAsia="Arial" w:cs="Arial"/>
          <w:b w:val="1"/>
          <w:bCs w:val="1"/>
          <w:i w:val="0"/>
          <w:iCs w:val="0"/>
          <w:caps w:val="0"/>
          <w:smallCaps w:val="0"/>
          <w:noProof w:val="0"/>
          <w:color w:val="000000" w:themeColor="text1" w:themeTint="FF" w:themeShade="FF"/>
          <w:sz w:val="32"/>
          <w:szCs w:val="32"/>
          <w:lang w:val="en-US"/>
        </w:rPr>
        <w:t>Student Name: Ariana-Isabela Trefas</w:t>
      </w:r>
    </w:p>
    <w:p w:rsidR="4F013B24" w:rsidP="0A3DC8CE" w:rsidRDefault="4F013B24" w14:paraId="152F9A6A" w14:textId="50C651B5">
      <w:pPr>
        <w:spacing w:line="360" w:lineRule="auto"/>
        <w:jc w:val="right"/>
        <w:rPr>
          <w:rFonts w:ascii="Arial" w:hAnsi="Arial" w:eastAsia="Arial" w:cs="Arial"/>
          <w:b w:val="0"/>
          <w:bCs w:val="0"/>
          <w:i w:val="0"/>
          <w:iCs w:val="0"/>
          <w:caps w:val="0"/>
          <w:smallCaps w:val="0"/>
          <w:noProof w:val="0"/>
          <w:color w:val="000000" w:themeColor="text1" w:themeTint="FF" w:themeShade="FF"/>
          <w:sz w:val="32"/>
          <w:szCs w:val="32"/>
          <w:lang w:val="en-US"/>
        </w:rPr>
      </w:pPr>
      <w:r w:rsidRPr="0A3DC8CE" w:rsidR="4F013B24">
        <w:rPr>
          <w:rFonts w:ascii="Arial" w:hAnsi="Arial" w:eastAsia="Arial" w:cs="Arial"/>
          <w:b w:val="1"/>
          <w:bCs w:val="1"/>
          <w:i w:val="0"/>
          <w:iCs w:val="0"/>
          <w:caps w:val="0"/>
          <w:smallCaps w:val="0"/>
          <w:noProof w:val="0"/>
          <w:color w:val="000000" w:themeColor="text1" w:themeTint="FF" w:themeShade="FF"/>
          <w:sz w:val="32"/>
          <w:szCs w:val="32"/>
          <w:lang w:val="en-US"/>
        </w:rPr>
        <w:t>Student ID: 2242075</w:t>
      </w:r>
    </w:p>
    <w:p w:rsidR="4F013B24" w:rsidP="0A3DC8CE" w:rsidRDefault="4F013B24" w14:paraId="404A249B" w14:textId="78885629">
      <w:pPr>
        <w:spacing w:line="360" w:lineRule="auto"/>
        <w:jc w:val="right"/>
        <w:rPr>
          <w:rFonts w:ascii="Arial" w:hAnsi="Arial" w:eastAsia="Arial" w:cs="Arial"/>
          <w:b w:val="0"/>
          <w:bCs w:val="0"/>
          <w:i w:val="0"/>
          <w:iCs w:val="0"/>
          <w:caps w:val="0"/>
          <w:smallCaps w:val="0"/>
          <w:noProof w:val="0"/>
          <w:color w:val="000000" w:themeColor="text1" w:themeTint="FF" w:themeShade="FF"/>
          <w:sz w:val="32"/>
          <w:szCs w:val="32"/>
          <w:lang w:val="en-US"/>
        </w:rPr>
      </w:pPr>
      <w:r w:rsidRPr="0A3DC8CE" w:rsidR="4F013B24">
        <w:rPr>
          <w:rFonts w:ascii="Arial" w:hAnsi="Arial" w:eastAsia="Arial" w:cs="Arial"/>
          <w:b w:val="1"/>
          <w:bCs w:val="1"/>
          <w:i w:val="0"/>
          <w:iCs w:val="0"/>
          <w:caps w:val="0"/>
          <w:smallCaps w:val="0"/>
          <w:noProof w:val="0"/>
          <w:color w:val="000000" w:themeColor="text1" w:themeTint="FF" w:themeShade="FF"/>
          <w:sz w:val="32"/>
          <w:szCs w:val="32"/>
          <w:lang w:val="en-US"/>
        </w:rPr>
        <w:t>Lecturer: Tristan Hawkins</w:t>
      </w:r>
    </w:p>
    <w:p w:rsidR="38D07572" w:rsidP="0A3DC8CE" w:rsidRDefault="38D07572" w14:paraId="781812C0" w14:textId="2C1C6CF4">
      <w:pPr>
        <w:spacing w:line="360" w:lineRule="auto"/>
        <w:jc w:val="right"/>
        <w:rPr>
          <w:rFonts w:ascii="Arial" w:hAnsi="Arial" w:eastAsia="Arial" w:cs="Arial"/>
          <w:b w:val="1"/>
          <w:bCs w:val="1"/>
          <w:i w:val="0"/>
          <w:iCs w:val="0"/>
          <w:caps w:val="0"/>
          <w:smallCaps w:val="0"/>
          <w:noProof w:val="0"/>
          <w:color w:val="000000" w:themeColor="text1" w:themeTint="FF" w:themeShade="FF"/>
          <w:sz w:val="32"/>
          <w:szCs w:val="32"/>
          <w:lang w:val="en-US"/>
        </w:rPr>
      </w:pPr>
      <w:r w:rsidRPr="0A3DC8CE" w:rsidR="38D07572">
        <w:rPr>
          <w:rFonts w:ascii="Arial" w:hAnsi="Arial" w:eastAsia="Arial" w:cs="Arial"/>
          <w:b w:val="1"/>
          <w:bCs w:val="1"/>
          <w:i w:val="0"/>
          <w:iCs w:val="0"/>
          <w:caps w:val="0"/>
          <w:smallCaps w:val="0"/>
          <w:noProof w:val="0"/>
          <w:color w:val="000000" w:themeColor="text1" w:themeTint="FF" w:themeShade="FF"/>
          <w:sz w:val="32"/>
          <w:szCs w:val="32"/>
          <w:lang w:val="en-US"/>
        </w:rPr>
        <w:t>Word count: 1880</w:t>
      </w:r>
    </w:p>
    <w:p w:rsidR="0A3DC8CE" w:rsidRDefault="0A3DC8CE" w14:paraId="4B822481" w14:textId="22776889">
      <w:r>
        <w:br w:type="page"/>
      </w:r>
    </w:p>
    <w:p w:rsidR="0C66B69F" w:rsidP="0A3DC8CE" w:rsidRDefault="0C66B69F" w14:paraId="739B9D5A" w14:textId="40E30DEE">
      <w:pPr>
        <w:spacing w:line="360" w:lineRule="auto"/>
        <w:jc w:val="both"/>
        <w:rPr>
          <w:rFonts w:ascii="Arial" w:hAnsi="Arial" w:eastAsia="Arial" w:cs="Arial"/>
        </w:rPr>
      </w:pPr>
      <w:r w:rsidRPr="0A3DC8CE" w:rsidR="0C66B69F">
        <w:rPr>
          <w:rFonts w:ascii="Arial" w:hAnsi="Arial" w:eastAsia="Arial" w:cs="Arial"/>
        </w:rPr>
        <w:t xml:space="preserve">AI </w:t>
      </w:r>
      <w:r w:rsidRPr="0A3DC8CE" w:rsidR="0FA6128A">
        <w:rPr>
          <w:rFonts w:ascii="Arial" w:hAnsi="Arial" w:eastAsia="Arial" w:cs="Arial"/>
        </w:rPr>
        <w:t>Declaration</w:t>
      </w:r>
      <w:r w:rsidRPr="0A3DC8CE" w:rsidR="0C66B69F">
        <w:rPr>
          <w:rFonts w:ascii="Arial" w:hAnsi="Arial" w:eastAsia="Arial" w:cs="Arial"/>
        </w:rPr>
        <w:t xml:space="preserve">  </w:t>
      </w:r>
    </w:p>
    <w:p w:rsidR="30A6E8BF" w:rsidP="0A3DC8CE" w:rsidRDefault="30A6E8BF" w14:paraId="5E85599A" w14:textId="018C0707">
      <w:pPr>
        <w:pStyle w:val="Normal"/>
        <w:spacing w:line="360" w:lineRule="auto"/>
        <w:jc w:val="both"/>
      </w:pPr>
      <w:r w:rsidRPr="0A3DC8CE" w:rsidR="30A6E8BF">
        <w:rPr>
          <w:rFonts w:ascii="Arial" w:hAnsi="Arial" w:eastAsia="Arial" w:cs="Arial"/>
          <w:noProof w:val="0"/>
          <w:sz w:val="24"/>
          <w:szCs w:val="24"/>
          <w:lang w:val="en-US"/>
        </w:rPr>
        <w:t xml:space="preserve">I have </w:t>
      </w:r>
      <w:r w:rsidRPr="0A3DC8CE" w:rsidR="30A6E8BF">
        <w:rPr>
          <w:rFonts w:ascii="Arial" w:hAnsi="Arial" w:eastAsia="Arial" w:cs="Arial"/>
          <w:noProof w:val="0"/>
          <w:sz w:val="24"/>
          <w:szCs w:val="24"/>
          <w:lang w:val="en-US"/>
        </w:rPr>
        <w:t>utilised</w:t>
      </w:r>
      <w:r w:rsidRPr="0A3DC8CE" w:rsidR="30A6E8BF">
        <w:rPr>
          <w:rFonts w:ascii="Arial" w:hAnsi="Arial" w:eastAsia="Arial" w:cs="Arial"/>
          <w:noProof w:val="0"/>
          <w:sz w:val="24"/>
          <w:szCs w:val="24"/>
          <w:lang w:val="en-US"/>
        </w:rPr>
        <w:t xml:space="preserve"> AI technology (ChatGPT) for grammar checking and rephrasing to ensure clarity, coherence, and adherence to academic standards.</w:t>
      </w:r>
    </w:p>
    <w:p w:rsidR="0A3DC8CE" w:rsidRDefault="0A3DC8CE" w14:paraId="040C1173" w14:textId="7849EBBE">
      <w:r>
        <w:br w:type="page"/>
      </w:r>
    </w:p>
    <w:p w:rsidR="355123BB" w:rsidP="0A3DC8CE" w:rsidRDefault="355123BB" w14:paraId="3662F536" w14:textId="3364D958">
      <w:pPr>
        <w:pStyle w:val="Normal"/>
        <w:spacing w:line="360" w:lineRule="auto"/>
        <w:jc w:val="both"/>
        <w:rPr>
          <w:rFonts w:ascii="Arial" w:hAnsi="Arial" w:eastAsia="Arial" w:cs="Arial"/>
        </w:rPr>
      </w:pPr>
      <w:r w:rsidRPr="0A3DC8CE" w:rsidR="355123BB">
        <w:rPr>
          <w:rFonts w:ascii="Arial" w:hAnsi="Arial" w:eastAsia="Arial" w:cs="Arial"/>
        </w:rPr>
        <w:t>Executive Summary</w:t>
      </w:r>
    </w:p>
    <w:p w:rsidR="355123BB" w:rsidP="0A3DC8CE" w:rsidRDefault="355123BB" w14:paraId="173B79F9" w14:textId="1B6AFF22">
      <w:pPr>
        <w:pStyle w:val="Normal"/>
        <w:spacing w:line="360" w:lineRule="auto"/>
        <w:jc w:val="both"/>
      </w:pPr>
      <w:r w:rsidRPr="0A3DC8CE" w:rsidR="355123BB">
        <w:rPr>
          <w:rFonts w:ascii="Arial" w:hAnsi="Arial" w:eastAsia="Arial" w:cs="Arial"/>
        </w:rPr>
        <w:t>This report evaluates the financial performance of the City Hotel, located in a vibrant urban area, which has faced significant challenges in recent years. The hotel, offering restaurant, bar, and event facilities, has experienced a substantial decline in revenue, occupancy rates, and customer satisfaction from 2021 to 2023. The sharp drop in revenue from £5,307,480 in 2022 to £2,325,440 in 2023, a 56% decline, signals the urgency of assessing the underlying causes and exploring potential solutions.</w:t>
      </w:r>
    </w:p>
    <w:p w:rsidR="355123BB" w:rsidP="0A3DC8CE" w:rsidRDefault="355123BB" w14:paraId="6F4E7E13" w14:textId="5E1FB973">
      <w:pPr>
        <w:pStyle w:val="Normal"/>
        <w:spacing w:line="360" w:lineRule="auto"/>
        <w:jc w:val="both"/>
      </w:pPr>
      <w:r w:rsidRPr="0A3DC8CE" w:rsidR="355123BB">
        <w:rPr>
          <w:rFonts w:ascii="Arial" w:hAnsi="Arial" w:eastAsia="Arial" w:cs="Arial"/>
        </w:rPr>
        <w:t>The report begins with an analysis of the hotel’s financial trends over the past three years, focusing on key metrics such as revenue, expenses, profitability, liquidity, and solvency. The analysis reveals a marked decline in revenue, a rise in operating losses, and increasing liquidity and solvency issues. Key factors contributing to these issues include the ongoing impact of the COVID-19 pandemic, decreased customer demand, and increased competition in the hospitality sector.</w:t>
      </w:r>
    </w:p>
    <w:p w:rsidR="355123BB" w:rsidP="0A3DC8CE" w:rsidRDefault="355123BB" w14:paraId="286AF108" w14:textId="71DBA480">
      <w:pPr>
        <w:pStyle w:val="Normal"/>
        <w:spacing w:line="360" w:lineRule="auto"/>
        <w:jc w:val="both"/>
      </w:pPr>
      <w:r w:rsidRPr="0A3DC8CE" w:rsidR="355123BB">
        <w:rPr>
          <w:rFonts w:ascii="Arial" w:hAnsi="Arial" w:eastAsia="Arial" w:cs="Arial"/>
        </w:rPr>
        <w:t xml:space="preserve">Based on this financial analysis, the report </w:t>
      </w:r>
      <w:r w:rsidRPr="0A3DC8CE" w:rsidR="355123BB">
        <w:rPr>
          <w:rFonts w:ascii="Arial" w:hAnsi="Arial" w:eastAsia="Arial" w:cs="Arial"/>
        </w:rPr>
        <w:t>identifies</w:t>
      </w:r>
      <w:r w:rsidRPr="0A3DC8CE" w:rsidR="355123BB">
        <w:rPr>
          <w:rFonts w:ascii="Arial" w:hAnsi="Arial" w:eastAsia="Arial" w:cs="Arial"/>
        </w:rPr>
        <w:t xml:space="preserve"> the need for a comprehensive turnaround strategy to address the hotel’s declining performance. Proposed strategies focus on improving operational efficiency, enhancing customer service, </w:t>
      </w:r>
      <w:r w:rsidRPr="0A3DC8CE" w:rsidR="355123BB">
        <w:rPr>
          <w:rFonts w:ascii="Arial" w:hAnsi="Arial" w:eastAsia="Arial" w:cs="Arial"/>
        </w:rPr>
        <w:t>leveraging</w:t>
      </w:r>
      <w:r w:rsidRPr="0A3DC8CE" w:rsidR="355123BB">
        <w:rPr>
          <w:rFonts w:ascii="Arial" w:hAnsi="Arial" w:eastAsia="Arial" w:cs="Arial"/>
        </w:rPr>
        <w:t xml:space="preserve"> digital tools for better marketing and customer engagement, and adopting sustainability practices to reduce costs and appeal to </w:t>
      </w:r>
      <w:r w:rsidRPr="0A3DC8CE" w:rsidR="355123BB">
        <w:rPr>
          <w:rFonts w:ascii="Arial" w:hAnsi="Arial" w:eastAsia="Arial" w:cs="Arial"/>
        </w:rPr>
        <w:t>environmentally conscious</w:t>
      </w:r>
      <w:r w:rsidRPr="0A3DC8CE" w:rsidR="355123BB">
        <w:rPr>
          <w:rFonts w:ascii="Arial" w:hAnsi="Arial" w:eastAsia="Arial" w:cs="Arial"/>
        </w:rPr>
        <w:t xml:space="preserve"> consumers. Additionally, the hotel can </w:t>
      </w:r>
      <w:r w:rsidRPr="0A3DC8CE" w:rsidR="355123BB">
        <w:rPr>
          <w:rFonts w:ascii="Arial" w:hAnsi="Arial" w:eastAsia="Arial" w:cs="Arial"/>
        </w:rPr>
        <w:t>benefit</w:t>
      </w:r>
      <w:r w:rsidRPr="0A3DC8CE" w:rsidR="355123BB">
        <w:rPr>
          <w:rFonts w:ascii="Arial" w:hAnsi="Arial" w:eastAsia="Arial" w:cs="Arial"/>
        </w:rPr>
        <w:t xml:space="preserve"> from revamping its brand and value proposition to regain market share and attract more local and international guests.</w:t>
      </w:r>
    </w:p>
    <w:p w:rsidR="355123BB" w:rsidP="0A3DC8CE" w:rsidRDefault="355123BB" w14:paraId="576A398D" w14:textId="150F3AE0">
      <w:pPr>
        <w:pStyle w:val="Normal"/>
        <w:spacing w:line="360" w:lineRule="auto"/>
        <w:jc w:val="both"/>
      </w:pPr>
      <w:r w:rsidRPr="0A3DC8CE" w:rsidR="355123BB">
        <w:rPr>
          <w:rFonts w:ascii="Arial" w:hAnsi="Arial" w:eastAsia="Arial" w:cs="Arial"/>
        </w:rPr>
        <w:t>In conclusion, while the City Hotel faces significant challenges, a well-executed turnaround plan focusing on cost management, customer experience, and sustainability could help restore profitability and ensure the long-term viability of the business. The recommended strategies aim to revitalize the hotel’s financial health, strengthen its competitive position, and enhance its reputation in the market.</w:t>
      </w:r>
    </w:p>
    <w:p w:rsidR="0A3DC8CE" w:rsidRDefault="0A3DC8CE" w14:paraId="13A15948" w14:textId="23F1AADC">
      <w:r>
        <w:br w:type="page"/>
      </w:r>
    </w:p>
    <w:p w:rsidR="5E4E4278" w:rsidP="0A3DC8CE" w:rsidRDefault="5E4E4278" w14:paraId="2FEAABBA" w14:textId="1AB29557">
      <w:pPr>
        <w:pStyle w:val="Normal"/>
        <w:spacing w:line="360" w:lineRule="auto"/>
        <w:jc w:val="both"/>
        <w:rPr>
          <w:rFonts w:ascii="Arial" w:hAnsi="Arial" w:eastAsia="Arial" w:cs="Arial"/>
        </w:rPr>
      </w:pPr>
      <w:r w:rsidRPr="0A3DC8CE" w:rsidR="5E4E4278">
        <w:rPr>
          <w:rFonts w:ascii="Arial" w:hAnsi="Arial" w:eastAsia="Arial" w:cs="Arial"/>
        </w:rPr>
        <w:t xml:space="preserve">Table of Control   </w:t>
      </w:r>
    </w:p>
    <w:p w:rsidR="0D42E25E" w:rsidP="0A3DC8CE" w:rsidRDefault="0D42E25E" w14:paraId="51FDF6F8" w14:textId="1DD5DD31">
      <w:pPr>
        <w:pStyle w:val="Normal"/>
        <w:spacing w:line="360" w:lineRule="auto"/>
        <w:jc w:val="both"/>
      </w:pPr>
      <w:r w:rsidRPr="0A3DC8CE" w:rsidR="0D42E25E">
        <w:rPr>
          <w:rFonts w:ascii="Arial" w:hAnsi="Arial" w:eastAsia="Arial" w:cs="Arial"/>
        </w:rPr>
        <w:t>1</w:t>
      </w:r>
      <w:r w:rsidRPr="0A3DC8CE" w:rsidR="5E4E4278">
        <w:rPr>
          <w:rFonts w:ascii="Arial" w:hAnsi="Arial" w:eastAsia="Arial" w:cs="Arial"/>
        </w:rPr>
        <w:t xml:space="preserve">. Introduction   </w:t>
      </w:r>
    </w:p>
    <w:p w:rsidR="3F3F764E" w:rsidP="0A3DC8CE" w:rsidRDefault="3F3F764E" w14:paraId="4AEB6E19" w14:textId="49838770">
      <w:pPr>
        <w:pStyle w:val="Normal"/>
        <w:spacing w:line="360" w:lineRule="auto"/>
        <w:jc w:val="both"/>
      </w:pPr>
      <w:r w:rsidRPr="0A3DC8CE" w:rsidR="3F3F764E">
        <w:rPr>
          <w:rFonts w:ascii="Arial" w:hAnsi="Arial" w:eastAsia="Arial" w:cs="Arial"/>
        </w:rPr>
        <w:t>2</w:t>
      </w:r>
      <w:r w:rsidRPr="0A3DC8CE" w:rsidR="5E4E4278">
        <w:rPr>
          <w:rFonts w:ascii="Arial" w:hAnsi="Arial" w:eastAsia="Arial" w:cs="Arial"/>
        </w:rPr>
        <w:t xml:space="preserve">. Financial Performance Analysis    </w:t>
      </w:r>
    </w:p>
    <w:p w:rsidR="4EA59777" w:rsidP="0A3DC8CE" w:rsidRDefault="4EA59777" w14:paraId="7015259A" w14:textId="1DFA9926">
      <w:pPr>
        <w:pStyle w:val="Normal"/>
        <w:spacing w:line="360" w:lineRule="auto"/>
        <w:jc w:val="both"/>
      </w:pPr>
      <w:r w:rsidRPr="0A3DC8CE" w:rsidR="4EA59777">
        <w:rPr>
          <w:rFonts w:ascii="Arial" w:hAnsi="Arial" w:eastAsia="Arial" w:cs="Arial"/>
        </w:rPr>
        <w:t>3</w:t>
      </w:r>
      <w:r w:rsidRPr="0A3DC8CE" w:rsidR="5E4E4278">
        <w:rPr>
          <w:rFonts w:ascii="Arial" w:hAnsi="Arial" w:eastAsia="Arial" w:cs="Arial"/>
        </w:rPr>
        <w:t xml:space="preserve">. Identification of Key Issues    </w:t>
      </w:r>
    </w:p>
    <w:p w:rsidR="4E36E87F" w:rsidP="0A3DC8CE" w:rsidRDefault="4E36E87F" w14:paraId="5B7469FE" w14:textId="6DD8E1F6">
      <w:pPr>
        <w:pStyle w:val="Normal"/>
        <w:spacing w:line="360" w:lineRule="auto"/>
        <w:jc w:val="both"/>
      </w:pPr>
      <w:r w:rsidRPr="0A3DC8CE" w:rsidR="4E36E87F">
        <w:rPr>
          <w:rFonts w:ascii="Arial" w:hAnsi="Arial" w:eastAsia="Arial" w:cs="Arial"/>
        </w:rPr>
        <w:t>4</w:t>
      </w:r>
      <w:r w:rsidRPr="0A3DC8CE" w:rsidR="5E4E4278">
        <w:rPr>
          <w:rFonts w:ascii="Arial" w:hAnsi="Arial" w:eastAsia="Arial" w:cs="Arial"/>
        </w:rPr>
        <w:t xml:space="preserve">. Turnaround Strategy Development   </w:t>
      </w:r>
    </w:p>
    <w:p w:rsidR="2BB47189" w:rsidP="0A3DC8CE" w:rsidRDefault="2BB47189" w14:paraId="091A28AD" w14:textId="2795968D">
      <w:pPr>
        <w:pStyle w:val="Normal"/>
        <w:spacing w:line="360" w:lineRule="auto"/>
        <w:jc w:val="both"/>
      </w:pPr>
      <w:r w:rsidRPr="0A3DC8CE" w:rsidR="2BB47189">
        <w:rPr>
          <w:rFonts w:ascii="Arial" w:hAnsi="Arial" w:eastAsia="Arial" w:cs="Arial"/>
        </w:rPr>
        <w:t>5</w:t>
      </w:r>
      <w:r w:rsidRPr="0A3DC8CE" w:rsidR="5E4E4278">
        <w:rPr>
          <w:rFonts w:ascii="Arial" w:hAnsi="Arial" w:eastAsia="Arial" w:cs="Arial"/>
        </w:rPr>
        <w:t xml:space="preserve">. Financial Projections and Outcomes    </w:t>
      </w:r>
    </w:p>
    <w:p w:rsidR="05088747" w:rsidP="0A3DC8CE" w:rsidRDefault="05088747" w14:paraId="2183C569" w14:textId="7658E0E8">
      <w:pPr>
        <w:pStyle w:val="Normal"/>
        <w:spacing w:line="360" w:lineRule="auto"/>
        <w:jc w:val="both"/>
      </w:pPr>
      <w:r w:rsidRPr="0A3DC8CE" w:rsidR="05088747">
        <w:rPr>
          <w:rFonts w:ascii="Arial" w:hAnsi="Arial" w:eastAsia="Arial" w:cs="Arial"/>
        </w:rPr>
        <w:t>6</w:t>
      </w:r>
      <w:r w:rsidRPr="0A3DC8CE" w:rsidR="5E4E4278">
        <w:rPr>
          <w:rFonts w:ascii="Arial" w:hAnsi="Arial" w:eastAsia="Arial" w:cs="Arial"/>
        </w:rPr>
        <w:t xml:space="preserve">. Conclusion   </w:t>
      </w:r>
    </w:p>
    <w:p w:rsidR="0547C212" w:rsidP="0A3DC8CE" w:rsidRDefault="0547C212" w14:paraId="58A0A8B5" w14:textId="07618956">
      <w:pPr>
        <w:pStyle w:val="Normal"/>
        <w:spacing w:line="360" w:lineRule="auto"/>
        <w:jc w:val="both"/>
      </w:pPr>
      <w:r w:rsidRPr="0A3DC8CE" w:rsidR="0547C212">
        <w:rPr>
          <w:rFonts w:ascii="Arial" w:hAnsi="Arial" w:eastAsia="Arial" w:cs="Arial"/>
        </w:rPr>
        <w:t>7</w:t>
      </w:r>
      <w:r w:rsidRPr="0A3DC8CE" w:rsidR="5E4E4278">
        <w:rPr>
          <w:rFonts w:ascii="Arial" w:hAnsi="Arial" w:eastAsia="Arial" w:cs="Arial"/>
        </w:rPr>
        <w:t xml:space="preserve">. Recommendations   </w:t>
      </w:r>
    </w:p>
    <w:p w:rsidR="304CCD8F" w:rsidP="0A3DC8CE" w:rsidRDefault="304CCD8F" w14:paraId="452649FC" w14:textId="060CBB0F">
      <w:pPr>
        <w:pStyle w:val="Normal"/>
        <w:spacing w:line="360" w:lineRule="auto"/>
        <w:jc w:val="both"/>
      </w:pPr>
      <w:r w:rsidRPr="0A3DC8CE" w:rsidR="304CCD8F">
        <w:rPr>
          <w:rFonts w:ascii="Arial" w:hAnsi="Arial" w:eastAsia="Arial" w:cs="Arial"/>
        </w:rPr>
        <w:t>8</w:t>
      </w:r>
      <w:r w:rsidRPr="0A3DC8CE" w:rsidR="5E4E4278">
        <w:rPr>
          <w:rFonts w:ascii="Arial" w:hAnsi="Arial" w:eastAsia="Arial" w:cs="Arial"/>
        </w:rPr>
        <w:t xml:space="preserve">. References   </w:t>
      </w:r>
    </w:p>
    <w:p w:rsidR="153CFAA9" w:rsidP="0A3DC8CE" w:rsidRDefault="153CFAA9" w14:paraId="72888108" w14:textId="078A572F">
      <w:pPr>
        <w:pStyle w:val="Normal"/>
        <w:spacing w:line="360" w:lineRule="auto"/>
        <w:jc w:val="both"/>
      </w:pPr>
      <w:r w:rsidRPr="0A3DC8CE" w:rsidR="153CFAA9">
        <w:rPr>
          <w:rFonts w:ascii="Arial" w:hAnsi="Arial" w:eastAsia="Arial" w:cs="Arial"/>
        </w:rPr>
        <w:t>9</w:t>
      </w:r>
      <w:r w:rsidRPr="0A3DC8CE" w:rsidR="5E4E4278">
        <w:rPr>
          <w:rFonts w:ascii="Arial" w:hAnsi="Arial" w:eastAsia="Arial" w:cs="Arial"/>
        </w:rPr>
        <w:t xml:space="preserve">. Reference List   </w:t>
      </w:r>
    </w:p>
    <w:p w:rsidR="0A3DC8CE" w:rsidRDefault="0A3DC8CE" w14:paraId="3F268461" w14:textId="6E5A4EC0">
      <w:r>
        <w:br w:type="page"/>
      </w:r>
    </w:p>
    <w:p w:rsidR="094A18D2" w:rsidP="0A3DC8CE" w:rsidRDefault="094A18D2" w14:paraId="658210FB" w14:textId="0237AF58">
      <w:pPr>
        <w:pStyle w:val="ListParagraph"/>
        <w:numPr>
          <w:ilvl w:val="0"/>
          <w:numId w:val="1"/>
        </w:numPr>
        <w:spacing w:line="360" w:lineRule="auto"/>
        <w:jc w:val="both"/>
        <w:rPr>
          <w:rFonts w:ascii="Arial" w:hAnsi="Arial" w:eastAsia="Arial" w:cs="Arial"/>
        </w:rPr>
      </w:pPr>
      <w:r w:rsidRPr="0A3DC8CE" w:rsidR="094A18D2">
        <w:rPr>
          <w:rFonts w:ascii="Arial" w:hAnsi="Arial" w:eastAsia="Arial" w:cs="Arial"/>
        </w:rPr>
        <w:t xml:space="preserve">Introduction </w:t>
      </w:r>
    </w:p>
    <w:p w:rsidR="094A18D2" w:rsidP="0A3DC8CE" w:rsidRDefault="094A18D2" w14:paraId="6196C793" w14:textId="3CC9918D">
      <w:pPr>
        <w:pStyle w:val="Normal"/>
        <w:spacing w:line="360" w:lineRule="auto"/>
        <w:ind w:left="0"/>
        <w:jc w:val="both"/>
        <w:rPr>
          <w:rFonts w:ascii="Arial" w:hAnsi="Arial" w:eastAsia="Arial" w:cs="Arial"/>
        </w:rPr>
      </w:pPr>
      <w:r w:rsidRPr="0A3DC8CE" w:rsidR="094A18D2">
        <w:rPr>
          <w:rFonts w:ascii="Arial" w:hAnsi="Arial" w:eastAsia="Arial" w:cs="Arial"/>
        </w:rPr>
        <w:t xml:space="preserve">The City Hotel, located in a vibrant urban setting, is facing significant financial challenges that threaten its viability. This report aims to analyse the hotel’s financial decline, identify key issues, and propose a strategic turnaround plan to ensure long-term sustainability. Specifically, it will assess financial trends from 2021 to 2023, pinpoint contributing factors, and recommend actionable strategies. </w:t>
      </w:r>
    </w:p>
    <w:p w:rsidR="094A18D2" w:rsidP="0A3DC8CE" w:rsidRDefault="094A18D2" w14:paraId="33ECFC31" w14:textId="3C627680">
      <w:pPr>
        <w:pStyle w:val="Normal"/>
        <w:spacing w:line="360" w:lineRule="auto"/>
        <w:ind w:left="0"/>
        <w:jc w:val="both"/>
      </w:pPr>
      <w:r w:rsidRPr="0A3DC8CE" w:rsidR="094A18D2">
        <w:rPr>
          <w:rFonts w:ascii="Arial" w:hAnsi="Arial" w:eastAsia="Arial" w:cs="Arial"/>
        </w:rPr>
        <w:t xml:space="preserve">Over the past three years, The City Hotel has experienced a notable decline in revenue. In 2021, revenue was £5,248,290, followed by a slight increase to £5,307,480 in 2022. However, in 2023, revenue fell sharply to £2,325,440-a drop of over 56% compared to the previous year. This severe decline highlights significant financial difficulties, linked to reduced occupancy rates, waning customer interest, or external factors </w:t>
      </w:r>
      <w:r w:rsidRPr="0A3DC8CE" w:rsidR="094A18D2">
        <w:rPr>
          <w:rFonts w:ascii="Arial" w:hAnsi="Arial" w:eastAsia="Arial" w:cs="Arial"/>
        </w:rPr>
        <w:t>impacting</w:t>
      </w:r>
      <w:r w:rsidRPr="0A3DC8CE" w:rsidR="094A18D2">
        <w:rPr>
          <w:rFonts w:ascii="Arial" w:hAnsi="Arial" w:eastAsia="Arial" w:cs="Arial"/>
        </w:rPr>
        <w:t xml:space="preserve"> the business environment. </w:t>
      </w:r>
    </w:p>
    <w:p w:rsidR="094A18D2" w:rsidP="0A3DC8CE" w:rsidRDefault="094A18D2" w14:paraId="5DCFA5EE" w14:textId="2D4DA162">
      <w:pPr>
        <w:pStyle w:val="Normal"/>
        <w:spacing w:line="360" w:lineRule="auto"/>
        <w:ind w:left="0"/>
        <w:jc w:val="both"/>
      </w:pPr>
      <w:r w:rsidRPr="0A3DC8CE" w:rsidR="094A18D2">
        <w:rPr>
          <w:rFonts w:ascii="Arial" w:hAnsi="Arial" w:eastAsia="Arial" w:cs="Arial"/>
        </w:rPr>
        <w:t xml:space="preserve">This report will evaluate The City Hotel’s financial performance trends over the past three years, focusing on critical areas such as revenue, expenses, profitability, liquidity, and solvency. It will </w:t>
      </w:r>
      <w:r w:rsidRPr="0A3DC8CE" w:rsidR="094A18D2">
        <w:rPr>
          <w:rFonts w:ascii="Arial" w:hAnsi="Arial" w:eastAsia="Arial" w:cs="Arial"/>
        </w:rPr>
        <w:t>identify</w:t>
      </w:r>
      <w:r w:rsidRPr="0A3DC8CE" w:rsidR="094A18D2">
        <w:rPr>
          <w:rFonts w:ascii="Arial" w:hAnsi="Arial" w:eastAsia="Arial" w:cs="Arial"/>
        </w:rPr>
        <w:t xml:space="preserve"> the main reasons for the decline in profitability, considering real-world events and the current economic landscape. Finally, it will propose a comprehensive turnaround strategy to </w:t>
      </w:r>
      <w:r w:rsidRPr="0A3DC8CE" w:rsidR="094A18D2">
        <w:rPr>
          <w:rFonts w:ascii="Arial" w:hAnsi="Arial" w:eastAsia="Arial" w:cs="Arial"/>
        </w:rPr>
        <w:t>revitalise</w:t>
      </w:r>
      <w:r w:rsidRPr="0A3DC8CE" w:rsidR="094A18D2">
        <w:rPr>
          <w:rFonts w:ascii="Arial" w:hAnsi="Arial" w:eastAsia="Arial" w:cs="Arial"/>
        </w:rPr>
        <w:t xml:space="preserve"> the hotel’s financial health and reputation or suggest the most </w:t>
      </w:r>
      <w:r w:rsidRPr="0A3DC8CE" w:rsidR="094A18D2">
        <w:rPr>
          <w:rFonts w:ascii="Arial" w:hAnsi="Arial" w:eastAsia="Arial" w:cs="Arial"/>
        </w:rPr>
        <w:t>viable</w:t>
      </w:r>
      <w:r w:rsidRPr="0A3DC8CE" w:rsidR="094A18D2">
        <w:rPr>
          <w:rFonts w:ascii="Arial" w:hAnsi="Arial" w:eastAsia="Arial" w:cs="Arial"/>
        </w:rPr>
        <w:t xml:space="preserve"> financial outcome for the owner.</w:t>
      </w:r>
    </w:p>
    <w:p w:rsidR="3E6E88BB" w:rsidP="0A3DC8CE" w:rsidRDefault="3E6E88BB" w14:paraId="63E24D9E" w14:textId="6E53C360">
      <w:pPr>
        <w:pStyle w:val="ListParagraph"/>
        <w:numPr>
          <w:ilvl w:val="0"/>
          <w:numId w:val="1"/>
        </w:numPr>
        <w:spacing w:line="360" w:lineRule="auto"/>
        <w:jc w:val="both"/>
        <w:rPr>
          <w:rFonts w:ascii="Arial" w:hAnsi="Arial" w:eastAsia="Arial" w:cs="Arial"/>
        </w:rPr>
      </w:pPr>
      <w:r w:rsidRPr="0A3DC8CE" w:rsidR="3E6E88BB">
        <w:rPr>
          <w:rFonts w:ascii="Arial" w:hAnsi="Arial" w:eastAsia="Arial" w:cs="Arial"/>
        </w:rPr>
        <w:t>Financial Performance Analysis</w:t>
      </w:r>
      <w:r w:rsidRPr="0A3DC8CE" w:rsidR="015D525B">
        <w:rPr>
          <w:rFonts w:ascii="Arial" w:hAnsi="Arial" w:eastAsia="Arial" w:cs="Arial"/>
        </w:rPr>
        <w:t xml:space="preserve"> - trends and patterns in the </w:t>
      </w:r>
      <w:bookmarkStart w:name="_Int_czL8LF9T" w:id="1953576259"/>
      <w:r w:rsidRPr="0A3DC8CE" w:rsidR="015D525B">
        <w:rPr>
          <w:rFonts w:ascii="Arial" w:hAnsi="Arial" w:eastAsia="Arial" w:cs="Arial"/>
        </w:rPr>
        <w:t>hotels</w:t>
      </w:r>
      <w:bookmarkEnd w:id="1953576259"/>
      <w:r w:rsidRPr="0A3DC8CE" w:rsidR="015D525B">
        <w:rPr>
          <w:rFonts w:ascii="Arial" w:hAnsi="Arial" w:eastAsia="Arial" w:cs="Arial"/>
        </w:rPr>
        <w:t xml:space="preserve"> financial performance over the past three years, focusing on revenue, expenses, profitability, liquidity, and solvency.</w:t>
      </w:r>
    </w:p>
    <w:p w:rsidR="015D525B" w:rsidP="0A3DC8CE" w:rsidRDefault="015D525B" w14:paraId="2C63F515" w14:textId="4EA43B26">
      <w:pPr>
        <w:pStyle w:val="Normal"/>
        <w:spacing w:line="360" w:lineRule="auto"/>
        <w:ind w:left="0"/>
        <w:jc w:val="both"/>
        <w:rPr>
          <w:rFonts w:ascii="Arial" w:hAnsi="Arial" w:eastAsia="Arial" w:cs="Arial"/>
        </w:rPr>
      </w:pPr>
      <w:r w:rsidRPr="0A3DC8CE" w:rsidR="015D525B">
        <w:rPr>
          <w:rFonts w:ascii="Arial" w:hAnsi="Arial" w:eastAsia="Arial" w:cs="Arial"/>
        </w:rPr>
        <w:t xml:space="preserve">Revenue Trends </w:t>
      </w:r>
    </w:p>
    <w:p w:rsidR="015D525B" w:rsidP="0A3DC8CE" w:rsidRDefault="015D525B" w14:paraId="55BA4859" w14:textId="02093C3F">
      <w:pPr>
        <w:pStyle w:val="Normal"/>
        <w:spacing w:line="360" w:lineRule="auto"/>
        <w:ind w:left="0"/>
        <w:jc w:val="both"/>
      </w:pPr>
      <w:r w:rsidRPr="0A3DC8CE" w:rsidR="015D525B">
        <w:rPr>
          <w:rFonts w:ascii="Arial" w:hAnsi="Arial" w:eastAsia="Arial" w:cs="Arial"/>
        </w:rPr>
        <w:t xml:space="preserve">Revenue Decline: The hotel’s revenue remained </w:t>
      </w:r>
      <w:r w:rsidRPr="0A3DC8CE" w:rsidR="015D525B">
        <w:rPr>
          <w:rFonts w:ascii="Arial" w:hAnsi="Arial" w:eastAsia="Arial" w:cs="Arial"/>
        </w:rPr>
        <w:t>relatively stable</w:t>
      </w:r>
      <w:r w:rsidRPr="0A3DC8CE" w:rsidR="015D525B">
        <w:rPr>
          <w:rFonts w:ascii="Arial" w:hAnsi="Arial" w:eastAsia="Arial" w:cs="Arial"/>
        </w:rPr>
        <w:t xml:space="preserve"> between 2021 (£5,248,290) and 2022 (£5,307,480), showing a minor increase. However, in 2023, revenue dropped dramatically to £2,325,440, a decline of over 56%. This steep decline suggests serious challenges, </w:t>
      </w:r>
      <w:r w:rsidRPr="0A3DC8CE" w:rsidR="015D525B">
        <w:rPr>
          <w:rFonts w:ascii="Arial" w:hAnsi="Arial" w:eastAsia="Arial" w:cs="Arial"/>
        </w:rPr>
        <w:t>likely due</w:t>
      </w:r>
      <w:r w:rsidRPr="0A3DC8CE" w:rsidR="015D525B">
        <w:rPr>
          <w:rFonts w:ascii="Arial" w:hAnsi="Arial" w:eastAsia="Arial" w:cs="Arial"/>
        </w:rPr>
        <w:t xml:space="preserve"> to external factors such as decreased demand, economic downturns, or increased competition affecting occupancy rates and customer interest.</w:t>
      </w:r>
    </w:p>
    <w:p w:rsidR="5E71F517" w:rsidP="0A3DC8CE" w:rsidRDefault="5E71F517" w14:paraId="2C469A22" w14:textId="474D3876">
      <w:pPr>
        <w:pStyle w:val="Normal"/>
        <w:spacing w:line="360" w:lineRule="auto"/>
        <w:ind w:left="0"/>
        <w:jc w:val="both"/>
        <w:rPr>
          <w:rFonts w:ascii="Arial" w:hAnsi="Arial" w:eastAsia="Arial" w:cs="Arial"/>
        </w:rPr>
      </w:pPr>
      <w:r w:rsidRPr="0A3DC8CE" w:rsidR="5E71F517">
        <w:rPr>
          <w:rFonts w:ascii="Arial" w:hAnsi="Arial" w:eastAsia="Arial" w:cs="Arial"/>
        </w:rPr>
        <w:t xml:space="preserve">Expense Analysis </w:t>
      </w:r>
    </w:p>
    <w:p w:rsidR="5E71F517" w:rsidP="0A3DC8CE" w:rsidRDefault="5E71F517" w14:paraId="1F1542BF" w14:textId="2676C9F7">
      <w:pPr>
        <w:pStyle w:val="Normal"/>
        <w:spacing w:line="360" w:lineRule="auto"/>
        <w:ind w:left="0"/>
        <w:jc w:val="both"/>
      </w:pPr>
      <w:r w:rsidRPr="0A3DC8CE" w:rsidR="5E71F517">
        <w:rPr>
          <w:rFonts w:ascii="Arial" w:hAnsi="Arial" w:eastAsia="Arial" w:cs="Arial"/>
        </w:rPr>
        <w:t xml:space="preserve">Cost of Goods Sold (COGS): Reduced from £411,600 in 2021 to £176,250 in 2023, reflecting lower revenue and fewer operations. </w:t>
      </w:r>
    </w:p>
    <w:p w:rsidR="5E71F517" w:rsidP="0A3DC8CE" w:rsidRDefault="5E71F517" w14:paraId="1EDA4631" w14:textId="677223CD">
      <w:pPr>
        <w:pStyle w:val="Normal"/>
        <w:spacing w:line="360" w:lineRule="auto"/>
        <w:ind w:left="0"/>
        <w:jc w:val="both"/>
      </w:pPr>
      <w:r w:rsidRPr="0A3DC8CE" w:rsidR="5E71F517">
        <w:rPr>
          <w:rFonts w:ascii="Arial" w:hAnsi="Arial" w:eastAsia="Arial" w:cs="Arial"/>
        </w:rPr>
        <w:t xml:space="preserve">Employee Costs: Dropped from £1,724,760 in 2021 to £1,233,160 in 2023, indicating staff reductions or cost-cutting measures in response to reduced business activity. </w:t>
      </w:r>
    </w:p>
    <w:p w:rsidR="5E71F517" w:rsidP="0A3DC8CE" w:rsidRDefault="5E71F517" w14:paraId="4AA59D24" w14:textId="0637274B">
      <w:pPr>
        <w:pStyle w:val="Normal"/>
        <w:spacing w:line="360" w:lineRule="auto"/>
        <w:ind w:left="0"/>
        <w:jc w:val="both"/>
      </w:pPr>
      <w:r w:rsidRPr="0A3DC8CE" w:rsidR="5E71F517">
        <w:rPr>
          <w:rFonts w:ascii="Arial" w:hAnsi="Arial" w:eastAsia="Arial" w:cs="Arial"/>
        </w:rPr>
        <w:t xml:space="preserve">External Expenses: Decreased from £1,894,720 in 2021 to £1,071,030 in 2023, which aligns with a reduction in overall business operations. </w:t>
      </w:r>
    </w:p>
    <w:p w:rsidR="5E71F517" w:rsidP="0A3DC8CE" w:rsidRDefault="5E71F517" w14:paraId="6BF928E5" w14:textId="6C63B12C">
      <w:pPr>
        <w:pStyle w:val="Normal"/>
        <w:spacing w:line="360" w:lineRule="auto"/>
        <w:ind w:left="0"/>
        <w:jc w:val="both"/>
      </w:pPr>
      <w:r w:rsidRPr="0A3DC8CE" w:rsidR="5E71F517">
        <w:rPr>
          <w:rFonts w:ascii="Arial" w:hAnsi="Arial" w:eastAsia="Arial" w:cs="Arial"/>
        </w:rPr>
        <w:t xml:space="preserve">Other Expenses: Some expenses, like depreciation, increased (from £409,190 in 2021 to £661,590 in 2023), </w:t>
      </w:r>
      <w:r w:rsidRPr="0A3DC8CE" w:rsidR="5E71F517">
        <w:rPr>
          <w:rFonts w:ascii="Arial" w:hAnsi="Arial" w:eastAsia="Arial" w:cs="Arial"/>
        </w:rPr>
        <w:t>likely due</w:t>
      </w:r>
      <w:r w:rsidRPr="0A3DC8CE" w:rsidR="5E71F517">
        <w:rPr>
          <w:rFonts w:ascii="Arial" w:hAnsi="Arial" w:eastAsia="Arial" w:cs="Arial"/>
        </w:rPr>
        <w:t xml:space="preserve"> to new capital investments or depreciation of existing assets.</w:t>
      </w:r>
    </w:p>
    <w:p w:rsidR="5E71F517" w:rsidP="0A3DC8CE" w:rsidRDefault="5E71F517" w14:paraId="446787BD" w14:textId="19FCA800">
      <w:pPr>
        <w:pStyle w:val="Normal"/>
        <w:spacing w:line="360" w:lineRule="auto"/>
        <w:ind w:left="0"/>
        <w:jc w:val="both"/>
        <w:rPr>
          <w:rFonts w:ascii="Arial" w:hAnsi="Arial" w:eastAsia="Arial" w:cs="Arial"/>
        </w:rPr>
      </w:pPr>
      <w:r w:rsidRPr="0A3DC8CE" w:rsidR="5E71F517">
        <w:rPr>
          <w:rFonts w:ascii="Arial" w:hAnsi="Arial" w:eastAsia="Arial" w:cs="Arial"/>
        </w:rPr>
        <w:t xml:space="preserve">Profitability Evaluation </w:t>
      </w:r>
    </w:p>
    <w:p w:rsidR="5E71F517" w:rsidP="0A3DC8CE" w:rsidRDefault="5E71F517" w14:paraId="63A2834D" w14:textId="52E559F2">
      <w:pPr>
        <w:pStyle w:val="Normal"/>
        <w:spacing w:line="360" w:lineRule="auto"/>
        <w:ind w:left="0"/>
        <w:jc w:val="both"/>
      </w:pPr>
      <w:r w:rsidRPr="0A3DC8CE" w:rsidR="5E71F517">
        <w:rPr>
          <w:rFonts w:ascii="Arial" w:hAnsi="Arial" w:eastAsia="Arial" w:cs="Arial"/>
        </w:rPr>
        <w:t xml:space="preserve">Operating Income: The hotel maintained a positive operating income in 2021 (£664,160) and 2022 (£674,730) but experienced a severe loss in 2023 (–£1,218,850). </w:t>
      </w:r>
    </w:p>
    <w:p w:rsidR="5E71F517" w:rsidP="0A3DC8CE" w:rsidRDefault="5E71F517" w14:paraId="6A3CBE89" w14:textId="1A5E212B">
      <w:pPr>
        <w:pStyle w:val="Normal"/>
        <w:spacing w:line="360" w:lineRule="auto"/>
        <w:ind w:left="0"/>
        <w:jc w:val="both"/>
      </w:pPr>
      <w:r w:rsidRPr="0A3DC8CE" w:rsidR="5E71F517">
        <w:rPr>
          <w:rFonts w:ascii="Arial" w:hAnsi="Arial" w:eastAsia="Arial" w:cs="Arial"/>
        </w:rPr>
        <w:t>Net Income: The shift from a profit of £333,930 in 2021 and £304,650 in 2022 to a significant loss of £1,134,950 in 2023 highlights deteriorating financial health.</w:t>
      </w:r>
    </w:p>
    <w:p w:rsidR="5E71F517" w:rsidP="0A3DC8CE" w:rsidRDefault="5E71F517" w14:paraId="193A8B30" w14:textId="580213F5">
      <w:pPr>
        <w:pStyle w:val="Normal"/>
        <w:spacing w:line="360" w:lineRule="auto"/>
        <w:ind w:left="0"/>
        <w:jc w:val="both"/>
        <w:rPr>
          <w:rFonts w:ascii="Arial" w:hAnsi="Arial" w:eastAsia="Arial" w:cs="Arial"/>
        </w:rPr>
      </w:pPr>
      <w:r w:rsidRPr="0A3DC8CE" w:rsidR="5E71F517">
        <w:rPr>
          <w:rFonts w:ascii="Arial" w:hAnsi="Arial" w:eastAsia="Arial" w:cs="Arial"/>
        </w:rPr>
        <w:t xml:space="preserve">Liquidity Assessment </w:t>
      </w:r>
    </w:p>
    <w:p w:rsidR="5E71F517" w:rsidP="0A3DC8CE" w:rsidRDefault="5E71F517" w14:paraId="42747EB4" w14:textId="43D78F1A">
      <w:pPr>
        <w:pStyle w:val="Normal"/>
        <w:spacing w:line="360" w:lineRule="auto"/>
        <w:ind w:left="0"/>
        <w:jc w:val="both"/>
      </w:pPr>
      <w:r w:rsidRPr="0A3DC8CE" w:rsidR="5E71F517">
        <w:rPr>
          <w:rFonts w:ascii="Arial" w:hAnsi="Arial" w:eastAsia="Arial" w:cs="Arial"/>
        </w:rPr>
        <w:t xml:space="preserve">Current Assets vs. Current Liabilities: </w:t>
      </w:r>
    </w:p>
    <w:p w:rsidR="5E71F517" w:rsidP="0A3DC8CE" w:rsidRDefault="5E71F517" w14:paraId="581E9542" w14:textId="69842EEE">
      <w:pPr>
        <w:pStyle w:val="Normal"/>
        <w:spacing w:line="360" w:lineRule="auto"/>
        <w:ind w:left="0"/>
        <w:jc w:val="both"/>
      </w:pPr>
      <w:r w:rsidRPr="0A3DC8CE" w:rsidR="5E71F517">
        <w:rPr>
          <w:rFonts w:ascii="Arial" w:hAnsi="Arial" w:eastAsia="Arial" w:cs="Arial"/>
        </w:rPr>
        <w:t xml:space="preserve">Current assets decreased from £1,891,970 in 2021 to £1,285,880 in 2023, while current liabilities remained relatively stable (around £2 million). </w:t>
      </w:r>
    </w:p>
    <w:p w:rsidR="5E71F517" w:rsidP="0A3DC8CE" w:rsidRDefault="5E71F517" w14:paraId="5446DFA4" w14:textId="277C5411">
      <w:pPr>
        <w:pStyle w:val="Normal"/>
        <w:spacing w:line="360" w:lineRule="auto"/>
        <w:ind w:left="0"/>
        <w:jc w:val="both"/>
      </w:pPr>
      <w:r w:rsidRPr="0A3DC8CE" w:rsidR="5E71F517">
        <w:rPr>
          <w:rFonts w:ascii="Arial" w:hAnsi="Arial" w:eastAsia="Arial" w:cs="Arial"/>
        </w:rPr>
        <w:t xml:space="preserve">Implication: The decline in liquid assets, such as cash (down to £295,510 in 2023), weakens the hotel’s ability to cover short-term debts, indicating potential liquidity issues. </w:t>
      </w:r>
    </w:p>
    <w:p w:rsidR="5E71F517" w:rsidP="0A3DC8CE" w:rsidRDefault="5E71F517" w14:paraId="794D1DDF" w14:textId="5FCB7DB4">
      <w:pPr>
        <w:pStyle w:val="Normal"/>
        <w:spacing w:line="360" w:lineRule="auto"/>
        <w:ind w:left="0"/>
        <w:jc w:val="both"/>
      </w:pPr>
      <w:r w:rsidRPr="0A3DC8CE" w:rsidR="5E71F517">
        <w:rPr>
          <w:rFonts w:ascii="Arial" w:hAnsi="Arial" w:eastAsia="Arial" w:cs="Arial"/>
        </w:rPr>
        <w:t>Ratios: The drop in assets, especially cash and trade receivables, points to strained cash flow and working capital.</w:t>
      </w:r>
    </w:p>
    <w:p w:rsidR="5E71F517" w:rsidP="0A3DC8CE" w:rsidRDefault="5E71F517" w14:paraId="7782662E" w14:textId="18ABC552">
      <w:pPr>
        <w:pStyle w:val="Normal"/>
        <w:spacing w:line="360" w:lineRule="auto"/>
        <w:ind w:left="0"/>
        <w:jc w:val="both"/>
        <w:rPr>
          <w:rFonts w:ascii="Arial" w:hAnsi="Arial" w:eastAsia="Arial" w:cs="Arial"/>
        </w:rPr>
      </w:pPr>
      <w:r w:rsidRPr="0A3DC8CE" w:rsidR="5E71F517">
        <w:rPr>
          <w:rFonts w:ascii="Arial" w:hAnsi="Arial" w:eastAsia="Arial" w:cs="Arial"/>
        </w:rPr>
        <w:t xml:space="preserve">Solvency Analysis </w:t>
      </w:r>
    </w:p>
    <w:p w:rsidR="5E71F517" w:rsidP="0A3DC8CE" w:rsidRDefault="5E71F517" w14:paraId="5A8545BE" w14:textId="374B231A">
      <w:pPr>
        <w:pStyle w:val="Normal"/>
        <w:spacing w:line="360" w:lineRule="auto"/>
        <w:ind w:left="0"/>
        <w:jc w:val="both"/>
      </w:pPr>
      <w:r w:rsidRPr="0A3DC8CE" w:rsidR="5E71F517">
        <w:rPr>
          <w:rFonts w:ascii="Arial" w:hAnsi="Arial" w:eastAsia="Arial" w:cs="Arial"/>
        </w:rPr>
        <w:t xml:space="preserve">Long-term Debt: Increased from £8,113,710 in 2021 to £8,290,570 in 2023, and additional lease liabilities have emerged, indicating greater financial obligations. </w:t>
      </w:r>
    </w:p>
    <w:p w:rsidR="5E71F517" w:rsidP="0A3DC8CE" w:rsidRDefault="5E71F517" w14:paraId="14043DCB" w14:textId="7523D8A1">
      <w:pPr>
        <w:pStyle w:val="Normal"/>
        <w:spacing w:line="360" w:lineRule="auto"/>
        <w:ind w:left="0"/>
        <w:jc w:val="both"/>
      </w:pPr>
      <w:r w:rsidRPr="0A3DC8CE" w:rsidR="5E71F517">
        <w:rPr>
          <w:rFonts w:ascii="Arial" w:hAnsi="Arial" w:eastAsia="Arial" w:cs="Arial"/>
        </w:rPr>
        <w:t xml:space="preserve">Equity Position: Owners’ equity fell from £2,152,750 in 2021 to £1,334,370 in 2023, reflecting diminished value and increased debt reliance. </w:t>
      </w:r>
    </w:p>
    <w:p w:rsidR="5E71F517" w:rsidP="0A3DC8CE" w:rsidRDefault="5E71F517" w14:paraId="5C13FE6E" w14:textId="581BD9FC">
      <w:pPr>
        <w:pStyle w:val="Normal"/>
        <w:spacing w:line="360" w:lineRule="auto"/>
        <w:ind w:left="0"/>
        <w:jc w:val="both"/>
      </w:pPr>
      <w:r w:rsidRPr="0A3DC8CE" w:rsidR="5E71F517">
        <w:rPr>
          <w:rFonts w:ascii="Arial" w:hAnsi="Arial" w:eastAsia="Arial" w:cs="Arial"/>
        </w:rPr>
        <w:t>Debt-to-Equity Ratio: This ratio worsened, signaling higher financial risk and reduced ability to handle long-term financial commitments.</w:t>
      </w:r>
    </w:p>
    <w:p w:rsidR="5E71F517" w:rsidP="0A3DC8CE" w:rsidRDefault="5E71F517" w14:paraId="1E80E060" w14:textId="03844238">
      <w:pPr>
        <w:pStyle w:val="ListParagraph"/>
        <w:numPr>
          <w:ilvl w:val="0"/>
          <w:numId w:val="1"/>
        </w:numPr>
        <w:spacing w:line="360" w:lineRule="auto"/>
        <w:jc w:val="both"/>
        <w:rPr>
          <w:rFonts w:ascii="Arial" w:hAnsi="Arial" w:eastAsia="Arial" w:cs="Arial"/>
        </w:rPr>
      </w:pPr>
      <w:r w:rsidRPr="0A3DC8CE" w:rsidR="5E71F517">
        <w:rPr>
          <w:rFonts w:ascii="Arial" w:hAnsi="Arial" w:eastAsia="Arial" w:cs="Arial"/>
        </w:rPr>
        <w:t xml:space="preserve">Identification of Key Issues </w:t>
      </w:r>
    </w:p>
    <w:p w:rsidR="5E71F517" w:rsidP="0A3DC8CE" w:rsidRDefault="5E71F517" w14:paraId="6E76B1D0" w14:textId="4D9A9097">
      <w:pPr>
        <w:pStyle w:val="Normal"/>
        <w:spacing w:line="360" w:lineRule="auto"/>
        <w:ind w:left="0"/>
        <w:jc w:val="both"/>
        <w:rPr>
          <w:rFonts w:ascii="Arial" w:hAnsi="Arial" w:eastAsia="Arial" w:cs="Arial"/>
        </w:rPr>
      </w:pPr>
      <w:r w:rsidRPr="0A3DC8CE" w:rsidR="5E71F517">
        <w:rPr>
          <w:rFonts w:ascii="Arial" w:hAnsi="Arial" w:eastAsia="Arial" w:cs="Arial"/>
        </w:rPr>
        <w:t xml:space="preserve">The pre-COVID-19 period saw significant growth in tourism and hospitality, with the industry contributing 10.4% to global GDP in 2019 and supporting 334 million jobs. However, the COVID-19 pandemic severely </w:t>
      </w:r>
      <w:r w:rsidRPr="0A3DC8CE" w:rsidR="5E71F517">
        <w:rPr>
          <w:rFonts w:ascii="Arial" w:hAnsi="Arial" w:eastAsia="Arial" w:cs="Arial"/>
        </w:rPr>
        <w:t>impacted</w:t>
      </w:r>
      <w:r w:rsidRPr="0A3DC8CE" w:rsidR="5E71F517">
        <w:rPr>
          <w:rFonts w:ascii="Arial" w:hAnsi="Arial" w:eastAsia="Arial" w:cs="Arial"/>
        </w:rPr>
        <w:t xml:space="preserve"> the sector, reducing international tourist arrivals by 74% and cutting the industry's GDP contribution in half. Despite some recovery efforts, tourism demand </w:t>
      </w:r>
      <w:r w:rsidRPr="0A3DC8CE" w:rsidR="5E71F517">
        <w:rPr>
          <w:rFonts w:ascii="Arial" w:hAnsi="Arial" w:eastAsia="Arial" w:cs="Arial"/>
        </w:rPr>
        <w:t>remains</w:t>
      </w:r>
      <w:r w:rsidRPr="0A3DC8CE" w:rsidR="5E71F517">
        <w:rPr>
          <w:rFonts w:ascii="Arial" w:hAnsi="Arial" w:eastAsia="Arial" w:cs="Arial"/>
        </w:rPr>
        <w:t xml:space="preserve"> sluggish, with arrivals still far below 2019 levels in 2021. The crisis has sparked a debate on whether the industry should return to its pre-pandemic state or adopt a more sustainable and resilient approach moving forward. While the economic losses were profound, the sector continues to face ongoing social and environmental challenges (Legrand and </w:t>
      </w:r>
      <w:r w:rsidRPr="0A3DC8CE" w:rsidR="5E71F517">
        <w:rPr>
          <w:rFonts w:ascii="Arial" w:hAnsi="Arial" w:eastAsia="Arial" w:cs="Arial"/>
        </w:rPr>
        <w:t>Laeis</w:t>
      </w:r>
      <w:r w:rsidRPr="0A3DC8CE" w:rsidR="5E71F517">
        <w:rPr>
          <w:rFonts w:ascii="Arial" w:hAnsi="Arial" w:eastAsia="Arial" w:cs="Arial"/>
        </w:rPr>
        <w:t xml:space="preserve">, 2021, as cited in Zhang et al., 2021, pp. 16-17). </w:t>
      </w:r>
    </w:p>
    <w:p w:rsidR="5E71F517" w:rsidP="0A3DC8CE" w:rsidRDefault="5E71F517" w14:paraId="75017895" w14:textId="7AD0CBC3">
      <w:pPr>
        <w:pStyle w:val="Normal"/>
        <w:spacing w:line="360" w:lineRule="auto"/>
        <w:ind w:left="0"/>
        <w:jc w:val="both"/>
        <w:rPr>
          <w:rFonts w:ascii="Arial" w:hAnsi="Arial" w:eastAsia="Arial" w:cs="Arial"/>
        </w:rPr>
      </w:pPr>
      <w:r w:rsidRPr="0A3DC8CE" w:rsidR="5E71F517">
        <w:rPr>
          <w:rFonts w:ascii="Arial" w:hAnsi="Arial" w:eastAsia="Arial" w:cs="Arial"/>
        </w:rPr>
        <w:t xml:space="preserve">The COVID-19 pandemic significantly </w:t>
      </w:r>
      <w:r w:rsidRPr="0A3DC8CE" w:rsidR="5E71F517">
        <w:rPr>
          <w:rFonts w:ascii="Arial" w:hAnsi="Arial" w:eastAsia="Arial" w:cs="Arial"/>
        </w:rPr>
        <w:t>impacted</w:t>
      </w:r>
      <w:r w:rsidRPr="0A3DC8CE" w:rsidR="5E71F517">
        <w:rPr>
          <w:rFonts w:ascii="Arial" w:hAnsi="Arial" w:eastAsia="Arial" w:cs="Arial"/>
        </w:rPr>
        <w:t xml:space="preserve"> profitability and liquidity across industries, including telecommunications. A study comparing pre-COVID-19 (2015-2018) and post-COVID-19 (2019-2022) financial data of 10 telecommunication companies listed on the Bombay Stock Exchange aims to examine these effects. The study uses secondary data and statistical analysis to </w:t>
      </w:r>
      <w:r w:rsidRPr="0A3DC8CE" w:rsidR="5E71F517">
        <w:rPr>
          <w:rFonts w:ascii="Arial" w:hAnsi="Arial" w:eastAsia="Arial" w:cs="Arial"/>
        </w:rPr>
        <w:t>identify</w:t>
      </w:r>
      <w:r w:rsidRPr="0A3DC8CE" w:rsidR="5E71F517">
        <w:rPr>
          <w:rFonts w:ascii="Arial" w:hAnsi="Arial" w:eastAsia="Arial" w:cs="Arial"/>
        </w:rPr>
        <w:t xml:space="preserve"> changes in profitability and liquidity, highlighting the pandemic’s role in financial struggles for businesses in the sector </w:t>
      </w:r>
      <w:r w:rsidRPr="0A3DC8CE" w:rsidR="5E71F517">
        <w:rPr>
          <w:rFonts w:ascii="Arial" w:hAnsi="Arial" w:eastAsia="Arial" w:cs="Arial"/>
        </w:rPr>
        <w:t>(Momin</w:t>
      </w:r>
      <w:r w:rsidRPr="0A3DC8CE" w:rsidR="5E71F517">
        <w:rPr>
          <w:rFonts w:ascii="Arial" w:hAnsi="Arial" w:eastAsia="Arial" w:cs="Arial"/>
        </w:rPr>
        <w:t>, and Jani, 2023, p. 11-17).</w:t>
      </w:r>
    </w:p>
    <w:p w:rsidR="5E71F517" w:rsidP="0A3DC8CE" w:rsidRDefault="5E71F517" w14:paraId="41954871" w14:textId="61AB252D">
      <w:pPr>
        <w:pStyle w:val="Normal"/>
        <w:spacing w:line="360" w:lineRule="auto"/>
        <w:ind w:left="0"/>
        <w:jc w:val="both"/>
        <w:rPr>
          <w:rFonts w:ascii="Arial" w:hAnsi="Arial" w:eastAsia="Arial" w:cs="Arial"/>
        </w:rPr>
      </w:pPr>
      <w:r w:rsidRPr="0A3DC8CE" w:rsidR="5E71F517">
        <w:rPr>
          <w:rFonts w:ascii="Arial" w:hAnsi="Arial" w:eastAsia="Arial" w:cs="Arial"/>
        </w:rPr>
        <w:t>The hospitality franchise sector faces several challenges, including cultural limitations that reduce creativity, especially in the context of U.S.-dominated franchises spreading globally, which can crowd out local businesses. Over-investment in existing global brands can limit local brand development, with consumers often choosing well-known names regardless of price. Additionally, franchising can lead to inefficiencies in certain markets due to lack of financial literacy among local entrepreneurs and rigid contractual obligations, which reduce flexibility, especially in times of crisis like the COVID-19 pandemic (</w:t>
      </w:r>
      <w:r w:rsidRPr="0A3DC8CE" w:rsidR="5E71F517">
        <w:rPr>
          <w:rFonts w:ascii="Arial" w:hAnsi="Arial" w:eastAsia="Arial" w:cs="Arial"/>
        </w:rPr>
        <w:t>Honchar</w:t>
      </w:r>
      <w:r w:rsidRPr="0A3DC8CE" w:rsidR="5E71F517">
        <w:rPr>
          <w:rFonts w:ascii="Arial" w:hAnsi="Arial" w:eastAsia="Arial" w:cs="Arial"/>
        </w:rPr>
        <w:t>, 2022, pp. 611-618)</w:t>
      </w:r>
      <w:r w:rsidRPr="0A3DC8CE" w:rsidR="5E71F517">
        <w:rPr>
          <w:rFonts w:ascii="Arial" w:hAnsi="Arial" w:eastAsia="Arial" w:cs="Arial"/>
        </w:rPr>
        <w:t xml:space="preserve">.  </w:t>
      </w:r>
    </w:p>
    <w:p w:rsidR="1E5C6D66" w:rsidP="0A3DC8CE" w:rsidRDefault="1E5C6D66" w14:paraId="37DC89EB" w14:textId="5DB73424">
      <w:pPr>
        <w:pStyle w:val="Normal"/>
        <w:spacing w:line="360" w:lineRule="auto"/>
        <w:ind w:left="0"/>
        <w:jc w:val="both"/>
        <w:rPr>
          <w:rFonts w:ascii="Arial" w:hAnsi="Arial" w:eastAsia="Arial" w:cs="Arial"/>
        </w:rPr>
      </w:pPr>
      <w:r w:rsidRPr="0A3DC8CE" w:rsidR="1E5C6D66">
        <w:rPr>
          <w:rFonts w:ascii="Arial" w:hAnsi="Arial" w:eastAsia="Arial" w:cs="Arial"/>
        </w:rPr>
        <w:t xml:space="preserve">A study by Mehta and Sharma (2021, cited in </w:t>
      </w:r>
      <w:r w:rsidRPr="0A3DC8CE" w:rsidR="1E5C6D66">
        <w:rPr>
          <w:rFonts w:ascii="Arial" w:hAnsi="Arial" w:eastAsia="Arial" w:cs="Arial"/>
        </w:rPr>
        <w:t>Elkhwesky</w:t>
      </w:r>
      <w:r w:rsidRPr="0A3DC8CE" w:rsidR="1E5C6D66">
        <w:rPr>
          <w:rFonts w:ascii="Arial" w:hAnsi="Arial" w:eastAsia="Arial" w:cs="Arial"/>
        </w:rPr>
        <w:t xml:space="preserve"> et al., 2022, pp. 7-8) conducted during the COVID-19 pandemic in India found that hotels were actively working to reduce their carbon footprint. Practices included water conservation, rainwater harvesting, the use of chemical-free housekeeping materials, switching to electric vehicles, and waste management. Hotels also implemented green building automation systems, recycling waste, creating no-smoking zones, and reducing single-use plastics. To further decrease carbon emissions, the study suggested that hotels introduce long-term environmental goals, improve energy performance, adopt carbon emission auditing, and support renewable energy initiatives. Additionally, hotels focused on sanitation and cleanliness, offering customers contactless services while </w:t>
      </w:r>
      <w:r w:rsidRPr="0A3DC8CE" w:rsidR="1E5C6D66">
        <w:rPr>
          <w:rFonts w:ascii="Arial" w:hAnsi="Arial" w:eastAsia="Arial" w:cs="Arial"/>
        </w:rPr>
        <w:t>maintaining</w:t>
      </w:r>
      <w:r w:rsidRPr="0A3DC8CE" w:rsidR="1E5C6D66">
        <w:rPr>
          <w:rFonts w:ascii="Arial" w:hAnsi="Arial" w:eastAsia="Arial" w:cs="Arial"/>
        </w:rPr>
        <w:t xml:space="preserve"> their sustainability efforts.</w:t>
      </w:r>
    </w:p>
    <w:p w:rsidR="0810D94A" w:rsidP="0A3DC8CE" w:rsidRDefault="0810D94A" w14:paraId="7BAB02F3" w14:textId="471F8A8A">
      <w:pPr>
        <w:pStyle w:val="Normal"/>
        <w:spacing w:line="360" w:lineRule="auto"/>
        <w:ind w:left="0"/>
        <w:jc w:val="both"/>
        <w:rPr>
          <w:rFonts w:ascii="Arial" w:hAnsi="Arial" w:eastAsia="Arial" w:cs="Arial"/>
        </w:rPr>
      </w:pPr>
      <w:r w:rsidRPr="0A3DC8CE" w:rsidR="0810D94A">
        <w:rPr>
          <w:rFonts w:ascii="Arial" w:hAnsi="Arial" w:eastAsia="Arial" w:cs="Arial"/>
        </w:rPr>
        <w:t>Global competition has intensified due to reduced trade barriers, improved transportation, sophisticated international markets, and internet use. These factors have lowered the costs of international trade, allowing foreign companies to compete more effectively with local firms (</w:t>
      </w:r>
      <w:bookmarkStart w:name="_Int_j8IwXDyo" w:id="1652382897"/>
      <w:r w:rsidRPr="0A3DC8CE" w:rsidR="0810D94A">
        <w:rPr>
          <w:rFonts w:ascii="Arial" w:hAnsi="Arial" w:eastAsia="Arial" w:cs="Arial"/>
        </w:rPr>
        <w:t>Seal  et al.</w:t>
      </w:r>
      <w:bookmarkEnd w:id="1652382897"/>
      <w:r w:rsidRPr="0A3DC8CE" w:rsidR="0810D94A">
        <w:rPr>
          <w:rFonts w:ascii="Arial" w:hAnsi="Arial" w:eastAsia="Arial" w:cs="Arial"/>
        </w:rPr>
        <w:t xml:space="preserve"> 2019, p.44). The rise of environmental sustainability concerns, driven by climate change, </w:t>
      </w:r>
      <w:r w:rsidRPr="0A3DC8CE" w:rsidR="0810D94A">
        <w:rPr>
          <w:rFonts w:ascii="Arial" w:hAnsi="Arial" w:eastAsia="Arial" w:cs="Arial"/>
        </w:rPr>
        <w:t>impacts</w:t>
      </w:r>
      <w:r w:rsidRPr="0A3DC8CE" w:rsidR="0810D94A">
        <w:rPr>
          <w:rFonts w:ascii="Arial" w:hAnsi="Arial" w:eastAsia="Arial" w:cs="Arial"/>
        </w:rPr>
        <w:t xml:space="preserve"> profitability in several ways: companies face compliance pressures from regulations and green taxes, eco-efficiency can reduce costs, and customer demand for genuine green policies forces companies to adopt sustainable practices (</w:t>
      </w:r>
      <w:r w:rsidRPr="0A3DC8CE" w:rsidR="0810D94A">
        <w:rPr>
          <w:rFonts w:ascii="Arial" w:hAnsi="Arial" w:eastAsia="Arial" w:cs="Arial"/>
        </w:rPr>
        <w:t>Seal  et al.</w:t>
      </w:r>
      <w:r w:rsidRPr="0A3DC8CE" w:rsidR="0810D94A">
        <w:rPr>
          <w:rFonts w:ascii="Arial" w:hAnsi="Arial" w:eastAsia="Arial" w:cs="Arial"/>
        </w:rPr>
        <w:t xml:space="preserve"> 2019, p.48).  </w:t>
      </w:r>
    </w:p>
    <w:p w:rsidR="1E158A11" w:rsidP="0A3DC8CE" w:rsidRDefault="1E158A11" w14:paraId="7BF2373B" w14:textId="00573414">
      <w:pPr>
        <w:pStyle w:val="Normal"/>
        <w:spacing w:line="360" w:lineRule="auto"/>
        <w:ind w:left="0"/>
        <w:jc w:val="both"/>
        <w:rPr>
          <w:rFonts w:ascii="Arial" w:hAnsi="Arial" w:eastAsia="Arial" w:cs="Arial"/>
        </w:rPr>
      </w:pPr>
      <w:r w:rsidRPr="0A3DC8CE" w:rsidR="1E158A11">
        <w:rPr>
          <w:rFonts w:ascii="Arial" w:hAnsi="Arial" w:eastAsia="Arial" w:cs="Arial"/>
        </w:rPr>
        <w:t xml:space="preserve">The European Union aims to become a global leader in the digital economy, promote the digitization of developing nations, and </w:t>
      </w:r>
      <w:r w:rsidRPr="0A3DC8CE" w:rsidR="1E158A11">
        <w:rPr>
          <w:rFonts w:ascii="Arial" w:hAnsi="Arial" w:eastAsia="Arial" w:cs="Arial"/>
        </w:rPr>
        <w:t>establish</w:t>
      </w:r>
      <w:r w:rsidRPr="0A3DC8CE" w:rsidR="1E158A11">
        <w:rPr>
          <w:rFonts w:ascii="Arial" w:hAnsi="Arial" w:eastAsia="Arial" w:cs="Arial"/>
        </w:rPr>
        <w:t xml:space="preserve"> international digital standards. In a digital society, businesses can benefit significantly from high-quality data, which can reduce costs and </w:t>
      </w:r>
      <w:r w:rsidRPr="0A3DC8CE" w:rsidR="1E158A11">
        <w:rPr>
          <w:rFonts w:ascii="Arial" w:hAnsi="Arial" w:eastAsia="Arial" w:cs="Arial"/>
        </w:rPr>
        <w:t>optimize</w:t>
      </w:r>
      <w:r w:rsidRPr="0A3DC8CE" w:rsidR="1E158A11">
        <w:rPr>
          <w:rFonts w:ascii="Arial" w:hAnsi="Arial" w:eastAsia="Arial" w:cs="Arial"/>
        </w:rPr>
        <w:t xml:space="preserve"> production processes. Digitization also provides a robust framework for online business operations, ensuring equal market access for economic entities to </w:t>
      </w:r>
      <w:r w:rsidRPr="0A3DC8CE" w:rsidR="1E158A11">
        <w:rPr>
          <w:rFonts w:ascii="Arial" w:hAnsi="Arial" w:eastAsia="Arial" w:cs="Arial"/>
        </w:rPr>
        <w:t>initiate</w:t>
      </w:r>
      <w:r w:rsidRPr="0A3DC8CE" w:rsidR="1E158A11">
        <w:rPr>
          <w:rFonts w:ascii="Arial" w:hAnsi="Arial" w:eastAsia="Arial" w:cs="Arial"/>
        </w:rPr>
        <w:t xml:space="preserve">, expand, or innovate in their activities. This promotes fair competition and supports innovation, which is crucial for productivity and economic growth. While innovation often originates within the company that develops it, the most substantial advantages </w:t>
      </w:r>
      <w:r w:rsidRPr="0A3DC8CE" w:rsidR="1E158A11">
        <w:rPr>
          <w:rFonts w:ascii="Arial" w:hAnsi="Arial" w:eastAsia="Arial" w:cs="Arial"/>
        </w:rPr>
        <w:t>emerge</w:t>
      </w:r>
      <w:r w:rsidRPr="0A3DC8CE" w:rsidR="1E158A11">
        <w:rPr>
          <w:rFonts w:ascii="Arial" w:hAnsi="Arial" w:eastAsia="Arial" w:cs="Arial"/>
        </w:rPr>
        <w:t xml:space="preserve"> when other companies and communities adopt and integrate these innovations across the value chain (</w:t>
      </w:r>
      <w:r w:rsidRPr="0A3DC8CE" w:rsidR="1E158A11">
        <w:rPr>
          <w:rFonts w:ascii="Arial" w:hAnsi="Arial" w:eastAsia="Arial" w:cs="Arial"/>
        </w:rPr>
        <w:t>Oncioiu</w:t>
      </w:r>
      <w:r w:rsidRPr="0A3DC8CE" w:rsidR="1E158A11">
        <w:rPr>
          <w:rFonts w:ascii="Arial" w:hAnsi="Arial" w:eastAsia="Arial" w:cs="Arial"/>
        </w:rPr>
        <w:t xml:space="preserve"> and Popescu, 2021, p. 72-82).</w:t>
      </w:r>
    </w:p>
    <w:p w:rsidR="04101153" w:rsidP="0A3DC8CE" w:rsidRDefault="04101153" w14:paraId="58A8FE83" w14:textId="616D8405">
      <w:pPr>
        <w:pStyle w:val="Normal"/>
        <w:spacing w:line="360" w:lineRule="auto"/>
        <w:ind w:left="0"/>
        <w:jc w:val="both"/>
        <w:rPr>
          <w:rFonts w:ascii="Arial" w:hAnsi="Arial" w:eastAsia="Arial" w:cs="Arial"/>
        </w:rPr>
      </w:pPr>
      <w:r w:rsidRPr="0A3DC8CE" w:rsidR="04101153">
        <w:rPr>
          <w:rFonts w:ascii="Arial" w:hAnsi="Arial" w:eastAsia="Arial" w:cs="Arial"/>
        </w:rPr>
        <w:t xml:space="preserve">The COVID-19 pandemic led to both positive and negative effects on sustainability. While it contributed to a reduction in air travel and vehicle traffic, resulting in lower emissions and pollution levels (Jones &amp; Comfort, 2020, cited in </w:t>
      </w:r>
      <w:r w:rsidRPr="0A3DC8CE" w:rsidR="04101153">
        <w:rPr>
          <w:rFonts w:ascii="Arial" w:hAnsi="Arial" w:eastAsia="Arial" w:cs="Arial"/>
        </w:rPr>
        <w:t>Elkhwesky</w:t>
      </w:r>
      <w:r w:rsidRPr="0A3DC8CE" w:rsidR="04101153">
        <w:rPr>
          <w:rFonts w:ascii="Arial" w:hAnsi="Arial" w:eastAsia="Arial" w:cs="Arial"/>
        </w:rPr>
        <w:t xml:space="preserve"> et al., 2022), it also caused a rise in carbon footprint due to the boom in e-commerce during the pandemic. Various sustainable practices were adopted by hospitality enterprises during this period, such as green promotion strategies, green physical environments, and food waste management (</w:t>
      </w:r>
      <w:r w:rsidRPr="0A3DC8CE" w:rsidR="04101153">
        <w:rPr>
          <w:rFonts w:ascii="Arial" w:hAnsi="Arial" w:eastAsia="Arial" w:cs="Arial"/>
        </w:rPr>
        <w:t>Šerić</w:t>
      </w:r>
      <w:r w:rsidRPr="0A3DC8CE" w:rsidR="04101153">
        <w:rPr>
          <w:rFonts w:ascii="Arial" w:hAnsi="Arial" w:eastAsia="Arial" w:cs="Arial"/>
        </w:rPr>
        <w:t xml:space="preserve"> and </w:t>
      </w:r>
      <w:r w:rsidRPr="0A3DC8CE" w:rsidR="04101153">
        <w:rPr>
          <w:rFonts w:ascii="Arial" w:hAnsi="Arial" w:eastAsia="Arial" w:cs="Arial"/>
        </w:rPr>
        <w:t>Šerić</w:t>
      </w:r>
      <w:r w:rsidRPr="0A3DC8CE" w:rsidR="04101153">
        <w:rPr>
          <w:rFonts w:ascii="Arial" w:hAnsi="Arial" w:eastAsia="Arial" w:cs="Arial"/>
        </w:rPr>
        <w:t xml:space="preserve">, 2021, cited in </w:t>
      </w:r>
      <w:r w:rsidRPr="0A3DC8CE" w:rsidR="04101153">
        <w:rPr>
          <w:rFonts w:ascii="Arial" w:hAnsi="Arial" w:eastAsia="Arial" w:cs="Arial"/>
        </w:rPr>
        <w:t>Elkhwesky</w:t>
      </w:r>
      <w:r w:rsidRPr="0A3DC8CE" w:rsidR="04101153">
        <w:rPr>
          <w:rFonts w:ascii="Arial" w:hAnsi="Arial" w:eastAsia="Arial" w:cs="Arial"/>
        </w:rPr>
        <w:t xml:space="preserve"> et al., 2022). Social responsibility and the care for stakeholders became important sustainability issues during and after the COVID-19 pandemic (</w:t>
      </w:r>
      <w:r w:rsidRPr="0A3DC8CE" w:rsidR="04101153">
        <w:rPr>
          <w:rFonts w:ascii="Arial" w:hAnsi="Arial" w:eastAsia="Arial" w:cs="Arial"/>
        </w:rPr>
        <w:t>Pelikanova</w:t>
      </w:r>
      <w:r w:rsidRPr="0A3DC8CE" w:rsidR="04101153">
        <w:rPr>
          <w:rFonts w:ascii="Arial" w:hAnsi="Arial" w:eastAsia="Arial" w:cs="Arial"/>
        </w:rPr>
        <w:t xml:space="preserve"> et al., 2021, cited in </w:t>
      </w:r>
      <w:r w:rsidRPr="0A3DC8CE" w:rsidR="04101153">
        <w:rPr>
          <w:rFonts w:ascii="Arial" w:hAnsi="Arial" w:eastAsia="Arial" w:cs="Arial"/>
        </w:rPr>
        <w:t>Elkhwesky</w:t>
      </w:r>
      <w:r w:rsidRPr="0A3DC8CE" w:rsidR="04101153">
        <w:rPr>
          <w:rFonts w:ascii="Arial" w:hAnsi="Arial" w:eastAsia="Arial" w:cs="Arial"/>
        </w:rPr>
        <w:t xml:space="preserve"> et al., 2022). Additionally, Duric and Topler (2021, cited in </w:t>
      </w:r>
      <w:r w:rsidRPr="0A3DC8CE" w:rsidR="04101153">
        <w:rPr>
          <w:rFonts w:ascii="Arial" w:hAnsi="Arial" w:eastAsia="Arial" w:cs="Arial"/>
        </w:rPr>
        <w:t>Elkhwesky</w:t>
      </w:r>
      <w:r w:rsidRPr="0A3DC8CE" w:rsidR="04101153">
        <w:rPr>
          <w:rFonts w:ascii="Arial" w:hAnsi="Arial" w:eastAsia="Arial" w:cs="Arial"/>
        </w:rPr>
        <w:t xml:space="preserve"> et al., 2022) </w:t>
      </w:r>
      <w:r w:rsidRPr="0A3DC8CE" w:rsidR="04101153">
        <w:rPr>
          <w:rFonts w:ascii="Arial" w:hAnsi="Arial" w:eastAsia="Arial" w:cs="Arial"/>
        </w:rPr>
        <w:t>observed</w:t>
      </w:r>
      <w:r w:rsidRPr="0A3DC8CE" w:rsidR="04101153">
        <w:rPr>
          <w:rFonts w:ascii="Arial" w:hAnsi="Arial" w:eastAsia="Arial" w:cs="Arial"/>
        </w:rPr>
        <w:t xml:space="preserve"> that hotels implemented several sustainability measures, including waste minimization, emissions reduction, and energy and water consumption reduction.</w:t>
      </w:r>
    </w:p>
    <w:p w:rsidR="7DAE02BE" w:rsidP="0A3DC8CE" w:rsidRDefault="7DAE02BE" w14:paraId="3C6CF66F" w14:textId="56EE2742">
      <w:pPr>
        <w:pStyle w:val="ListParagraph"/>
        <w:numPr>
          <w:ilvl w:val="0"/>
          <w:numId w:val="1"/>
        </w:numPr>
        <w:spacing w:line="360" w:lineRule="auto"/>
        <w:jc w:val="both"/>
        <w:rPr>
          <w:rFonts w:ascii="Arial" w:hAnsi="Arial" w:eastAsia="Arial" w:cs="Arial"/>
        </w:rPr>
      </w:pPr>
      <w:r w:rsidRPr="0A3DC8CE" w:rsidR="7DAE02BE">
        <w:rPr>
          <w:rFonts w:ascii="Arial" w:hAnsi="Arial" w:eastAsia="Arial" w:cs="Arial"/>
        </w:rPr>
        <w:t xml:space="preserve">Turnaround Strategy Development </w:t>
      </w:r>
    </w:p>
    <w:p w:rsidR="7DAE02BE" w:rsidP="0A3DC8CE" w:rsidRDefault="7DAE02BE" w14:paraId="4DEB0B75" w14:textId="1BEE17E5">
      <w:pPr>
        <w:pStyle w:val="Normal"/>
        <w:spacing w:line="360" w:lineRule="auto"/>
        <w:ind w:left="0"/>
        <w:jc w:val="both"/>
        <w:rPr>
          <w:rFonts w:ascii="Arial" w:hAnsi="Arial" w:eastAsia="Arial" w:cs="Arial"/>
        </w:rPr>
      </w:pPr>
      <w:r w:rsidRPr="0A3DC8CE" w:rsidR="7DAE02BE">
        <w:rPr>
          <w:rFonts w:ascii="Arial" w:hAnsi="Arial" w:eastAsia="Arial" w:cs="Arial"/>
        </w:rPr>
        <w:t xml:space="preserve">A budget </w:t>
      </w:r>
      <w:r w:rsidRPr="0A3DC8CE" w:rsidR="7DAE02BE">
        <w:rPr>
          <w:rFonts w:ascii="Arial" w:hAnsi="Arial" w:eastAsia="Arial" w:cs="Arial"/>
        </w:rPr>
        <w:t>allocates</w:t>
      </w:r>
      <w:r w:rsidRPr="0A3DC8CE" w:rsidR="7DAE02BE">
        <w:rPr>
          <w:rFonts w:ascii="Arial" w:hAnsi="Arial" w:eastAsia="Arial" w:cs="Arial"/>
        </w:rPr>
        <w:t xml:space="preserve"> funds to specific activities, covering both revenues and expenses, including long-term capital equipment. Hospitality operators focus on sustainability by saving resources like water, energy, and food, which directly boosts profits. For example, installing water-saving devices can significantly reduce both consumption and costs. Implementing sustainable practices is crucial for environmental responsibility and financial success. Additionally, active social media participation is essential for staying relevant and engaging with customers, keeping content fresh and interesting (Walker, 2021, p. 360-364). The Ritz-Carlton differentiates itself by offering luxury accommodation and exceptional service, emphasized through a strong company culture and employee training. By empowering staff to solve problems on the spot and adhering to high-quality standards, the hotel ensures customer satisfaction. This approach, alongside participatory leadership and continuous employee recognition has helped the Ritz-Carlton achieve excellence and industry awards (Walker, 2021, p.412).  </w:t>
      </w:r>
    </w:p>
    <w:p w:rsidR="37EBBFEF" w:rsidP="0A3DC8CE" w:rsidRDefault="37EBBFEF" w14:paraId="73A50975" w14:textId="1B3A2A9B">
      <w:pPr>
        <w:pStyle w:val="Normal"/>
        <w:spacing w:line="360" w:lineRule="auto"/>
        <w:ind w:left="0"/>
        <w:jc w:val="both"/>
        <w:rPr>
          <w:rFonts w:ascii="Arial" w:hAnsi="Arial" w:eastAsia="Arial" w:cs="Arial"/>
        </w:rPr>
      </w:pPr>
      <w:r w:rsidRPr="0A3DC8CE" w:rsidR="37EBBFEF">
        <w:rPr>
          <w:rFonts w:ascii="Arial" w:hAnsi="Arial" w:eastAsia="Arial" w:cs="Arial"/>
        </w:rPr>
        <w:t xml:space="preserve">In a post-COVID-19 analysis of the hotel industry, Yacoub and </w:t>
      </w:r>
      <w:r w:rsidRPr="0A3DC8CE" w:rsidR="37EBBFEF">
        <w:rPr>
          <w:rFonts w:ascii="Arial" w:hAnsi="Arial" w:eastAsia="Arial" w:cs="Arial"/>
        </w:rPr>
        <w:t>ElHajjar</w:t>
      </w:r>
      <w:r w:rsidRPr="0A3DC8CE" w:rsidR="37EBBFEF">
        <w:rPr>
          <w:rFonts w:ascii="Arial" w:hAnsi="Arial" w:eastAsia="Arial" w:cs="Arial"/>
        </w:rPr>
        <w:t xml:space="preserve"> (2021, cited in Costa and Costa, 2021) highlight that hotel managers believe recovery is achievable through strategic security measures and a focus on the local market. They emphasize the importance of developing pandemic management teams to enforce safety protocols. The authors also suggest that collaboration between the private and public sectors, including partnerships with tourism organizations, universities, and event planners, is crucial for revitalizing the industry. Such collaboration can lead to innovative methods and </w:t>
      </w:r>
      <w:r w:rsidRPr="0A3DC8CE" w:rsidR="37EBBFEF">
        <w:rPr>
          <w:rFonts w:ascii="Arial" w:hAnsi="Arial" w:eastAsia="Arial" w:cs="Arial"/>
        </w:rPr>
        <w:t>new marketing</w:t>
      </w:r>
      <w:r w:rsidRPr="0A3DC8CE" w:rsidR="37EBBFEF">
        <w:rPr>
          <w:rFonts w:ascii="Arial" w:hAnsi="Arial" w:eastAsia="Arial" w:cs="Arial"/>
        </w:rPr>
        <w:t xml:space="preserve"> strategies to support the sector's recovery</w:t>
      </w:r>
      <w:r w:rsidRPr="0A3DC8CE" w:rsidR="37EBBFEF">
        <w:rPr>
          <w:rFonts w:ascii="Arial" w:hAnsi="Arial" w:eastAsia="Arial" w:cs="Arial"/>
        </w:rPr>
        <w:t xml:space="preserve">.  </w:t>
      </w:r>
    </w:p>
    <w:p w:rsidR="6942DB90" w:rsidP="0A3DC8CE" w:rsidRDefault="6942DB90" w14:paraId="2C1D9894" w14:textId="470BB56C">
      <w:pPr>
        <w:pStyle w:val="Normal"/>
        <w:spacing w:line="360" w:lineRule="auto"/>
        <w:ind w:left="0"/>
        <w:jc w:val="both"/>
        <w:rPr>
          <w:rFonts w:ascii="Arial" w:hAnsi="Arial" w:eastAsia="Arial" w:cs="Arial"/>
        </w:rPr>
      </w:pPr>
      <w:r w:rsidRPr="0A3DC8CE" w:rsidR="6942DB90">
        <w:rPr>
          <w:rFonts w:ascii="Arial" w:hAnsi="Arial" w:eastAsia="Arial" w:cs="Arial"/>
        </w:rPr>
        <w:t>Managers are responsible for planning, organizing resources, directing staff, and controlling operations. They use management accounting data, like sales reports, for decision-making and to monitor performance, adjusting plans when necessary to stay on track (Seal et al., 2019, p. 37-38).</w:t>
      </w:r>
    </w:p>
    <w:p w:rsidR="6942DB90" w:rsidP="0A3DC8CE" w:rsidRDefault="6942DB90" w14:paraId="160F28F4" w14:textId="3F1D904A">
      <w:pPr>
        <w:pStyle w:val="Normal"/>
        <w:spacing w:line="360" w:lineRule="auto"/>
        <w:ind w:left="0"/>
        <w:jc w:val="both"/>
      </w:pPr>
      <w:r w:rsidRPr="0A3DC8CE" w:rsidR="6942DB90">
        <w:rPr>
          <w:rFonts w:ascii="Arial" w:hAnsi="Arial" w:eastAsia="Arial" w:cs="Arial"/>
        </w:rPr>
        <w:t>Management accounting focuses on future planning based on forecasts, while financial accounting summarizes past transactions, which are less useful for predicting future trends. Unlike financial accounting, which provides company-wide reports, management accounting focuses on specific segments to support internal decision-making (Seal et al., 2019, p. 40).</w:t>
      </w:r>
    </w:p>
    <w:p w:rsidR="6942DB90" w:rsidP="0A3DC8CE" w:rsidRDefault="6942DB90" w14:paraId="184725C9" w14:textId="7DAE0720">
      <w:pPr>
        <w:pStyle w:val="Normal"/>
        <w:spacing w:line="360" w:lineRule="auto"/>
        <w:ind w:left="0"/>
        <w:jc w:val="both"/>
      </w:pPr>
      <w:r w:rsidRPr="0A3DC8CE" w:rsidR="6942DB90">
        <w:rPr>
          <w:rFonts w:ascii="Arial" w:hAnsi="Arial" w:eastAsia="Arial" w:cs="Arial"/>
        </w:rPr>
        <w:t xml:space="preserve">To </w:t>
      </w:r>
      <w:r w:rsidRPr="0A3DC8CE" w:rsidR="6942DB90">
        <w:rPr>
          <w:rFonts w:ascii="Arial" w:hAnsi="Arial" w:eastAsia="Arial" w:cs="Arial"/>
        </w:rPr>
        <w:t>remain</w:t>
      </w:r>
      <w:r w:rsidRPr="0A3DC8CE" w:rsidR="6942DB90">
        <w:rPr>
          <w:rFonts w:ascii="Arial" w:hAnsi="Arial" w:eastAsia="Arial" w:cs="Arial"/>
        </w:rPr>
        <w:t xml:space="preserve"> competitive, firms must adopt world-class standards and innovation. A turnaround strategy should incorporate improvement programs like just-in-time (JIT) and total quality management (TQM), focusing on efficiency and continuous improvement. Leveraging </w:t>
      </w:r>
      <w:r w:rsidRPr="0A3DC8CE" w:rsidR="6942DB90">
        <w:rPr>
          <w:rFonts w:ascii="Arial" w:hAnsi="Arial" w:eastAsia="Arial" w:cs="Arial"/>
        </w:rPr>
        <w:t>new technologies</w:t>
      </w:r>
      <w:r w:rsidRPr="0A3DC8CE" w:rsidR="6942DB90">
        <w:rPr>
          <w:rFonts w:ascii="Arial" w:hAnsi="Arial" w:eastAsia="Arial" w:cs="Arial"/>
        </w:rPr>
        <w:t xml:space="preserve"> in management accounting can streamline operations and enhance competitiveness (Seal et al., 2019, p. 44-45).</w:t>
      </w:r>
    </w:p>
    <w:p w:rsidR="10A56F0D" w:rsidP="0A3DC8CE" w:rsidRDefault="10A56F0D" w14:paraId="2FBD75A9" w14:textId="3E334741">
      <w:pPr>
        <w:pStyle w:val="Normal"/>
        <w:spacing w:line="360" w:lineRule="auto"/>
        <w:ind w:left="0"/>
        <w:jc w:val="both"/>
        <w:rPr>
          <w:rFonts w:ascii="Arial" w:hAnsi="Arial" w:eastAsia="Arial" w:cs="Arial"/>
        </w:rPr>
      </w:pPr>
      <w:r w:rsidRPr="0A3DC8CE" w:rsidR="10A56F0D">
        <w:rPr>
          <w:rFonts w:ascii="Arial" w:hAnsi="Arial" w:eastAsia="Arial" w:cs="Arial"/>
        </w:rPr>
        <w:t>Organizations, both large and small, need managers to plan, organize, direct, and control operations (Seal et al. 2019 p.37). Despite progress, corporate sustainability is at a turning point: corporate leaders involved in sustainability remain relatively few and unevenly spread across regions and industries. Yet, some companies show that sustainability can fuel innovation, efficiency, and long-term value creation (Seal et al. 2019 p. 47-48).</w:t>
      </w:r>
    </w:p>
    <w:p w:rsidR="10A56F0D" w:rsidP="0A3DC8CE" w:rsidRDefault="10A56F0D" w14:paraId="4EE87D39" w14:textId="4E962919">
      <w:pPr>
        <w:pStyle w:val="ListParagraph"/>
        <w:numPr>
          <w:ilvl w:val="0"/>
          <w:numId w:val="1"/>
        </w:numPr>
        <w:spacing w:line="360" w:lineRule="auto"/>
        <w:jc w:val="both"/>
        <w:rPr>
          <w:rFonts w:ascii="Arial" w:hAnsi="Arial" w:eastAsia="Arial" w:cs="Arial"/>
        </w:rPr>
      </w:pPr>
      <w:r w:rsidRPr="0A3DC8CE" w:rsidR="10A56F0D">
        <w:rPr>
          <w:rFonts w:ascii="Arial" w:hAnsi="Arial" w:eastAsia="Arial" w:cs="Arial"/>
        </w:rPr>
        <w:t>Conclusion</w:t>
      </w:r>
    </w:p>
    <w:p w:rsidR="0547FFEB" w:rsidP="0A3DC8CE" w:rsidRDefault="0547FFEB" w14:paraId="617B0483" w14:textId="076E6E09">
      <w:pPr>
        <w:pStyle w:val="Normal"/>
        <w:spacing w:line="360" w:lineRule="auto"/>
        <w:ind w:left="0"/>
        <w:jc w:val="both"/>
        <w:rPr>
          <w:rFonts w:ascii="Arial" w:hAnsi="Arial" w:eastAsia="Arial" w:cs="Arial"/>
        </w:rPr>
      </w:pPr>
      <w:r w:rsidRPr="0A3DC8CE" w:rsidR="0547FFEB">
        <w:rPr>
          <w:rFonts w:ascii="Arial" w:hAnsi="Arial" w:eastAsia="Arial" w:cs="Arial"/>
        </w:rPr>
        <w:t>The City Hotel has faced a significant financial decline from 2021 to 2023, with reduced revenue, profitability, and liquidity. External factors, including the lasting impact of COVID-19 and increased competition, contributed to these challenges. To recover, the hotel needs a comprehensive turnaround strategy focusing on operational efficiency, customer engagement, and sustainability. Adopting best practices like Total Quality Management (TQM), Just-in-Time (JIT), and leveraging new technologies will streamline operations, reduce costs, and improve service. A proactive, data-driven approach is essential for restoring financial health and ensuring long-term success.</w:t>
      </w:r>
    </w:p>
    <w:p w:rsidR="10A56F0D" w:rsidP="0A3DC8CE" w:rsidRDefault="10A56F0D" w14:paraId="31F30310" w14:textId="32E73C6C">
      <w:pPr>
        <w:pStyle w:val="Normal"/>
        <w:spacing w:line="360" w:lineRule="auto"/>
        <w:ind w:left="0"/>
        <w:jc w:val="both"/>
        <w:rPr>
          <w:rFonts w:ascii="Arial" w:hAnsi="Arial" w:eastAsia="Arial" w:cs="Arial"/>
        </w:rPr>
      </w:pPr>
      <w:r w:rsidRPr="0A3DC8CE" w:rsidR="10A56F0D">
        <w:rPr>
          <w:rFonts w:ascii="Arial" w:hAnsi="Arial" w:eastAsia="Arial" w:cs="Arial"/>
        </w:rPr>
        <w:t>Understanding liquidity and profitability ratios is crucial for evaluating financial stability and performance. Liquidity ratios ensure a business can meet its short-term obligations, while profitability ratios assess how well a company generates profit relative to its resources. These metrics provide insights into financial health and the effectiveness of strategies aimed at improving profitability and sustainability (</w:t>
      </w:r>
      <w:r w:rsidRPr="0A3DC8CE" w:rsidR="10A56F0D">
        <w:rPr>
          <w:rFonts w:ascii="Arial" w:hAnsi="Arial" w:eastAsia="Arial" w:cs="Arial"/>
        </w:rPr>
        <w:t>Atrill</w:t>
      </w:r>
      <w:r w:rsidRPr="0A3DC8CE" w:rsidR="10A56F0D">
        <w:rPr>
          <w:rFonts w:ascii="Arial" w:hAnsi="Arial" w:eastAsia="Arial" w:cs="Arial"/>
        </w:rPr>
        <w:t xml:space="preserve"> &amp; McLaney, 2016, p. 264).</w:t>
      </w:r>
    </w:p>
    <w:p w:rsidR="4C644D97" w:rsidP="0A3DC8CE" w:rsidRDefault="4C644D97" w14:paraId="34A18AA2" w14:textId="3451EDE2">
      <w:pPr>
        <w:pStyle w:val="ListParagraph"/>
        <w:numPr>
          <w:ilvl w:val="0"/>
          <w:numId w:val="1"/>
        </w:numPr>
        <w:spacing w:line="360" w:lineRule="auto"/>
        <w:jc w:val="both"/>
        <w:rPr>
          <w:rFonts w:ascii="Arial" w:hAnsi="Arial" w:eastAsia="Arial" w:cs="Arial"/>
        </w:rPr>
      </w:pPr>
      <w:r w:rsidRPr="0A3DC8CE" w:rsidR="4C644D97">
        <w:rPr>
          <w:rFonts w:ascii="Arial" w:hAnsi="Arial" w:eastAsia="Arial" w:cs="Arial"/>
        </w:rPr>
        <w:t xml:space="preserve">Recommendations </w:t>
      </w:r>
    </w:p>
    <w:p w:rsidR="2B842FCF" w:rsidP="0A3DC8CE" w:rsidRDefault="2B842FCF" w14:paraId="3F214B74" w14:textId="50C613C9">
      <w:pPr>
        <w:pStyle w:val="Normal"/>
        <w:spacing w:line="360" w:lineRule="auto"/>
        <w:ind w:left="0"/>
        <w:jc w:val="both"/>
        <w:rPr>
          <w:rFonts w:ascii="Arial" w:hAnsi="Arial" w:eastAsia="Arial" w:cs="Arial"/>
        </w:rPr>
      </w:pPr>
      <w:r w:rsidRPr="0A3DC8CE" w:rsidR="2B842FCF">
        <w:rPr>
          <w:rFonts w:ascii="Arial" w:hAnsi="Arial" w:eastAsia="Arial" w:cs="Arial"/>
        </w:rPr>
        <w:t>To improve The City Hotel’s financial health and ensure long-term sustainability, several key strategies are recommended. First, enhancing operational efficiency through cost-reduction initiatives, such as optimizing staffing levels and renegotiating contracts, will help control expenses without sacrificing service quality. Diversifying revenue streams, including offering meeting facilities and partnering with local attractions, can attract a wider range of customers and reduce reliance on room bookings alone. Strengthening customer engagement through digital marketing and loyalty programs will foster repeat business, while focusing on sustainability practices can reduce costs and appeal to eco-conscious guests.</w:t>
      </w:r>
    </w:p>
    <w:p w:rsidR="2B842FCF" w:rsidP="0A3DC8CE" w:rsidRDefault="2B842FCF" w14:paraId="4A99E558" w14:textId="2D44ED40">
      <w:pPr>
        <w:pStyle w:val="Normal"/>
        <w:spacing w:line="360" w:lineRule="auto"/>
        <w:ind w:left="0"/>
        <w:jc w:val="both"/>
      </w:pPr>
      <w:r w:rsidRPr="0A3DC8CE" w:rsidR="2B842FCF">
        <w:rPr>
          <w:rFonts w:ascii="Arial" w:hAnsi="Arial" w:eastAsia="Arial" w:cs="Arial"/>
        </w:rPr>
        <w:t>Advancements in IT and big data offer significant opportunities for The City Hotel. With managers now able to directly access and analyze data, management accountants can shift towards more strategic roles, offering valuable insights on performance, profitability, and cost management. Leveraging digital tools and big data will allow the hotel to optimize revenue, improve decision-making, and track costs more accurately. Additionally, adopting Total Quality Management (TQM) and potentially pursuing ISO 9000 certification will ensure continuous improvement and meet customer expectations for both quality and cost-effectiveness.</w:t>
      </w:r>
    </w:p>
    <w:p w:rsidR="2B842FCF" w:rsidP="0A3DC8CE" w:rsidRDefault="2B842FCF" w14:paraId="5DAD0948" w14:textId="142F2FB2">
      <w:pPr>
        <w:pStyle w:val="Normal"/>
        <w:spacing w:line="360" w:lineRule="auto"/>
        <w:ind w:left="0"/>
        <w:jc w:val="both"/>
      </w:pPr>
      <w:r w:rsidRPr="0A3DC8CE" w:rsidR="2B842FCF">
        <w:rPr>
          <w:rFonts w:ascii="Arial" w:hAnsi="Arial" w:eastAsia="Arial" w:cs="Arial"/>
        </w:rPr>
        <w:t xml:space="preserve">Regularly reviewing liquidity and profitability ratios will help </w:t>
      </w:r>
      <w:r w:rsidRPr="0A3DC8CE" w:rsidR="2B842FCF">
        <w:rPr>
          <w:rFonts w:ascii="Arial" w:hAnsi="Arial" w:eastAsia="Arial" w:cs="Arial"/>
        </w:rPr>
        <w:t>maintain</w:t>
      </w:r>
      <w:r w:rsidRPr="0A3DC8CE" w:rsidR="2B842FCF">
        <w:rPr>
          <w:rFonts w:ascii="Arial" w:hAnsi="Arial" w:eastAsia="Arial" w:cs="Arial"/>
        </w:rPr>
        <w:t xml:space="preserve"> financial </w:t>
      </w:r>
      <w:r w:rsidRPr="0A3DC8CE" w:rsidR="2B842FCF">
        <w:rPr>
          <w:rFonts w:ascii="Arial" w:hAnsi="Arial" w:eastAsia="Arial" w:cs="Arial"/>
        </w:rPr>
        <w:t>stability;</w:t>
      </w:r>
      <w:r w:rsidRPr="0A3DC8CE" w:rsidR="2B842FCF">
        <w:rPr>
          <w:rFonts w:ascii="Arial" w:hAnsi="Arial" w:eastAsia="Arial" w:cs="Arial"/>
        </w:rPr>
        <w:t xml:space="preserve"> while investing in technology such as property management software will streamline operations. Forming strategic partnerships with local businesses and tourism organizations will further enhance visibility and attract more customers. These combined efforts will support a comprehensive turnaround strategy, improving The City Hotel’s financial performance and competitiveness in a dynamic market.</w:t>
      </w:r>
    </w:p>
    <w:p w:rsidR="4C644D97" w:rsidP="0A3DC8CE" w:rsidRDefault="4C644D97" w14:paraId="6F27808D" w14:textId="584DCA1C">
      <w:pPr>
        <w:pStyle w:val="Normal"/>
        <w:spacing w:line="360" w:lineRule="auto"/>
        <w:ind w:left="0"/>
        <w:jc w:val="both"/>
        <w:rPr>
          <w:rFonts w:ascii="Arial" w:hAnsi="Arial" w:eastAsia="Arial" w:cs="Arial"/>
        </w:rPr>
      </w:pPr>
      <w:r w:rsidRPr="0A3DC8CE" w:rsidR="4C644D97">
        <w:rPr>
          <w:rFonts w:ascii="Arial" w:hAnsi="Arial" w:eastAsia="Arial" w:cs="Arial"/>
        </w:rPr>
        <w:t xml:space="preserve">Advancements in IT have significantly transformed the role of management accountants. Information gathering and processing, particularly for cost and revenue transactions, have become much more efficient. Managers can now directly access and </w:t>
      </w:r>
      <w:r w:rsidRPr="0A3DC8CE" w:rsidR="4C644D97">
        <w:rPr>
          <w:rFonts w:ascii="Arial" w:hAnsi="Arial" w:eastAsia="Arial" w:cs="Arial"/>
        </w:rPr>
        <w:t>analyse</w:t>
      </w:r>
      <w:r w:rsidRPr="0A3DC8CE" w:rsidR="4C644D97">
        <w:rPr>
          <w:rFonts w:ascii="Arial" w:hAnsi="Arial" w:eastAsia="Arial" w:cs="Arial"/>
        </w:rPr>
        <w:t xml:space="preserve"> data on their personal computers, reducing their reliance on accountants for routine information. As a result, management accountants have shifted towards advisory roles, interpreting </w:t>
      </w:r>
      <w:r w:rsidRPr="0A3DC8CE" w:rsidR="4C644D97">
        <w:rPr>
          <w:rFonts w:ascii="Arial" w:hAnsi="Arial" w:eastAsia="Arial" w:cs="Arial"/>
        </w:rPr>
        <w:t>data</w:t>
      </w:r>
      <w:r w:rsidRPr="0A3DC8CE" w:rsidR="4C644D97">
        <w:rPr>
          <w:rFonts w:ascii="Arial" w:hAnsi="Arial" w:eastAsia="Arial" w:cs="Arial"/>
        </w:rPr>
        <w:t xml:space="preserve"> and offering business support. </w:t>
      </w:r>
      <w:r w:rsidRPr="0A3DC8CE" w:rsidR="4C644D97">
        <w:rPr>
          <w:rFonts w:ascii="Arial" w:hAnsi="Arial" w:eastAsia="Arial" w:cs="Arial"/>
        </w:rPr>
        <w:t>Digitalisation</w:t>
      </w:r>
      <w:r w:rsidRPr="0A3DC8CE" w:rsidR="4C644D97">
        <w:rPr>
          <w:rFonts w:ascii="Arial" w:hAnsi="Arial" w:eastAsia="Arial" w:cs="Arial"/>
        </w:rPr>
        <w:t xml:space="preserve"> and the rise of big data, driven by AI and the Internet of Things, present new opportunities by providing vast, previously unavailable insights. These data-driven trends can reveal patterns linked to human </w:t>
      </w:r>
      <w:r w:rsidRPr="0A3DC8CE" w:rsidR="4C644D97">
        <w:rPr>
          <w:rFonts w:ascii="Arial" w:hAnsi="Arial" w:eastAsia="Arial" w:cs="Arial"/>
        </w:rPr>
        <w:t>behaviour</w:t>
      </w:r>
      <w:r w:rsidRPr="0A3DC8CE" w:rsidR="4C644D97">
        <w:rPr>
          <w:rFonts w:ascii="Arial" w:hAnsi="Arial" w:eastAsia="Arial" w:cs="Arial"/>
        </w:rPr>
        <w:t xml:space="preserve">, potentially reshaping business practices and enhancing value creation. Cost efficiency gives organizations a competitive edge, especially in a competitive market where poor cost information can lead to costly errors. Companies now </w:t>
      </w:r>
      <w:r w:rsidRPr="0A3DC8CE" w:rsidR="4C644D97">
        <w:rPr>
          <w:rFonts w:ascii="Arial" w:hAnsi="Arial" w:eastAsia="Arial" w:cs="Arial"/>
        </w:rPr>
        <w:t>recognise</w:t>
      </w:r>
      <w:r w:rsidRPr="0A3DC8CE" w:rsidR="4C644D97">
        <w:rPr>
          <w:rFonts w:ascii="Arial" w:hAnsi="Arial" w:eastAsia="Arial" w:cs="Arial"/>
        </w:rPr>
        <w:t xml:space="preserve"> the need for improved cost systems to accurately track product costs, </w:t>
      </w:r>
      <w:r w:rsidRPr="0A3DC8CE" w:rsidR="4C644D97">
        <w:rPr>
          <w:rFonts w:ascii="Arial" w:hAnsi="Arial" w:eastAsia="Arial" w:cs="Arial"/>
        </w:rPr>
        <w:t>monitor</w:t>
      </w:r>
      <w:r w:rsidRPr="0A3DC8CE" w:rsidR="4C644D97">
        <w:rPr>
          <w:rFonts w:ascii="Arial" w:hAnsi="Arial" w:eastAsia="Arial" w:cs="Arial"/>
        </w:rPr>
        <w:t xml:space="preserve"> trends, </w:t>
      </w:r>
      <w:r w:rsidRPr="0A3DC8CE" w:rsidR="4C644D97">
        <w:rPr>
          <w:rFonts w:ascii="Arial" w:hAnsi="Arial" w:eastAsia="Arial" w:cs="Arial"/>
        </w:rPr>
        <w:t>identify</w:t>
      </w:r>
      <w:r w:rsidRPr="0A3DC8CE" w:rsidR="4C644D97">
        <w:rPr>
          <w:rFonts w:ascii="Arial" w:hAnsi="Arial" w:eastAsia="Arial" w:cs="Arial"/>
        </w:rPr>
        <w:t xml:space="preserve"> unprofitable activities, and </w:t>
      </w:r>
      <w:r w:rsidRPr="0A3DC8CE" w:rsidR="4C644D97">
        <w:rPr>
          <w:rFonts w:ascii="Arial" w:hAnsi="Arial" w:eastAsia="Arial" w:cs="Arial"/>
        </w:rPr>
        <w:t>analyse</w:t>
      </w:r>
      <w:r w:rsidRPr="0A3DC8CE" w:rsidR="4C644D97">
        <w:rPr>
          <w:rFonts w:ascii="Arial" w:hAnsi="Arial" w:eastAsia="Arial" w:cs="Arial"/>
        </w:rPr>
        <w:t xml:space="preserve"> profits across various segments. Customers now expect both low costs and high-quality products or services, prompting companies to adopt Total Quality Management (TQM) for continuous improvement. This shift has increased demands on management accountants to measure and assess quality, leading many companies to adopt ISO 9000 certification, which is required by some customers. (Drury, 2021, pp. 13-17).</w:t>
      </w:r>
    </w:p>
    <w:p w:rsidR="4C644D97" w:rsidP="0A3DC8CE" w:rsidRDefault="4C644D97" w14:paraId="7633C9BC" w14:textId="344A5046">
      <w:pPr>
        <w:pStyle w:val="Normal"/>
        <w:spacing w:line="360" w:lineRule="auto"/>
        <w:ind w:left="0"/>
        <w:jc w:val="both"/>
        <w:rPr>
          <w:rFonts w:ascii="Arial" w:hAnsi="Arial" w:eastAsia="Arial" w:cs="Arial"/>
        </w:rPr>
      </w:pPr>
      <w:r w:rsidRPr="0A3DC8CE" w:rsidR="4C644D97">
        <w:rPr>
          <w:rFonts w:ascii="Arial" w:hAnsi="Arial" w:eastAsia="Arial" w:cs="Arial"/>
        </w:rPr>
        <w:t xml:space="preserve">Big data refers to large datasets that can be </w:t>
      </w:r>
      <w:r w:rsidRPr="0A3DC8CE" w:rsidR="4C644D97">
        <w:rPr>
          <w:rFonts w:ascii="Arial" w:hAnsi="Arial" w:eastAsia="Arial" w:cs="Arial"/>
        </w:rPr>
        <w:t>analysed</w:t>
      </w:r>
      <w:r w:rsidRPr="0A3DC8CE" w:rsidR="4C644D97">
        <w:rPr>
          <w:rFonts w:ascii="Arial" w:hAnsi="Arial" w:eastAsia="Arial" w:cs="Arial"/>
        </w:rPr>
        <w:t xml:space="preserve"> to uncover patterns and trends. It is valuable for performance management, as it can improve marketing and sales, enhance forecasting and decision-making, automate business processes for efficiency, and provide more detailed performance measurement (Drury, 2021, p. 595).  </w:t>
      </w:r>
    </w:p>
    <w:p w:rsidR="0A3DC8CE" w:rsidRDefault="0A3DC8CE" w14:paraId="54B0E895" w14:textId="1FE2ED8B">
      <w:r>
        <w:br w:type="page"/>
      </w:r>
    </w:p>
    <w:p w:rsidR="4F8C9D6E" w:rsidP="0A3DC8CE" w:rsidRDefault="4F8C9D6E" w14:paraId="784EB5F2" w14:textId="77D6B8A9">
      <w:pPr>
        <w:pStyle w:val="ListParagraph"/>
        <w:numPr>
          <w:ilvl w:val="0"/>
          <w:numId w:val="1"/>
        </w:numPr>
        <w:spacing w:line="360" w:lineRule="auto"/>
        <w:jc w:val="both"/>
        <w:rPr>
          <w:rFonts w:ascii="Arial" w:hAnsi="Arial" w:eastAsia="Arial" w:cs="Arial"/>
        </w:rPr>
      </w:pPr>
      <w:r w:rsidRPr="0A3DC8CE" w:rsidR="4F8C9D6E">
        <w:rPr>
          <w:rFonts w:ascii="Arial" w:hAnsi="Arial" w:eastAsia="Arial" w:cs="Arial"/>
        </w:rPr>
        <w:t>Reference List</w:t>
      </w:r>
    </w:p>
    <w:p w:rsidR="6E118548" w:rsidP="0A3DC8CE" w:rsidRDefault="6E118548" w14:paraId="601EF984" w14:textId="7ED94E82">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Atrill, P. and McLaney, E.J. (2016) </w:t>
      </w:r>
      <w:r w:rsidRPr="0A3DC8CE" w:rsidR="6E118548">
        <w:rPr>
          <w:rFonts w:ascii="Arial" w:hAnsi="Arial" w:eastAsia="Arial" w:cs="Arial"/>
          <w:b w:val="0"/>
          <w:bCs w:val="0"/>
          <w:i w:val="1"/>
          <w:iCs w:val="1"/>
          <w:caps w:val="0"/>
          <w:smallCaps w:val="0"/>
          <w:noProof w:val="0"/>
          <w:color w:val="000000" w:themeColor="text1" w:themeTint="FF" w:themeShade="FF"/>
          <w:sz w:val="24"/>
          <w:szCs w:val="24"/>
          <w:lang w:val="en-US"/>
        </w:rPr>
        <w:t>Financial accounting for decision makers</w:t>
      </w: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Eighth edition. Harlow, England: Pearson Education Limited.</w:t>
      </w:r>
    </w:p>
    <w:p w:rsidR="0A3DC8CE" w:rsidP="0A3DC8CE" w:rsidRDefault="0A3DC8CE" w14:paraId="3BA04F7C" w14:textId="254D2029">
      <w:pPr>
        <w:pStyle w:val="Normal"/>
        <w:spacing w:line="360" w:lineRule="auto"/>
        <w:ind w:left="0"/>
        <w:jc w:val="both"/>
        <w:rPr>
          <w:rFonts w:ascii="Arial" w:hAnsi="Arial" w:eastAsia="Arial" w:cs="Arial"/>
        </w:rPr>
      </w:pPr>
    </w:p>
    <w:p w:rsidR="6E118548" w:rsidP="0A3DC8CE" w:rsidRDefault="6E118548" w14:paraId="18D8D9D0" w14:textId="75249F52">
      <w:pPr>
        <w:spacing w:before="240" w:beforeAutospacing="off" w:after="24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0A3DC8CE" w:rsidR="6E118548">
        <w:rPr>
          <w:rFonts w:ascii="Arial" w:hAnsi="Arial" w:eastAsia="Arial" w:cs="Arial"/>
          <w:b w:val="0"/>
          <w:bCs w:val="0"/>
          <w:i w:val="0"/>
          <w:iCs w:val="0"/>
          <w:caps w:val="0"/>
          <w:smallCaps w:val="0"/>
          <w:noProof w:val="0"/>
          <w:color w:val="333333"/>
          <w:sz w:val="24"/>
          <w:szCs w:val="24"/>
          <w:lang w:val="en-US"/>
        </w:rPr>
        <w:t xml:space="preserve">Costa, V. &amp; Costa, C. (2022). </w:t>
      </w:r>
      <w:r w:rsidRPr="0A3DC8CE" w:rsidR="6E118548">
        <w:rPr>
          <w:rFonts w:ascii="Arial" w:hAnsi="Arial" w:eastAsia="Arial" w:cs="Arial"/>
          <w:b w:val="0"/>
          <w:bCs w:val="0"/>
          <w:i w:val="1"/>
          <w:iCs w:val="1"/>
          <w:caps w:val="0"/>
          <w:smallCaps w:val="0"/>
          <w:noProof w:val="0"/>
          <w:color w:val="333333"/>
          <w:sz w:val="24"/>
          <w:szCs w:val="24"/>
          <w:lang w:val="en-US"/>
        </w:rPr>
        <w:t>Challenges in Times of Crisis and Pandemics in the Hospitality Industry: A Systematic Literature Review</w:t>
      </w:r>
      <w:r w:rsidRPr="0A3DC8CE" w:rsidR="6E118548">
        <w:rPr>
          <w:rFonts w:ascii="Arial" w:hAnsi="Arial" w:eastAsia="Arial" w:cs="Arial"/>
          <w:b w:val="0"/>
          <w:bCs w:val="0"/>
          <w:i w:val="0"/>
          <w:iCs w:val="0"/>
          <w:caps w:val="0"/>
          <w:smallCaps w:val="0"/>
          <w:noProof w:val="0"/>
          <w:color w:val="333333"/>
          <w:sz w:val="24"/>
          <w:szCs w:val="24"/>
          <w:lang w:val="en-US"/>
        </w:rPr>
        <w:t xml:space="preserve">. In V. Costa &amp; C. Costa (Eds.), </w:t>
      </w:r>
      <w:r w:rsidRPr="0A3DC8CE" w:rsidR="6E118548">
        <w:rPr>
          <w:rFonts w:ascii="Arial" w:hAnsi="Arial" w:eastAsia="Arial" w:cs="Arial"/>
          <w:b w:val="0"/>
          <w:bCs w:val="0"/>
          <w:i w:val="1"/>
          <w:iCs w:val="1"/>
          <w:caps w:val="0"/>
          <w:smallCaps w:val="0"/>
          <w:noProof w:val="0"/>
          <w:color w:val="333333"/>
          <w:sz w:val="24"/>
          <w:szCs w:val="24"/>
          <w:lang w:val="en-US"/>
        </w:rPr>
        <w:t>Sustainability and Competitiveness in the Hospitality Industry</w:t>
      </w:r>
      <w:r w:rsidRPr="0A3DC8CE" w:rsidR="6E118548">
        <w:rPr>
          <w:rFonts w:ascii="Arial" w:hAnsi="Arial" w:eastAsia="Arial" w:cs="Arial"/>
          <w:b w:val="0"/>
          <w:bCs w:val="0"/>
          <w:i w:val="0"/>
          <w:iCs w:val="0"/>
          <w:caps w:val="0"/>
          <w:smallCaps w:val="0"/>
          <w:noProof w:val="0"/>
          <w:color w:val="333333"/>
          <w:sz w:val="24"/>
          <w:szCs w:val="24"/>
          <w:lang w:val="en-US"/>
        </w:rPr>
        <w:t xml:space="preserve"> (pp. 1-22). IGI Global. </w:t>
      </w:r>
      <w:hyperlink r:id="R4dc247426ac944c4">
        <w:r w:rsidRPr="0A3DC8CE" w:rsidR="6E118548">
          <w:rPr>
            <w:rStyle w:val="Hyperlink"/>
            <w:rFonts w:ascii="Arial" w:hAnsi="Arial" w:eastAsia="Arial" w:cs="Arial"/>
            <w:b w:val="0"/>
            <w:bCs w:val="0"/>
            <w:i w:val="0"/>
            <w:iCs w:val="0"/>
            <w:caps w:val="0"/>
            <w:smallCaps w:val="0"/>
            <w:strike w:val="0"/>
            <w:dstrike w:val="0"/>
            <w:noProof w:val="0"/>
            <w:sz w:val="24"/>
            <w:szCs w:val="24"/>
            <w:lang w:val="en-US"/>
          </w:rPr>
          <w:t>https://doi-org.ezproxy.uwtsd.ac.uk/10.4018/978-1-7998-9285-4.ch001</w:t>
        </w:r>
      </w:hyperlink>
    </w:p>
    <w:p w:rsidR="6E118548" w:rsidP="0A3DC8CE" w:rsidRDefault="6E118548" w14:paraId="1B2D0781" w14:textId="5943DD5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Drury, C. (2021) </w:t>
      </w:r>
      <w:r w:rsidRPr="0A3DC8CE" w:rsidR="6E118548">
        <w:rPr>
          <w:rFonts w:ascii="Arial" w:hAnsi="Arial" w:eastAsia="Arial" w:cs="Arial"/>
          <w:b w:val="0"/>
          <w:bCs w:val="0"/>
          <w:i w:val="1"/>
          <w:iCs w:val="1"/>
          <w:caps w:val="0"/>
          <w:smallCaps w:val="0"/>
          <w:noProof w:val="0"/>
          <w:color w:val="000000" w:themeColor="text1" w:themeTint="FF" w:themeShade="FF"/>
          <w:sz w:val="24"/>
          <w:szCs w:val="24"/>
          <w:lang w:val="en-US"/>
        </w:rPr>
        <w:t>Management and cost accounting</w:t>
      </w: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Eleventh edition. Australia: Cengage.</w:t>
      </w:r>
    </w:p>
    <w:p w:rsidR="6E118548" w:rsidP="0A3DC8CE" w:rsidRDefault="6E118548" w14:paraId="6ACF38F5" w14:textId="6D76D3F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Elkhwesky, Z. et al. (2022) </w:t>
      </w:r>
      <w:r w:rsidRPr="0A3DC8CE" w:rsidR="6E118548">
        <w:rPr>
          <w:rFonts w:ascii="Arial" w:hAnsi="Arial" w:eastAsia="Arial" w:cs="Arial"/>
          <w:b w:val="0"/>
          <w:bCs w:val="0"/>
          <w:i w:val="1"/>
          <w:iCs w:val="1"/>
          <w:caps w:val="0"/>
          <w:smallCaps w:val="0"/>
          <w:noProof w:val="0"/>
          <w:color w:val="000000" w:themeColor="text1" w:themeTint="FF" w:themeShade="FF"/>
          <w:sz w:val="24"/>
          <w:szCs w:val="24"/>
          <w:lang w:val="en-US"/>
        </w:rPr>
        <w:t>‘Sustainable practices in hospitality pre and amid COVID‐19 pandemic: Looking back for moving forward post‐COVID‐19’, Sustainable development</w:t>
      </w: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 (Bradford, West Yorkshire, England), 30(5), pp. 1426–1448. Available at: </w:t>
      </w:r>
      <w:hyperlink r:id="Re2b457b13cda41b3">
        <w:r w:rsidRPr="0A3DC8CE" w:rsidR="6E118548">
          <w:rPr>
            <w:rStyle w:val="Hyperlink"/>
            <w:rFonts w:ascii="Arial" w:hAnsi="Arial" w:eastAsia="Arial" w:cs="Arial"/>
            <w:b w:val="0"/>
            <w:bCs w:val="0"/>
            <w:i w:val="0"/>
            <w:iCs w:val="0"/>
            <w:caps w:val="0"/>
            <w:smallCaps w:val="0"/>
            <w:strike w:val="0"/>
            <w:dstrike w:val="0"/>
            <w:noProof w:val="0"/>
            <w:sz w:val="24"/>
            <w:szCs w:val="24"/>
            <w:lang w:val="en-US"/>
          </w:rPr>
          <w:t>https://doi.org/10.1002/sd.2304</w:t>
        </w:r>
      </w:hyperlink>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w:t>
      </w:r>
    </w:p>
    <w:p w:rsidR="6E118548" w:rsidP="0A3DC8CE" w:rsidRDefault="6E118548" w14:paraId="5773D0F4" w14:textId="5591A7CE">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Honchar, L. (2022) ‘Franchise Market as a Driver of Hospitality Development’, </w:t>
      </w:r>
      <w:r w:rsidRPr="0A3DC8CE" w:rsidR="6E118548">
        <w:rPr>
          <w:rFonts w:ascii="Arial" w:hAnsi="Arial" w:eastAsia="Arial" w:cs="Arial"/>
          <w:b w:val="0"/>
          <w:bCs w:val="0"/>
          <w:i w:val="1"/>
          <w:iCs w:val="1"/>
          <w:caps w:val="0"/>
          <w:smallCaps w:val="0"/>
          <w:noProof w:val="0"/>
          <w:color w:val="000000" w:themeColor="text1" w:themeTint="FF" w:themeShade="FF"/>
          <w:sz w:val="24"/>
          <w:szCs w:val="24"/>
          <w:lang w:val="en-US"/>
        </w:rPr>
        <w:t>Economic affairs (Calcutta)</w:t>
      </w: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 67(4), pp. 611–618. Available at: </w:t>
      </w:r>
      <w:hyperlink r:id="Rab260b0e41394ea1">
        <w:r w:rsidRPr="0A3DC8CE" w:rsidR="6E118548">
          <w:rPr>
            <w:rStyle w:val="Hyperlink"/>
            <w:rFonts w:ascii="Arial" w:hAnsi="Arial" w:eastAsia="Arial" w:cs="Arial"/>
            <w:b w:val="0"/>
            <w:bCs w:val="0"/>
            <w:i w:val="0"/>
            <w:iCs w:val="0"/>
            <w:caps w:val="0"/>
            <w:smallCaps w:val="0"/>
            <w:strike w:val="0"/>
            <w:dstrike w:val="0"/>
            <w:noProof w:val="0"/>
            <w:sz w:val="24"/>
            <w:szCs w:val="24"/>
            <w:lang w:val="en-US"/>
          </w:rPr>
          <w:t>https://doi.org/10.46852/0424-2513.4.2022.27</w:t>
        </w:r>
      </w:hyperlink>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w:t>
      </w:r>
    </w:p>
    <w:p w:rsidR="6E118548" w:rsidP="0A3DC8CE" w:rsidRDefault="6E118548" w14:paraId="44EA8252" w14:textId="7DC892A3">
      <w:pPr>
        <w:pStyle w:val="Normal"/>
        <w:spacing w:line="360" w:lineRule="auto"/>
        <w:ind w:left="0"/>
        <w:jc w:val="both"/>
        <w:rPr>
          <w:rFonts w:ascii="Arial" w:hAnsi="Arial" w:eastAsia="Arial" w:cs="Arial"/>
        </w:rPr>
      </w:pPr>
      <w:r w:rsidRPr="0A3DC8CE" w:rsidR="6E118548">
        <w:rPr>
          <w:rFonts w:ascii="Arial" w:hAnsi="Arial" w:eastAsia="Arial" w:cs="Arial"/>
        </w:rPr>
        <w:t xml:space="preserve"> </w:t>
      </w:r>
    </w:p>
    <w:p w:rsidR="6E118548" w:rsidP="0A3DC8CE" w:rsidRDefault="6E118548" w14:paraId="132D9FA3" w14:textId="7A782F73">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Legrand, W., Chen, J.S. and </w:t>
      </w: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Laeis</w:t>
      </w: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 G.C.M. (2023) </w:t>
      </w:r>
      <w:r w:rsidRPr="0A3DC8CE" w:rsidR="6E118548">
        <w:rPr>
          <w:rFonts w:ascii="Arial" w:hAnsi="Arial" w:eastAsia="Arial" w:cs="Arial"/>
          <w:b w:val="0"/>
          <w:bCs w:val="0"/>
          <w:i w:val="1"/>
          <w:iCs w:val="1"/>
          <w:caps w:val="0"/>
          <w:smallCaps w:val="0"/>
          <w:noProof w:val="0"/>
          <w:color w:val="000000" w:themeColor="text1" w:themeTint="FF" w:themeShade="FF"/>
          <w:sz w:val="24"/>
          <w:szCs w:val="24"/>
          <w:lang w:val="en-US"/>
        </w:rPr>
        <w:t>Sustainability in the hospitality industry: principles of sustainable operations</w:t>
      </w: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 Fourth edition. </w:t>
      </w: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London;</w:t>
      </w: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 Routledge.</w:t>
      </w:r>
    </w:p>
    <w:p w:rsidR="0A3DC8CE" w:rsidP="0A3DC8CE" w:rsidRDefault="0A3DC8CE" w14:paraId="54379354" w14:textId="144A1924">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E118548" w:rsidP="0A3DC8CE" w:rsidRDefault="6E118548" w14:paraId="1F9FB209" w14:textId="4DE305A8">
      <w:pPr>
        <w:spacing w:before="240" w:beforeAutospacing="off" w:after="240" w:afterAutospacing="off" w:line="360" w:lineRule="auto"/>
        <w:jc w:val="both"/>
        <w:rPr>
          <w:rFonts w:ascii="Arial" w:hAnsi="Arial" w:eastAsia="Arial" w:cs="Arial"/>
          <w:b w:val="0"/>
          <w:bCs w:val="0"/>
          <w:i w:val="0"/>
          <w:iCs w:val="0"/>
          <w:caps w:val="0"/>
          <w:smallCaps w:val="0"/>
          <w:noProof w:val="0"/>
          <w:color w:val="333333"/>
          <w:sz w:val="24"/>
          <w:szCs w:val="24"/>
          <w:lang w:val="en-US"/>
        </w:rPr>
      </w:pPr>
      <w:r w:rsidRPr="0A3DC8CE" w:rsidR="6E118548">
        <w:rPr>
          <w:rFonts w:ascii="Arial" w:hAnsi="Arial" w:eastAsia="Arial" w:cs="Arial"/>
          <w:b w:val="0"/>
          <w:bCs w:val="0"/>
          <w:i w:val="0"/>
          <w:iCs w:val="0"/>
          <w:caps w:val="0"/>
          <w:smallCaps w:val="0"/>
          <w:noProof w:val="0"/>
          <w:color w:val="333333"/>
          <w:sz w:val="24"/>
          <w:szCs w:val="24"/>
          <w:lang w:val="en-US"/>
        </w:rPr>
        <w:t xml:space="preserve">Oncioiu, I., Dogaru, M. M., &amp; Popescu, M. (2021). </w:t>
      </w:r>
      <w:r w:rsidRPr="0A3DC8CE" w:rsidR="6E118548">
        <w:rPr>
          <w:rFonts w:ascii="Arial" w:hAnsi="Arial" w:eastAsia="Arial" w:cs="Arial"/>
          <w:b w:val="0"/>
          <w:bCs w:val="0"/>
          <w:i w:val="1"/>
          <w:iCs w:val="1"/>
          <w:caps w:val="0"/>
          <w:smallCaps w:val="0"/>
          <w:noProof w:val="0"/>
          <w:color w:val="333333"/>
          <w:sz w:val="24"/>
          <w:szCs w:val="24"/>
          <w:lang w:val="en-US"/>
        </w:rPr>
        <w:t>Using Digital Programs and Technologies to Simulate Business Development.</w:t>
      </w:r>
      <w:r w:rsidRPr="0A3DC8CE" w:rsidR="6E118548">
        <w:rPr>
          <w:rFonts w:ascii="Arial" w:hAnsi="Arial" w:eastAsia="Arial" w:cs="Arial"/>
          <w:b w:val="0"/>
          <w:bCs w:val="0"/>
          <w:i w:val="0"/>
          <w:iCs w:val="0"/>
          <w:caps w:val="0"/>
          <w:smallCaps w:val="0"/>
          <w:noProof w:val="0"/>
          <w:color w:val="333333"/>
          <w:sz w:val="24"/>
          <w:szCs w:val="24"/>
          <w:lang w:val="en-US"/>
        </w:rPr>
        <w:t xml:space="preserve"> In I. Oncioiu (Ed.), CSR and Management Accounting Challenges in a Time of Global Crises (pp. 71-87). IGI Global. </w:t>
      </w:r>
      <w:hyperlink r:id="Rda89d614c3d2440c">
        <w:r w:rsidRPr="0A3DC8CE" w:rsidR="6E118548">
          <w:rPr>
            <w:rStyle w:val="Hyperlink"/>
            <w:rFonts w:ascii="Arial" w:hAnsi="Arial" w:eastAsia="Arial" w:cs="Arial"/>
            <w:b w:val="0"/>
            <w:bCs w:val="0"/>
            <w:i w:val="0"/>
            <w:iCs w:val="0"/>
            <w:caps w:val="0"/>
            <w:smallCaps w:val="0"/>
            <w:strike w:val="0"/>
            <w:dstrike w:val="0"/>
            <w:noProof w:val="0"/>
            <w:sz w:val="24"/>
            <w:szCs w:val="24"/>
            <w:lang w:val="en-US"/>
          </w:rPr>
          <w:t>https://doi-org.ezproxy.uwtsd.ac.uk/10.4018/978-1-7998-8069-1.ch004</w:t>
        </w:r>
      </w:hyperlink>
    </w:p>
    <w:p w:rsidR="6E118548" w:rsidP="0A3DC8CE" w:rsidRDefault="6E118548" w14:paraId="4C412994" w14:textId="3CE34DA6">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Momin, M. and Jani, D. (2023) ‘The Impact of COVID-19 on the Liquidity and Profitability of Telecommunication Service Providers: Evidence from Bombay Stock Exchange’, </w:t>
      </w:r>
      <w:r w:rsidRPr="0A3DC8CE" w:rsidR="6E118548">
        <w:rPr>
          <w:rFonts w:ascii="Arial" w:hAnsi="Arial" w:eastAsia="Arial" w:cs="Arial"/>
          <w:b w:val="0"/>
          <w:bCs w:val="0"/>
          <w:i w:val="1"/>
          <w:iCs w:val="1"/>
          <w:caps w:val="0"/>
          <w:smallCaps w:val="0"/>
          <w:noProof w:val="0"/>
          <w:color w:val="000000" w:themeColor="text1" w:themeTint="FF" w:themeShade="FF"/>
          <w:sz w:val="24"/>
          <w:szCs w:val="24"/>
          <w:lang w:val="en-US"/>
        </w:rPr>
        <w:t>Chetana’s Journal of Management Research</w:t>
      </w: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15(1), pp. 11–17.</w:t>
      </w:r>
    </w:p>
    <w:p w:rsidR="0A3DC8CE" w:rsidP="0A3DC8CE" w:rsidRDefault="0A3DC8CE" w14:paraId="2E995530" w14:textId="1090340F">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E118548" w:rsidP="0A3DC8CE" w:rsidRDefault="6E118548" w14:paraId="000BCFAF" w14:textId="2F55AFF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Seal, W.B. </w:t>
      </w:r>
      <w:r w:rsidRPr="0A3DC8CE" w:rsidR="6E118548">
        <w:rPr>
          <w:rFonts w:ascii="Arial" w:hAnsi="Arial" w:eastAsia="Arial" w:cs="Arial"/>
          <w:b w:val="0"/>
          <w:bCs w:val="0"/>
          <w:i w:val="1"/>
          <w:iCs w:val="1"/>
          <w:caps w:val="0"/>
          <w:smallCaps w:val="0"/>
          <w:noProof w:val="0"/>
          <w:color w:val="000000" w:themeColor="text1" w:themeTint="FF" w:themeShade="FF"/>
          <w:sz w:val="24"/>
          <w:szCs w:val="24"/>
          <w:lang w:val="en-US"/>
        </w:rPr>
        <w:t>et al</w:t>
      </w: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 (2019) </w:t>
      </w:r>
      <w:r w:rsidRPr="0A3DC8CE" w:rsidR="6E118548">
        <w:rPr>
          <w:rFonts w:ascii="Arial" w:hAnsi="Arial" w:eastAsia="Arial" w:cs="Arial"/>
          <w:b w:val="0"/>
          <w:bCs w:val="0"/>
          <w:i w:val="1"/>
          <w:iCs w:val="1"/>
          <w:caps w:val="0"/>
          <w:smallCaps w:val="0"/>
          <w:noProof w:val="0"/>
          <w:color w:val="000000" w:themeColor="text1" w:themeTint="FF" w:themeShade="FF"/>
          <w:sz w:val="24"/>
          <w:szCs w:val="24"/>
          <w:lang w:val="en-US"/>
        </w:rPr>
        <w:t>Management accounting</w:t>
      </w: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6th ed. London: McGraw-Hill Education.</w:t>
      </w:r>
    </w:p>
    <w:p w:rsidR="6E118548" w:rsidP="0A3DC8CE" w:rsidRDefault="6E118548" w14:paraId="35E9719D" w14:textId="106461C1">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Walker, J.R. (2021) </w:t>
      </w:r>
      <w:r w:rsidRPr="0A3DC8CE" w:rsidR="6E118548">
        <w:rPr>
          <w:rFonts w:ascii="Arial" w:hAnsi="Arial" w:eastAsia="Arial" w:cs="Arial"/>
          <w:b w:val="0"/>
          <w:bCs w:val="0"/>
          <w:i w:val="1"/>
          <w:iCs w:val="1"/>
          <w:caps w:val="0"/>
          <w:smallCaps w:val="0"/>
          <w:noProof w:val="0"/>
          <w:color w:val="000000" w:themeColor="text1" w:themeTint="FF" w:themeShade="FF"/>
          <w:sz w:val="24"/>
          <w:szCs w:val="24"/>
          <w:lang w:val="en-US"/>
        </w:rPr>
        <w:t>Introduction to hospitality</w:t>
      </w:r>
      <w:r w:rsidRPr="0A3DC8CE" w:rsidR="6E118548">
        <w:rPr>
          <w:rFonts w:ascii="Arial" w:hAnsi="Arial" w:eastAsia="Arial" w:cs="Arial"/>
          <w:b w:val="0"/>
          <w:bCs w:val="0"/>
          <w:i w:val="0"/>
          <w:iCs w:val="0"/>
          <w:caps w:val="0"/>
          <w:smallCaps w:val="0"/>
          <w:noProof w:val="0"/>
          <w:color w:val="000000" w:themeColor="text1" w:themeTint="FF" w:themeShade="FF"/>
          <w:sz w:val="24"/>
          <w:szCs w:val="24"/>
          <w:lang w:val="en-US"/>
        </w:rPr>
        <w:t>. Eight, Global edition. Harlow, England: Pearson.</w:t>
      </w:r>
    </w:p>
    <w:p w:rsidR="0A3DC8CE" w:rsidP="0A3DC8CE" w:rsidRDefault="0A3DC8CE" w14:paraId="2119CCFA" w14:textId="301F042B">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3DC8CE" w:rsidP="0A3DC8CE" w:rsidRDefault="0A3DC8CE" w14:paraId="5ECC86CE" w14:textId="7D68A73E">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3DC8CE" w:rsidP="0A3DC8CE" w:rsidRDefault="0A3DC8CE" w14:paraId="48EC2F0E" w14:textId="4E714588">
      <w:pPr>
        <w:pStyle w:val="Normal"/>
        <w:spacing w:line="360" w:lineRule="auto"/>
        <w:ind w:left="0"/>
        <w:jc w:val="both"/>
        <w:rPr>
          <w:rFonts w:ascii="Arial" w:hAnsi="Arial" w:eastAsia="Arial" w:cs="Arial"/>
        </w:rPr>
      </w:pPr>
    </w:p>
    <w:p w:rsidR="0A3DC8CE" w:rsidP="0A3DC8CE" w:rsidRDefault="0A3DC8CE" w14:paraId="5E6F27C8" w14:textId="78E94134">
      <w:pPr>
        <w:pStyle w:val="Normal"/>
        <w:spacing w:line="360" w:lineRule="auto"/>
        <w:ind w:left="0"/>
        <w:jc w:val="both"/>
        <w:rPr>
          <w:rFonts w:ascii="Arial" w:hAnsi="Arial" w:eastAsia="Arial" w:cs="Arial"/>
        </w:rPr>
      </w:pPr>
    </w:p>
    <w:p w:rsidR="0A3DC8CE" w:rsidP="0A3DC8CE" w:rsidRDefault="0A3DC8CE" w14:paraId="7627CFEF" w14:textId="3EBFF2E3">
      <w:pPr>
        <w:pStyle w:val="Normal"/>
        <w:spacing w:line="360" w:lineRule="auto"/>
        <w:ind w:left="0"/>
        <w:jc w:val="both"/>
        <w:rPr>
          <w:rFonts w:ascii="Arial" w:hAnsi="Arial" w:eastAsia="Arial" w:cs="Arial"/>
        </w:rPr>
      </w:pPr>
    </w:p>
    <w:p w:rsidR="0A3DC8CE" w:rsidP="0A3DC8CE" w:rsidRDefault="0A3DC8CE" w14:paraId="3A1C6207" w14:textId="402EDA74">
      <w:pPr>
        <w:pStyle w:val="Normal"/>
        <w:spacing w:line="360" w:lineRule="auto"/>
        <w:ind w:left="0"/>
        <w:jc w:val="both"/>
        <w:rPr>
          <w:rFonts w:ascii="Arial" w:hAnsi="Arial" w:eastAsia="Arial" w:cs="Arial"/>
        </w:rPr>
      </w:pPr>
    </w:p>
    <w:p w:rsidR="0A3DC8CE" w:rsidP="0A3DC8CE" w:rsidRDefault="0A3DC8CE" w14:paraId="64B6D135" w14:textId="30060006">
      <w:pPr>
        <w:pStyle w:val="Normal"/>
        <w:spacing w:line="360" w:lineRule="auto"/>
        <w:ind w:left="0"/>
        <w:jc w:val="both"/>
        <w:rPr>
          <w:rFonts w:ascii="Arial" w:hAnsi="Arial" w:eastAsia="Arial" w:cs="Arial"/>
        </w:rPr>
      </w:pPr>
    </w:p>
    <w:p w:rsidR="0A3DC8CE" w:rsidP="0A3DC8CE" w:rsidRDefault="0A3DC8CE" w14:paraId="44BE7AFC" w14:textId="2CC6E706">
      <w:pPr>
        <w:pStyle w:val="Normal"/>
        <w:spacing w:line="360" w:lineRule="auto"/>
        <w:ind w:left="0"/>
        <w:jc w:val="both"/>
        <w:rPr>
          <w:rFonts w:ascii="Arial" w:hAnsi="Arial" w:eastAsia="Arial" w:cs="Arial"/>
        </w:rPr>
      </w:pPr>
    </w:p>
    <w:p w:rsidR="0A3DC8CE" w:rsidP="0A3DC8CE" w:rsidRDefault="0A3DC8CE" w14:paraId="6500477F" w14:textId="47CE416A">
      <w:pPr>
        <w:pStyle w:val="Normal"/>
        <w:spacing w:line="360" w:lineRule="auto"/>
        <w:ind w:left="0"/>
        <w:jc w:val="both"/>
        <w:rPr>
          <w:rFonts w:ascii="Arial" w:hAnsi="Arial" w:eastAsia="Arial" w:cs="Arial"/>
        </w:rPr>
      </w:pPr>
    </w:p>
    <w:p w:rsidR="0A3DC8CE" w:rsidP="0A3DC8CE" w:rsidRDefault="0A3DC8CE" w14:paraId="77602749" w14:textId="25721F3C">
      <w:pPr>
        <w:pStyle w:val="Normal"/>
        <w:spacing w:line="360" w:lineRule="auto"/>
        <w:ind w:left="0"/>
        <w:jc w:val="both"/>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pz2QIEqb0rZQkg" int2:id="WbmLcP4I">
      <int2:state int2:type="AugLoop_Text_Critique" int2:value="Rejected"/>
    </int2:textHash>
    <int2:textHash int2:hashCode="cFYGPioed46d/V" int2:id="Im1HIDex">
      <int2:state int2:type="AugLoop_Text_Critique" int2:value="Rejected"/>
    </int2:textHash>
    <int2:textHash int2:hashCode="2JjnJ0go1uyUnX" int2:id="jvDqzdc0">
      <int2:state int2:type="AugLoop_Text_Critique" int2:value="Rejected"/>
    </int2:textHash>
    <int2:textHash int2:hashCode="wtKSqYmrO8qHMS" int2:id="0sHuJAFx">
      <int2:state int2:type="AugLoop_Text_Critique" int2:value="Rejected"/>
    </int2:textHash>
    <int2:textHash int2:hashCode="xQy+KnIliT8rxm" int2:id="G8lzZ7Nn">
      <int2:state int2:type="AugLoop_Text_Critique" int2:value="Rejected"/>
    </int2:textHash>
    <int2:textHash int2:hashCode="v3jXqOAVqWKVSe" int2:id="rM2fwEla">
      <int2:state int2:type="AugLoop_Text_Critique" int2:value="Rejected"/>
    </int2:textHash>
    <int2:textHash int2:hashCode="de6OmMavCSziU2" int2:id="H0eXIDXa">
      <int2:state int2:type="AugLoop_Text_Critique" int2:value="Rejected"/>
    </int2:textHash>
    <int2:textHash int2:hashCode="xcgb3EeIup7nN2" int2:id="4Z6KIQEV">
      <int2:state int2:type="AugLoop_Text_Critique" int2:value="Rejected"/>
    </int2:textHash>
    <int2:textHash int2:hashCode="yu2+al0HUYHJG7" int2:id="uo7s701r">
      <int2:state int2:type="AugLoop_Text_Critique" int2:value="Rejected"/>
    </int2:textHash>
    <int2:textHash int2:hashCode="kpcxFh3C7VjO1D" int2:id="aeFWhG1B">
      <int2:state int2:type="AugLoop_Text_Critique" int2:value="Rejected"/>
    </int2:textHash>
    <int2:textHash int2:hashCode="0Mewbjx2nK6lwL" int2:id="naTndQAU">
      <int2:state int2:type="AugLoop_Text_Critique" int2:value="Rejected"/>
    </int2:textHash>
    <int2:textHash int2:hashCode="3N7iZtAstBwaKX" int2:id="9iak6o61">
      <int2:state int2:type="AugLoop_Text_Critique" int2:value="Rejected"/>
    </int2:textHash>
    <int2:textHash int2:hashCode="Ajp5T4UkdGmHEn" int2:id="GOHORfgK">
      <int2:state int2:type="AugLoop_Text_Critique" int2:value="Rejected"/>
    </int2:textHash>
    <int2:bookmark int2:bookmarkName="_Int_j8IwXDyo" int2:invalidationBookmarkName="" int2:hashCode="oOmO7hfuY/gcVe" int2:id="QzrKkQsU">
      <int2:state int2:type="AugLoop_Text_Critique" int2:value="Rejected"/>
    </int2:bookmark>
    <int2:bookmark int2:bookmarkName="_Int_czL8LF9T" int2:invalidationBookmarkName="" int2:hashCode="Y1obFqVhDcAVw1" int2:id="mKOFu9h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9212b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7701D1"/>
    <w:rsid w:val="015D525B"/>
    <w:rsid w:val="03D4E200"/>
    <w:rsid w:val="03D68C05"/>
    <w:rsid w:val="04101153"/>
    <w:rsid w:val="05088747"/>
    <w:rsid w:val="0547C212"/>
    <w:rsid w:val="0547FFEB"/>
    <w:rsid w:val="05D2698B"/>
    <w:rsid w:val="06A8E0BE"/>
    <w:rsid w:val="07937958"/>
    <w:rsid w:val="07EA837A"/>
    <w:rsid w:val="0810D94A"/>
    <w:rsid w:val="08330860"/>
    <w:rsid w:val="08330860"/>
    <w:rsid w:val="094A18D2"/>
    <w:rsid w:val="0A3DC8CE"/>
    <w:rsid w:val="0C66B69F"/>
    <w:rsid w:val="0D20B971"/>
    <w:rsid w:val="0D42E25E"/>
    <w:rsid w:val="0DB38FBF"/>
    <w:rsid w:val="0FA6128A"/>
    <w:rsid w:val="10A56F0D"/>
    <w:rsid w:val="153CFAA9"/>
    <w:rsid w:val="16DCB918"/>
    <w:rsid w:val="16DCB918"/>
    <w:rsid w:val="18CB535C"/>
    <w:rsid w:val="1E158A11"/>
    <w:rsid w:val="1E5C6D66"/>
    <w:rsid w:val="1E7701D1"/>
    <w:rsid w:val="1F7D29A7"/>
    <w:rsid w:val="265AB15F"/>
    <w:rsid w:val="27E16EDC"/>
    <w:rsid w:val="29168598"/>
    <w:rsid w:val="2B842FCF"/>
    <w:rsid w:val="2BB47189"/>
    <w:rsid w:val="2BB59A24"/>
    <w:rsid w:val="2BB59A24"/>
    <w:rsid w:val="2C7D5634"/>
    <w:rsid w:val="2E5BC390"/>
    <w:rsid w:val="2E5BC390"/>
    <w:rsid w:val="304CCD8F"/>
    <w:rsid w:val="30A6E8BF"/>
    <w:rsid w:val="338A368B"/>
    <w:rsid w:val="3469C19A"/>
    <w:rsid w:val="355123BB"/>
    <w:rsid w:val="37EBBFEF"/>
    <w:rsid w:val="38D07572"/>
    <w:rsid w:val="39A6533B"/>
    <w:rsid w:val="3AB6A6E1"/>
    <w:rsid w:val="3AE47A2B"/>
    <w:rsid w:val="3AF71BE8"/>
    <w:rsid w:val="3E6E88BB"/>
    <w:rsid w:val="3F3F764E"/>
    <w:rsid w:val="45F98A60"/>
    <w:rsid w:val="4B8B28A4"/>
    <w:rsid w:val="4C644D97"/>
    <w:rsid w:val="4E36E87F"/>
    <w:rsid w:val="4EA59777"/>
    <w:rsid w:val="4F013B24"/>
    <w:rsid w:val="4F8C9D6E"/>
    <w:rsid w:val="5989310B"/>
    <w:rsid w:val="5AE10B49"/>
    <w:rsid w:val="5D02A1DA"/>
    <w:rsid w:val="5E4E4278"/>
    <w:rsid w:val="5E71F517"/>
    <w:rsid w:val="5EDD6066"/>
    <w:rsid w:val="5F63CB41"/>
    <w:rsid w:val="61280AAF"/>
    <w:rsid w:val="61280AAF"/>
    <w:rsid w:val="62394BDB"/>
    <w:rsid w:val="62394BDB"/>
    <w:rsid w:val="62947E77"/>
    <w:rsid w:val="62947E77"/>
    <w:rsid w:val="67105EC9"/>
    <w:rsid w:val="67105EC9"/>
    <w:rsid w:val="68C89075"/>
    <w:rsid w:val="6942DB90"/>
    <w:rsid w:val="6AEE1862"/>
    <w:rsid w:val="6C9822E3"/>
    <w:rsid w:val="6C9822E3"/>
    <w:rsid w:val="6E118548"/>
    <w:rsid w:val="6F4CD46D"/>
    <w:rsid w:val="70CFC402"/>
    <w:rsid w:val="75922A79"/>
    <w:rsid w:val="76C4953B"/>
    <w:rsid w:val="76C4953B"/>
    <w:rsid w:val="77E90FEA"/>
    <w:rsid w:val="77E90FEA"/>
    <w:rsid w:val="795CBACD"/>
    <w:rsid w:val="7B94BC0D"/>
    <w:rsid w:val="7B94BC0D"/>
    <w:rsid w:val="7DAE02BE"/>
    <w:rsid w:val="7E1720C8"/>
    <w:rsid w:val="7E76CD30"/>
    <w:rsid w:val="7EC374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701D1"/>
  <w15:chartTrackingRefBased/>
  <w15:docId w15:val="{E4E201C9-CE23-4CE2-A0CA-C815EA0BF7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ezproxy.uwtsd.ac.uk/10.4018/978-1-7998-9285-4.ch001" TargetMode="External" Id="R4dc247426ac944c4" /><Relationship Type="http://schemas.openxmlformats.org/officeDocument/2006/relationships/hyperlink" Target="https://doi.org/10.1002/sd.2304" TargetMode="External" Id="Re2b457b13cda41b3" /><Relationship Type="http://schemas.openxmlformats.org/officeDocument/2006/relationships/hyperlink" Target="https://doi.org/10.46852/0424-2513.4.2022.27" TargetMode="External" Id="Rab260b0e41394ea1" /><Relationship Type="http://schemas.openxmlformats.org/officeDocument/2006/relationships/hyperlink" Target="https://doi-org.ezproxy.uwtsd.ac.uk/10.4018/978-1-7998-8069-1.ch004" TargetMode="External" Id="Rda89d614c3d2440c" /><Relationship Type="http://schemas.microsoft.com/office/2020/10/relationships/intelligence" Target="intelligence2.xml" Id="Rd7d7c4108e0040ad" /><Relationship Type="http://schemas.openxmlformats.org/officeDocument/2006/relationships/numbering" Target="numbering.xml" Id="R86c182fbc74243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2024-11-14T21:15:48.3056002Z</dcterms:created>
  <dcterms:modified xsi:type="dcterms:W3CDTF">2024-11-14T22:36:19.5557133Z</dcterms:modified>
  <dc:creator>Adriana-Isabela Trefas (2242075)</dc:creator>
  <lastModifiedBy>Adriana-Isabela Trefas (2242075)</lastModifiedBy>
</coreProperties>
</file>