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2FDB3" w14:textId="77777777" w:rsidR="002D33D6" w:rsidRPr="00323C25" w:rsidRDefault="002D33D6" w:rsidP="002D33D6">
      <w:pPr>
        <w:jc w:val="center"/>
        <w:rPr>
          <w:rStyle w:val="eop"/>
          <w:rFonts w:ascii="Calibri" w:hAnsi="Calibri" w:cs="Calibri"/>
          <w:b/>
          <w:bCs/>
          <w:i/>
          <w:iCs/>
          <w:sz w:val="28"/>
          <w:szCs w:val="28"/>
        </w:rPr>
      </w:pPr>
      <w:r w:rsidRPr="00323C25">
        <w:rPr>
          <w:rStyle w:val="normaltextrun"/>
          <w:rFonts w:ascii="Calibri" w:hAnsi="Calibri" w:cs="Calibri"/>
          <w:b/>
          <w:bCs/>
          <w:i/>
          <w:iCs/>
          <w:color w:val="000000"/>
          <w:sz w:val="28"/>
          <w:szCs w:val="28"/>
          <w:shd w:val="clear" w:color="auto" w:fill="FFFFFF"/>
        </w:rPr>
        <w:t xml:space="preserve">Can we improve engagement </w:t>
      </w:r>
      <w:r w:rsidRPr="00323C25">
        <w:rPr>
          <w:rStyle w:val="contextualspellingandgrammarerror"/>
          <w:rFonts w:ascii="Calibri" w:hAnsi="Calibri" w:cs="Calibri"/>
          <w:b/>
          <w:bCs/>
          <w:i/>
          <w:iCs/>
          <w:color w:val="000000"/>
          <w:sz w:val="28"/>
          <w:szCs w:val="28"/>
          <w:shd w:val="clear" w:color="auto" w:fill="FFFFFF"/>
        </w:rPr>
        <w:t>through</w:t>
      </w:r>
      <w:r w:rsidRPr="00323C25">
        <w:rPr>
          <w:rStyle w:val="normaltextrun"/>
          <w:rFonts w:ascii="Calibri" w:hAnsi="Calibri" w:cs="Calibri"/>
          <w:b/>
          <w:bCs/>
          <w:i/>
          <w:iCs/>
          <w:color w:val="000000"/>
          <w:sz w:val="28"/>
          <w:szCs w:val="28"/>
          <w:shd w:val="clear" w:color="auto" w:fill="FFFFFF"/>
        </w:rPr>
        <w:t> </w:t>
      </w:r>
      <w:r w:rsidRPr="00323C25">
        <w:rPr>
          <w:rStyle w:val="eop"/>
          <w:rFonts w:ascii="Calibri" w:hAnsi="Calibri" w:cs="Calibri"/>
          <w:b/>
          <w:bCs/>
          <w:i/>
          <w:iCs/>
          <w:sz w:val="28"/>
          <w:szCs w:val="28"/>
        </w:rPr>
        <w:t>the</w:t>
      </w:r>
      <w:r w:rsidRPr="00323C25">
        <w:rPr>
          <w:rStyle w:val="normaltextrun"/>
          <w:rFonts w:ascii="Calibri" w:hAnsi="Calibri" w:cs="Calibri"/>
          <w:b/>
          <w:bCs/>
          <w:i/>
          <w:iCs/>
          <w:color w:val="000000"/>
          <w:sz w:val="28"/>
          <w:szCs w:val="28"/>
          <w:shd w:val="clear" w:color="auto" w:fill="FFFFFF"/>
        </w:rPr>
        <w:t xml:space="preserve"> use of tangible rewards in PE lessons?</w:t>
      </w:r>
    </w:p>
    <w:p w14:paraId="7FFBA0CD" w14:textId="77777777" w:rsidR="002D33D6" w:rsidRPr="00323C25" w:rsidRDefault="002D33D6" w:rsidP="002D33D6">
      <w:pPr>
        <w:pStyle w:val="AssignSubHeader"/>
        <w:jc w:val="center"/>
        <w:rPr>
          <w:sz w:val="22"/>
          <w:szCs w:val="18"/>
        </w:rPr>
      </w:pPr>
      <w:r w:rsidRPr="00323C25">
        <w:rPr>
          <w:sz w:val="22"/>
          <w:szCs w:val="18"/>
        </w:rPr>
        <w:t>Matt</w:t>
      </w:r>
      <w:r>
        <w:rPr>
          <w:sz w:val="22"/>
          <w:szCs w:val="18"/>
        </w:rPr>
        <w:t xml:space="preserve">hew </w:t>
      </w:r>
      <w:r w:rsidRPr="00323C25">
        <w:rPr>
          <w:sz w:val="22"/>
          <w:szCs w:val="18"/>
        </w:rPr>
        <w:t>Harper</w:t>
      </w:r>
    </w:p>
    <w:p w14:paraId="7354E470" w14:textId="77777777" w:rsidR="002D33D6" w:rsidRPr="00323C25" w:rsidRDefault="002D33D6" w:rsidP="002D33D6">
      <w:pPr>
        <w:pStyle w:val="AssignBody"/>
        <w:jc w:val="center"/>
        <w:rPr>
          <w:sz w:val="18"/>
          <w:szCs w:val="18"/>
        </w:rPr>
      </w:pPr>
      <w:r w:rsidRPr="00323C25">
        <w:rPr>
          <w:sz w:val="18"/>
          <w:szCs w:val="18"/>
        </w:rPr>
        <w:t>1700567</w:t>
      </w:r>
    </w:p>
    <w:p w14:paraId="1ACC8238" w14:textId="77777777" w:rsidR="002D33D6" w:rsidRDefault="002D33D6" w:rsidP="002D33D6">
      <w:pPr>
        <w:pStyle w:val="AssignBody"/>
      </w:pPr>
    </w:p>
    <w:p w14:paraId="32AC569E" w14:textId="77777777" w:rsidR="002D33D6" w:rsidRDefault="002D33D6" w:rsidP="002D33D6">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t>. /</w:t>
      </w:r>
    </w:p>
    <w:p w14:paraId="1883AEB0" w14:textId="77777777" w:rsidR="002D33D6" w:rsidRDefault="002D33D6" w:rsidP="002D33D6">
      <w:pPr>
        <w:pStyle w:val="AssignBody"/>
      </w:pPr>
      <w:r>
        <w:t>Please add your targets from the previous assignment using the table below.</w:t>
      </w:r>
    </w:p>
    <w:p w14:paraId="0ED14DC3" w14:textId="77777777" w:rsidR="002D33D6" w:rsidRDefault="002D33D6" w:rsidP="002D33D6">
      <w:pPr>
        <w:pStyle w:val="AssignBody"/>
      </w:pPr>
    </w:p>
    <w:tbl>
      <w:tblPr>
        <w:tblStyle w:val="TableGrid"/>
        <w:tblW w:w="0" w:type="auto"/>
        <w:tblLook w:val="04A0" w:firstRow="1" w:lastRow="0" w:firstColumn="1" w:lastColumn="0" w:noHBand="0" w:noVBand="1"/>
      </w:tblPr>
      <w:tblGrid>
        <w:gridCol w:w="1722"/>
        <w:gridCol w:w="3647"/>
        <w:gridCol w:w="3647"/>
      </w:tblGrid>
      <w:tr w:rsidR="002D33D6" w14:paraId="28AEDC8F" w14:textId="77777777" w:rsidTr="00A46023">
        <w:tc>
          <w:tcPr>
            <w:tcW w:w="1722" w:type="dxa"/>
            <w:tcBorders>
              <w:top w:val="single" w:sz="4" w:space="0" w:color="auto"/>
              <w:left w:val="single" w:sz="4" w:space="0" w:color="auto"/>
              <w:bottom w:val="single" w:sz="4" w:space="0" w:color="auto"/>
              <w:right w:val="single" w:sz="4" w:space="0" w:color="auto"/>
            </w:tcBorders>
          </w:tcPr>
          <w:p w14:paraId="0EA0F1AF" w14:textId="77777777" w:rsidR="002D33D6" w:rsidRDefault="002D33D6" w:rsidP="00A46023">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F6470C2" w14:textId="77777777" w:rsidR="002D33D6" w:rsidRDefault="002D33D6" w:rsidP="00A46023">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5B46A66E" w14:textId="77777777" w:rsidR="002D33D6" w:rsidRDefault="002D33D6" w:rsidP="00A46023">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06BAFA4" w14:textId="77777777" w:rsidR="002D33D6" w:rsidRDefault="002D33D6" w:rsidP="00A46023">
            <w:pPr>
              <w:pStyle w:val="NormalWeb"/>
              <w:spacing w:before="0" w:beforeAutospacing="0" w:after="0" w:afterAutospacing="0"/>
              <w:rPr>
                <w:rFonts w:ascii="Arial" w:hAnsi="Arial" w:cs="Arial"/>
                <w:color w:val="222222"/>
                <w:sz w:val="22"/>
                <w:szCs w:val="22"/>
                <w:lang w:val="en-US" w:eastAsia="en-US"/>
              </w:rPr>
            </w:pPr>
          </w:p>
          <w:p w14:paraId="7E3DECB5" w14:textId="77777777" w:rsidR="002D33D6" w:rsidRPr="00755E37" w:rsidRDefault="002D33D6" w:rsidP="00A46023">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2D33D6" w14:paraId="5B087FDF" w14:textId="77777777" w:rsidTr="00A46023">
        <w:tc>
          <w:tcPr>
            <w:tcW w:w="1722" w:type="dxa"/>
            <w:tcBorders>
              <w:top w:val="single" w:sz="4" w:space="0" w:color="auto"/>
              <w:left w:val="single" w:sz="4" w:space="0" w:color="auto"/>
              <w:bottom w:val="single" w:sz="4" w:space="0" w:color="auto"/>
              <w:right w:val="single" w:sz="4" w:space="0" w:color="auto"/>
            </w:tcBorders>
            <w:hideMark/>
          </w:tcPr>
          <w:p w14:paraId="575016B7" w14:textId="77777777" w:rsidR="002D33D6" w:rsidRDefault="002D33D6" w:rsidP="00A46023">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3684503C" w14:textId="77777777" w:rsidR="002D33D6" w:rsidRPr="00323C25" w:rsidRDefault="002D33D6" w:rsidP="00A46023">
            <w:pPr>
              <w:pStyle w:val="AssignBody"/>
              <w:rPr>
                <w:rFonts w:asciiTheme="minorHAnsi" w:hAnsiTheme="minorHAnsi" w:cstheme="minorHAnsi"/>
              </w:rPr>
            </w:pPr>
            <w:r w:rsidRPr="00323C25">
              <w:rPr>
                <w:rFonts w:asciiTheme="minorHAnsi" w:hAnsiTheme="minorHAnsi" w:cstheme="minorHAnsi"/>
                <w:color w:val="283041"/>
                <w:shd w:val="clear" w:color="auto" w:fill="FFFFFF"/>
              </w:rPr>
              <w:t>Read a wide range of up to date relevant literature that is included in the recommended reading list.</w:t>
            </w:r>
          </w:p>
        </w:tc>
        <w:tc>
          <w:tcPr>
            <w:tcW w:w="3647" w:type="dxa"/>
            <w:tcBorders>
              <w:top w:val="single" w:sz="4" w:space="0" w:color="auto"/>
              <w:left w:val="single" w:sz="4" w:space="0" w:color="auto"/>
              <w:bottom w:val="single" w:sz="4" w:space="0" w:color="auto"/>
              <w:right w:val="single" w:sz="4" w:space="0" w:color="auto"/>
            </w:tcBorders>
          </w:tcPr>
          <w:p w14:paraId="0D06DAE7" w14:textId="77777777" w:rsidR="002D33D6" w:rsidRPr="00D67369" w:rsidRDefault="002D33D6" w:rsidP="00A46023">
            <w:pPr>
              <w:pStyle w:val="AssignBody"/>
              <w:rPr>
                <w:rFonts w:asciiTheme="minorHAnsi" w:hAnsiTheme="minorHAnsi" w:cstheme="minorHAnsi"/>
              </w:rPr>
            </w:pPr>
            <w:r w:rsidRPr="00D67369">
              <w:rPr>
                <w:rFonts w:asciiTheme="minorHAnsi" w:hAnsiTheme="minorHAnsi" w:cstheme="minorHAnsi"/>
              </w:rPr>
              <w:t xml:space="preserve">I have read </w:t>
            </w:r>
            <w:proofErr w:type="gramStart"/>
            <w:r w:rsidRPr="00D67369">
              <w:rPr>
                <w:rFonts w:asciiTheme="minorHAnsi" w:hAnsiTheme="minorHAnsi" w:cstheme="minorHAnsi"/>
              </w:rPr>
              <w:t>a number of</w:t>
            </w:r>
            <w:proofErr w:type="gramEnd"/>
            <w:r w:rsidRPr="00D67369">
              <w:rPr>
                <w:rFonts w:asciiTheme="minorHAnsi" w:hAnsiTheme="minorHAnsi" w:cstheme="minorHAnsi"/>
              </w:rPr>
              <w:t xml:space="preserve"> articles related to my chosen area of research.  Some are more up to date. </w:t>
            </w:r>
          </w:p>
        </w:tc>
      </w:tr>
      <w:tr w:rsidR="002D33D6" w14:paraId="3EC36C8E" w14:textId="77777777" w:rsidTr="00A46023">
        <w:tc>
          <w:tcPr>
            <w:tcW w:w="1722" w:type="dxa"/>
            <w:tcBorders>
              <w:top w:val="single" w:sz="4" w:space="0" w:color="auto"/>
              <w:left w:val="single" w:sz="4" w:space="0" w:color="auto"/>
              <w:bottom w:val="single" w:sz="4" w:space="0" w:color="auto"/>
              <w:right w:val="single" w:sz="4" w:space="0" w:color="auto"/>
            </w:tcBorders>
            <w:hideMark/>
          </w:tcPr>
          <w:p w14:paraId="701E7170" w14:textId="77777777" w:rsidR="002D33D6" w:rsidRDefault="002D33D6" w:rsidP="00A46023">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5AF2D750" w14:textId="77777777" w:rsidR="002D33D6" w:rsidRPr="00323C25" w:rsidRDefault="002D33D6" w:rsidP="00A46023">
            <w:pPr>
              <w:pStyle w:val="AssignBody"/>
              <w:rPr>
                <w:rFonts w:asciiTheme="minorHAnsi" w:hAnsiTheme="minorHAnsi" w:cstheme="minorHAnsi"/>
              </w:rPr>
            </w:pPr>
            <w:r w:rsidRPr="00323C25">
              <w:rPr>
                <w:rFonts w:asciiTheme="minorHAnsi" w:hAnsiTheme="minorHAnsi" w:cstheme="minorHAnsi"/>
                <w:color w:val="283041"/>
                <w:shd w:val="clear" w:color="auto" w:fill="FFFFFF"/>
              </w:rPr>
              <w:t>E</w:t>
            </w:r>
            <w:r w:rsidRPr="00323C25">
              <w:rPr>
                <w:rFonts w:asciiTheme="minorHAnsi" w:hAnsiTheme="minorHAnsi" w:cstheme="minorHAnsi"/>
                <w:color w:val="283041"/>
              </w:rPr>
              <w:t>nsure you avoid sweeping statements and opinions - use your reading to provide a balanced view.</w:t>
            </w:r>
          </w:p>
        </w:tc>
        <w:tc>
          <w:tcPr>
            <w:tcW w:w="3647" w:type="dxa"/>
            <w:tcBorders>
              <w:top w:val="single" w:sz="4" w:space="0" w:color="auto"/>
              <w:left w:val="single" w:sz="4" w:space="0" w:color="auto"/>
              <w:bottom w:val="single" w:sz="4" w:space="0" w:color="auto"/>
              <w:right w:val="single" w:sz="4" w:space="0" w:color="auto"/>
            </w:tcBorders>
          </w:tcPr>
          <w:p w14:paraId="313AFB32" w14:textId="77777777" w:rsidR="002D33D6" w:rsidRPr="00D67369" w:rsidRDefault="002D33D6" w:rsidP="00A46023">
            <w:pPr>
              <w:pStyle w:val="AssignBody"/>
              <w:rPr>
                <w:rFonts w:asciiTheme="minorHAnsi" w:hAnsiTheme="minorHAnsi" w:cstheme="minorHAnsi"/>
              </w:rPr>
            </w:pPr>
            <w:r w:rsidRPr="00D67369">
              <w:rPr>
                <w:rFonts w:asciiTheme="minorHAnsi" w:hAnsiTheme="minorHAnsi" w:cstheme="minorHAnsi"/>
              </w:rPr>
              <w:t xml:space="preserve">I have read my assignment several times in a bid to identify and remove any larger amounts of </w:t>
            </w:r>
            <w:proofErr w:type="gramStart"/>
            <w:r w:rsidRPr="00D67369">
              <w:rPr>
                <w:rFonts w:asciiTheme="minorHAnsi" w:hAnsiTheme="minorHAnsi" w:cstheme="minorHAnsi"/>
              </w:rPr>
              <w:t>personal opinion</w:t>
            </w:r>
            <w:proofErr w:type="gramEnd"/>
            <w:r w:rsidRPr="00D67369">
              <w:rPr>
                <w:rFonts w:asciiTheme="minorHAnsi" w:hAnsiTheme="minorHAnsi" w:cstheme="minorHAnsi"/>
              </w:rPr>
              <w:t xml:space="preserve"> and to keep the writing more academic.</w:t>
            </w:r>
          </w:p>
        </w:tc>
      </w:tr>
      <w:tr w:rsidR="002D33D6" w14:paraId="5E1DF442" w14:textId="77777777" w:rsidTr="00A46023">
        <w:tc>
          <w:tcPr>
            <w:tcW w:w="1722" w:type="dxa"/>
            <w:tcBorders>
              <w:top w:val="single" w:sz="4" w:space="0" w:color="auto"/>
              <w:left w:val="single" w:sz="4" w:space="0" w:color="auto"/>
              <w:bottom w:val="single" w:sz="4" w:space="0" w:color="auto"/>
              <w:right w:val="single" w:sz="4" w:space="0" w:color="auto"/>
            </w:tcBorders>
            <w:hideMark/>
          </w:tcPr>
          <w:p w14:paraId="6A2850AF" w14:textId="77777777" w:rsidR="002D33D6" w:rsidRDefault="002D33D6" w:rsidP="00A46023">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27AC4642" w14:textId="77777777" w:rsidR="002D33D6" w:rsidRPr="00323C25" w:rsidRDefault="002D33D6" w:rsidP="00A46023">
            <w:pPr>
              <w:pStyle w:val="AssignBody"/>
              <w:rPr>
                <w:rFonts w:asciiTheme="minorHAnsi" w:hAnsiTheme="minorHAnsi" w:cstheme="minorHAnsi"/>
              </w:rPr>
            </w:pPr>
            <w:r w:rsidRPr="00323C25">
              <w:rPr>
                <w:rFonts w:asciiTheme="minorHAnsi" w:hAnsiTheme="minorHAnsi" w:cstheme="minorHAnsi"/>
                <w:color w:val="283041"/>
                <w:shd w:val="clear" w:color="auto" w:fill="FFFFFF"/>
              </w:rPr>
              <w:t xml:space="preserve">Please </w:t>
            </w:r>
            <w:proofErr w:type="gramStart"/>
            <w:r w:rsidRPr="00323C25">
              <w:rPr>
                <w:rFonts w:asciiTheme="minorHAnsi" w:hAnsiTheme="minorHAnsi" w:cstheme="minorHAnsi"/>
                <w:color w:val="283041"/>
                <w:shd w:val="clear" w:color="auto" w:fill="FFFFFF"/>
              </w:rPr>
              <w:t>proof read</w:t>
            </w:r>
            <w:proofErr w:type="gramEnd"/>
            <w:r w:rsidRPr="00323C25">
              <w:rPr>
                <w:rFonts w:asciiTheme="minorHAnsi" w:hAnsiTheme="minorHAnsi" w:cstheme="minorHAnsi"/>
                <w:color w:val="283041"/>
                <w:shd w:val="clear" w:color="auto" w:fill="FFFFFF"/>
              </w:rPr>
              <w:t xml:space="preserve"> your work as I am sure you would have corrected many of the errors.</w:t>
            </w:r>
          </w:p>
        </w:tc>
        <w:tc>
          <w:tcPr>
            <w:tcW w:w="3647" w:type="dxa"/>
            <w:tcBorders>
              <w:top w:val="single" w:sz="4" w:space="0" w:color="auto"/>
              <w:left w:val="single" w:sz="4" w:space="0" w:color="auto"/>
              <w:bottom w:val="single" w:sz="4" w:space="0" w:color="auto"/>
              <w:right w:val="single" w:sz="4" w:space="0" w:color="auto"/>
            </w:tcBorders>
          </w:tcPr>
          <w:p w14:paraId="17100F0C" w14:textId="77777777" w:rsidR="002D33D6" w:rsidRPr="00D67369" w:rsidRDefault="002D33D6" w:rsidP="00A46023">
            <w:pPr>
              <w:pStyle w:val="AssignBody"/>
              <w:rPr>
                <w:rFonts w:asciiTheme="minorHAnsi" w:hAnsiTheme="minorHAnsi" w:cstheme="minorHAnsi"/>
              </w:rPr>
            </w:pPr>
            <w:r w:rsidRPr="00D67369">
              <w:rPr>
                <w:rFonts w:asciiTheme="minorHAnsi" w:hAnsiTheme="minorHAnsi" w:cstheme="minorHAnsi"/>
              </w:rPr>
              <w:t>I have proofread my document to check for errors.</w:t>
            </w:r>
          </w:p>
        </w:tc>
      </w:tr>
    </w:tbl>
    <w:p w14:paraId="3E306AF5" w14:textId="77777777" w:rsidR="002D33D6" w:rsidRDefault="002D33D6" w:rsidP="002D33D6">
      <w:pPr>
        <w:pStyle w:val="AssignBody"/>
      </w:pPr>
    </w:p>
    <w:p w14:paraId="628410D1" w14:textId="77777777" w:rsidR="002D33D6" w:rsidRPr="00130F8F" w:rsidRDefault="002D33D6" w:rsidP="002D33D6">
      <w:pPr>
        <w:jc w:val="center"/>
        <w:rPr>
          <w:rFonts w:cstheme="minorHAnsi"/>
          <w:b/>
          <w:bCs/>
          <w:sz w:val="28"/>
          <w:szCs w:val="28"/>
          <w:u w:val="single"/>
        </w:rPr>
      </w:pPr>
      <w:r>
        <w:rPr>
          <w:rFonts w:cstheme="minorHAnsi"/>
          <w:b/>
          <w:bCs/>
          <w:sz w:val="28"/>
          <w:szCs w:val="28"/>
          <w:u w:val="single"/>
        </w:rPr>
        <w:t>Desi</w:t>
      </w:r>
      <w:r w:rsidRPr="00130F8F">
        <w:rPr>
          <w:rFonts w:cstheme="minorHAnsi"/>
          <w:b/>
          <w:bCs/>
          <w:sz w:val="28"/>
          <w:szCs w:val="28"/>
          <w:u w:val="single"/>
        </w:rPr>
        <w:t>gn, conduct and critically evaluate a close-to-practice research project (lesson study) focusing on the model of the transformative teacher in developing practice that has a positive impact on the learner.</w:t>
      </w:r>
    </w:p>
    <w:p w14:paraId="7F861DA1" w14:textId="77777777" w:rsidR="002D33D6" w:rsidRDefault="002D33D6" w:rsidP="002D33D6">
      <w:pPr>
        <w:jc w:val="both"/>
        <w:rPr>
          <w:rFonts w:cstheme="minorHAnsi"/>
        </w:rPr>
      </w:pPr>
    </w:p>
    <w:p w14:paraId="572BA56B" w14:textId="77777777" w:rsidR="002D33D6" w:rsidRDefault="002D33D6" w:rsidP="002D33D6">
      <w:pPr>
        <w:jc w:val="both"/>
        <w:rPr>
          <w:rFonts w:cstheme="minorHAnsi"/>
        </w:rPr>
      </w:pPr>
      <w:r>
        <w:rPr>
          <w:rFonts w:cstheme="minorHAnsi"/>
        </w:rPr>
        <w:t xml:space="preserve">Currently the student researcher has been at faith school in Penarth.  The school is in an affluent area and selection of pupils is based, primarily, on their Catholic faith. The pupils are highly motivated, attend every day and participate fully in all classes.  There is a strong relationship between parents and school and academic excellence is culturally expected.  However, in the physical education (PE) lessons of the curriculum it was noticed that the pupils would appear to participate but that levels of engagement varied and at times were often perfunctory.  When the option of an action research project was proposed, </w:t>
      </w:r>
      <w:proofErr w:type="gramStart"/>
      <w:r>
        <w:rPr>
          <w:rFonts w:cstheme="minorHAnsi"/>
        </w:rPr>
        <w:t>a number of</w:t>
      </w:r>
      <w:proofErr w:type="gramEnd"/>
      <w:r>
        <w:rPr>
          <w:rFonts w:cstheme="minorHAnsi"/>
        </w:rPr>
        <w:t xml:space="preserve"> conversations regarding pupils’ engagement in PE ensued with student researchers in the university and with teacher’s, at school.  It was immediately evident that this was an area noted by some as being undervalued by the pupils.  So, it was decided that a researcher project in this area would allow for further scrutiny of initial preconceptions.  Initially, the research team consisted of two people, a student research in year five and one in year six.  The team was approached by a third student researcher in nursery and consequently this person joined the team.  The research will take the form of a lesson study and this will be discussed </w:t>
      </w:r>
      <w:proofErr w:type="gramStart"/>
      <w:r>
        <w:rPr>
          <w:rFonts w:cstheme="minorHAnsi"/>
        </w:rPr>
        <w:t>later on</w:t>
      </w:r>
      <w:proofErr w:type="gramEnd"/>
      <w:r>
        <w:rPr>
          <w:rFonts w:cstheme="minorHAnsi"/>
        </w:rPr>
        <w:t xml:space="preserve"> in the essay. After much discussion, a research question was decided upon, </w:t>
      </w:r>
    </w:p>
    <w:p w14:paraId="4075E47F" w14:textId="77777777" w:rsidR="002D33D6" w:rsidRDefault="002D33D6" w:rsidP="002D33D6">
      <w:pPr>
        <w:jc w:val="both"/>
        <w:rPr>
          <w:rStyle w:val="eop"/>
          <w:rFonts w:ascii="Calibri" w:hAnsi="Calibri" w:cs="Calibri"/>
          <w:b/>
          <w:bCs/>
          <w:i/>
          <w:iCs/>
        </w:rPr>
      </w:pPr>
      <w:r>
        <w:rPr>
          <w:rFonts w:cstheme="minorHAnsi"/>
        </w:rPr>
        <w:t>‘</w:t>
      </w:r>
      <w:r>
        <w:rPr>
          <w:rStyle w:val="normaltextrun"/>
          <w:rFonts w:ascii="Calibri" w:hAnsi="Calibri" w:cs="Calibri"/>
          <w:b/>
          <w:bCs/>
          <w:i/>
          <w:iCs/>
          <w:color w:val="000000"/>
          <w:shd w:val="clear" w:color="auto" w:fill="FFFFFF"/>
        </w:rPr>
        <w:t>C</w:t>
      </w:r>
      <w:r w:rsidRPr="005D3FDA">
        <w:rPr>
          <w:rStyle w:val="normaltextrun"/>
          <w:rFonts w:ascii="Calibri" w:hAnsi="Calibri" w:cs="Calibri"/>
          <w:b/>
          <w:bCs/>
          <w:i/>
          <w:iCs/>
          <w:color w:val="000000"/>
          <w:shd w:val="clear" w:color="auto" w:fill="FFFFFF"/>
        </w:rPr>
        <w:t xml:space="preserve">an we improve engagement </w:t>
      </w:r>
      <w:r w:rsidRPr="005D3FDA">
        <w:rPr>
          <w:rStyle w:val="contextualspellingandgrammarerror"/>
          <w:rFonts w:ascii="Calibri" w:hAnsi="Calibri" w:cs="Calibri"/>
          <w:b/>
          <w:bCs/>
          <w:i/>
          <w:iCs/>
          <w:color w:val="000000"/>
          <w:shd w:val="clear" w:color="auto" w:fill="FFFFFF"/>
        </w:rPr>
        <w:t>through</w:t>
      </w:r>
      <w:r w:rsidRPr="005D3FDA">
        <w:rPr>
          <w:rStyle w:val="normaltextrun"/>
          <w:rFonts w:ascii="Calibri" w:hAnsi="Calibri" w:cs="Calibri"/>
          <w:b/>
          <w:bCs/>
          <w:i/>
          <w:iCs/>
          <w:color w:val="000000"/>
          <w:shd w:val="clear" w:color="auto" w:fill="FFFFFF"/>
        </w:rPr>
        <w:t> </w:t>
      </w:r>
      <w:r w:rsidRPr="005D3FDA">
        <w:rPr>
          <w:rStyle w:val="eop"/>
          <w:rFonts w:ascii="Calibri" w:hAnsi="Calibri" w:cs="Calibri"/>
          <w:b/>
          <w:bCs/>
          <w:i/>
          <w:iCs/>
        </w:rPr>
        <w:t>the</w:t>
      </w:r>
      <w:r w:rsidRPr="005D3FDA">
        <w:rPr>
          <w:rStyle w:val="normaltextrun"/>
          <w:rFonts w:ascii="Calibri" w:hAnsi="Calibri" w:cs="Calibri"/>
          <w:b/>
          <w:bCs/>
          <w:i/>
          <w:iCs/>
          <w:color w:val="000000"/>
          <w:shd w:val="clear" w:color="auto" w:fill="FFFFFF"/>
        </w:rPr>
        <w:t xml:space="preserve"> use of tangible rewards in PE lessons</w:t>
      </w:r>
      <w:r>
        <w:rPr>
          <w:rStyle w:val="normaltextrun"/>
          <w:rFonts w:ascii="Calibri" w:hAnsi="Calibri" w:cs="Calibri"/>
          <w:b/>
          <w:bCs/>
          <w:i/>
          <w:iCs/>
          <w:color w:val="000000"/>
          <w:shd w:val="clear" w:color="auto" w:fill="FFFFFF"/>
        </w:rPr>
        <w:t>?’</w:t>
      </w:r>
    </w:p>
    <w:p w14:paraId="05CBA1D3" w14:textId="77777777" w:rsidR="002D33D6" w:rsidRPr="003421C9" w:rsidRDefault="002D33D6" w:rsidP="002D33D6">
      <w:pPr>
        <w:jc w:val="both"/>
        <w:rPr>
          <w:rStyle w:val="eop"/>
          <w:rFonts w:ascii="Calibri" w:hAnsi="Calibri" w:cs="Calibri"/>
        </w:rPr>
      </w:pPr>
      <w:r>
        <w:rPr>
          <w:rStyle w:val="eop"/>
          <w:rFonts w:ascii="Calibri" w:hAnsi="Calibri" w:cs="Calibri"/>
        </w:rPr>
        <w:t>In the researcher’s school, the year six are a very competitive group, most of the pupils participate in after school sporting activities with one child being regularly released from school to attend Royal Ballet, London.  It adds further credence to the need to research why engagement levels vary greatly and can they be improved?</w:t>
      </w:r>
    </w:p>
    <w:p w14:paraId="700BCC47" w14:textId="77777777" w:rsidR="002D33D6" w:rsidRDefault="002D33D6" w:rsidP="002D33D6">
      <w:pPr>
        <w:jc w:val="both"/>
        <w:rPr>
          <w:rStyle w:val="eop"/>
          <w:rFonts w:ascii="Calibri" w:hAnsi="Calibri" w:cs="Calibri"/>
        </w:rPr>
      </w:pPr>
      <w:r>
        <w:rPr>
          <w:rStyle w:val="eop"/>
          <w:rFonts w:ascii="Calibri" w:hAnsi="Calibri" w:cs="Calibri"/>
        </w:rPr>
        <w:t>Before embarking on this lesson study, background reading was undertaken in a bid to better understand the context of PE in primary schools in Wales.  Curriculum 2008, ‘Foundation Phase’, outlines what pupils in this phase should be doing to meet their physical development needs.  Indeed, the whole pedagogy of experiential learning (Kolb 2015) through play would suggest that physical development is inherent in all activities planned by the teachers and therefore naturalised within the curriculum.  Looking at the next stage of physical development, Welsh Government splits this into key stage two and the transition to key stage three.  Teachers are given stricter guidelines and the pupils are expected to move through levels in line with four areas: h</w:t>
      </w:r>
      <w:r w:rsidRPr="00ED60F4">
        <w:rPr>
          <w:rStyle w:val="eop"/>
          <w:rFonts w:ascii="Calibri" w:hAnsi="Calibri" w:cs="Calibri"/>
        </w:rPr>
        <w:t>ealth, fitness and well-being activities</w:t>
      </w:r>
      <w:r>
        <w:rPr>
          <w:rStyle w:val="eop"/>
          <w:rFonts w:ascii="Calibri" w:hAnsi="Calibri" w:cs="Calibri"/>
        </w:rPr>
        <w:t>, c</w:t>
      </w:r>
      <w:r w:rsidRPr="00ED60F4">
        <w:rPr>
          <w:rStyle w:val="eop"/>
          <w:rFonts w:ascii="Calibri" w:hAnsi="Calibri" w:cs="Calibri"/>
        </w:rPr>
        <w:t>reative activities</w:t>
      </w:r>
      <w:r>
        <w:rPr>
          <w:rStyle w:val="eop"/>
          <w:rFonts w:ascii="Calibri" w:hAnsi="Calibri" w:cs="Calibri"/>
        </w:rPr>
        <w:t>, a</w:t>
      </w:r>
      <w:r w:rsidRPr="00ED60F4">
        <w:rPr>
          <w:rStyle w:val="eop"/>
          <w:rFonts w:ascii="Calibri" w:hAnsi="Calibri" w:cs="Calibri"/>
        </w:rPr>
        <w:t>dventurous activities</w:t>
      </w:r>
      <w:r>
        <w:rPr>
          <w:rStyle w:val="eop"/>
          <w:rFonts w:ascii="Calibri" w:hAnsi="Calibri" w:cs="Calibri"/>
        </w:rPr>
        <w:t>, c</w:t>
      </w:r>
      <w:r w:rsidRPr="00ED60F4">
        <w:rPr>
          <w:rStyle w:val="eop"/>
          <w:rFonts w:ascii="Calibri" w:hAnsi="Calibri" w:cs="Calibri"/>
        </w:rPr>
        <w:t>ompetitive activities</w:t>
      </w:r>
      <w:r>
        <w:rPr>
          <w:rStyle w:val="eop"/>
          <w:rFonts w:ascii="Calibri" w:hAnsi="Calibri" w:cs="Calibri"/>
        </w:rPr>
        <w:t>.  Donaldson (2015) outlines in his four purposes, that of ‘healthy, confident individuals’, the importance of pupils understanding the impact of diet and exercise on mental and physical wellbeing.  In Curriculum 2022, ‘Health and Wellbeing’, (Area of Learning and Experience) pupils will continue to engage in physical education.  An additional focus on physical literacy, will also be expected (Curriculum for Wales, 2022).</w:t>
      </w:r>
    </w:p>
    <w:p w14:paraId="0FA8BB94" w14:textId="77777777" w:rsidR="002D33D6" w:rsidRDefault="002D33D6" w:rsidP="002D33D6">
      <w:pPr>
        <w:jc w:val="both"/>
        <w:rPr>
          <w:rStyle w:val="eop"/>
          <w:rFonts w:ascii="Calibri" w:hAnsi="Calibri" w:cs="Calibri"/>
        </w:rPr>
      </w:pPr>
      <w:r>
        <w:rPr>
          <w:rStyle w:val="eop"/>
          <w:rFonts w:ascii="Calibri" w:hAnsi="Calibri" w:cs="Calibri"/>
        </w:rPr>
        <w:t>Articles both on the Estyn website and that of Welsh Government outlines the apparent lack of adequately trained teachers.  Estyn’s ‘Physical Education and School Sport Action Plan’ (PESS), funded by Welsh Government and Sport Council for Wales, outlines that around 39% of primary teachers lacked the confidence to teach PE and 55% of trainee teachers received less than 10 hours training.  Drawing on personal experience here, the latter is certainly true.  However, it is commonly understood that trainee teachers are expected to interpret the curriculum and in line with QTS standards (</w:t>
      </w:r>
      <w:proofErr w:type="gramStart"/>
      <w:r>
        <w:rPr>
          <w:rStyle w:val="eop"/>
          <w:rFonts w:ascii="Calibri" w:hAnsi="Calibri" w:cs="Calibri"/>
        </w:rPr>
        <w:t>gov.wales</w:t>
      </w:r>
      <w:proofErr w:type="gramEnd"/>
      <w:r>
        <w:rPr>
          <w:rStyle w:val="eop"/>
          <w:rFonts w:ascii="Calibri" w:hAnsi="Calibri" w:cs="Calibri"/>
        </w:rPr>
        <w:t>) deliver lessons that have been self-designed.  The university provides theory, strategies and support to assist with this.  In the case of teaching PE, this would be the same.</w:t>
      </w:r>
    </w:p>
    <w:p w14:paraId="5730D2F0" w14:textId="77777777" w:rsidR="002D33D6" w:rsidRDefault="002D33D6" w:rsidP="002D33D6">
      <w:pPr>
        <w:jc w:val="both"/>
        <w:rPr>
          <w:rStyle w:val="eop"/>
          <w:rFonts w:ascii="Calibri" w:hAnsi="Calibri" w:cs="Calibri"/>
        </w:rPr>
      </w:pPr>
      <w:r>
        <w:rPr>
          <w:rStyle w:val="eop"/>
          <w:rFonts w:ascii="Calibri" w:hAnsi="Calibri" w:cs="Calibri"/>
        </w:rPr>
        <w:t xml:space="preserve">Whilst context about PE in the curriculum is important, it </w:t>
      </w:r>
      <w:proofErr w:type="spellStart"/>
      <w:r>
        <w:rPr>
          <w:rStyle w:val="eop"/>
          <w:rFonts w:ascii="Calibri" w:hAnsi="Calibri" w:cs="Calibri"/>
        </w:rPr>
        <w:t>can not</w:t>
      </w:r>
      <w:proofErr w:type="spellEnd"/>
      <w:r>
        <w:rPr>
          <w:rStyle w:val="eop"/>
          <w:rFonts w:ascii="Calibri" w:hAnsi="Calibri" w:cs="Calibri"/>
        </w:rPr>
        <w:t xml:space="preserve"> be viewed in isolation.  The importance of the pupil’s disposition is paramount.  The way a person feels about themselves, their self-efficacy (Hattie, 2012) can impact on how they undertake a task.  In relation to PE, if the pupil has a positive self-efficacy, they will believe that they can undertake the task at hand, however difficult.  Previous success in PE will also play its part in a high level of self-efficacy (Bandura 1997).  PE is usually undertaken in a group task environment, Bandura (1997) in his social cognitive theory discusses the individual’s interaction with their environment on a social level and Hattie (2017) is an agreement with this, children can be largely influenced by social comparison.  Therefore, if they perceive a friend doing well, then they are likely to copy that behaviour.  Conversely, the juxtapose of this is equally as likely.  Someone who looks to a friend for social comparison is likely to copy a negative behaviour if they have a low self-efficacy.  Or, they have a high self-efficacy but self-handicap (Hattie, 2012) as they do not wish to be seen doing well.  The experience of PE in primary school must be positive, so much so that at a government level, ‘sport premium’, ensures funding for the positive promotion of all activities.  The positive aspects of physical and emotional wellbeing, lead children to live positive futures as adults (</w:t>
      </w:r>
      <w:proofErr w:type="gramStart"/>
      <w:r>
        <w:rPr>
          <w:rStyle w:val="eop"/>
          <w:rFonts w:ascii="Calibri" w:hAnsi="Calibri" w:cs="Calibri"/>
        </w:rPr>
        <w:t>gov.wales</w:t>
      </w:r>
      <w:proofErr w:type="gramEnd"/>
      <w:r>
        <w:rPr>
          <w:rStyle w:val="eop"/>
          <w:rFonts w:ascii="Calibri" w:hAnsi="Calibri" w:cs="Calibri"/>
        </w:rPr>
        <w:t xml:space="preserve">) </w:t>
      </w:r>
    </w:p>
    <w:p w14:paraId="0719278B" w14:textId="77777777" w:rsidR="002D33D6" w:rsidRDefault="002D33D6" w:rsidP="002D33D6">
      <w:pPr>
        <w:jc w:val="both"/>
        <w:rPr>
          <w:rStyle w:val="eop"/>
          <w:rFonts w:ascii="Calibri" w:hAnsi="Calibri" w:cs="Calibri"/>
        </w:rPr>
      </w:pPr>
      <w:r>
        <w:rPr>
          <w:rStyle w:val="eop"/>
          <w:rFonts w:ascii="Calibri" w:hAnsi="Calibri" w:cs="Calibri"/>
        </w:rPr>
        <w:t xml:space="preserve">The teacher has both a moral and professional responsibility to manage the behaviours of each pupil to ensure ongoing commitment to all lessons.  Vygotsky’s, ‘social construct theory’ (1980) is split into three phases, social interaction, the more knowledgeable other (MKO) and the zone of proximal development (ZPD).  All three of these play an equal part in the pupil engagement.  PE is often a sociable activity; the teacher must ensure that the activity promotes teamwork; shared goals.  The MKO, in this instance is the teacher, they use their knowledge of the activity at hand to manage the pupil’s expectation and journey through the task, ensuring suitable challenge and thus better engagement.  The ZPD relies on the interpersonal relationship between teacher and pupil and again is vital at taking the pupil from what they already know to new skills acquisition.  If the pupil is treated with dignity and respect (Katz, 2008) then they will take on advice and guidance and make improvement.  This collaborative approach as opposed to the transmissionist method supports the pupil to construct a positive disposition towards PE.  Although Piaget also believe in the child as the architect of social construction, children as active learners rather than passive, he is heavily criticised for underestimating the ability of children to operate outside of their development age. </w:t>
      </w:r>
    </w:p>
    <w:p w14:paraId="6B0EB79D" w14:textId="77777777" w:rsidR="002D33D6" w:rsidRDefault="002D33D6" w:rsidP="002D33D6">
      <w:pPr>
        <w:jc w:val="both"/>
        <w:rPr>
          <w:rStyle w:val="eop"/>
          <w:rFonts w:ascii="Calibri" w:hAnsi="Calibri" w:cs="Calibri"/>
        </w:rPr>
      </w:pPr>
      <w:r>
        <w:rPr>
          <w:rStyle w:val="eop"/>
          <w:rFonts w:ascii="Calibri" w:hAnsi="Calibri" w:cs="Calibri"/>
        </w:rPr>
        <w:t>This next paragraph will look at other forms of positive behavioural conditioning, namely classic and operant conditioning.  Classic conditioning was made famous by Pavlov in the 1890’s (Pavlov’s Dogs).  In a physical education setting, Pavlov (1890’s) outlines that a stimulus will bring about a response.  On a basic level, when pupils are advised they are going to take part in PE, most cheer instinctively, their past experiences are enjoyable, therefore they are motivated to take part.  This same classic conditioning will bring about a groan in some children due to past poor experiences and factors.  For the educator, a positive conditional response to an activity is great, though cannot be taken for granted.  A continued effort to engage pupils in tasks is important.  Using operant conditioning (Skinner, 1948) could support all pupils (with varying opinions to PE) from the outset.  Skinner (1948) extols the virtues of increasing behaviour which you wish to see and limiting that which you do not.  In the case of PE, rewarding pupils when they work well, should motivate them to repeat that effort.  If pupils are misbehaving, you remove a task, this removal of task should decrease the occurrence of poor behaviour.  The reward, if linked to a pupil’s personal goals, abilities and disposition will highlight to the pupils your genuine interest in them.  The reward could be linked to a group goal (extra play at break time), individual (verbal praise, positive body language) or, in the case of this lesson study, a tangible reward (three stickers for a house point, one sticker = one chocolate).  Taking into consideration the self attributes brought to lesson (Case, 1982 &amp; 1999) and positive behaviour management should see increased engagement level in PE.</w:t>
      </w:r>
    </w:p>
    <w:p w14:paraId="2EA7041D" w14:textId="77777777" w:rsidR="002D33D6" w:rsidRPr="0006671C" w:rsidRDefault="002D33D6" w:rsidP="002D33D6">
      <w:pPr>
        <w:pStyle w:val="paragraph"/>
        <w:spacing w:before="0" w:beforeAutospacing="0" w:after="0" w:afterAutospacing="0"/>
        <w:textAlignment w:val="baseline"/>
        <w:rPr>
          <w:rFonts w:ascii="&amp;quot" w:hAnsi="&amp;quot"/>
          <w:sz w:val="18"/>
          <w:szCs w:val="18"/>
        </w:rPr>
      </w:pPr>
      <w:r>
        <w:rPr>
          <w:rStyle w:val="normaltextrun"/>
          <w:rFonts w:ascii="Calibri" w:hAnsi="Calibri"/>
          <w:sz w:val="22"/>
          <w:szCs w:val="22"/>
        </w:rPr>
        <w:t xml:space="preserve">There were </w:t>
      </w:r>
      <w:proofErr w:type="gramStart"/>
      <w:r>
        <w:rPr>
          <w:rStyle w:val="advancedproofingissue"/>
          <w:rFonts w:ascii="Calibri" w:hAnsi="Calibri"/>
          <w:sz w:val="22"/>
          <w:szCs w:val="22"/>
        </w:rPr>
        <w:t>a number of</w:t>
      </w:r>
      <w:proofErr w:type="gramEnd"/>
      <w:r>
        <w:rPr>
          <w:rStyle w:val="normaltextrun"/>
          <w:rFonts w:ascii="Calibri" w:hAnsi="Calibri"/>
          <w:sz w:val="22"/>
          <w:szCs w:val="22"/>
        </w:rPr>
        <w:t xml:space="preserve"> ethical considerations that the researcher needed to consider before conducting educational research.  The primary one was that of consent, as the pupils were three to eleven years, this was sought from parents.  Consent was also obtained from the school and from the researcher’s school mentor.  The pupils provided assent and were advised, as mentioned previously, that they could withdraw at any time without prejudice.</w:t>
      </w:r>
      <w:r>
        <w:rPr>
          <w:rStyle w:val="eop"/>
          <w:rFonts w:ascii="Calibri" w:hAnsi="Calibri"/>
          <w:sz w:val="22"/>
          <w:szCs w:val="22"/>
        </w:rPr>
        <w:t xml:space="preserve">  They were also told that they may </w:t>
      </w:r>
      <w:r>
        <w:rPr>
          <w:rStyle w:val="normaltextrun"/>
          <w:rFonts w:ascii="Calibri" w:hAnsi="Calibri"/>
          <w:sz w:val="22"/>
          <w:szCs w:val="22"/>
        </w:rPr>
        <w:t>withdraw from the study but not the lesson.  Additionally, at the start of the lesson study, assent was verbally sought again. The data collected (via verbal interviews and recorded audio) is stored confidentially, the information will not be shared with anyone other than the person reading this essay and research team.  The information is stored on a university account and password protected</w:t>
      </w:r>
      <w:r w:rsidRPr="003060A4">
        <w:rPr>
          <w:rStyle w:val="normaltextrun"/>
          <w:rFonts w:asciiTheme="minorHAnsi" w:hAnsiTheme="minorHAnsi" w:cstheme="minorHAnsi"/>
          <w:sz w:val="22"/>
          <w:szCs w:val="22"/>
        </w:rPr>
        <w:t>.</w:t>
      </w:r>
      <w:r w:rsidRPr="003060A4">
        <w:rPr>
          <w:rStyle w:val="eop"/>
          <w:rFonts w:asciiTheme="minorHAnsi" w:hAnsiTheme="minorHAnsi" w:cstheme="minorHAnsi"/>
          <w:sz w:val="22"/>
          <w:szCs w:val="22"/>
        </w:rPr>
        <w:t xml:space="preserve">  </w:t>
      </w:r>
      <w:r w:rsidRPr="003060A4">
        <w:rPr>
          <w:rFonts w:asciiTheme="minorHAnsi" w:hAnsiTheme="minorHAnsi" w:cstheme="minorHAnsi"/>
          <w:sz w:val="22"/>
          <w:szCs w:val="22"/>
        </w:rPr>
        <w:t xml:space="preserve">All data will be stored until the relevant research assignment has been through the university exam board </w:t>
      </w:r>
      <w:r>
        <w:rPr>
          <w:rFonts w:asciiTheme="minorHAnsi" w:hAnsiTheme="minorHAnsi" w:cstheme="minorHAnsi"/>
          <w:sz w:val="22"/>
          <w:szCs w:val="22"/>
        </w:rPr>
        <w:t xml:space="preserve">and </w:t>
      </w:r>
      <w:r w:rsidRPr="003060A4">
        <w:rPr>
          <w:rFonts w:asciiTheme="minorHAnsi" w:hAnsiTheme="minorHAnsi" w:cstheme="minorHAnsi"/>
          <w:sz w:val="22"/>
          <w:szCs w:val="22"/>
        </w:rPr>
        <w:t>the result of assignment has been received. After this, all relevant research data will be destroyed.</w:t>
      </w:r>
      <w:r>
        <w:rPr>
          <w:rFonts w:ascii="Arial" w:hAnsi="Arial" w:cs="Arial"/>
          <w:sz w:val="22"/>
          <w:szCs w:val="22"/>
        </w:rPr>
        <w:t xml:space="preserve">  </w:t>
      </w:r>
      <w:r>
        <w:rPr>
          <w:rStyle w:val="eop"/>
          <w:rFonts w:ascii="Calibri" w:hAnsi="Calibri"/>
          <w:sz w:val="22"/>
          <w:szCs w:val="22"/>
        </w:rPr>
        <w:t xml:space="preserve">Three subjects will be chosen at random from all consent forms returned to limit the researcher being accused of favouritism.  </w:t>
      </w:r>
      <w:r>
        <w:rPr>
          <w:rStyle w:val="normaltextrun"/>
          <w:rFonts w:ascii="Calibri" w:hAnsi="Calibri"/>
          <w:sz w:val="22"/>
          <w:szCs w:val="22"/>
        </w:rPr>
        <w:t xml:space="preserve">Also, throughout interview transcripts and all other information feeding into essay, each lesson study will be referred to as A, B and C and the subjects in that lesson study A1, A2, A3 etc.  </w:t>
      </w:r>
      <w:r w:rsidRPr="00C62008">
        <w:rPr>
          <w:rFonts w:asciiTheme="minorHAnsi" w:hAnsiTheme="minorHAnsi" w:cs="Arial"/>
          <w:sz w:val="22"/>
          <w:szCs w:val="22"/>
        </w:rPr>
        <w:t xml:space="preserve">BERA </w:t>
      </w:r>
      <w:r>
        <w:rPr>
          <w:rFonts w:asciiTheme="minorHAnsi" w:hAnsiTheme="minorHAnsi" w:cs="Arial"/>
          <w:sz w:val="22"/>
          <w:szCs w:val="22"/>
        </w:rPr>
        <w:t xml:space="preserve">(2012) </w:t>
      </w:r>
      <w:r w:rsidRPr="00C62008">
        <w:rPr>
          <w:rFonts w:asciiTheme="minorHAnsi" w:hAnsiTheme="minorHAnsi" w:cs="Arial"/>
          <w:sz w:val="22"/>
          <w:szCs w:val="22"/>
        </w:rPr>
        <w:t xml:space="preserve">ethical guidelines and UNCRC </w:t>
      </w:r>
      <w:r>
        <w:rPr>
          <w:rFonts w:asciiTheme="minorHAnsi" w:hAnsiTheme="minorHAnsi" w:cs="Arial"/>
          <w:sz w:val="22"/>
          <w:szCs w:val="22"/>
        </w:rPr>
        <w:t>(</w:t>
      </w:r>
      <w:proofErr w:type="spellStart"/>
      <w:r>
        <w:rPr>
          <w:rFonts w:asciiTheme="minorHAnsi" w:hAnsiTheme="minorHAnsi" w:cs="Arial"/>
          <w:sz w:val="22"/>
          <w:szCs w:val="22"/>
        </w:rPr>
        <w:t>Unicef</w:t>
      </w:r>
      <w:proofErr w:type="spellEnd"/>
      <w:r>
        <w:rPr>
          <w:rFonts w:asciiTheme="minorHAnsi" w:hAnsiTheme="minorHAnsi" w:cs="Arial"/>
          <w:sz w:val="22"/>
          <w:szCs w:val="22"/>
        </w:rPr>
        <w:t xml:space="preserve"> UK, 2019) </w:t>
      </w:r>
      <w:r w:rsidRPr="00C62008">
        <w:rPr>
          <w:rFonts w:asciiTheme="minorHAnsi" w:hAnsiTheme="minorHAnsi" w:cs="Arial"/>
          <w:sz w:val="22"/>
          <w:szCs w:val="22"/>
        </w:rPr>
        <w:t>guidelines will be</w:t>
      </w:r>
      <w:r>
        <w:rPr>
          <w:rFonts w:asciiTheme="minorHAnsi" w:hAnsiTheme="minorHAnsi" w:cs="Arial"/>
          <w:sz w:val="22"/>
          <w:szCs w:val="22"/>
        </w:rPr>
        <w:t xml:space="preserve"> strictly adhered to.  </w:t>
      </w:r>
      <w:r w:rsidRPr="00A0626E">
        <w:rPr>
          <w:rStyle w:val="normaltextrun"/>
          <w:rFonts w:asciiTheme="minorHAnsi" w:hAnsiTheme="minorHAnsi" w:cstheme="minorHAnsi"/>
          <w:sz w:val="22"/>
          <w:szCs w:val="22"/>
        </w:rPr>
        <w:t>Any safeguarding issues that arise during the research will be reported to the lead safeguarding officer in the school, immediately.</w:t>
      </w:r>
      <w:r>
        <w:rPr>
          <w:rStyle w:val="normaltextrun"/>
          <w:rFonts w:asciiTheme="minorHAnsi" w:hAnsiTheme="minorHAnsi" w:cstheme="minorHAnsi"/>
          <w:sz w:val="22"/>
          <w:szCs w:val="22"/>
        </w:rPr>
        <w:t xml:space="preserve">  </w:t>
      </w:r>
      <w:r w:rsidRPr="00A0626E">
        <w:rPr>
          <w:rStyle w:val="eop"/>
          <w:rFonts w:asciiTheme="minorHAnsi" w:hAnsiTheme="minorHAnsi" w:cstheme="minorHAnsi"/>
          <w:sz w:val="22"/>
          <w:szCs w:val="22"/>
        </w:rPr>
        <w:t> </w:t>
      </w:r>
    </w:p>
    <w:p w14:paraId="58558C99" w14:textId="77777777" w:rsidR="002D33D6" w:rsidRDefault="002D33D6" w:rsidP="002D33D6">
      <w:pPr>
        <w:jc w:val="both"/>
        <w:rPr>
          <w:rStyle w:val="eop"/>
          <w:rFonts w:ascii="Calibri" w:hAnsi="Calibri" w:cs="Calibri"/>
        </w:rPr>
      </w:pPr>
    </w:p>
    <w:p w14:paraId="64FFAF08" w14:textId="77777777" w:rsidR="002D33D6" w:rsidRPr="00484176" w:rsidRDefault="002D33D6" w:rsidP="002D33D6">
      <w:pPr>
        <w:jc w:val="both"/>
        <w:rPr>
          <w:rStyle w:val="eop"/>
          <w:rFonts w:ascii="Calibri" w:hAnsi="Calibri" w:cs="Calibri"/>
        </w:rPr>
      </w:pPr>
      <w:r>
        <w:rPr>
          <w:rStyle w:val="eop"/>
          <w:rFonts w:ascii="Calibri" w:hAnsi="Calibri" w:cs="Calibri"/>
        </w:rPr>
        <w:t xml:space="preserve">The method for conducting research was a </w:t>
      </w:r>
      <w:r w:rsidRPr="00484176">
        <w:rPr>
          <w:rStyle w:val="eop"/>
          <w:rFonts w:ascii="Calibri" w:hAnsi="Calibri" w:cs="Calibri"/>
        </w:rPr>
        <w:t>lesson study with</w:t>
      </w:r>
      <w:r>
        <w:rPr>
          <w:rStyle w:val="eop"/>
          <w:rFonts w:ascii="Calibri" w:hAnsi="Calibri" w:cs="Calibri"/>
        </w:rPr>
        <w:t xml:space="preserve"> two </w:t>
      </w:r>
      <w:r w:rsidRPr="00484176">
        <w:rPr>
          <w:rStyle w:val="eop"/>
          <w:rFonts w:ascii="Calibri" w:hAnsi="Calibri" w:cs="Calibri"/>
        </w:rPr>
        <w:t>colleague</w:t>
      </w:r>
      <w:r>
        <w:rPr>
          <w:rStyle w:val="eop"/>
          <w:rFonts w:ascii="Calibri" w:hAnsi="Calibri" w:cs="Calibri"/>
        </w:rPr>
        <w:t>s</w:t>
      </w:r>
      <w:r w:rsidRPr="00484176">
        <w:rPr>
          <w:rStyle w:val="eop"/>
          <w:rFonts w:ascii="Calibri" w:hAnsi="Calibri" w:cs="Calibri"/>
        </w:rPr>
        <w:t xml:space="preserve"> over two days; this is a popular form of action research.</w:t>
      </w:r>
      <w:r>
        <w:rPr>
          <w:rStyle w:val="eop"/>
          <w:rFonts w:ascii="Calibri" w:hAnsi="Calibri" w:cs="Calibri"/>
        </w:rPr>
        <w:t xml:space="preserve">  </w:t>
      </w:r>
      <w:r w:rsidRPr="00484176">
        <w:rPr>
          <w:rStyle w:val="eop"/>
          <w:rFonts w:ascii="Calibri" w:hAnsi="Calibri" w:cs="Calibri"/>
        </w:rPr>
        <w:t>The reason</w:t>
      </w:r>
      <w:r>
        <w:rPr>
          <w:rStyle w:val="eop"/>
          <w:rFonts w:ascii="Calibri" w:hAnsi="Calibri" w:cs="Calibri"/>
        </w:rPr>
        <w:t xml:space="preserve"> this method was </w:t>
      </w:r>
      <w:r w:rsidRPr="00484176">
        <w:rPr>
          <w:rStyle w:val="eop"/>
          <w:rFonts w:ascii="Calibri" w:hAnsi="Calibri" w:cs="Calibri"/>
        </w:rPr>
        <w:t>chose</w:t>
      </w:r>
      <w:r>
        <w:rPr>
          <w:rStyle w:val="eop"/>
          <w:rFonts w:ascii="Calibri" w:hAnsi="Calibri" w:cs="Calibri"/>
        </w:rPr>
        <w:t xml:space="preserve">n was </w:t>
      </w:r>
      <w:r w:rsidRPr="00484176">
        <w:rPr>
          <w:rStyle w:val="eop"/>
          <w:rFonts w:ascii="Calibri" w:hAnsi="Calibri" w:cs="Calibri"/>
        </w:rPr>
        <w:t>because it allows for an objective look at an area of study</w:t>
      </w:r>
      <w:r>
        <w:rPr>
          <w:rStyle w:val="eop"/>
          <w:rFonts w:ascii="Calibri" w:hAnsi="Calibri" w:cs="Calibri"/>
        </w:rPr>
        <w:t xml:space="preserve"> which has been personally </w:t>
      </w:r>
      <w:r w:rsidRPr="00484176">
        <w:rPr>
          <w:rStyle w:val="eop"/>
          <w:rFonts w:ascii="Calibri" w:hAnsi="Calibri" w:cs="Calibri"/>
        </w:rPr>
        <w:t>identified in</w:t>
      </w:r>
      <w:r>
        <w:rPr>
          <w:rStyle w:val="eop"/>
          <w:rFonts w:ascii="Calibri" w:hAnsi="Calibri" w:cs="Calibri"/>
        </w:rPr>
        <w:t xml:space="preserve"> </w:t>
      </w:r>
      <w:r w:rsidRPr="00484176">
        <w:rPr>
          <w:rStyle w:val="eop"/>
          <w:rFonts w:ascii="Calibri" w:hAnsi="Calibri" w:cs="Calibri"/>
        </w:rPr>
        <w:t>lessons</w:t>
      </w:r>
      <w:r>
        <w:rPr>
          <w:rStyle w:val="eop"/>
          <w:rFonts w:ascii="Calibri" w:hAnsi="Calibri" w:cs="Calibri"/>
        </w:rPr>
        <w:t>, (</w:t>
      </w:r>
      <w:r w:rsidRPr="00484176">
        <w:rPr>
          <w:rStyle w:val="eop"/>
          <w:rFonts w:ascii="Calibri" w:hAnsi="Calibri" w:cs="Calibri"/>
        </w:rPr>
        <w:t>Dudley</w:t>
      </w:r>
      <w:r>
        <w:rPr>
          <w:rStyle w:val="eop"/>
          <w:rFonts w:ascii="Calibri" w:hAnsi="Calibri" w:cs="Calibri"/>
        </w:rPr>
        <w:t xml:space="preserve"> </w:t>
      </w:r>
      <w:r w:rsidRPr="00484176">
        <w:rPr>
          <w:rStyle w:val="eop"/>
          <w:rFonts w:ascii="Calibri" w:hAnsi="Calibri" w:cs="Calibri"/>
        </w:rPr>
        <w:t>201</w:t>
      </w:r>
      <w:r>
        <w:rPr>
          <w:rStyle w:val="eop"/>
          <w:rFonts w:ascii="Calibri" w:hAnsi="Calibri" w:cs="Calibri"/>
        </w:rPr>
        <w:t>3</w:t>
      </w:r>
      <w:r w:rsidRPr="00484176">
        <w:rPr>
          <w:rStyle w:val="eop"/>
          <w:rFonts w:ascii="Calibri" w:hAnsi="Calibri" w:cs="Calibri"/>
        </w:rPr>
        <w:t>)</w:t>
      </w:r>
      <w:r>
        <w:rPr>
          <w:rStyle w:val="eop"/>
          <w:rFonts w:ascii="Calibri" w:hAnsi="Calibri" w:cs="Calibri"/>
        </w:rPr>
        <w:t xml:space="preserve">.  The primary focus being on the real-life needs of pupils.  There were three subject pupils per lesson study.  The lesson study focussed </w:t>
      </w:r>
      <w:r w:rsidRPr="00484176">
        <w:rPr>
          <w:rStyle w:val="eop"/>
          <w:rFonts w:ascii="Calibri" w:hAnsi="Calibri" w:cs="Calibri"/>
        </w:rPr>
        <w:t>on the engagement levels of pupils during three phases of a PE lesson</w:t>
      </w:r>
      <w:r>
        <w:rPr>
          <w:rStyle w:val="eop"/>
          <w:rFonts w:ascii="Calibri" w:hAnsi="Calibri" w:cs="Calibri"/>
        </w:rPr>
        <w:t xml:space="preserve"> (opening phase, main activity and plenary).  It is hoped that the results of the study and the critical analysis of the data and research literature </w:t>
      </w:r>
      <w:r w:rsidRPr="00484176">
        <w:rPr>
          <w:rStyle w:val="eop"/>
          <w:rFonts w:ascii="Calibri" w:hAnsi="Calibri" w:cs="Calibri"/>
        </w:rPr>
        <w:t>will support</w:t>
      </w:r>
      <w:r>
        <w:rPr>
          <w:rStyle w:val="eop"/>
          <w:rFonts w:ascii="Calibri" w:hAnsi="Calibri" w:cs="Calibri"/>
        </w:rPr>
        <w:t xml:space="preserve"> a </w:t>
      </w:r>
      <w:r w:rsidRPr="00484176">
        <w:rPr>
          <w:rStyle w:val="eop"/>
          <w:rFonts w:ascii="Calibri" w:hAnsi="Calibri" w:cs="Calibri"/>
        </w:rPr>
        <w:t>develop</w:t>
      </w:r>
      <w:r>
        <w:rPr>
          <w:rStyle w:val="eop"/>
          <w:rFonts w:ascii="Calibri" w:hAnsi="Calibri" w:cs="Calibri"/>
        </w:rPr>
        <w:t xml:space="preserve">ment in </w:t>
      </w:r>
      <w:r w:rsidRPr="00484176">
        <w:rPr>
          <w:rStyle w:val="eop"/>
          <w:rFonts w:ascii="Calibri" w:hAnsi="Calibri" w:cs="Calibri"/>
        </w:rPr>
        <w:t>teaching practice and offe</w:t>
      </w:r>
      <w:r>
        <w:rPr>
          <w:rStyle w:val="eop"/>
          <w:rFonts w:ascii="Calibri" w:hAnsi="Calibri" w:cs="Calibri"/>
        </w:rPr>
        <w:t xml:space="preserve">r </w:t>
      </w:r>
      <w:r w:rsidRPr="00484176">
        <w:rPr>
          <w:rStyle w:val="eop"/>
          <w:rFonts w:ascii="Calibri" w:hAnsi="Calibri" w:cs="Calibri"/>
        </w:rPr>
        <w:t>solutions that</w:t>
      </w:r>
      <w:r>
        <w:rPr>
          <w:rStyle w:val="eop"/>
          <w:rFonts w:ascii="Calibri" w:hAnsi="Calibri" w:cs="Calibri"/>
        </w:rPr>
        <w:t xml:space="preserve"> </w:t>
      </w:r>
      <w:r w:rsidRPr="00484176">
        <w:rPr>
          <w:rStyle w:val="eop"/>
          <w:rFonts w:ascii="Calibri" w:hAnsi="Calibri" w:cs="Calibri"/>
        </w:rPr>
        <w:t xml:space="preserve">can </w:t>
      </w:r>
      <w:r>
        <w:rPr>
          <w:rStyle w:val="eop"/>
          <w:rFonts w:ascii="Calibri" w:hAnsi="Calibri" w:cs="Calibri"/>
        </w:rPr>
        <w:t xml:space="preserve">be </w:t>
      </w:r>
      <w:r w:rsidRPr="00484176">
        <w:rPr>
          <w:rStyle w:val="eop"/>
          <w:rFonts w:ascii="Calibri" w:hAnsi="Calibri" w:cs="Calibri"/>
        </w:rPr>
        <w:t>implement</w:t>
      </w:r>
      <w:r>
        <w:rPr>
          <w:rStyle w:val="eop"/>
          <w:rFonts w:ascii="Calibri" w:hAnsi="Calibri" w:cs="Calibri"/>
        </w:rPr>
        <w:t>ed</w:t>
      </w:r>
      <w:r w:rsidRPr="00484176">
        <w:rPr>
          <w:rStyle w:val="eop"/>
          <w:rFonts w:ascii="Calibri" w:hAnsi="Calibri" w:cs="Calibri"/>
        </w:rPr>
        <w:t>.  Also, by working with colleague</w:t>
      </w:r>
      <w:r>
        <w:rPr>
          <w:rStyle w:val="eop"/>
          <w:rFonts w:ascii="Calibri" w:hAnsi="Calibri" w:cs="Calibri"/>
        </w:rPr>
        <w:t>s</w:t>
      </w:r>
      <w:r w:rsidRPr="00484176">
        <w:rPr>
          <w:rStyle w:val="eop"/>
          <w:rFonts w:ascii="Calibri" w:hAnsi="Calibri" w:cs="Calibri"/>
        </w:rPr>
        <w:t>, the feeling of isolation will be lessened and sharing good practice will be supportive.</w:t>
      </w:r>
      <w:r>
        <w:rPr>
          <w:rStyle w:val="eop"/>
          <w:rFonts w:ascii="Calibri" w:hAnsi="Calibri" w:cs="Calibri"/>
        </w:rPr>
        <w:t xml:space="preserve">  </w:t>
      </w:r>
    </w:p>
    <w:p w14:paraId="3FEAC3DC" w14:textId="77777777" w:rsidR="002D33D6" w:rsidRPr="00484176" w:rsidRDefault="002D33D6" w:rsidP="002D33D6">
      <w:pPr>
        <w:jc w:val="both"/>
        <w:rPr>
          <w:rStyle w:val="eop"/>
          <w:rFonts w:ascii="Calibri" w:hAnsi="Calibri" w:cs="Calibri"/>
        </w:rPr>
      </w:pPr>
      <w:r>
        <w:rPr>
          <w:rStyle w:val="eop"/>
          <w:rFonts w:ascii="Calibri" w:hAnsi="Calibri" w:cs="Calibri"/>
        </w:rPr>
        <w:t>The</w:t>
      </w:r>
      <w:r w:rsidRPr="00484176">
        <w:rPr>
          <w:rStyle w:val="eop"/>
          <w:rFonts w:ascii="Calibri" w:hAnsi="Calibri" w:cs="Calibri"/>
        </w:rPr>
        <w:t xml:space="preserve"> data </w:t>
      </w:r>
      <w:r>
        <w:rPr>
          <w:rStyle w:val="eop"/>
          <w:rFonts w:ascii="Calibri" w:hAnsi="Calibri" w:cs="Calibri"/>
        </w:rPr>
        <w:t xml:space="preserve">will be collected </w:t>
      </w:r>
      <w:r w:rsidRPr="00484176">
        <w:rPr>
          <w:rStyle w:val="eop"/>
          <w:rFonts w:ascii="Calibri" w:hAnsi="Calibri" w:cs="Calibri"/>
        </w:rPr>
        <w:t>via observation</w:t>
      </w:r>
      <w:r>
        <w:rPr>
          <w:rStyle w:val="eop"/>
          <w:rFonts w:ascii="Calibri" w:hAnsi="Calibri" w:cs="Calibri"/>
        </w:rPr>
        <w:t xml:space="preserve"> and </w:t>
      </w:r>
      <w:r w:rsidRPr="00484176">
        <w:rPr>
          <w:rStyle w:val="eop"/>
          <w:rFonts w:ascii="Calibri" w:hAnsi="Calibri" w:cs="Calibri"/>
        </w:rPr>
        <w:t xml:space="preserve">interview (both written, and </w:t>
      </w:r>
      <w:r>
        <w:rPr>
          <w:rStyle w:val="eop"/>
          <w:rFonts w:ascii="Calibri" w:hAnsi="Calibri" w:cs="Calibri"/>
        </w:rPr>
        <w:t xml:space="preserve">audio </w:t>
      </w:r>
      <w:r w:rsidRPr="00484176">
        <w:rPr>
          <w:rStyle w:val="eop"/>
          <w:rFonts w:ascii="Calibri" w:hAnsi="Calibri" w:cs="Calibri"/>
        </w:rPr>
        <w:t xml:space="preserve">recorded).  Firstly, non-participant observation </w:t>
      </w:r>
      <w:r>
        <w:rPr>
          <w:rStyle w:val="eop"/>
          <w:rFonts w:ascii="Calibri" w:hAnsi="Calibri" w:cs="Calibri"/>
        </w:rPr>
        <w:t xml:space="preserve">was chosen </w:t>
      </w:r>
      <w:r w:rsidRPr="00484176">
        <w:rPr>
          <w:rStyle w:val="eop"/>
          <w:rFonts w:ascii="Calibri" w:hAnsi="Calibri" w:cs="Calibri"/>
        </w:rPr>
        <w:t>for many reasons, the main ones being that pupils</w:t>
      </w:r>
      <w:r>
        <w:rPr>
          <w:rStyle w:val="eop"/>
          <w:rFonts w:ascii="Calibri" w:hAnsi="Calibri" w:cs="Calibri"/>
        </w:rPr>
        <w:t xml:space="preserve"> will be observed</w:t>
      </w:r>
      <w:r w:rsidRPr="00484176">
        <w:rPr>
          <w:rStyle w:val="eop"/>
          <w:rFonts w:ascii="Calibri" w:hAnsi="Calibri" w:cs="Calibri"/>
        </w:rPr>
        <w:t xml:space="preserve"> in their natural environment, where their behaviours should be occurring organicall</w:t>
      </w:r>
      <w:r>
        <w:rPr>
          <w:rStyle w:val="eop"/>
          <w:rFonts w:ascii="Calibri" w:hAnsi="Calibri" w:cs="Calibri"/>
        </w:rPr>
        <w:t xml:space="preserve">y (Bandura, 1997).  Within the researcher’s own class my </w:t>
      </w:r>
      <w:r w:rsidRPr="00484176">
        <w:rPr>
          <w:rStyle w:val="eop"/>
          <w:rFonts w:ascii="Calibri" w:hAnsi="Calibri" w:cs="Calibri"/>
        </w:rPr>
        <w:t>presence</w:t>
      </w:r>
      <w:r>
        <w:rPr>
          <w:rStyle w:val="eop"/>
          <w:rFonts w:ascii="Calibri" w:hAnsi="Calibri" w:cs="Calibri"/>
        </w:rPr>
        <w:t xml:space="preserve"> will </w:t>
      </w:r>
      <w:r w:rsidRPr="00484176">
        <w:rPr>
          <w:rStyle w:val="eop"/>
          <w:rFonts w:ascii="Calibri" w:hAnsi="Calibri" w:cs="Calibri"/>
        </w:rPr>
        <w:t>not be</w:t>
      </w:r>
      <w:r>
        <w:rPr>
          <w:rStyle w:val="eop"/>
          <w:rFonts w:ascii="Calibri" w:hAnsi="Calibri" w:cs="Calibri"/>
        </w:rPr>
        <w:t xml:space="preserve"> </w:t>
      </w:r>
      <w:r w:rsidRPr="00484176">
        <w:rPr>
          <w:rStyle w:val="eop"/>
          <w:rFonts w:ascii="Calibri" w:hAnsi="Calibri" w:cs="Calibri"/>
        </w:rPr>
        <w:t>obtrusiv</w:t>
      </w:r>
      <w:r>
        <w:rPr>
          <w:rStyle w:val="eop"/>
          <w:rFonts w:ascii="Calibri" w:hAnsi="Calibri" w:cs="Calibri"/>
        </w:rPr>
        <w:t>e.  It’s a class that has been taught before.</w:t>
      </w:r>
      <w:r w:rsidRPr="00484176">
        <w:rPr>
          <w:rStyle w:val="eop"/>
          <w:rFonts w:ascii="Calibri" w:hAnsi="Calibri" w:cs="Calibri"/>
        </w:rPr>
        <w:t xml:space="preserve">  However, whi</w:t>
      </w:r>
      <w:r>
        <w:rPr>
          <w:rStyle w:val="eop"/>
          <w:rFonts w:ascii="Calibri" w:hAnsi="Calibri" w:cs="Calibri"/>
        </w:rPr>
        <w:t>l</w:t>
      </w:r>
      <w:r w:rsidRPr="00484176">
        <w:rPr>
          <w:rStyle w:val="eop"/>
          <w:rFonts w:ascii="Calibri" w:hAnsi="Calibri" w:cs="Calibri"/>
        </w:rPr>
        <w:t xml:space="preserve">st conducting the observation in </w:t>
      </w:r>
      <w:r>
        <w:rPr>
          <w:rStyle w:val="eop"/>
          <w:rFonts w:ascii="Calibri" w:hAnsi="Calibri" w:cs="Calibri"/>
        </w:rPr>
        <w:t xml:space="preserve">a </w:t>
      </w:r>
      <w:r w:rsidRPr="00484176">
        <w:rPr>
          <w:rStyle w:val="eop"/>
          <w:rFonts w:ascii="Calibri" w:hAnsi="Calibri" w:cs="Calibri"/>
        </w:rPr>
        <w:t>peer’s class,</w:t>
      </w:r>
      <w:r>
        <w:rPr>
          <w:rStyle w:val="eop"/>
          <w:rFonts w:ascii="Calibri" w:hAnsi="Calibri" w:cs="Calibri"/>
        </w:rPr>
        <w:t xml:space="preserve"> the </w:t>
      </w:r>
      <w:r w:rsidRPr="00484176">
        <w:rPr>
          <w:rStyle w:val="eop"/>
          <w:rFonts w:ascii="Calibri" w:hAnsi="Calibri" w:cs="Calibri"/>
        </w:rPr>
        <w:t>presence</w:t>
      </w:r>
      <w:r>
        <w:rPr>
          <w:rStyle w:val="eop"/>
          <w:rFonts w:ascii="Calibri" w:hAnsi="Calibri" w:cs="Calibri"/>
        </w:rPr>
        <w:t xml:space="preserve"> of additional people</w:t>
      </w:r>
      <w:r w:rsidRPr="00484176">
        <w:rPr>
          <w:rStyle w:val="eop"/>
          <w:rFonts w:ascii="Calibri" w:hAnsi="Calibri" w:cs="Calibri"/>
        </w:rPr>
        <w:t xml:space="preserve"> will be obtrusive, the Hawthorne Effect (1939) would suggest that the pupils may alter their typical behaviours.  </w:t>
      </w:r>
      <w:r>
        <w:rPr>
          <w:rStyle w:val="eop"/>
          <w:rFonts w:ascii="Calibri" w:hAnsi="Calibri" w:cs="Calibri"/>
        </w:rPr>
        <w:t xml:space="preserve">The obtrusion will be limited </w:t>
      </w:r>
      <w:r w:rsidRPr="00484176">
        <w:rPr>
          <w:rStyle w:val="eop"/>
          <w:rFonts w:ascii="Calibri" w:hAnsi="Calibri" w:cs="Calibri"/>
        </w:rPr>
        <w:t>by positioning</w:t>
      </w:r>
      <w:r>
        <w:rPr>
          <w:rStyle w:val="eop"/>
          <w:rFonts w:ascii="Calibri" w:hAnsi="Calibri" w:cs="Calibri"/>
        </w:rPr>
        <w:t xml:space="preserve"> </w:t>
      </w:r>
      <w:r w:rsidRPr="00484176">
        <w:rPr>
          <w:rStyle w:val="eop"/>
          <w:rFonts w:ascii="Calibri" w:hAnsi="Calibri" w:cs="Calibri"/>
        </w:rPr>
        <w:t>at the back of the class and trying, wherever possible, to limi</w:t>
      </w:r>
      <w:r>
        <w:rPr>
          <w:rStyle w:val="eop"/>
          <w:rFonts w:ascii="Calibri" w:hAnsi="Calibri" w:cs="Calibri"/>
        </w:rPr>
        <w:t xml:space="preserve">t </w:t>
      </w:r>
      <w:r w:rsidRPr="00484176">
        <w:rPr>
          <w:rStyle w:val="eop"/>
          <w:rFonts w:ascii="Calibri" w:hAnsi="Calibri" w:cs="Calibri"/>
        </w:rPr>
        <w:t xml:space="preserve">interaction with the pupils.  </w:t>
      </w:r>
      <w:r>
        <w:rPr>
          <w:rStyle w:val="eop"/>
          <w:rFonts w:ascii="Calibri" w:hAnsi="Calibri" w:cs="Calibri"/>
        </w:rPr>
        <w:t xml:space="preserve">The </w:t>
      </w:r>
      <w:r w:rsidRPr="00484176">
        <w:rPr>
          <w:rStyle w:val="eop"/>
          <w:rFonts w:ascii="Calibri" w:hAnsi="Calibri" w:cs="Calibri"/>
        </w:rPr>
        <w:t xml:space="preserve">Leuven scale </w:t>
      </w:r>
      <w:r>
        <w:rPr>
          <w:rStyle w:val="eop"/>
          <w:rFonts w:ascii="Calibri" w:hAnsi="Calibri" w:cs="Calibri"/>
        </w:rPr>
        <w:t xml:space="preserve">will be used </w:t>
      </w:r>
      <w:r w:rsidRPr="00484176">
        <w:rPr>
          <w:rStyle w:val="eop"/>
          <w:rFonts w:ascii="Calibri" w:hAnsi="Calibri" w:cs="Calibri"/>
        </w:rPr>
        <w:t>to underpin</w:t>
      </w:r>
      <w:r>
        <w:rPr>
          <w:rStyle w:val="eop"/>
          <w:rFonts w:ascii="Calibri" w:hAnsi="Calibri" w:cs="Calibri"/>
        </w:rPr>
        <w:t xml:space="preserve"> the </w:t>
      </w:r>
      <w:r w:rsidRPr="00484176">
        <w:rPr>
          <w:rStyle w:val="eop"/>
          <w:rFonts w:ascii="Calibri" w:hAnsi="Calibri" w:cs="Calibri"/>
        </w:rPr>
        <w:t>observation</w:t>
      </w:r>
      <w:r>
        <w:rPr>
          <w:rStyle w:val="eop"/>
          <w:rFonts w:ascii="Calibri" w:hAnsi="Calibri" w:cs="Calibri"/>
        </w:rPr>
        <w:t>s</w:t>
      </w:r>
      <w:r w:rsidRPr="00484176">
        <w:rPr>
          <w:rStyle w:val="eop"/>
          <w:rFonts w:ascii="Calibri" w:hAnsi="Calibri" w:cs="Calibri"/>
        </w:rPr>
        <w:t>.  This</w:t>
      </w:r>
      <w:r>
        <w:rPr>
          <w:rStyle w:val="eop"/>
          <w:rFonts w:ascii="Calibri" w:hAnsi="Calibri" w:cs="Calibri"/>
        </w:rPr>
        <w:t xml:space="preserve"> will </w:t>
      </w:r>
      <w:r w:rsidRPr="00484176">
        <w:rPr>
          <w:rStyle w:val="eop"/>
          <w:rFonts w:ascii="Calibri" w:hAnsi="Calibri" w:cs="Calibri"/>
        </w:rPr>
        <w:t>provide a level of consistency across the t</w:t>
      </w:r>
      <w:r>
        <w:rPr>
          <w:rStyle w:val="eop"/>
          <w:rFonts w:ascii="Calibri" w:hAnsi="Calibri" w:cs="Calibri"/>
        </w:rPr>
        <w:t>hree</w:t>
      </w:r>
      <w:r w:rsidRPr="00484176">
        <w:rPr>
          <w:rStyle w:val="eop"/>
          <w:rFonts w:ascii="Calibri" w:hAnsi="Calibri" w:cs="Calibri"/>
        </w:rPr>
        <w:t>-year groups.</w:t>
      </w:r>
      <w:r>
        <w:rPr>
          <w:rStyle w:val="eop"/>
          <w:rFonts w:ascii="Calibri" w:hAnsi="Calibri" w:cs="Calibri"/>
        </w:rPr>
        <w:t xml:space="preserve">  The Leuvin scale was chosen as it focusses particularly on pupil engagement levels and this fits perfectly with research question.  Also, the codified descriptions of each engagement will allow the researcher to more accurately assign a level.</w:t>
      </w:r>
    </w:p>
    <w:p w14:paraId="2C68B5BA" w14:textId="77777777" w:rsidR="002D33D6" w:rsidRDefault="002D33D6" w:rsidP="002D33D6">
      <w:pPr>
        <w:jc w:val="both"/>
        <w:rPr>
          <w:rStyle w:val="eop"/>
          <w:rFonts w:ascii="Calibri" w:hAnsi="Calibri" w:cs="Calibri"/>
        </w:rPr>
      </w:pPr>
      <w:r w:rsidRPr="00484176">
        <w:rPr>
          <w:rStyle w:val="eop"/>
          <w:rFonts w:ascii="Calibri" w:hAnsi="Calibri" w:cs="Calibri"/>
        </w:rPr>
        <w:t xml:space="preserve">Secondly, </w:t>
      </w:r>
      <w:r>
        <w:rPr>
          <w:rStyle w:val="eop"/>
          <w:rFonts w:ascii="Calibri" w:hAnsi="Calibri" w:cs="Calibri"/>
        </w:rPr>
        <w:t xml:space="preserve">pupils will be interviewed in </w:t>
      </w:r>
      <w:r w:rsidRPr="00484176">
        <w:rPr>
          <w:rStyle w:val="eop"/>
          <w:rFonts w:ascii="Calibri" w:hAnsi="Calibri" w:cs="Calibri"/>
        </w:rPr>
        <w:t>lesson</w:t>
      </w:r>
      <w:r>
        <w:rPr>
          <w:rStyle w:val="eop"/>
          <w:rFonts w:ascii="Calibri" w:hAnsi="Calibri" w:cs="Calibri"/>
        </w:rPr>
        <w:t xml:space="preserve"> about how </w:t>
      </w:r>
      <w:r w:rsidRPr="00484176">
        <w:rPr>
          <w:rStyle w:val="eop"/>
          <w:rFonts w:ascii="Calibri" w:hAnsi="Calibri" w:cs="Calibri"/>
        </w:rPr>
        <w:t xml:space="preserve">they felt about being given a tangible reward for the participation in PE.  </w:t>
      </w:r>
      <w:r>
        <w:rPr>
          <w:rStyle w:val="eop"/>
          <w:rFonts w:ascii="Calibri" w:hAnsi="Calibri" w:cs="Calibri"/>
        </w:rPr>
        <w:t>The qualitative data gathered here will allow the research team to focus on why something is occurring and the natural observation of that occurrence (Rosenthal 2018).  Thomas (2017), advocates the use of natural discourse during focus group discussion as a way of eliciting deeper responses.</w:t>
      </w:r>
      <w:r w:rsidRPr="00484176">
        <w:rPr>
          <w:rStyle w:val="eop"/>
          <w:rFonts w:ascii="Calibri" w:hAnsi="Calibri" w:cs="Calibri"/>
        </w:rPr>
        <w:t xml:space="preserve"> Th</w:t>
      </w:r>
      <w:r>
        <w:rPr>
          <w:rStyle w:val="eop"/>
          <w:rFonts w:ascii="Calibri" w:hAnsi="Calibri" w:cs="Calibri"/>
        </w:rPr>
        <w:t xml:space="preserve">e </w:t>
      </w:r>
      <w:r w:rsidRPr="00484176">
        <w:rPr>
          <w:rStyle w:val="eop"/>
          <w:rFonts w:ascii="Calibri" w:hAnsi="Calibri" w:cs="Calibri"/>
        </w:rPr>
        <w:t>semi</w:t>
      </w:r>
      <w:r>
        <w:rPr>
          <w:rStyle w:val="eop"/>
          <w:rFonts w:ascii="Calibri" w:hAnsi="Calibri" w:cs="Calibri"/>
        </w:rPr>
        <w:t>-</w:t>
      </w:r>
      <w:r w:rsidRPr="00484176">
        <w:rPr>
          <w:rStyle w:val="eop"/>
          <w:rFonts w:ascii="Calibri" w:hAnsi="Calibri" w:cs="Calibri"/>
        </w:rPr>
        <w:t>structured group interview will</w:t>
      </w:r>
      <w:r>
        <w:rPr>
          <w:rStyle w:val="eop"/>
          <w:rFonts w:ascii="Calibri" w:hAnsi="Calibri" w:cs="Calibri"/>
        </w:rPr>
        <w:t xml:space="preserve"> be recorded via </w:t>
      </w:r>
      <w:r w:rsidRPr="00484176">
        <w:rPr>
          <w:rStyle w:val="eop"/>
          <w:rFonts w:ascii="Calibri" w:hAnsi="Calibri" w:cs="Calibri"/>
        </w:rPr>
        <w:t>written notes and audio.</w:t>
      </w:r>
      <w:r>
        <w:rPr>
          <w:rStyle w:val="eop"/>
          <w:rFonts w:ascii="Calibri" w:hAnsi="Calibri" w:cs="Calibri"/>
        </w:rPr>
        <w:t xml:space="preserve">  Supplementary questions will be asked about general feelings towards </w:t>
      </w:r>
      <w:r w:rsidRPr="00484176">
        <w:rPr>
          <w:rStyle w:val="eop"/>
          <w:rFonts w:ascii="Calibri" w:hAnsi="Calibri" w:cs="Calibri"/>
        </w:rPr>
        <w:t>PE.  The</w:t>
      </w:r>
      <w:r>
        <w:rPr>
          <w:rStyle w:val="eop"/>
          <w:rFonts w:ascii="Calibri" w:hAnsi="Calibri" w:cs="Calibri"/>
        </w:rPr>
        <w:t xml:space="preserve"> nature of semi-structured</w:t>
      </w:r>
      <w:r w:rsidRPr="00484176">
        <w:rPr>
          <w:rStyle w:val="eop"/>
          <w:rFonts w:ascii="Calibri" w:hAnsi="Calibri" w:cs="Calibri"/>
        </w:rPr>
        <w:t xml:space="preserve"> interview will provide</w:t>
      </w:r>
      <w:r>
        <w:rPr>
          <w:rStyle w:val="eop"/>
          <w:rFonts w:ascii="Calibri" w:hAnsi="Calibri" w:cs="Calibri"/>
        </w:rPr>
        <w:t xml:space="preserve"> </w:t>
      </w:r>
      <w:r w:rsidRPr="00484176">
        <w:rPr>
          <w:rStyle w:val="eop"/>
          <w:rFonts w:ascii="Calibri" w:hAnsi="Calibri" w:cs="Calibri"/>
        </w:rPr>
        <w:t xml:space="preserve">insights that may have </w:t>
      </w:r>
      <w:r>
        <w:rPr>
          <w:rStyle w:val="eop"/>
          <w:rFonts w:ascii="Calibri" w:hAnsi="Calibri" w:cs="Calibri"/>
        </w:rPr>
        <w:t xml:space="preserve">been missed </w:t>
      </w:r>
      <w:r w:rsidRPr="00484176">
        <w:rPr>
          <w:rStyle w:val="eop"/>
          <w:rFonts w:ascii="Calibri" w:hAnsi="Calibri" w:cs="Calibri"/>
        </w:rPr>
        <w:t>in the observation.  It will also give the pupils a chance to feedback on their experiences</w:t>
      </w:r>
      <w:r>
        <w:rPr>
          <w:rStyle w:val="eop"/>
          <w:rFonts w:ascii="Calibri" w:hAnsi="Calibri" w:cs="Calibri"/>
        </w:rPr>
        <w:t xml:space="preserve">.  </w:t>
      </w:r>
      <w:r w:rsidRPr="00484176">
        <w:rPr>
          <w:rStyle w:val="eop"/>
          <w:rFonts w:ascii="Calibri" w:hAnsi="Calibri" w:cs="Calibri"/>
        </w:rPr>
        <w:t>There are some limits to</w:t>
      </w:r>
      <w:r>
        <w:rPr>
          <w:rStyle w:val="eop"/>
          <w:rFonts w:ascii="Calibri" w:hAnsi="Calibri" w:cs="Calibri"/>
        </w:rPr>
        <w:t xml:space="preserve"> the method</w:t>
      </w:r>
      <w:r w:rsidRPr="00484176">
        <w:rPr>
          <w:rStyle w:val="eop"/>
          <w:rFonts w:ascii="Calibri" w:hAnsi="Calibri" w:cs="Calibri"/>
        </w:rPr>
        <w:t xml:space="preserve">, the main one being that </w:t>
      </w:r>
      <w:r>
        <w:rPr>
          <w:rStyle w:val="eop"/>
          <w:rFonts w:ascii="Calibri" w:hAnsi="Calibri" w:cs="Calibri"/>
        </w:rPr>
        <w:t xml:space="preserve">there is </w:t>
      </w:r>
      <w:r w:rsidRPr="00484176">
        <w:rPr>
          <w:rStyle w:val="eop"/>
          <w:rFonts w:ascii="Calibri" w:hAnsi="Calibri" w:cs="Calibri"/>
        </w:rPr>
        <w:t>no way of knowing whether the pupil is being truthful</w:t>
      </w:r>
      <w:r>
        <w:rPr>
          <w:rStyle w:val="eop"/>
          <w:rFonts w:ascii="Calibri" w:hAnsi="Calibri" w:cs="Calibri"/>
        </w:rPr>
        <w:t>.  Questioning needs to be relaxed and in an environment, which is neutral for all.  Understanding the power balance between pupil and researcher here is imperative, as pupils can give answers, they think the researcher wants to hear (Cohen et al, 2011).  Also, within the framework of questioning, the order of questioning can be altered, asking higher order questioning encouraging researchers to explore answers in more depth (Kracl and Harshbarger 2017).  Initially, structured interviews were considered as a potential method to gather quantitative data, increasing validity and ability to replicate lesson study in other schools or settings (Hitchcock and Hughes, 1995).  However, the rigidity of structured interview didn’t seem to be the best fit for interviewing primary aged pupils.  The focus of the lesson study is to get their point of view and this would be difficult to assess if the sentences were contrived to elicit fixed responses.</w:t>
      </w:r>
    </w:p>
    <w:p w14:paraId="48105C23" w14:textId="77777777" w:rsidR="002D33D6" w:rsidRDefault="002D33D6" w:rsidP="002D33D6">
      <w:pPr>
        <w:jc w:val="both"/>
        <w:rPr>
          <w:rStyle w:val="eop"/>
          <w:rFonts w:ascii="Calibri" w:hAnsi="Calibri" w:cs="Calibri"/>
        </w:rPr>
      </w:pPr>
      <w:r w:rsidRPr="00484176">
        <w:rPr>
          <w:rStyle w:val="eop"/>
          <w:rFonts w:ascii="Calibri" w:hAnsi="Calibri" w:cs="Calibri"/>
        </w:rPr>
        <w:t>F</w:t>
      </w:r>
      <w:r>
        <w:rPr>
          <w:rStyle w:val="eop"/>
          <w:rFonts w:ascii="Calibri" w:hAnsi="Calibri" w:cs="Calibri"/>
        </w:rPr>
        <w:t>i</w:t>
      </w:r>
      <w:r w:rsidRPr="00484176">
        <w:rPr>
          <w:rStyle w:val="eop"/>
          <w:rFonts w:ascii="Calibri" w:hAnsi="Calibri" w:cs="Calibri"/>
        </w:rPr>
        <w:t>nally,</w:t>
      </w:r>
      <w:r>
        <w:rPr>
          <w:rStyle w:val="eop"/>
          <w:rFonts w:ascii="Calibri" w:hAnsi="Calibri" w:cs="Calibri"/>
        </w:rPr>
        <w:t xml:space="preserve"> a few reflective models were considered; Kolb (1975 &amp; 1984), Shon (2016), Brookefield (1998 &amp; 2005).  Initially, Schon (2016) was thought to be the effective model to use, it was succinct and seemed to best fit the purpose.  However, the downside of the theory was the need to reflect in action.  As there would be a high number of pupils, reflecting during the class would be problematic.  In the end, </w:t>
      </w:r>
      <w:r w:rsidRPr="00484176">
        <w:rPr>
          <w:rStyle w:val="eop"/>
          <w:rFonts w:ascii="Calibri" w:hAnsi="Calibri" w:cs="Calibri"/>
        </w:rPr>
        <w:t>Gibbs (1988) ‘Reflective</w:t>
      </w:r>
      <w:r>
        <w:rPr>
          <w:rStyle w:val="eop"/>
          <w:rFonts w:ascii="Calibri" w:hAnsi="Calibri" w:cs="Calibri"/>
        </w:rPr>
        <w:t xml:space="preserve"> Cycle</w:t>
      </w:r>
      <w:r w:rsidRPr="00484176">
        <w:rPr>
          <w:rStyle w:val="eop"/>
          <w:rFonts w:ascii="Calibri" w:hAnsi="Calibri" w:cs="Calibri"/>
        </w:rPr>
        <w:t xml:space="preserve">’ </w:t>
      </w:r>
      <w:r>
        <w:rPr>
          <w:rStyle w:val="eop"/>
          <w:rFonts w:ascii="Calibri" w:hAnsi="Calibri" w:cs="Calibri"/>
        </w:rPr>
        <w:t xml:space="preserve">was chosen.  The cycle was easy to use, it assisted with clarity of reflection and all sections enabled a thorough analysis of the lesson study.  The reflection was completed shortly after the lesson study was undertaken to ensure that comments included were true and honest and not reduced to imperfect recollections. (Appendix 1-4) </w:t>
      </w:r>
      <w:bookmarkStart w:id="1" w:name="_Hlk33121276"/>
      <w:r w:rsidRPr="00484176">
        <w:rPr>
          <w:rStyle w:val="eop"/>
          <w:rFonts w:ascii="Calibri" w:hAnsi="Calibri" w:cs="Calibri"/>
        </w:rPr>
        <w:t>Cohen</w:t>
      </w:r>
      <w:r>
        <w:rPr>
          <w:rStyle w:val="eop"/>
          <w:rFonts w:ascii="Calibri" w:hAnsi="Calibri" w:cs="Calibri"/>
        </w:rPr>
        <w:t xml:space="preserve"> et al</w:t>
      </w:r>
      <w:r w:rsidRPr="00484176">
        <w:rPr>
          <w:rStyle w:val="eop"/>
          <w:rFonts w:ascii="Calibri" w:hAnsi="Calibri" w:cs="Calibri"/>
        </w:rPr>
        <w:t xml:space="preserve"> (2011) </w:t>
      </w:r>
      <w:bookmarkEnd w:id="1"/>
      <w:r w:rsidRPr="00484176">
        <w:rPr>
          <w:rStyle w:val="eop"/>
          <w:rFonts w:ascii="Calibri" w:hAnsi="Calibri" w:cs="Calibri"/>
        </w:rPr>
        <w:t>discuss the benefits of triangulated data.  By using observation, interview and reflection, I believe that</w:t>
      </w:r>
      <w:r>
        <w:rPr>
          <w:rStyle w:val="eop"/>
          <w:rFonts w:ascii="Calibri" w:hAnsi="Calibri" w:cs="Calibri"/>
        </w:rPr>
        <w:t xml:space="preserve"> these methodologies </w:t>
      </w:r>
      <w:r w:rsidRPr="00484176">
        <w:rPr>
          <w:rStyle w:val="eop"/>
          <w:rFonts w:ascii="Calibri" w:hAnsi="Calibri" w:cs="Calibri"/>
        </w:rPr>
        <w:t>will eliminate much of the bias, will provide a higher level of validity and supplement</w:t>
      </w:r>
      <w:r>
        <w:rPr>
          <w:rStyle w:val="eop"/>
          <w:rFonts w:ascii="Calibri" w:hAnsi="Calibri" w:cs="Calibri"/>
        </w:rPr>
        <w:t xml:space="preserve"> </w:t>
      </w:r>
      <w:r w:rsidRPr="00484176">
        <w:rPr>
          <w:rStyle w:val="eop"/>
          <w:rFonts w:ascii="Calibri" w:hAnsi="Calibri" w:cs="Calibri"/>
        </w:rPr>
        <w:t xml:space="preserve">study with </w:t>
      </w:r>
      <w:proofErr w:type="gramStart"/>
      <w:r w:rsidRPr="00484176">
        <w:rPr>
          <w:rStyle w:val="eop"/>
          <w:rFonts w:ascii="Calibri" w:hAnsi="Calibri" w:cs="Calibri"/>
        </w:rPr>
        <w:t>a number of</w:t>
      </w:r>
      <w:proofErr w:type="gramEnd"/>
      <w:r w:rsidRPr="00484176">
        <w:rPr>
          <w:rStyle w:val="eop"/>
          <w:rFonts w:ascii="Calibri" w:hAnsi="Calibri" w:cs="Calibri"/>
        </w:rPr>
        <w:t xml:space="preserve"> additional pupils’ responses.</w:t>
      </w:r>
      <w:r>
        <w:rPr>
          <w:rStyle w:val="eop"/>
          <w:rFonts w:ascii="Calibri" w:hAnsi="Calibri" w:cs="Calibri"/>
        </w:rPr>
        <w:t xml:space="preserve">  Denzin (2006) identifies four other forms of triangulation.  So, as a research team we employed, ‘triangulation of researchers’, cross checking responses would garner broader data.  The next section of this essay will be an analysis of the data gathered by all three researchers.</w:t>
      </w:r>
    </w:p>
    <w:p w14:paraId="36AB9411" w14:textId="77777777" w:rsidR="002D33D6" w:rsidRDefault="002D33D6" w:rsidP="002D33D6">
      <w:pPr>
        <w:jc w:val="both"/>
        <w:rPr>
          <w:rStyle w:val="eop"/>
          <w:rFonts w:ascii="Calibri" w:hAnsi="Calibri" w:cs="Calibri"/>
        </w:rPr>
      </w:pPr>
      <w:r w:rsidRPr="00B9534C">
        <w:rPr>
          <w:rStyle w:val="eop"/>
          <w:rFonts w:ascii="Calibri" w:hAnsi="Calibri" w:cs="Calibri"/>
        </w:rPr>
        <w:t>Lesson study A</w:t>
      </w:r>
      <w:r>
        <w:rPr>
          <w:rStyle w:val="eop"/>
          <w:rFonts w:ascii="Calibri" w:hAnsi="Calibri" w:cs="Calibri"/>
        </w:rPr>
        <w:t xml:space="preserve"> was conducted in the sports hall of a primary school.  There were thirty-one, year six pupils.  Beforehand, the researcher met with pupils</w:t>
      </w:r>
      <w:proofErr w:type="gramStart"/>
      <w:r>
        <w:rPr>
          <w:rStyle w:val="eop"/>
          <w:rFonts w:ascii="Calibri" w:hAnsi="Calibri" w:cs="Calibri"/>
        </w:rPr>
        <w:t>, in particular, the</w:t>
      </w:r>
      <w:proofErr w:type="gramEnd"/>
      <w:r>
        <w:rPr>
          <w:rStyle w:val="eop"/>
          <w:rFonts w:ascii="Calibri" w:hAnsi="Calibri" w:cs="Calibri"/>
        </w:rPr>
        <w:t xml:space="preserve"> three subjects to ascertain whether they were still willing participants in the study.  They were also advised that If they could choose to withdraw at any stage by either speaking to the researcher or the class teacher and they can withdraw, without prejudice.  The other researchers were sat on a bench, near enough to the subjects, not so near as to intervene or potentially intimidate.  The observation found that all six subjects displayed high engagement during opening phase.  During main activity, out of the six subjects, two subjects showed moderate engagement, two subject showed high engagement and 2 subjects displayed extremely high engagement.  At the plenary stage, 2 showed high levels of engagement and four extremely high engagement.  During interview stage, all agreed that they would prefer more PE in school.  All subjects rated their involvement on a scale of one to ten; two scored themselves a nine and two scored themselves an eight.  All subjects agreed that they could join in with the session.  When asked what their favourite parts of the lesson were, they cited teamwork, working with friends, small groups and lack of negative judgement.  When asked what they did not like, the subjects mentioned the chalk on their hands, and peers chatting too much.  The subjects commented that the lesson could be improved by more explanations of the task, by splitting the groups into even smaller groups and use more verbal encouragement.  When asked what the subjects thought about the tangible reward of a sticker the subjects raised some very interesting points.  They said, “I’m not a big fan” (Appendix 24, A2), “not fair for those who didn’t get them, teacher not watching all the pupils” (Appendix 24, A1), “good idea, makes me feel special” (Appendix 24, A3).  The subjects when asked if there was anything else that they would like to add, mentioned (taken from audio clip – around 11:21), “keep the lesson going longer instead of just doing for a couple of weeks, couple of months and spread more sports out”, “we don’t really do much with Mr ?, we just do throwing and catching”, “I think the reason for that (previous quote) is because we don’t have resources”.</w:t>
      </w:r>
    </w:p>
    <w:p w14:paraId="6F5C127C" w14:textId="77777777" w:rsidR="002D33D6" w:rsidRDefault="002D33D6" w:rsidP="002D33D6">
      <w:pPr>
        <w:jc w:val="both"/>
        <w:rPr>
          <w:rStyle w:val="eop"/>
          <w:rFonts w:ascii="Calibri" w:hAnsi="Calibri" w:cs="Calibri"/>
        </w:rPr>
      </w:pPr>
      <w:r>
        <w:rPr>
          <w:rStyle w:val="eop"/>
          <w:rFonts w:ascii="Calibri" w:hAnsi="Calibri" w:cs="Calibri"/>
        </w:rPr>
        <w:t xml:space="preserve">The observations showed that the pupils were highly engaged and data shows that this was irrespective of tangible reward given, the interviews confirmed this.  The subjects gave honest and in-depth answers to questions posed.  This was expected of this group as they are emotionally very literate with strong communication skills.  The subjects completed the activity well and in line with the lesson plan and delivery.  The subjects all recorded three attempts of their high jumps and made small incremental progress between first and last jump.  </w:t>
      </w:r>
    </w:p>
    <w:p w14:paraId="3A3E15BC" w14:textId="77777777" w:rsidR="002D33D6" w:rsidRDefault="002D33D6" w:rsidP="002D33D6">
      <w:pPr>
        <w:jc w:val="both"/>
        <w:rPr>
          <w:rStyle w:val="eop"/>
          <w:rFonts w:ascii="Calibri" w:hAnsi="Calibri" w:cs="Calibri"/>
        </w:rPr>
      </w:pPr>
      <w:r>
        <w:rPr>
          <w:rStyle w:val="eop"/>
          <w:rFonts w:ascii="Calibri" w:hAnsi="Calibri" w:cs="Calibri"/>
        </w:rPr>
        <w:t>Whilst undertaken the lesson, the researcher was able to draw on Schon (2016) ‘in action’ reflection.  Incidentally, mental notes were made about potential improvements that could be made to lesson.  Following the lesson, the formal reflective model was filled out (Appendices 1-4) further analysis of this will be covered in the recommendations section at the end of the essay.  Also, as well as improvements to the lesson there are also improvements needed in the methodology.  Firstly, the observation sheets worked well, they were effective at measuring engagement.  The interview questions were too broad, there was not a fine enough focus on the engagement through tangible reward, more about context of how subjects felt about PE, which although important, doesn’t best support answering the research question.  The reflective model worked well it generated a lot of useful information. As reflection was undertaken soon after the lesson study was complete, and the experiences were fresh in the mind of the researcher.  The level of detail was reassuring.  On viewing the other researchers’ reflective models and drawing from the triangulation of data collected, (</w:t>
      </w:r>
      <w:r w:rsidRPr="00484176">
        <w:rPr>
          <w:rStyle w:val="eop"/>
          <w:rFonts w:ascii="Calibri" w:hAnsi="Calibri" w:cs="Calibri"/>
        </w:rPr>
        <w:t>Cohen</w:t>
      </w:r>
      <w:r>
        <w:rPr>
          <w:rStyle w:val="eop"/>
          <w:rFonts w:ascii="Calibri" w:hAnsi="Calibri" w:cs="Calibri"/>
        </w:rPr>
        <w:t xml:space="preserve"> et al </w:t>
      </w:r>
      <w:r w:rsidRPr="00484176">
        <w:rPr>
          <w:rStyle w:val="eop"/>
          <w:rFonts w:ascii="Calibri" w:hAnsi="Calibri" w:cs="Calibri"/>
        </w:rPr>
        <w:t>2011)</w:t>
      </w:r>
      <w:r>
        <w:rPr>
          <w:rStyle w:val="eop"/>
          <w:rFonts w:ascii="Calibri" w:hAnsi="Calibri" w:cs="Calibri"/>
        </w:rPr>
        <w:t xml:space="preserve"> &amp; (Denzin 2006), the data collected was reliable for the method used.</w:t>
      </w:r>
    </w:p>
    <w:p w14:paraId="7AD49C58" w14:textId="77777777" w:rsidR="002D33D6" w:rsidRDefault="002D33D6" w:rsidP="002D33D6">
      <w:pPr>
        <w:jc w:val="both"/>
        <w:rPr>
          <w:rStyle w:val="eop"/>
          <w:rFonts w:ascii="Calibri" w:hAnsi="Calibri" w:cs="Calibri"/>
        </w:rPr>
      </w:pPr>
      <w:r w:rsidRPr="00440BB2">
        <w:rPr>
          <w:rStyle w:val="eop"/>
          <w:rFonts w:ascii="Calibri" w:hAnsi="Calibri" w:cs="Calibri"/>
        </w:rPr>
        <w:t>Lesson study B</w:t>
      </w:r>
      <w:r>
        <w:rPr>
          <w:rStyle w:val="eop"/>
          <w:rFonts w:ascii="Calibri" w:hAnsi="Calibri" w:cs="Calibri"/>
          <w:b/>
          <w:bCs/>
        </w:rPr>
        <w:t xml:space="preserve"> </w:t>
      </w:r>
      <w:r>
        <w:rPr>
          <w:rStyle w:val="eop"/>
          <w:rFonts w:ascii="Calibri" w:hAnsi="Calibri" w:cs="Calibri"/>
        </w:rPr>
        <w:t xml:space="preserve">was carried out in the hall of a primary school in an area of low socio-economic status.  Research (Max Weber, 1993) would dictate that children from this background lack opportunity to engage in a range of physical activities and the fractious nature of their upbringing mean they often have low self-efficacy.  The subjects were of nursery age (three years old), the PE lesson was a continuation of a theme being taught in class.  The subjects were being taught what types of footwear people use and this was intertwined with the PE lesson.  Initially, the pupils had to identify the footwear from a pile of large display cards which the researcher held up, one by one (e.g. trainer, ballet shoe, boot). Each footwear had corresponding type of walk e.g. if the researcher held up a ballet shoe the pupils walked on their toes, if a boot was held up, the pupils would stomp their feet.  Also, each footwear had its own piece of music.  The pupils thoroughly enjoyed the lesson and objectives were met. </w:t>
      </w:r>
    </w:p>
    <w:p w14:paraId="497ECE02" w14:textId="77777777" w:rsidR="002D33D6" w:rsidRDefault="002D33D6" w:rsidP="002D33D6">
      <w:pPr>
        <w:jc w:val="both"/>
        <w:rPr>
          <w:rStyle w:val="eop"/>
          <w:rFonts w:ascii="Calibri" w:hAnsi="Calibri" w:cs="Calibri"/>
        </w:rPr>
      </w:pPr>
      <w:r>
        <w:rPr>
          <w:rStyle w:val="eop"/>
          <w:rFonts w:ascii="Calibri" w:hAnsi="Calibri" w:cs="Calibri"/>
        </w:rPr>
        <w:t>There were many improvements that could be made to this lesson.  The children were young and easily distracted.  The opening phase was too long.  The pupils easily identified the footwear and the researcher continue to ask, causing the pupils to be frustrated.  This in turn caused them to become disruptive.  During the main activity, the pupils didn’t always notice when the researcher had changed the footwear card.  They took their cues, sometime, from what their peers were doing.  They self-corrected.  The researcher could have used a signal to let them know the cards would be changing.  The introduction of music to accompany the cards was great, to switch it up and keep the children guessing.  The researcher could have alternated between card and music.  As a plenary, the researcher would immediately see who was secure in their knowledge and met the success criteria.</w:t>
      </w:r>
    </w:p>
    <w:p w14:paraId="20B20E40" w14:textId="77777777" w:rsidR="002D33D6" w:rsidRDefault="002D33D6" w:rsidP="002D33D6">
      <w:pPr>
        <w:jc w:val="both"/>
        <w:rPr>
          <w:rStyle w:val="eop"/>
          <w:rFonts w:ascii="Calibri" w:hAnsi="Calibri" w:cs="Calibri"/>
        </w:rPr>
      </w:pPr>
      <w:r w:rsidRPr="006A4E6C">
        <w:rPr>
          <w:rStyle w:val="eop"/>
          <w:rFonts w:ascii="Calibri" w:hAnsi="Calibri" w:cs="Calibri"/>
        </w:rPr>
        <w:t>From the observations, in opening phase out of six subjects; two subjects were moderately engaged, two were highly engaged and two displayed extremely high engagement.  During the main activity,</w:t>
      </w:r>
      <w:r>
        <w:rPr>
          <w:rStyle w:val="eop"/>
          <w:rFonts w:ascii="Calibri" w:hAnsi="Calibri" w:cs="Calibri"/>
        </w:rPr>
        <w:t xml:space="preserve"> two</w:t>
      </w:r>
      <w:r w:rsidRPr="006A4E6C">
        <w:rPr>
          <w:rStyle w:val="eop"/>
          <w:rFonts w:ascii="Calibri" w:hAnsi="Calibri" w:cs="Calibri"/>
        </w:rPr>
        <w:t xml:space="preserve"> showed low engagement, </w:t>
      </w:r>
      <w:r>
        <w:rPr>
          <w:rStyle w:val="eop"/>
          <w:rFonts w:ascii="Calibri" w:hAnsi="Calibri" w:cs="Calibri"/>
        </w:rPr>
        <w:t>two</w:t>
      </w:r>
      <w:r w:rsidRPr="006A4E6C">
        <w:rPr>
          <w:rStyle w:val="eop"/>
          <w:rFonts w:ascii="Calibri" w:hAnsi="Calibri" w:cs="Calibri"/>
        </w:rPr>
        <w:t xml:space="preserve"> showed high engagement and the other </w:t>
      </w:r>
      <w:r>
        <w:rPr>
          <w:rStyle w:val="eop"/>
          <w:rFonts w:ascii="Calibri" w:hAnsi="Calibri" w:cs="Calibri"/>
        </w:rPr>
        <w:t>two</w:t>
      </w:r>
      <w:r w:rsidRPr="006A4E6C">
        <w:rPr>
          <w:rStyle w:val="eop"/>
          <w:rFonts w:ascii="Calibri" w:hAnsi="Calibri" w:cs="Calibri"/>
        </w:rPr>
        <w:t xml:space="preserve"> showed extremely high engagement.  During plenary, </w:t>
      </w:r>
      <w:r>
        <w:rPr>
          <w:rStyle w:val="eop"/>
          <w:rFonts w:ascii="Calibri" w:hAnsi="Calibri" w:cs="Calibri"/>
        </w:rPr>
        <w:t>two</w:t>
      </w:r>
      <w:r w:rsidRPr="006A4E6C">
        <w:rPr>
          <w:rStyle w:val="eop"/>
          <w:rFonts w:ascii="Calibri" w:hAnsi="Calibri" w:cs="Calibri"/>
        </w:rPr>
        <w:t xml:space="preserve"> subject showed low engagement and the other </w:t>
      </w:r>
      <w:r>
        <w:rPr>
          <w:rStyle w:val="eop"/>
          <w:rFonts w:ascii="Calibri" w:hAnsi="Calibri" w:cs="Calibri"/>
        </w:rPr>
        <w:t>four</w:t>
      </w:r>
      <w:r w:rsidRPr="006A4E6C">
        <w:rPr>
          <w:rStyle w:val="eop"/>
          <w:rFonts w:ascii="Calibri" w:hAnsi="Calibri" w:cs="Calibri"/>
        </w:rPr>
        <w:t xml:space="preserve"> showed high engagement.</w:t>
      </w:r>
    </w:p>
    <w:p w14:paraId="69D979D3" w14:textId="77777777" w:rsidR="002D33D6" w:rsidRDefault="002D33D6" w:rsidP="002D33D6">
      <w:pPr>
        <w:jc w:val="both"/>
        <w:rPr>
          <w:rStyle w:val="eop"/>
          <w:rFonts w:ascii="Calibri" w:hAnsi="Calibri" w:cs="Calibri"/>
        </w:rPr>
      </w:pPr>
      <w:r>
        <w:rPr>
          <w:rStyle w:val="eop"/>
          <w:rFonts w:ascii="Calibri" w:hAnsi="Calibri" w:cs="Calibri"/>
        </w:rPr>
        <w:t>During interviews the subjects displayed no shyness that you would expect from very young children.  When asked if they would like to do more PE, one subject said yes, one said no and the other said, “I like space boots” (Appendix 13, B3).  When asked to rate their involvement from one to ten, two subjects said ten and the other said five.  When asked if they felt they could join in, one subject said yes, one said, “trainers are fast”, and the other said, “space boots are slow” (Appendix 13, B2&amp;B3).  When asked what their favourite part of the lesson was, one subject said “trainers”, one said, “on my bed” and the other said, “on my trampoline” (Appendix 13, B2&amp;B3).  When asked was there anything they did not like, one subject said, “didn’t like space boots, too slow”, the other two subjects said, “too slow” (Appendix 14, B2&amp;B3).  Interestingly, when asked what they would like to change, they responded, “it’s too long” (Appendix 14, B1), “it was making my legs tired” (Appendix 14, B2) and, “my toes were bad” (Appendix 14, B3).  When asked how they felt when being given stickers, they all replied “happy” (Appendix 14, B1,2&amp;3).</w:t>
      </w:r>
    </w:p>
    <w:p w14:paraId="572385EB" w14:textId="77777777" w:rsidR="002D33D6" w:rsidRDefault="002D33D6" w:rsidP="002D33D6">
      <w:pPr>
        <w:jc w:val="both"/>
        <w:rPr>
          <w:rStyle w:val="eop"/>
          <w:rFonts w:ascii="Calibri" w:hAnsi="Calibri" w:cs="Calibri"/>
        </w:rPr>
      </w:pPr>
      <w:r>
        <w:rPr>
          <w:rStyle w:val="eop"/>
          <w:rFonts w:ascii="Calibri" w:hAnsi="Calibri" w:cs="Calibri"/>
        </w:rPr>
        <w:t>The research method used were not appropriate for the audience.  Initially, all materials were tailored towards year five and six and it was felt that because the interviews were semi structured that the researchers could use their skills in interviewing and rapport with children to elicit good results.  The interview questions were too long and the words not child appropriate as evidenced in the responses given.  They were random and often had no relation to the question asked.  There were times when the answers did marry with the questions, but this was coincidence rather than design.  Also, scales given in numeric form could have been adapted to emoji faces (happy, neutral, sad).  This addition of pop culture would have been something which the nursery subjects would have recognised.</w:t>
      </w:r>
    </w:p>
    <w:p w14:paraId="08D5624A" w14:textId="77777777" w:rsidR="002D33D6" w:rsidRDefault="002D33D6" w:rsidP="002D33D6">
      <w:pPr>
        <w:jc w:val="both"/>
        <w:rPr>
          <w:rStyle w:val="eop"/>
          <w:rFonts w:ascii="Calibri" w:hAnsi="Calibri" w:cs="Calibri"/>
        </w:rPr>
      </w:pPr>
      <w:r w:rsidRPr="0082440B">
        <w:rPr>
          <w:rStyle w:val="eop"/>
          <w:rFonts w:ascii="Calibri" w:hAnsi="Calibri" w:cs="Calibri"/>
        </w:rPr>
        <w:t>Lesson Study C</w:t>
      </w:r>
      <w:r>
        <w:rPr>
          <w:rStyle w:val="eop"/>
          <w:rFonts w:ascii="Calibri" w:hAnsi="Calibri" w:cs="Calibri"/>
          <w:b/>
          <w:bCs/>
        </w:rPr>
        <w:t xml:space="preserve"> </w:t>
      </w:r>
      <w:r>
        <w:rPr>
          <w:rStyle w:val="eop"/>
          <w:rFonts w:ascii="Calibri" w:hAnsi="Calibri" w:cs="Calibri"/>
        </w:rPr>
        <w:t xml:space="preserve">was carried out in a large yard, outside.  The primary school is in an affluent area of Cardiff and the subjects were from year five.  The activity was a catching and interception game.  Following a warmup, the pupils were put into groups and split in half, with one half working with the class teacher and the other half (which included the subjects) with the researcher.  During the opening phase of the lesson, four subjects were rated as highly engaged and two as extremely highly engaged.  During the main activity, two subjects were moderately engaged and two were highly engaged and two were extremely highly engaged.  For the plenary, all six subjects were deemed to be highly engaged.  </w:t>
      </w:r>
    </w:p>
    <w:p w14:paraId="7D286328" w14:textId="77777777" w:rsidR="002D33D6" w:rsidRDefault="002D33D6" w:rsidP="002D33D6">
      <w:pPr>
        <w:jc w:val="both"/>
        <w:rPr>
          <w:rStyle w:val="eop"/>
          <w:rFonts w:ascii="Calibri" w:hAnsi="Calibri" w:cs="Calibri"/>
        </w:rPr>
      </w:pPr>
      <w:r>
        <w:rPr>
          <w:rStyle w:val="eop"/>
          <w:rFonts w:ascii="Calibri" w:hAnsi="Calibri" w:cs="Calibri"/>
        </w:rPr>
        <w:t>During interview, when asked if the subjects would like to do more PE, they all agreed they would.  When asked to rate their involvement, the subjects rated themselves as highly involved.  Only one subject replied to the question about being able to join in, citing the lesson as being a little confusing.  The subjects were quite vociferous about what they didn’t like, “I didn’t like the part when there was pushing” (Appendix 18, C3), “I would’ve preferred more time at the end” (Appendix 18, C1), “the balls were too squishy also I kept having to constantly wait” (Appendix 18, C2).  When asked about the tangible rewards being given, (in this case, one sticker = one chocolate), the subjects replied, “stickers were too blowy offy”, (Appendix 18, C1), “Felt motivated to win a chocolate”, (Appendix 18, C2) “yes, I saw other people getting them so I copied” (Appendix 18, C3)</w:t>
      </w:r>
    </w:p>
    <w:p w14:paraId="1170F12B" w14:textId="77777777" w:rsidR="002D33D6" w:rsidRDefault="002D33D6" w:rsidP="002D33D6">
      <w:pPr>
        <w:jc w:val="both"/>
        <w:rPr>
          <w:rStyle w:val="eop"/>
          <w:rFonts w:ascii="Calibri" w:hAnsi="Calibri" w:cs="Calibri"/>
        </w:rPr>
      </w:pPr>
      <w:r>
        <w:rPr>
          <w:rStyle w:val="eop"/>
          <w:rFonts w:ascii="Calibri" w:hAnsi="Calibri" w:cs="Calibri"/>
        </w:rPr>
        <w:t>Overall, the lesson went well, the pupils were all over excited and this seems to be a common theme with behaviour management in PE, generally.  The researcher used behaviour management techniques to keep the children on track but rarely got 100% attention, before moving on.  It was a cold day, the pupils were jumping on the spot and chatting to their friends.  For the opening phase, this could have been delivered in the classroom, in the warm.  Also, behaviour management is inherently better in the classroom.  For the main activity, there was some instruction as to how to correctly intercept the ball and pass to a peer, the researcher did well to keep the pupils on track.  The researcher spent quite a bit of time firefighting questions and this detracted from the lesson, some pupils were visibly getting annoyed, they wanted to carry on with the game.  As the researcher had delegated a group to the class teacher, instructions for main activity could’ve been given in two parts, rather than altogether.</w:t>
      </w:r>
    </w:p>
    <w:p w14:paraId="34E0A702" w14:textId="77777777" w:rsidR="002D33D6" w:rsidRPr="0070698D" w:rsidRDefault="002D33D6" w:rsidP="002D33D6">
      <w:pPr>
        <w:jc w:val="both"/>
        <w:rPr>
          <w:rStyle w:val="eop"/>
          <w:rFonts w:ascii="Calibri" w:hAnsi="Calibri" w:cs="Calibri"/>
        </w:rPr>
      </w:pPr>
      <w:r>
        <w:rPr>
          <w:rStyle w:val="eop"/>
          <w:rFonts w:ascii="Calibri" w:hAnsi="Calibri" w:cs="Calibri"/>
        </w:rPr>
        <w:t xml:space="preserve">The methods used to gather data were appropriate for this year group.  The two additional researchers were set back on the yard, were able to clearly see the subjects so accurately gauge their enagement.  The pupils were interviewed at their desks, in their own classroom, they were relaxed and answered the questions with ease.  At times, some of the girls did defer to a friend but the interviewers, on noticing this, encouraged everyone to participate in the discussion.  The subjects appeared to answer questions honestly and their feedback was comprehensive.  With this group, the subjects clearly stated that the tangible rewards worked for them. </w:t>
      </w:r>
    </w:p>
    <w:p w14:paraId="2973CDE5" w14:textId="77777777" w:rsidR="002D33D6" w:rsidRDefault="002D33D6" w:rsidP="002D33D6">
      <w:pPr>
        <w:jc w:val="both"/>
        <w:rPr>
          <w:rStyle w:val="eop"/>
          <w:rFonts w:ascii="Calibri" w:hAnsi="Calibri" w:cs="Calibri"/>
        </w:rPr>
      </w:pPr>
      <w:r>
        <w:rPr>
          <w:rStyle w:val="eop"/>
          <w:rFonts w:ascii="Calibri" w:hAnsi="Calibri" w:cs="Calibri"/>
        </w:rPr>
        <w:t xml:space="preserve">In the case of the year six class, the subjects had high to very high levels of engagement, through semi-structured interview it was made clear that they were not motivated by tangible rewards.  But stated that verbal praise would be appreciated.  In relation to the literature, year six displayed high levels of self-efficacy (Hattie, 2012).  They were intrinsically motivated (Maslow, 1943 &amp; 1954), (Deci and Ryan, 2017) and determined to do well.  They were motivated extrinsically via verbal praise but did not see the immediate benefit of a tangible reward.  They were influenced by the researcher’s use of operant conditioning.  The primary strengths in this lesson study was the relationship between the researcher and the subjects.  The researcher, drawing on ZPD (Vygotsky, 1962) and therefore knew the motivation levels of the subjects, used this knowledge to support.  The lesson study allowed for this triangulated response (Cohen et al, 2000) from all researchers.  This eliminated some bias and presented information which had been missed.  It was difficult to remain objective while conducting the lesson and knowing the particulars of the </w:t>
      </w:r>
      <w:proofErr w:type="gramStart"/>
      <w:r>
        <w:rPr>
          <w:rStyle w:val="eop"/>
          <w:rFonts w:ascii="Calibri" w:hAnsi="Calibri" w:cs="Calibri"/>
        </w:rPr>
        <w:t>research,  (</w:t>
      </w:r>
      <w:proofErr w:type="gramEnd"/>
      <w:r>
        <w:rPr>
          <w:rStyle w:val="eop"/>
          <w:rFonts w:ascii="Calibri" w:hAnsi="Calibri" w:cs="Calibri"/>
        </w:rPr>
        <w:t>Nisbet and Well, 1984).</w:t>
      </w:r>
    </w:p>
    <w:p w14:paraId="5AAE9FAF" w14:textId="77777777" w:rsidR="002D33D6" w:rsidRDefault="002D33D6" w:rsidP="002D33D6">
      <w:pPr>
        <w:jc w:val="both"/>
        <w:rPr>
          <w:rStyle w:val="eop"/>
          <w:rFonts w:ascii="Calibri" w:hAnsi="Calibri" w:cs="Calibri"/>
        </w:rPr>
      </w:pPr>
      <w:r>
        <w:rPr>
          <w:rStyle w:val="eop"/>
          <w:rFonts w:ascii="Calibri" w:hAnsi="Calibri" w:cs="Calibri"/>
        </w:rPr>
        <w:t xml:space="preserve">With the nursery class, the subjects mentioned that they were motivated by tangible rewards, a sticker.  Flewitt (2005) when discussing assent and response in interviews, in children as young as three, stated that he found some more outspoken than their parents or adult counterparts. This did not appear to be the case with this class.  Very little accurate information was gleaned from interviewing the children due to their over reliance to please and inappropriate method and experience of the researchers (Cohen et al, 2000).  Despite being aware of this and trying to re-phrase questions, the data was highly flawed, therefore unreliable.  </w:t>
      </w:r>
    </w:p>
    <w:p w14:paraId="7830E013" w14:textId="77777777" w:rsidR="002D33D6" w:rsidRDefault="002D33D6" w:rsidP="002D33D6">
      <w:pPr>
        <w:jc w:val="both"/>
        <w:rPr>
          <w:rStyle w:val="eop"/>
          <w:rFonts w:ascii="Calibri" w:hAnsi="Calibri" w:cs="Calibri"/>
        </w:rPr>
      </w:pPr>
      <w:r>
        <w:rPr>
          <w:rStyle w:val="eop"/>
          <w:rFonts w:ascii="Calibri" w:hAnsi="Calibri" w:cs="Calibri"/>
        </w:rPr>
        <w:t>The year five class all admitted being motivated by tangible rewards, that of chocolate.  However, it was difficult to ascertain from all research lesson study observation and interview notes whether the tangible reward was the reason for high engagement.  The subjects displayed high self-determination and were intrinsically motivated (Deci and Ryan, 1985).  On reading the reflection report from the researcher of this class (Appendix 5), she mentioned the already competitive nature of the class.  One can surmise, then, that the reward was incidental to the primary motivation levels and was simply viewed as an act of kindness.  The subjects, as in all lesson studies, also responded well to operant conditioning.</w:t>
      </w:r>
    </w:p>
    <w:p w14:paraId="06114180" w14:textId="77777777" w:rsidR="002D33D6" w:rsidRDefault="002D33D6" w:rsidP="002D33D6">
      <w:pPr>
        <w:jc w:val="both"/>
        <w:rPr>
          <w:rStyle w:val="eop"/>
          <w:rFonts w:ascii="Calibri" w:hAnsi="Calibri" w:cs="Calibri"/>
        </w:rPr>
      </w:pPr>
      <w:r>
        <w:rPr>
          <w:rStyle w:val="eop"/>
          <w:rFonts w:ascii="Calibri" w:hAnsi="Calibri" w:cs="Calibri"/>
        </w:rPr>
        <w:t xml:space="preserve">In conclusion, an examination of data gathered during the three lesson studies, with three student researchers will now form the basis of this critique.  On completion of the lesson study it is possible to reach a more balanced and equitable view.   Using the Leuven scale for the observation schedule gave a great frame of reference from which to score engagement.  It was possible beforehand, to familiarise oneself with the narrative attached to each engagement level.  However, from the first lesson study to the final one, results were very similar.  Due to the inexperience of the observants, clarification was sought from each other when scoring.  The scores were not recorded independently.  This ‘in action’ reflection (Shon, 1978) with peers meant that scores given were negotiated and agreed upon.  If repeating this lesson study again, scoring would be undertaken independently followed by a discussion of the results.  During this discussion, justification for how engagement was perceived by the observant would be far more reliable.  Also, repeated observations would assist the observant to get a much more reliable gauge on what differing engagement looks like. </w:t>
      </w:r>
    </w:p>
    <w:p w14:paraId="5F0A8412" w14:textId="77777777" w:rsidR="002D33D6" w:rsidRDefault="002D33D6" w:rsidP="002D33D6">
      <w:pPr>
        <w:jc w:val="both"/>
        <w:rPr>
          <w:rStyle w:val="eop"/>
          <w:rFonts w:ascii="Calibri" w:hAnsi="Calibri" w:cs="Calibri"/>
        </w:rPr>
      </w:pPr>
      <w:proofErr w:type="gramStart"/>
      <w:r>
        <w:rPr>
          <w:rStyle w:val="eop"/>
          <w:rFonts w:ascii="Calibri" w:hAnsi="Calibri" w:cs="Calibri"/>
        </w:rPr>
        <w:t>In regard to</w:t>
      </w:r>
      <w:proofErr w:type="gramEnd"/>
      <w:r>
        <w:rPr>
          <w:rStyle w:val="eop"/>
          <w:rFonts w:ascii="Calibri" w:hAnsi="Calibri" w:cs="Calibri"/>
        </w:rPr>
        <w:t xml:space="preserve"> the semi-structured interview, on the whole they worked well.  Three researchers recorded results and when it came to preparing notes, afterwards, information which had been missed by one or other of us was immediately discussed, providing stronger clarity.  This exchange of views assisted to strengthen the results, lessen the bias and offer more examples for critique.  The subjects in all interviews answered questions to the best of their ability and it was felt by all researchers (based on prior knowledge of subjects’ personalities) that they gave an honest account of their true feelings.  The anomaly in interview process was the interviewing of the nursery children. They were happy and responsive, but the answers were arbitrary.  Should this year group be interviewed again the whole interview schedule would need to be changed.  It would need to be more pictorial, and shorter questions that were open to less ambiguity.  Also, the nursery children were asked to rate participation on a scale of one to ten, in hindsight, most nursery children may struggle with even counting to ten, so to them this number was inconsequential.  Again, pictorial scales with three emoji faces might have given a truer more representative response. </w:t>
      </w:r>
    </w:p>
    <w:p w14:paraId="317985B3" w14:textId="77777777" w:rsidR="002D33D6" w:rsidRDefault="002D33D6" w:rsidP="002D33D6">
      <w:pPr>
        <w:jc w:val="both"/>
        <w:rPr>
          <w:rStyle w:val="eop"/>
          <w:rFonts w:ascii="Calibri" w:hAnsi="Calibri" w:cs="Calibri"/>
        </w:rPr>
      </w:pPr>
      <w:r>
        <w:rPr>
          <w:rStyle w:val="eop"/>
          <w:rFonts w:ascii="Calibri" w:hAnsi="Calibri" w:cs="Calibri"/>
        </w:rPr>
        <w:t xml:space="preserve">Using Gibbs (1988) ‘reflective model’, a conscious exploration of the lesson study process was undertaken.  Moving through the six stages, the researcher was able to segment and focus on each part separately, gaining a deeper understanding of the lesson.  Using the reflective model with other peers meant that a triangulated approach gave three different opinions and challenged personal perceptions.  It is difficult to remain unbiased and objective when the researcher is closely linked to the subjects.  Often class culture becomes normalised and instinct gets in the way of alternative action (Arthur and </w:t>
      </w:r>
      <w:proofErr w:type="spellStart"/>
      <w:r>
        <w:rPr>
          <w:rStyle w:val="eop"/>
          <w:rFonts w:ascii="Calibri" w:hAnsi="Calibri" w:cs="Calibri"/>
        </w:rPr>
        <w:t>Cremin</w:t>
      </w:r>
      <w:proofErr w:type="spellEnd"/>
      <w:r>
        <w:rPr>
          <w:rStyle w:val="eop"/>
          <w:rFonts w:ascii="Calibri" w:hAnsi="Calibri" w:cs="Calibri"/>
        </w:rPr>
        <w:t>, 2014).</w:t>
      </w:r>
    </w:p>
    <w:p w14:paraId="1E0AF1BB" w14:textId="77777777" w:rsidR="002D33D6" w:rsidRDefault="002D33D6" w:rsidP="002D33D6">
      <w:pPr>
        <w:jc w:val="both"/>
        <w:rPr>
          <w:rStyle w:val="eop"/>
          <w:rFonts w:ascii="Calibri" w:hAnsi="Calibri" w:cs="Calibri"/>
        </w:rPr>
      </w:pPr>
      <w:r>
        <w:rPr>
          <w:rStyle w:val="eop"/>
          <w:rFonts w:ascii="Calibri" w:hAnsi="Calibri" w:cs="Calibri"/>
        </w:rPr>
        <w:t>So much was learnt from this form of case study and the opportunity to work with peers was a privilege.  In education, there is often an over reliance on the solo teacher.  The lesson study provided a chance to gain insights in the pedagogy of research at an early stage of my career.  The Welsh Government (2017) wants newly qualified teachers to continue engaging in research for the duration of their career, a view shared by Donaldson (2015).  Seeing first-hand what teaching and learning can come from action research means that I will always endeavour to understand the ‘why, ‘how’ and ‘what’ of teaching (Donaldson 2015).</w:t>
      </w:r>
    </w:p>
    <w:p w14:paraId="24E85446" w14:textId="77777777" w:rsidR="002D33D6" w:rsidRDefault="002D33D6" w:rsidP="002D33D6">
      <w:pPr>
        <w:pStyle w:val="paragraph"/>
        <w:spacing w:before="0" w:beforeAutospacing="0" w:after="0" w:afterAutospacing="0"/>
        <w:jc w:val="both"/>
        <w:textAlignment w:val="baseline"/>
        <w:rPr>
          <w:rStyle w:val="normaltextrun"/>
          <w:rFonts w:ascii="Calibri" w:hAnsi="Calibri" w:cs="Calibri"/>
          <w:sz w:val="22"/>
          <w:szCs w:val="22"/>
        </w:rPr>
      </w:pPr>
      <w:r>
        <w:rPr>
          <w:rStyle w:val="normaltextrun"/>
          <w:rFonts w:ascii="Calibri" w:hAnsi="Calibri" w:cs="Calibri"/>
          <w:sz w:val="22"/>
          <w:szCs w:val="22"/>
        </w:rPr>
        <w:t xml:space="preserve">Following this lesson study, these changes will be made.  With the assistance of another educational support person, the class would be split in half.  The task would be reintroduced again but with a pupil group model.  This group would model the three attempts </w:t>
      </w:r>
      <w:proofErr w:type="gramStart"/>
      <w:r>
        <w:rPr>
          <w:rStyle w:val="normaltextrun"/>
          <w:rFonts w:ascii="Calibri" w:hAnsi="Calibri" w:cs="Calibri"/>
          <w:sz w:val="22"/>
          <w:szCs w:val="22"/>
        </w:rPr>
        <w:t>method,  fill</w:t>
      </w:r>
      <w:proofErr w:type="gramEnd"/>
      <w:r>
        <w:rPr>
          <w:rStyle w:val="normaltextrun"/>
          <w:rFonts w:ascii="Calibri" w:hAnsi="Calibri" w:cs="Calibri"/>
          <w:sz w:val="22"/>
          <w:szCs w:val="22"/>
        </w:rPr>
        <w:t xml:space="preserve"> in their forms then sit down and wait for the other groups to finish.  By doing it this way, other groups would notice that their peers were finished, and this would apply a healthy level of self-management.  The pupils would be encouraged to sit down between stages so that they better self-managed their behaviour and had time to relax and reflect.</w:t>
      </w:r>
      <w:r>
        <w:rPr>
          <w:rStyle w:val="eop"/>
          <w:rFonts w:ascii="Calibri" w:hAnsi="Calibri" w:cs="Calibri"/>
          <w:sz w:val="22"/>
          <w:szCs w:val="22"/>
        </w:rPr>
        <w:t xml:space="preserve">  A set amount of time would be allocated to </w:t>
      </w:r>
      <w:r>
        <w:rPr>
          <w:rStyle w:val="normaltextrun"/>
          <w:rFonts w:ascii="Calibri" w:hAnsi="Calibri" w:cs="Calibri"/>
          <w:sz w:val="22"/>
          <w:szCs w:val="22"/>
        </w:rPr>
        <w:t>each group so an accurate assessment of each pupils’ engagement and participation in the event could be identified.</w:t>
      </w:r>
      <w:r>
        <w:rPr>
          <w:rStyle w:val="eop"/>
          <w:rFonts w:ascii="Calibri" w:hAnsi="Calibri" w:cs="Calibri"/>
          <w:sz w:val="22"/>
          <w:szCs w:val="22"/>
        </w:rPr>
        <w:t xml:space="preserve">  Pupils worked well together and offered guidance and support.  On many occasions encouraging their peers to ‘have another go’.  This skewed the results, though.  It was almost impossible to see who had made progress in line with the lesson aims.  Therefore, the pupils would be reminded of the lesson aims and the boundaries and limits of support would be explained. By pre-empting the c</w:t>
      </w:r>
      <w:r>
        <w:rPr>
          <w:rStyle w:val="normaltextrun"/>
          <w:rFonts w:ascii="Calibri" w:hAnsi="Calibri" w:cs="Calibri"/>
          <w:sz w:val="22"/>
          <w:szCs w:val="22"/>
        </w:rPr>
        <w:t xml:space="preserve">ollaborative support the pupils would give each other the integrity and fairness of each pupil’s effort will be maintained. </w:t>
      </w:r>
    </w:p>
    <w:p w14:paraId="7FF5C3E3" w14:textId="77777777" w:rsidR="002D33D6" w:rsidRDefault="002D33D6" w:rsidP="002D33D6">
      <w:pPr>
        <w:pStyle w:val="paragraph"/>
        <w:spacing w:before="0" w:beforeAutospacing="0" w:after="0" w:afterAutospacing="0"/>
        <w:jc w:val="both"/>
        <w:textAlignment w:val="baseline"/>
        <w:rPr>
          <w:rStyle w:val="normaltextrun"/>
          <w:rFonts w:ascii="Calibri" w:hAnsi="Calibri" w:cs="Calibri"/>
          <w:sz w:val="22"/>
          <w:szCs w:val="22"/>
        </w:rPr>
      </w:pPr>
    </w:p>
    <w:p w14:paraId="5469278C" w14:textId="1268E017" w:rsidR="00534253" w:rsidRDefault="002D33D6" w:rsidP="002D33D6">
      <w:r>
        <w:rPr>
          <w:rStyle w:val="normaltextrun"/>
          <w:rFonts w:ascii="Calibri" w:hAnsi="Calibri" w:cs="Calibri"/>
        </w:rPr>
        <w:t>Further to this lesson study, extended reading of other peers’ lesson studies would be illuminating and concrete the desire to learn, implement changes and review own practice.</w:t>
      </w:r>
      <w:bookmarkStart w:id="2" w:name="_GoBack"/>
      <w:bookmarkEnd w:id="2"/>
    </w:p>
    <w:sectPr w:rsidR="00534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74F42"/>
    <w:multiLevelType w:val="multilevel"/>
    <w:tmpl w:val="BE78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3E529D"/>
    <w:multiLevelType w:val="multilevel"/>
    <w:tmpl w:val="3DC8A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9309E1"/>
    <w:multiLevelType w:val="multilevel"/>
    <w:tmpl w:val="514648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1F61B2"/>
    <w:multiLevelType w:val="multilevel"/>
    <w:tmpl w:val="5A6C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8E6467"/>
    <w:multiLevelType w:val="multilevel"/>
    <w:tmpl w:val="451A70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441532"/>
    <w:multiLevelType w:val="hybridMultilevel"/>
    <w:tmpl w:val="31005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6C1529"/>
    <w:multiLevelType w:val="multilevel"/>
    <w:tmpl w:val="119251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6"/>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3D6"/>
    <w:rsid w:val="002D33D6"/>
    <w:rsid w:val="00490D41"/>
    <w:rsid w:val="005A3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B9788"/>
  <w15:chartTrackingRefBased/>
  <w15:docId w15:val="{9AC6D00F-A673-437D-A1B4-9F7CAEF4F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3D6"/>
  </w:style>
  <w:style w:type="paragraph" w:styleId="Heading3">
    <w:name w:val="heading 3"/>
    <w:basedOn w:val="Normal"/>
    <w:link w:val="Heading3Char"/>
    <w:uiPriority w:val="9"/>
    <w:qFormat/>
    <w:rsid w:val="002D33D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D33D6"/>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2D3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3D6"/>
  </w:style>
  <w:style w:type="paragraph" w:styleId="Footer">
    <w:name w:val="footer"/>
    <w:basedOn w:val="Normal"/>
    <w:link w:val="FooterChar"/>
    <w:uiPriority w:val="99"/>
    <w:unhideWhenUsed/>
    <w:rsid w:val="002D3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3D6"/>
  </w:style>
  <w:style w:type="paragraph" w:customStyle="1" w:styleId="paragraph">
    <w:name w:val="paragraph"/>
    <w:basedOn w:val="Normal"/>
    <w:rsid w:val="002D33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D33D6"/>
  </w:style>
  <w:style w:type="character" w:customStyle="1" w:styleId="contextualspellingandgrammarerror">
    <w:name w:val="contextualspellingandgrammarerror"/>
    <w:basedOn w:val="DefaultParagraphFont"/>
    <w:rsid w:val="002D33D6"/>
  </w:style>
  <w:style w:type="character" w:customStyle="1" w:styleId="eop">
    <w:name w:val="eop"/>
    <w:basedOn w:val="DefaultParagraphFont"/>
    <w:rsid w:val="002D33D6"/>
  </w:style>
  <w:style w:type="character" w:customStyle="1" w:styleId="spellingerror">
    <w:name w:val="spellingerror"/>
    <w:basedOn w:val="DefaultParagraphFont"/>
    <w:rsid w:val="002D33D6"/>
  </w:style>
  <w:style w:type="character" w:customStyle="1" w:styleId="advancedproofingissue">
    <w:name w:val="advancedproofingissue"/>
    <w:basedOn w:val="DefaultParagraphFont"/>
    <w:rsid w:val="002D33D6"/>
  </w:style>
  <w:style w:type="paragraph" w:customStyle="1" w:styleId="AssignBody">
    <w:name w:val="AssignBody"/>
    <w:basedOn w:val="Normal"/>
    <w:link w:val="AssignBodyChar"/>
    <w:qFormat/>
    <w:rsid w:val="002D33D6"/>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2D33D6"/>
    <w:rPr>
      <w:b/>
      <w:i/>
      <w:sz w:val="28"/>
    </w:rPr>
  </w:style>
  <w:style w:type="character" w:customStyle="1" w:styleId="AssignBodyChar">
    <w:name w:val="AssignBody Char"/>
    <w:basedOn w:val="DefaultParagraphFont"/>
    <w:link w:val="AssignBody"/>
    <w:rsid w:val="002D33D6"/>
    <w:rPr>
      <w:rFonts w:ascii="Arial" w:hAnsi="Arial"/>
    </w:rPr>
  </w:style>
  <w:style w:type="character" w:customStyle="1" w:styleId="AssignSubHeaderChar">
    <w:name w:val="AssignSubHeader Char"/>
    <w:basedOn w:val="AssignBodyChar"/>
    <w:link w:val="AssignSubHeader"/>
    <w:rsid w:val="002D33D6"/>
    <w:rPr>
      <w:rFonts w:ascii="Arial" w:hAnsi="Arial"/>
      <w:b/>
      <w:i/>
      <w:sz w:val="28"/>
    </w:rPr>
  </w:style>
  <w:style w:type="table" w:styleId="TableGrid">
    <w:name w:val="Table Grid"/>
    <w:basedOn w:val="TableNormal"/>
    <w:uiPriority w:val="39"/>
    <w:rsid w:val="002D3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33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33D6"/>
    <w:rPr>
      <w:color w:val="0563C1" w:themeColor="hyperlink"/>
      <w:u w:val="single"/>
    </w:rPr>
  </w:style>
  <w:style w:type="character" w:styleId="UnresolvedMention">
    <w:name w:val="Unresolved Mention"/>
    <w:basedOn w:val="DefaultParagraphFont"/>
    <w:uiPriority w:val="99"/>
    <w:semiHidden/>
    <w:unhideWhenUsed/>
    <w:rsid w:val="002D33D6"/>
    <w:rPr>
      <w:color w:val="605E5C"/>
      <w:shd w:val="clear" w:color="auto" w:fill="E1DFDD"/>
    </w:rPr>
  </w:style>
  <w:style w:type="paragraph" w:styleId="ListParagraph">
    <w:name w:val="List Paragraph"/>
    <w:basedOn w:val="Normal"/>
    <w:uiPriority w:val="34"/>
    <w:qFormat/>
    <w:rsid w:val="002D33D6"/>
    <w:pPr>
      <w:ind w:left="720"/>
      <w:contextualSpacing/>
    </w:pPr>
  </w:style>
  <w:style w:type="character" w:customStyle="1" w:styleId="media-delimiter">
    <w:name w:val="media-delimiter"/>
    <w:basedOn w:val="DefaultParagraphFont"/>
    <w:rsid w:val="002D3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b271e2c7276b132a7c7f34833e3b2457">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9d9ab9a9530827adc2814b7d8c4b290"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3399C4-78E5-472E-B6B3-29DA1C162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8E3E-1217-4EE6-B5C0-A6B768F4E197}">
  <ds:schemaRefs>
    <ds:schemaRef ds:uri="http://schemas.microsoft.com/sharepoint/v3/contenttype/forms"/>
  </ds:schemaRefs>
</ds:datastoreItem>
</file>

<file path=customXml/itemProps3.xml><?xml version="1.0" encoding="utf-8"?>
<ds:datastoreItem xmlns:ds="http://schemas.openxmlformats.org/officeDocument/2006/customXml" ds:itemID="{366CE87E-9047-49D9-8926-D887E148B05F}">
  <ds:schemaRefs>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dcmitype/"/>
    <ds:schemaRef ds:uri="921765a0-fcf6-47d1-8ac4-5d670786d758"/>
    <ds:schemaRef ds:uri="http://schemas.openxmlformats.org/package/2006/metadata/core-properties"/>
    <ds:schemaRef ds:uri="46b8f10f-f56e-4e87-af4a-2384ac144562"/>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5368</Words>
  <Characters>30599</Characters>
  <Application>Microsoft Office Word</Application>
  <DocSecurity>0</DocSecurity>
  <Lines>254</Lines>
  <Paragraphs>71</Paragraphs>
  <ScaleCrop>false</ScaleCrop>
  <Company/>
  <LinksUpToDate>false</LinksUpToDate>
  <CharactersWithSpaces>35896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Harper (1700567)</dc:creator>
  <cp:keywords/>
  <dc:description/>
  <cp:lastModifiedBy>Matthew Harper (1700567)</cp:lastModifiedBy>
  <cp:revision>2</cp:revision>
  <dcterms:created xsi:type="dcterms:W3CDTF">2020-02-23T20:46:00Z</dcterms:created>
  <dcterms:modified xsi:type="dcterms:W3CDTF">2020-02-23T20:46:00Z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