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31D9027" w:rsidP="3F1F0C79" w:rsidRDefault="231D9027" w14:paraId="4F680D22" w14:textId="5629D489">
      <w:pPr>
        <w:spacing w:after="160" w:line="257" w:lineRule="auto"/>
        <w:ind w:left="144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231D9027" w:rsidP="3F1F0C79" w:rsidRDefault="231D9027" w14:paraId="316C0E79" w14:textId="5F52D9D9">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CIPD (2023) points to an organisation’s structure as the basis for aligning its strategy with its shape and structure. CES adopts a flat structure where there are few or no levels of middle management between the staff and the executives. The organisation has a horizontal rather than a vertical hierarchy. This enables shorter communication lines, faster decision-making, and a more agile response to changes and can also promote a sense of empowerment and increased employee involvement. According to (Armstrong and Taylor, 2023) too many layers of management and supervision impede communication and teamwork, resulting in excessive work and unnecessary jobs. They say the goal should be to keep the levels to a minimum. </w:t>
      </w:r>
    </w:p>
    <w:p w:rsidR="231D9027" w:rsidP="3F1F0C79" w:rsidRDefault="231D9027" w14:paraId="436B4A23" w14:textId="3483D912">
      <w:pPr>
        <w:spacing w:before="0" w:beforeAutospacing="off" w:after="0" w:afterAutospacing="off" w:line="257"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a flat structure, managers have a wider range of authority over their subordinates, and the chain of command is frequently short thus limiting opportunities for career advancement. Flat structures are typically adopted by smaller organisations or those taking a more modern approach to management. BBC (2023) </w:t>
      </w:r>
    </w:p>
    <w:p w:rsidR="3F1F0C79" w:rsidP="3F1F0C79" w:rsidRDefault="3F1F0C79" w14:paraId="77D6A593" w14:textId="3AFF78FF">
      <w:pPr>
        <w:spacing w:before="0" w:beforeAutospacing="off" w:after="0" w:afterAutospacing="off" w:line="257"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231D9027" w:rsidP="3F1F0C79" w:rsidRDefault="231D9027" w14:paraId="46A82455" w14:textId="5AACBC10">
      <w:pPr>
        <w:spacing w:before="0" w:beforeAutospacing="off" w:after="0" w:afterAutospacing="off" w:line="257"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The NHS for example, is made up of various of different organisations with separate roles and responsibilities with a more functional structure, each organisation could be divided into functional departments, such as marketing, finance, operations, and human resources, meaning it has a clear hierarchy and lines of authority enabling in-depth expertise in specific areas.  According to (Taylor and Woodhams 2016) one disadvantage of this approach is that the business is slow to adapt and change because knowledge is retained within each function and new ways of working that require cross-functional knowledge and change can result in resistance, making change slower and more expensive to achieve, it can be much harder for an idea at the bottom to be heard. Managers in a hierarchical system typically have less influence and fewer subordinates. BBC (2023)</w:t>
      </w:r>
    </w:p>
    <w:p w:rsidR="3F1F0C79" w:rsidP="3F1F0C79" w:rsidRDefault="3F1F0C79" w14:paraId="43C3941B" w14:textId="68432B61">
      <w:pPr>
        <w:spacing w:before="0" w:beforeAutospacing="off" w:after="0" w:afterAutospacing="off" w:line="257"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231D9027" w:rsidP="3F1F0C79" w:rsidRDefault="231D9027" w14:paraId="32C383F0" w14:textId="062F23CF">
      <w:pPr>
        <w:spacing w:before="0" w:beforeAutospacing="off" w:after="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Public sector organisations are governed by many more rules and requirements including statutory regulations for many staff like nurses, doctors, and social workers.  In CES there would be a faster adaptation to market changes and innovation encouraging a more dynamic and responsive organisational culture. An advantage to having a less flexible structure could mean more stability and efficiency in routine tasks as changes are harder to make but with little input from other departments would the decisions be well rounded due to the lack of cross-functional collaboration. </w:t>
      </w:r>
    </w:p>
    <w:p w:rsidR="3F1F0C79" w:rsidP="3F1F0C79" w:rsidRDefault="3F1F0C79" w14:paraId="10FEE67C" w14:textId="0D6AC776">
      <w:pPr>
        <w:spacing w:before="0" w:beforeAutospacing="off" w:after="0" w:afterAutospacing="off" w:line="257"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p>
    <w:p w:rsidR="231D9027" w:rsidP="3F1F0C79" w:rsidRDefault="231D9027" w14:paraId="00DC4C32" w14:textId="339B86C1">
      <w:pPr>
        <w:spacing w:before="0" w:beforeAutospacing="off" w:after="0" w:afterAutospacing="off" w:line="257"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The best structure is determined by the organisation's specific aims and characteristics. Armstrong and Taylor (2016)</w:t>
      </w:r>
    </w:p>
    <w:p w:rsidR="3F1F0C79" w:rsidP="3F1F0C79" w:rsidRDefault="3F1F0C79" w14:paraId="02508678" w14:textId="6FD1926C">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p>
    <w:p w:rsidR="231D9027" w:rsidP="3F1F0C79" w:rsidRDefault="231D9027" w14:paraId="6B437BFD" w14:textId="156E7E98">
      <w:pPr>
        <w:spacing w:before="0" w:beforeAutospacing="off"/>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(Kay 1993) Points to ‘The strategy of the firm is the match between its internal capabilities and its external relationships. It describes how it responds to its suppliers, its customers, its competitors, and the social and economic environment within which it operates’ </w:t>
      </w:r>
    </w:p>
    <w:p w:rsidR="231D9027" w:rsidP="3F1F0C79" w:rsidRDefault="231D9027" w14:paraId="199D95C3" w14:textId="6E95E877">
      <w:pPr>
        <w:spacing w:before="0" w:beforeAutospacing="off"/>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a renewable energy company, CES core strategy is centered around providing sustainable and eco-friendly solutions to our customer base. Their goal is to revolutionise the energy industry by promoting the adoption of renewable energy sources such as solar, air source heat pumps and insulation. By focusing on these alternative energy sources, they aim to contribute to the global fight against climate change and environmental degradation and by offering renewable energy solutions they are helping customers reduce their carbon footprints and contribute to a greener future with lower energy bills. </w:t>
      </w:r>
    </w:p>
    <w:p w:rsidR="231D9027" w:rsidP="3F1F0C79" w:rsidRDefault="231D9027" w14:paraId="23C1E798" w14:textId="5F6D0538">
      <w:pPr>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CES provides a wider range of products and services compared to its competitors as they offer full-house insulation, currently funded through grants and government initiatives, moving to finance options would allow for diversification in the business. This move will allow for a larger customer base as people can self-fund. Miles and Snow's research Mindtools (no date) demonstrates that organizations must thoroughly comprehend the environment in which they operate and adapt their structure to the level of uncertainty present. Political external factors could affect the government funded initiatives. Customers transitioning to lower energy sources may require an initial investment, but CES will provide a return on that investment through lower energy bills and tax incentives. </w:t>
      </w:r>
    </w:p>
    <w:p w:rsidR="231D9027" w:rsidP="3F1F0C79" w:rsidRDefault="231D9027" w14:paraId="133EFAAE" w14:textId="4F07EF66">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Growth is currently a huge part of our strategy (Taylor and Woodhams 2016) point to CES currently operating a horizontal integration strategy as they plan to widen and enter new markets to enhance their current position, grow the customer base, and expand the products and services they offer by acquiring other companies. Mindtools (no date) While there is no single "right" plan, the most effective way to strategic management is to align your strategies, business environment, and structure. Ongoing attention to these strategic connections is crucial for maintaining a competitive edge and long-term success in the dynamic renewable energy market.</w:t>
      </w:r>
    </w:p>
    <w:p w:rsidR="231D9027" w:rsidP="3F1F0C79" w:rsidRDefault="231D9027" w14:paraId="67462427" w14:textId="28BDEE42">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Indeed (2023) Points to economic external factors such as the economy experiencing a downturn and the ongoing cost of living crisis as introducing a new dynamic into consumer preferences. This shift in consumer behaviour has sparked a positive impact on CES as the increase in energy bills has led to the consumer looking for more cost-effective solutions prompting a growing demand for energy-efficient homes. </w:t>
      </w:r>
    </w:p>
    <w:p w:rsidR="231D9027" w:rsidP="3F1F0C79" w:rsidRDefault="231D9027" w14:paraId="09F14DE4" w14:textId="019F5216">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presented an opportunity to gain a competitive edge in the market. An increase in customer demand due to these external factors has increased profits and company growth. According to CIPD (2021) other economic factors affecting organisations are economic growth and decline, interest rates, exchange, inflation and wage rates, minimum wage, working hours, unemployment (local and national), credit availability. </w:t>
      </w:r>
    </w:p>
    <w:p w:rsidR="231D9027" w:rsidP="3F1F0C79" w:rsidRDefault="231D9027" w14:paraId="52276658" w14:textId="7ABC5C9D">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As environmental consciousness grows, most businesses may need to worry about the consumers environmental impact of business processes. In retail for example some customers may use their purchases to support businesses that promote environmentally friendly practices, such as compostable packaging and solar energy. According to (Armstrong and Taylor 2023) Enivronmental factors will also have an impact on the human resources management policies, practices, and businesses that think about protecting the environment may retain more customers and grow revenue because they are addressing external issues. Indeed (2023) </w:t>
      </w:r>
    </w:p>
    <w:p w:rsidR="231D9027" w:rsidP="3F1F0C79" w:rsidRDefault="231D9027" w14:paraId="08475FEF" w14:textId="45C5B601">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escalated awareness and increased emphasis on addressing climate change has positively impacted CES with more people actively seeking renewable energy solutions for their homes. The company's strategy aligns with the shift toward environmentally conscious choices made by its customers. CES is working with the Welsh government to implement retrofit measures to reduce heat loss in homes across Wales. The Welsh government has set a target of ensuring that by 2025, around 148,000 houses will receive these retrofit measures. Welsh government (No date). </w:t>
      </w:r>
    </w:p>
    <w:p w:rsidR="231D9027" w:rsidP="3F1F0C79" w:rsidRDefault="231D9027" w14:paraId="7E35DAE0" w14:textId="168B9357">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According to CIPD (2021) Other external environmental factors are global warming and the growing need to transition to sustainable resources; ethical sourcing (both locally and nationally), including supply chain intelligence. Pandemics and other emergencies.</w:t>
      </w:r>
    </w:p>
    <w:p w:rsidR="231D9027" w:rsidP="3F1F0C79" w:rsidRDefault="231D9027" w14:paraId="7574E56D" w14:textId="381B20C4">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Political external factors can have a considerable impact on your operations, profitability, and your overall performance. The vulnerability to government changes is a valid concern being in the funded sector, to mitigate that risk diversification is important by leveraging their existing infrastructure and entering a new market segment like financed insulations, the thinking would be to switch between segments depending on market conditions. </w:t>
      </w:r>
    </w:p>
    <w:p w:rsidR="231D9027" w:rsidP="3F1F0C79" w:rsidRDefault="231D9027" w14:paraId="1C6EE59C" w14:textId="28CA1196">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CIPD (2021) Other political factors are economic conditions, trade restrictions, changes in government leadership, tax policy, environmental regulations, new legislation could impact the funding allocated to government-funded initiatives like CES.  </w:t>
      </w:r>
    </w:p>
    <w:p w:rsidR="231D9027" w:rsidP="3F1F0C79" w:rsidRDefault="231D9027" w14:paraId="7B74EC1A" w14:textId="452FB8FE">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External factors occur outside a firm and impact its success. Their impact might be both beneficial and detrimental. A business cannot control external forces. All it can do is respond to them and make decisions that will help it remain successful. BBC (2023)  </w:t>
      </w:r>
    </w:p>
    <w:p w:rsidR="3F1F0C79" w:rsidP="3F1F0C79" w:rsidRDefault="3F1F0C79" w14:paraId="4ECA2AB1" w14:textId="5B8FA19A">
      <w:pPr>
        <w:spacing w:before="0" w:beforeAutospacing="off" w:after="0" w:afterAutospacing="off" w:line="257"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3F1F0C79" w:rsidP="3F1F0C79" w:rsidRDefault="3F1F0C79" w14:paraId="7F7D0B9D" w14:textId="53F54901">
      <w:pPr>
        <w:pStyle w:val="Normal"/>
        <w:spacing w:before="0" w:beforeAutospacing="off" w:after="0" w:afterAutospacing="off" w:line="257"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231D9027" w:rsidP="3F1F0C79" w:rsidRDefault="231D9027" w14:paraId="76DD93FF" w14:textId="62A8704D">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(LinkedIn 2023), Technology integration in workspace design is no longer an afterthought but necessary for the future of workstations. Employers may build a more engaged, purposeful workspace that enhances employee well-being by leveraging technologies such as AI, everyday technology, and omnipresent computing systems. </w:t>
      </w:r>
    </w:p>
    <w:p w:rsidR="231D9027" w:rsidP="3F1F0C79" w:rsidRDefault="231D9027" w14:paraId="18424EA3" w14:textId="455BDA61">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Points to technology enabling organisations to automate processes, create more efficient workflows, and reduce operational costs. Additionally, technology has allowed organisations to access a larger talent pool, allowing them to hire the best and the brightest from anywhere in the world. </w:t>
      </w:r>
    </w:p>
    <w:p w:rsidR="231D9027" w:rsidP="3F1F0C79" w:rsidRDefault="231D9027" w14:paraId="4CACF63C" w14:textId="7A471390">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Armstrong and Taylor (2023) Points to the role of AI is becoming more prevalent in many industries, such as healthcare, finance, and manufacturing, allowing organisations to automate tasks and make decisions faster and more accurately meaning lower skilled, routine jobs being replaced by higher skilled non routine jobs that require digital know how rather than soft skills. </w:t>
      </w:r>
    </w:p>
    <w:p w:rsidR="231D9027" w:rsidP="3F1F0C79" w:rsidRDefault="231D9027" w14:paraId="255741B8" w14:textId="305587D4">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The automation of tasks through AI and other technologies can lead to job losses and shifts in employment structures. A challenge may be that the workforce will need to adapt to new skill requirements to remain relevant even though technology could eliminate routine jobs and tasks it can also create new jobs and improve the quality of existing jobs CIPD (2023)</w:t>
      </w:r>
    </w:p>
    <w:p w:rsidR="231D9027" w:rsidP="3F1F0C79" w:rsidRDefault="231D9027" w14:paraId="2F519BE5" w14:textId="447478DB">
      <w:pPr>
        <w:spacing w:before="0" w:beforeAutospacing="off" w:after="160" w:afterAutospacing="off" w:line="259" w:lineRule="auto"/>
        <w:ind w:left="-2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Increased reliance on technology introduces cybersecurity risks, such as data breaches and cyberattacks .Organisations must invest in robust cybersecurity measures to safeguard sensitive information. Additionally, AI algorithms, if not meticulously designed and monitored, can perpetuate biases and discrimination. CIPD (2021) states organisations need to take a responsible approach to invest and adopt AI and other technologies. When using AI to shortlist candidates, for example, ensure that AI has been rigorously trained, is regularly audited to mitigate bias and that people remain in charge of who gets hired. </w:t>
      </w:r>
    </w:p>
    <w:p w:rsidR="231D9027" w:rsidP="3F1F0C79" w:rsidRDefault="231D9027" w14:paraId="28CED019" w14:textId="41580A18">
      <w:pPr>
        <w:spacing w:before="0" w:beforeAutospacing="off" w:after="160" w:afterAutospacing="off"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report, only 29% of UK top decisionmakers claimed their companies invested in AI and associated technologies between 2019 and 2022. The most common reason for not investing was a lack of knowledge about technologies that would be useful in their companies and according to the 2023 World Economic Forum’s Future of Jobs Report, </w:t>
      </w:r>
      <w:hyperlink r:id="R7cc2b1be62f24946">
        <w:r w:rsidRPr="3F1F0C79" w:rsidR="231D9027">
          <w:rPr>
            <w:rStyle w:val="Hyperlink"/>
            <w:rFonts w:ascii="Calibri" w:hAnsi="Calibri" w:eastAsia="Calibri" w:cs="Calibri"/>
            <w:b w:val="0"/>
            <w:bCs w:val="0"/>
            <w:i w:val="0"/>
            <w:iCs w:val="0"/>
            <w:caps w:val="0"/>
            <w:smallCaps w:val="0"/>
            <w:strike w:val="0"/>
            <w:dstrike w:val="0"/>
            <w:noProof w:val="0"/>
            <w:sz w:val="24"/>
            <w:szCs w:val="24"/>
            <w:lang w:val="en-US"/>
          </w:rPr>
          <w:t>AI and machine learning specialists are the fastest growing job fields</w:t>
        </w:r>
      </w:hyperlink>
      <w:r w:rsidRPr="3F1F0C79" w:rsidR="231D902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3F1F0C79" w:rsidP="3F1F0C79" w:rsidRDefault="3F1F0C79" w14:paraId="44FD1FEF" w14:textId="1B35E9FE">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F1F0C79" w:rsidP="3F1F0C79" w:rsidRDefault="3F1F0C79" w14:paraId="599330C2" w14:textId="2EE5D712">
      <w:pPr>
        <w:pStyle w:val="Normal"/>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31D9027" w:rsidP="3F1F0C79" w:rsidRDefault="231D9027" w14:paraId="0205002E" w14:textId="3EBC2E49">
      <w:pPr>
        <w:spacing w:before="0" w:beforeAutospacing="off" w:after="160" w:afterAutospacing="off" w:line="259" w:lineRule="auto"/>
        <w:ind w:right="-20"/>
        <w:rPr>
          <w:rFonts w:ascii="Calibri" w:hAnsi="Calibri" w:eastAsia="Calibri" w:cs="Calibri"/>
          <w:b w:val="0"/>
          <w:bCs w:val="0"/>
          <w:i w:val="0"/>
          <w:iCs w:val="0"/>
          <w:caps w:val="0"/>
          <w:smallCaps w:val="0"/>
          <w:noProof w:val="0"/>
          <w:color w:val="313131"/>
          <w:sz w:val="24"/>
          <w:szCs w:val="24"/>
          <w:lang w:val="en-US"/>
        </w:rPr>
      </w:pPr>
      <w:r w:rsidRPr="3F1F0C79" w:rsidR="231D9027">
        <w:rPr>
          <w:rFonts w:ascii="Calibri" w:hAnsi="Calibri" w:eastAsia="Calibri" w:cs="Calibri"/>
          <w:b w:val="0"/>
          <w:bCs w:val="0"/>
          <w:i w:val="0"/>
          <w:iCs w:val="0"/>
          <w:caps w:val="0"/>
          <w:smallCaps w:val="0"/>
          <w:noProof w:val="0"/>
          <w:color w:val="000000" w:themeColor="text1" w:themeTint="FF" w:themeShade="FF"/>
          <w:sz w:val="24"/>
          <w:szCs w:val="24"/>
          <w:lang w:val="en-US"/>
        </w:rPr>
        <w:t>Organisational psychologist Edgar Schein created a model that is now used extensively to study and analyse organisational culture. People management (2023) Schein argued culture does not emerge overnight; the company undergoes various changes, employees learn from previous experiences, and employees' attitudes shape the overall workplace culture. In the 1980s, the Schein model of organisational culture was established. It comprises three layers that highlight how various aspects of culture are influenced and are frequently represented by a pyramid.</w:t>
      </w:r>
      <w:r w:rsidRPr="3F1F0C79" w:rsidR="231D9027">
        <w:rPr>
          <w:rFonts w:ascii="Calibri" w:hAnsi="Calibri" w:eastAsia="Calibri" w:cs="Calibri"/>
          <w:b w:val="0"/>
          <w:bCs w:val="0"/>
          <w:i w:val="0"/>
          <w:iCs w:val="0"/>
          <w:caps w:val="0"/>
          <w:smallCaps w:val="0"/>
          <w:noProof w:val="0"/>
          <w:color w:val="313131"/>
          <w:sz w:val="24"/>
          <w:szCs w:val="24"/>
          <w:lang w:val="en-US"/>
        </w:rPr>
        <w:t xml:space="preserve"> </w:t>
      </w:r>
    </w:p>
    <w:p w:rsidR="3F1F0C79" w:rsidP="3F1F0C79" w:rsidRDefault="3F1F0C79" w14:paraId="449A3D7A" w14:textId="1A5ECCA4">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753D6B29" w14:textId="241EDA14">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72614F8">
        <w:drawing>
          <wp:inline wp14:editId="6B6C3CAB" wp14:anchorId="78844DA4">
            <wp:extent cx="4572000" cy="3171825"/>
            <wp:effectExtent l="0" t="0" r="0" b="0"/>
            <wp:docPr id="1038712269" name="" title=""/>
            <wp:cNvGraphicFramePr>
              <a:graphicFrameLocks noChangeAspect="1"/>
            </wp:cNvGraphicFramePr>
            <a:graphic>
              <a:graphicData uri="http://schemas.openxmlformats.org/drawingml/2006/picture">
                <pic:pic>
                  <pic:nvPicPr>
                    <pic:cNvPr id="0" name=""/>
                    <pic:cNvPicPr/>
                  </pic:nvPicPr>
                  <pic:blipFill>
                    <a:blip r:embed="R0503ad2a678b416e">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3F1F0C79" w:rsidP="3F1F0C79" w:rsidRDefault="3F1F0C79" w14:paraId="610B0427" w14:textId="37AFEBAC">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72614F8" w:rsidP="3F1F0C79" w:rsidRDefault="172614F8" w14:paraId="66CD2F74" w14:textId="425DA9FA">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LinkedIn (2019) </w:t>
      </w:r>
    </w:p>
    <w:p w:rsidR="3F1F0C79" w:rsidP="3F1F0C79" w:rsidRDefault="3F1F0C79" w14:paraId="355F713F" w14:textId="0AEBEF04">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72614F8" w:rsidP="3F1F0C79" w:rsidRDefault="172614F8" w14:paraId="7E3DD5B3" w14:textId="20DD0675">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Mindtools (no date) Points to Abraham Maslow's Hierarchy of Needs as being one theory or model for studying human behaviour that is like Schein's model. According to Maslow's hierarchy of requirements, we humans strive to meet our most basic needs, we also seek to satisfy a higher set of needs, until we grow to become "self-actualised" or "all that we can be". </w:t>
      </w:r>
    </w:p>
    <w:p w:rsidR="3F1F0C79" w:rsidP="3F1F0C79" w:rsidRDefault="3F1F0C79" w14:paraId="7B61B136" w14:textId="7A981D57">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1B72D739" w14:textId="6C462775">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72614F8">
        <w:drawing>
          <wp:inline wp14:editId="45241203" wp14:anchorId="6FF31C39">
            <wp:extent cx="4572000" cy="3429000"/>
            <wp:effectExtent l="0" t="0" r="0" b="0"/>
            <wp:docPr id="1205046728" name="" title=""/>
            <wp:cNvGraphicFramePr>
              <a:graphicFrameLocks noChangeAspect="1"/>
            </wp:cNvGraphicFramePr>
            <a:graphic>
              <a:graphicData uri="http://schemas.openxmlformats.org/drawingml/2006/picture">
                <pic:pic>
                  <pic:nvPicPr>
                    <pic:cNvPr id="0" name=""/>
                    <pic:cNvPicPr/>
                  </pic:nvPicPr>
                  <pic:blipFill>
                    <a:blip r:embed="R0bfee1c3a2bf4adf">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F1F0C79" w:rsidP="3F1F0C79" w:rsidRDefault="3F1F0C79" w14:paraId="5724E205" w14:textId="61979790">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1E12FCFF" w14:textId="24AF733E">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Indeed (2022)</w:t>
      </w:r>
    </w:p>
    <w:p w:rsidR="3F1F0C79" w:rsidP="3F1F0C79" w:rsidRDefault="3F1F0C79" w14:paraId="44C6DFE5" w14:textId="1387DFE6">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72614F8" w:rsidP="3F1F0C79" w:rsidRDefault="172614F8" w14:paraId="03AE2D6D" w14:textId="083E7F84">
      <w:pPr>
        <w:spacing w:before="0" w:beforeAutospacing="off" w:after="160" w:afterAutospacing="off"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This concept states that a person's most basic requirement is physiological, which includes housing, water, and food. As needs are met, more sophisticated requirements emerge, such as safety, love and belonging, self-esteem, and self-actualisation at the last stage. Understanding this psychological notion will assist you in determining whether your needs are met at work and how you might better satisfy the requirements of your employees. Indeed (2022) </w:t>
      </w:r>
    </w:p>
    <w:p w:rsidR="172614F8" w:rsidP="3F1F0C79" w:rsidRDefault="172614F8" w14:paraId="22DC4CE4" w14:textId="4F78FC39">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72614F8" w:rsidP="3F1F0C79" w:rsidRDefault="172614F8" w14:paraId="0E02B5D4" w14:textId="0ABC9D7F">
      <w:pPr>
        <w:spacing w:before="0" w:beforeAutospacing="off" w:after="160" w:afterAutospacing="off"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Schein's organisational culture model and Maslow's Hierarchy of Needs offer complementary views on human behaviour within organisations. Maslow's (1954) hierarchy provides insights into the individual motives that drive behaviour, whereas Schein's model helps us comprehend the cultural elements that impact behaviour. Shein (2010) By combining these two models, organisations can gain a deeper understanding of the complex interplay between culture and individual behaviour.</w:t>
      </w:r>
    </w:p>
    <w:p w:rsidR="3F1F0C79" w:rsidP="3F1F0C79" w:rsidRDefault="3F1F0C79" w14:paraId="1E9C2601" w14:textId="42D1DD49">
      <w:pPr>
        <w:ind w:left="-20" w:right="-20"/>
        <w:rPr>
          <w:rFonts w:ascii="Aptos" w:hAnsi="Aptos" w:eastAsia="Aptos" w:cs="Aptos"/>
          <w:b w:val="0"/>
          <w:bCs w:val="0"/>
          <w:i w:val="0"/>
          <w:iCs w:val="0"/>
          <w:caps w:val="0"/>
          <w:smallCaps w:val="0"/>
          <w:noProof w:val="0"/>
          <w:color w:val="000000" w:themeColor="text1" w:themeTint="FF" w:themeShade="FF"/>
          <w:sz w:val="24"/>
          <w:szCs w:val="24"/>
          <w:lang w:val="en-US"/>
        </w:rPr>
      </w:pPr>
    </w:p>
    <w:p w:rsidR="3F1F0C79" w:rsidP="3F1F0C79" w:rsidRDefault="3F1F0C79" w14:paraId="51BAEE21" w14:textId="69D3667D">
      <w:pPr>
        <w:spacing w:after="160" w:line="259"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US"/>
        </w:rPr>
      </w:pPr>
    </w:p>
    <w:p w:rsidR="172614F8" w:rsidP="3F1F0C79" w:rsidRDefault="172614F8" w14:paraId="31D46D5B" w14:textId="5194EF67">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2"/>
          <w:szCs w:val="22"/>
          <w:lang w:val="en-US"/>
        </w:rPr>
        <w:t>Organisational behaviour was defined by Huczynski and Buchanan (2007) as the term used to describe ‘the study of the structure, functioning, and performance of organisations and the behaviour of groups and individuals within them’ Organisational culture was described by Deal and Kennedy (2000) as ‘The way we do things around here’.</w:t>
      </w:r>
    </w:p>
    <w:p w:rsidR="172614F8" w:rsidP="3F1F0C79" w:rsidRDefault="172614F8" w14:paraId="1C167731" w14:textId="606F29C6">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Performance management is a people practice that directly impacts organisational culture and behavior. An effective performance management process helps create clarity and alignment around expectations, goals, and feedback. When employees have a clear understanding of their performance expectations and are rewarded for meeting or exceeding them, it fosters a positive culture where individuals are encouraged to contribute their best. On the other hand, a poorly designed performance management process can lead to a lack of motivation and engagement, resulting in negative behaviours and culture. LinkedIn (2023) </w:t>
      </w:r>
    </w:p>
    <w:p w:rsidR="172614F8" w:rsidP="3F1F0C79" w:rsidRDefault="172614F8" w14:paraId="0BFA58E3" w14:textId="5574A120">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Leadership style and management approach have a significant impact on an organisation's culture and behavior. Leaders who inspire and motivate their employees through effective communication, support, and recognition contribute to a positive work culture. On the other hand, leaders who micromanage, exhibit favoritism, or fail to provide constructive feedback can create a toxic work environment, leading to negative behaviours and culture. LinkedIn (2022) </w:t>
      </w:r>
    </w:p>
    <w:p w:rsidR="172614F8" w:rsidP="3F1F0C79" w:rsidRDefault="172614F8" w14:paraId="7A438CA1" w14:textId="0A9B573B">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Employee engagement is a critical aspect of organisational culture and behavior. When employees are engaged, they are more committed to their work, more likely to do their best, and more likely to stay with the organisation. Engaging employees involves practices such as recognising and rewarding performance, providing opportunities for growth and development, and creating a culture of collaboration and teamwork. However, disengaged employees are more likely to exhibit negative behaviors and contribute to the erosion of organisational culture. LinkedIn (2023) </w:t>
      </w:r>
    </w:p>
    <w:p w:rsidR="172614F8" w:rsidP="3F1F0C79" w:rsidRDefault="172614F8" w14:paraId="389A37A3" w14:textId="22DC471B">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Diversity and inclusion are integral aspects of organisational culture and behavior. When employees from diverse backgrounds, cultures, and perspectives feel valued and included, it fosters a culture of innovation and collaboration. Organisations that promote diversity and inclusion through practices such as equal employment opportunities, diversity training programs, and fostering a culture of acceptance are more likely to have positive behaviours and culture. Conversely, organisations that promote discrimination, exclusion, and bias are likely to experience negative behaviors and culture. CIPD (2019)</w:t>
      </w:r>
    </w:p>
    <w:p w:rsidR="172614F8" w:rsidP="3F1F0C79" w:rsidRDefault="172614F8" w14:paraId="1786951F" w14:textId="4F7CC7AB">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According to HR Shelf (2023) these two notions, when combined, influence how employees connect with one another, how they complete their responsibilities, and overall corporate performance. Recognising and regulating culture and behaviour is essential for any organisation that wants to increase employee engagement, productivity, and overall success.</w:t>
      </w:r>
    </w:p>
    <w:p w:rsidR="172614F8" w:rsidP="3F1F0C79" w:rsidRDefault="172614F8" w14:paraId="5503C20A" w14:textId="10EFC0BE">
      <w:pPr>
        <w:spacing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Managing change in Human Resources involves understanding and influencing how people within an organisation adapt to new processes, structures, or strategies. Two prominent models or theories in this regard are Lewin's Change Management Model and Kotter's 8-Step Change Model. </w:t>
      </w:r>
    </w:p>
    <w:p w:rsidR="172614F8" w:rsidP="3F1F0C79" w:rsidRDefault="172614F8" w14:paraId="47B4B68E" w14:textId="1D16563D">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Lewin's model is simple yet effective, emphasising the importance of unfreezing existing structures, making the change, and then refreezing to establish the new state</w:t>
      </w:r>
    </w:p>
    <w:p w:rsidR="172614F8" w:rsidP="3F1F0C79" w:rsidRDefault="172614F8" w14:paraId="26AA6806" w14:textId="7D1338EA">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1"/>
          <w:iCs w:val="1"/>
          <w:caps w:val="0"/>
          <w:smallCaps w:val="0"/>
          <w:noProof w:val="0"/>
          <w:color w:val="000000" w:themeColor="text1" w:themeTint="FF" w:themeShade="FF"/>
          <w:sz w:val="24"/>
          <w:szCs w:val="24"/>
          <w:lang w:val="en-US"/>
        </w:rPr>
        <w:t>If you have a large cube of ice but realize that what you want is a cone of ice, what do you do? First you must melt the ice to make it amenable to change (unfreeze). Then you must mold the iced water into the shape you want (change). Finally, you must solidify the new shape (refreeze).</w:t>
      </w: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F1F0C79" w:rsidR="172614F8">
        <w:rPr>
          <w:rFonts w:ascii="Calibri" w:hAnsi="Calibri" w:eastAsia="Calibri" w:cs="Calibri"/>
          <w:b w:val="1"/>
          <w:bCs w:val="1"/>
          <w:i w:val="0"/>
          <w:iCs w:val="0"/>
          <w:caps w:val="0"/>
          <w:smallCaps w:val="0"/>
          <w:noProof w:val="0"/>
          <w:color w:val="000000" w:themeColor="text1" w:themeTint="FF" w:themeShade="FF"/>
          <w:sz w:val="24"/>
          <w:szCs w:val="24"/>
          <w:lang w:val="en-US"/>
        </w:rPr>
        <w:t>Mindtools (No date)</w:t>
      </w:r>
    </w:p>
    <w:p w:rsidR="172614F8" w:rsidP="3F1F0C79" w:rsidRDefault="172614F8" w14:paraId="17047AFB" w14:textId="756A2DE3">
      <w:pPr>
        <w:spacing w:after="160" w:line="259" w:lineRule="auto"/>
        <w:ind w:left="-20" w:right="-20"/>
        <w:rPr>
          <w:rFonts w:ascii="Calibri" w:hAnsi="Calibri" w:eastAsia="Calibri" w:cs="Calibri"/>
          <w:b w:val="0"/>
          <w:bCs w:val="0"/>
          <w:i w:val="0"/>
          <w:iCs w:val="0"/>
          <w:caps w:val="0"/>
          <w:smallCaps w:val="0"/>
          <w:noProof w:val="0"/>
          <w:color w:val="538135"/>
          <w:sz w:val="24"/>
          <w:szCs w:val="24"/>
          <w:lang w:val="en-US"/>
        </w:rPr>
      </w:pPr>
      <w:r w:rsidR="172614F8">
        <w:drawing>
          <wp:inline wp14:editId="7D7D730A" wp14:anchorId="7BDAD77A">
            <wp:extent cx="3800475" cy="1257300"/>
            <wp:effectExtent l="0" t="0" r="0" b="0"/>
            <wp:docPr id="1467901470" name="" title=""/>
            <wp:cNvGraphicFramePr>
              <a:graphicFrameLocks noChangeAspect="1"/>
            </wp:cNvGraphicFramePr>
            <a:graphic>
              <a:graphicData uri="http://schemas.openxmlformats.org/drawingml/2006/picture">
                <pic:pic>
                  <pic:nvPicPr>
                    <pic:cNvPr id="0" name=""/>
                    <pic:cNvPicPr/>
                  </pic:nvPicPr>
                  <pic:blipFill>
                    <a:blip r:embed="R7f5e1abeb9424277">
                      <a:extLst>
                        <a:ext xmlns:a="http://schemas.openxmlformats.org/drawingml/2006/main" uri="{28A0092B-C50C-407E-A947-70E740481C1C}">
                          <a14:useLocalDpi val="0"/>
                        </a:ext>
                      </a:extLst>
                    </a:blip>
                    <a:stretch>
                      <a:fillRect/>
                    </a:stretch>
                  </pic:blipFill>
                  <pic:spPr>
                    <a:xfrm>
                      <a:off x="0" y="0"/>
                      <a:ext cx="3800475" cy="1257300"/>
                    </a:xfrm>
                    <a:prstGeom prst="rect">
                      <a:avLst/>
                    </a:prstGeom>
                  </pic:spPr>
                </pic:pic>
              </a:graphicData>
            </a:graphic>
          </wp:inline>
        </w:drawing>
      </w:r>
    </w:p>
    <w:p w:rsidR="172614F8" w:rsidP="3F1F0C79" w:rsidRDefault="172614F8" w14:paraId="509574B5" w14:textId="57AD38A6">
      <w:pPr>
        <w:spacing w:after="160" w:line="259"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Mindtools (No date)</w:t>
      </w:r>
    </w:p>
    <w:p w:rsidR="172614F8" w:rsidP="3F1F0C79" w:rsidRDefault="172614F8" w14:paraId="022F0C71" w14:textId="2845BBAF">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Lewin's change management model remains a valuable framework for guiding organisations through periods of transition. According to Taylor, S and Woodhams C (2022) Researchers expanded on Lewin's concepts to create more comprehensive models of effective change management. John Kotter's, for example, is widely regarded as an effective tool for managers to utilise when planning and implementing organisational transformation. He proposed using 'change agents' to help achieve this. </w:t>
      </w:r>
    </w:p>
    <w:p w:rsidR="172614F8" w:rsidP="3F1F0C79" w:rsidRDefault="172614F8" w14:paraId="2F4C8639" w14:textId="2724F25C">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Kotter's eight steps do not have to be followed in order, and not all will be relevant in all situations, but they provide a good framework for managers to use when beginning to design a change management episode. </w:t>
      </w:r>
    </w:p>
    <w:p w:rsidR="172614F8" w:rsidP="3F1F0C79" w:rsidRDefault="172614F8" w14:paraId="48F61D72" w14:textId="6E7D50E0">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Example of Kotter’s 8 Step change model:</w:t>
      </w:r>
    </w:p>
    <w:p w:rsidR="172614F8" w:rsidP="3F1F0C79" w:rsidRDefault="172614F8" w14:paraId="45220E30" w14:textId="5F3A8B33">
      <w:pPr>
        <w:spacing w:after="160" w:line="259" w:lineRule="auto"/>
        <w:ind w:left="-20" w:right="-20"/>
        <w:rPr>
          <w:rFonts w:ascii="Calibri" w:hAnsi="Calibri" w:eastAsia="Calibri" w:cs="Calibri"/>
          <w:b w:val="0"/>
          <w:bCs w:val="0"/>
          <w:i w:val="0"/>
          <w:iCs w:val="0"/>
          <w:caps w:val="0"/>
          <w:smallCaps w:val="0"/>
          <w:noProof w:val="0"/>
          <w:color w:val="000000" w:themeColor="text1" w:themeTint="FF" w:themeShade="FF"/>
          <w:sz w:val="22"/>
          <w:szCs w:val="22"/>
          <w:lang w:val="en-US"/>
        </w:rPr>
      </w:pPr>
      <w:r w:rsidR="172614F8">
        <w:drawing>
          <wp:inline wp14:editId="52AE2275" wp14:anchorId="4010AE82">
            <wp:extent cx="3429000" cy="1685925"/>
            <wp:effectExtent l="0" t="0" r="0" b="0"/>
            <wp:docPr id="224722240" name="" title=""/>
            <wp:cNvGraphicFramePr>
              <a:graphicFrameLocks noChangeAspect="1"/>
            </wp:cNvGraphicFramePr>
            <a:graphic>
              <a:graphicData uri="http://schemas.openxmlformats.org/drawingml/2006/picture">
                <pic:pic>
                  <pic:nvPicPr>
                    <pic:cNvPr id="0" name=""/>
                    <pic:cNvPicPr/>
                  </pic:nvPicPr>
                  <pic:blipFill>
                    <a:blip r:embed="Rd4178b1d0bbd4eea">
                      <a:extLst>
                        <a:ext xmlns:a="http://schemas.openxmlformats.org/drawingml/2006/main" uri="{28A0092B-C50C-407E-A947-70E740481C1C}">
                          <a14:useLocalDpi val="0"/>
                        </a:ext>
                      </a:extLst>
                    </a:blip>
                    <a:stretch>
                      <a:fillRect/>
                    </a:stretch>
                  </pic:blipFill>
                  <pic:spPr>
                    <a:xfrm>
                      <a:off x="0" y="0"/>
                      <a:ext cx="3429000" cy="1685925"/>
                    </a:xfrm>
                    <a:prstGeom prst="rect">
                      <a:avLst/>
                    </a:prstGeom>
                  </pic:spPr>
                </pic:pic>
              </a:graphicData>
            </a:graphic>
          </wp:inline>
        </w:drawing>
      </w:r>
    </w:p>
    <w:p w:rsidR="172614F8" w:rsidP="3F1F0C79" w:rsidRDefault="172614F8" w14:paraId="354CF3D9" w14:textId="5D9462F4">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LinkedIn 2021 </w:t>
      </w:r>
    </w:p>
    <w:p w:rsidR="172614F8" w:rsidP="3F1F0C79" w:rsidRDefault="172614F8" w14:paraId="7A0A40F0" w14:textId="6921FF0F">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John Kotter's 8-Step Change Model is a widely recognised framework for managing organisational change effectively. The model provides a systematic approach to navigating the complexities of change, ensuring that it is not only initiated but also sustained. Indeed (2023)</w:t>
      </w:r>
    </w:p>
    <w:p w:rsidR="172614F8" w:rsidP="3F1F0C79" w:rsidRDefault="172614F8" w14:paraId="20376395" w14:textId="4801D3C2">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The first three steps involve creating a sense of urgency, forming a powerful guiding coalition, and developing a vision and strategy. These steps establish the need for change and lay the foundation for a successful transformation. The next three steps focus on executing the change communicating the vision, empowering employees to act on the vision, and generating short-term wins to build momentum. These steps emphasise the importance of communication, engagement, and visible progress. The final two steps involve consolidating gains and anchoring the change in the organisational culture. LinkedIn (2020)</w:t>
      </w:r>
    </w:p>
    <w:p w:rsidR="172614F8" w:rsidP="3F1F0C79" w:rsidRDefault="172614F8" w14:paraId="3CD1660D" w14:textId="7930A74E">
      <w:pPr>
        <w:spacing w:after="160" w:line="259"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By reinforcing the changes and embedding them in the fabric of the organisation, Kotter's model aims to ensure lasting transformation and prevent a return to the status quo. Overall, the 8-Step Change Model offers a comprehensive and structured approach to guide leaders through the complexities of organisational change. CIPD (2023) Points to Kotter's model being the most helpful as a change management tool, and that it should be used in conjunction with other tools that allow it to be tailored to diverse situations. It was discovered to be most successful for multi-site, large-scale projects</w:t>
      </w:r>
    </w:p>
    <w:p w:rsidR="172614F8" w:rsidP="3F1F0C79" w:rsidRDefault="172614F8" w14:paraId="12F23C7C" w14:textId="001F5FF5">
      <w:pPr>
        <w:spacing w:line="259"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Throughout the change process, both models emphasise the importance of communication, involvement, and support, which acknowledges the human element.</w:t>
      </w:r>
    </w:p>
    <w:p w:rsidR="3F1F0C79" w:rsidP="3F1F0C79" w:rsidRDefault="3F1F0C79" w14:paraId="4CA13398" w14:textId="5D399B2A">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72614F8" w:rsidP="3F1F0C79" w:rsidRDefault="172614F8" w14:paraId="7A0E345E" w14:textId="0302FC50">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One model that explains how change is experienced is Kubler-Ross Change Curve, or the Five Stages of Grief. Originally created by psychiatrist Elisabeth Kübler-Ross to comprehend the emotional reaction of patients facing death, this model has been modified to describe how people perceive and manage change in a variety of contexts, including organisational change. Indeed (2022)</w:t>
      </w:r>
    </w:p>
    <w:p w:rsidR="172614F8" w:rsidP="3F1F0C79" w:rsidRDefault="172614F8" w14:paraId="3AD0E288" w14:textId="5B6DFAAF">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Taylor, S and Woodhams C (2022) change is likely to be a bruising experience for those who work in affected businesses, and there is a corresponding need to assist them in adjusting to a possibly less pleasant working environment. In preparing this process, managers may find it helpful to train workers in how to cope psychologically, and the Kubler-Ross model is useful here. </w:t>
      </w:r>
    </w:p>
    <w:p w:rsidR="172614F8" w:rsidP="3F1F0C79" w:rsidRDefault="172614F8" w14:paraId="4851714D" w14:textId="625DEA5F">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72614F8">
        <w:drawing>
          <wp:inline wp14:editId="336CB7C9" wp14:anchorId="25DB9645">
            <wp:extent cx="4572000" cy="3600450"/>
            <wp:effectExtent l="0" t="0" r="0" b="0"/>
            <wp:docPr id="1249099592" name="" title=""/>
            <wp:cNvGraphicFramePr>
              <a:graphicFrameLocks noChangeAspect="1"/>
            </wp:cNvGraphicFramePr>
            <a:graphic>
              <a:graphicData uri="http://schemas.openxmlformats.org/drawingml/2006/picture">
                <pic:pic>
                  <pic:nvPicPr>
                    <pic:cNvPr id="0" name=""/>
                    <pic:cNvPicPr/>
                  </pic:nvPicPr>
                  <pic:blipFill>
                    <a:blip r:embed="R5451bea25ee443e7">
                      <a:extLst>
                        <a:ext xmlns:a="http://schemas.openxmlformats.org/drawingml/2006/main" uri="{28A0092B-C50C-407E-A947-70E740481C1C}">
                          <a14:useLocalDpi val="0"/>
                        </a:ext>
                      </a:extLst>
                    </a:blip>
                    <a:stretch>
                      <a:fillRect/>
                    </a:stretch>
                  </pic:blipFill>
                  <pic:spPr>
                    <a:xfrm>
                      <a:off x="0" y="0"/>
                      <a:ext cx="4572000" cy="3600450"/>
                    </a:xfrm>
                    <a:prstGeom prst="rect">
                      <a:avLst/>
                    </a:prstGeom>
                  </pic:spPr>
                </pic:pic>
              </a:graphicData>
            </a:graphic>
          </wp:inline>
        </w:drawing>
      </w:r>
    </w:p>
    <w:p w:rsidR="3F1F0C79" w:rsidP="3F1F0C79" w:rsidRDefault="3F1F0C79" w14:paraId="27198B5B" w14:textId="150F3ED0">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72614F8" w:rsidP="3F1F0C79" w:rsidRDefault="172614F8" w14:paraId="622BDC02" w14:textId="31F75827">
      <w:pPr>
        <w:spacing w:before="0" w:beforeAutospacing="off" w:after="160" w:afterAutospacing="off" w:line="259" w:lineRule="auto"/>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LinkedIn 2019</w:t>
      </w:r>
    </w:p>
    <w:p w:rsidR="3F1F0C79" w:rsidP="3F1F0C79" w:rsidRDefault="3F1F0C79" w14:paraId="3CF535F6" w14:textId="2182F7FE">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180D7E27" w14:textId="397D5E68">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It is crucial to remember that not everyone experiences each step in a straight line; in fact, some people may experience these stages in a unique way or even alternate between them. The Change Curve is a model that facilitates empathy and assistance during transitional times by assisting individuals in comprehending and navigating the emotional dimensions of change.</w:t>
      </w:r>
    </w:p>
    <w:p w:rsidR="172614F8" w:rsidP="3F1F0C79" w:rsidRDefault="172614F8" w14:paraId="4F974CFF" w14:textId="2EA42DD9">
      <w:pPr>
        <w:spacing w:before="15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CIPD (2023) Points to the use of the change curve can help transition people through the phases more easily if they are supported, have effective communication, and are transparent. Furthermore, giving workers a say in decision-making and including them in the change process can increase their sense of ownership and help the transition go more smoothly.</w:t>
      </w:r>
    </w:p>
    <w:p w:rsidR="3F1F0C79" w:rsidP="3F1F0C79" w:rsidRDefault="3F1F0C79" w14:paraId="0E835221" w14:textId="065F0ABB">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57798FFB" w14:textId="0D6E4EBE">
      <w:pPr>
        <w:spacing w:before="0" w:beforeAutospacing="off" w:after="160" w:afterAutospacing="off" w:line="257" w:lineRule="auto"/>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Since it emphasises the emotional aspects of the change experience and the necessity of empathy and support during times of transition, an understanding of the change curve can be a useful tool for managing change in both personal and professional contexts. Mindtools (No date)</w:t>
      </w:r>
    </w:p>
    <w:p w:rsidR="172614F8" w:rsidP="3F1F0C79" w:rsidRDefault="172614F8" w14:paraId="61168A10" w14:textId="7D4B5B04">
      <w:pPr>
        <w:ind w:left="-20" w:right="-20"/>
        <w:rPr>
          <w:rFonts w:ascii="Arial" w:hAnsi="Arial" w:eastAsia="Arial" w:cs="Arial"/>
          <w:b w:val="0"/>
          <w:bCs w:val="0"/>
          <w:i w:val="0"/>
          <w:iCs w:val="0"/>
          <w:caps w:val="0"/>
          <w:smallCaps w:val="0"/>
          <w:noProof w:val="0"/>
          <w:color w:val="000000" w:themeColor="text1" w:themeTint="FF" w:themeShade="FF"/>
          <w:sz w:val="22"/>
          <w:szCs w:val="22"/>
          <w:lang w:val="en-US"/>
        </w:rPr>
      </w:pPr>
      <w:r w:rsidRPr="3F1F0C79" w:rsidR="172614F8">
        <w:rPr>
          <w:rFonts w:ascii="Arial" w:hAnsi="Arial" w:eastAsia="Arial" w:cs="Arial"/>
          <w:b w:val="0"/>
          <w:bCs w:val="0"/>
          <w:i w:val="0"/>
          <w:iCs w:val="0"/>
          <w:caps w:val="0"/>
          <w:smallCaps w:val="0"/>
          <w:noProof w:val="0"/>
          <w:color w:val="000000" w:themeColor="text1" w:themeTint="FF" w:themeShade="FF"/>
          <w:sz w:val="22"/>
          <w:szCs w:val="22"/>
          <w:lang w:val="en-US"/>
        </w:rPr>
        <w:t>The CIPD’s Health and wellbeing at work survey 2022 found, ‘</w:t>
      </w:r>
      <w:r w:rsidRPr="3F1F0C79" w:rsidR="172614F8">
        <w:rPr>
          <w:rFonts w:ascii="Arial" w:hAnsi="Arial" w:eastAsia="Arial" w:cs="Arial"/>
          <w:b w:val="0"/>
          <w:bCs w:val="0"/>
          <w:i w:val="1"/>
          <w:iCs w:val="1"/>
          <w:caps w:val="0"/>
          <w:smallCaps w:val="0"/>
          <w:noProof w:val="0"/>
          <w:color w:val="000000" w:themeColor="text1" w:themeTint="FF" w:themeShade="FF"/>
          <w:sz w:val="22"/>
          <w:szCs w:val="22"/>
          <w:lang w:val="en-US"/>
        </w:rPr>
        <w:t xml:space="preserve">There is less management focus on health and wellbeing compared with the first year of the pandemic’, </w:t>
      </w:r>
      <w:r w:rsidRPr="3F1F0C79" w:rsidR="172614F8">
        <w:rPr>
          <w:rFonts w:ascii="Arial" w:hAnsi="Arial" w:eastAsia="Arial" w:cs="Arial"/>
          <w:b w:val="0"/>
          <w:bCs w:val="0"/>
          <w:i w:val="0"/>
          <w:iCs w:val="0"/>
          <w:caps w:val="0"/>
          <w:smallCaps w:val="0"/>
          <w:noProof w:val="0"/>
          <w:color w:val="000000" w:themeColor="text1" w:themeTint="FF" w:themeShade="FF"/>
          <w:sz w:val="22"/>
          <w:szCs w:val="22"/>
          <w:lang w:val="en-US"/>
        </w:rPr>
        <w:t>and goes on to remark that this is disappointing. Assess the importance of wellbeing at work and factors which impact wellbeing</w:t>
      </w:r>
    </w:p>
    <w:p w:rsidR="172614F8" w:rsidP="3F1F0C79" w:rsidRDefault="172614F8" w14:paraId="1E5EE4FE" w14:textId="0B146B68">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Armstong and Taylor (2023) describe the basis of wellbeing in work as being concerned about what people experience at work with their mental, financial, physical, work life balance and relationships with colleagues and line managers. </w:t>
      </w:r>
    </w:p>
    <w:p w:rsidR="172614F8" w:rsidP="3F1F0C79" w:rsidRDefault="172614F8" w14:paraId="26F7A120" w14:textId="7D9A4B0E">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Points to an effective employee well-being strategy being strategic and central to how a company fulfils its objective and conducts its operations. Wellbeing at work is a crucial aspect of employee satisfaction, productivity, and overall organisational success. It encompasses various physical, mental, and social factors that contribute to an individual's sense of fulfillment and happiness at work. </w:t>
      </w:r>
    </w:p>
    <w:p w:rsidR="172614F8" w:rsidP="3F1F0C79" w:rsidRDefault="172614F8" w14:paraId="556ECF1F" w14:textId="2AE0686C">
      <w:pPr>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When considering physical health, the work environment needs to be considered, is the workspace comfortable? A comfortable and ergonomic workspace can positively impact physical health. For example, providing ergonomic chairs and adjustable desks can reduce the risk of musculoskeletal disorder. Mindtools (No date) When contemplating health and wellness programmes, keep in mind how your team or organisational culture may be compounding the issue. Consider variables like long hours, never-ending labour, high demands, and a lack of support from above. Adjusting in these areas can assist strengthen the measures that individuals take to enhance their physical health</w:t>
      </w:r>
    </w:p>
    <w:p w:rsidR="172614F8" w:rsidP="3F1F0C79" w:rsidRDefault="172614F8" w14:paraId="00C7587C" w14:textId="1D76DEA5">
      <w:pPr>
        <w:spacing w:before="0" w:beforeAutospacing="off" w:after="160" w:afterAutospacing="off"/>
        <w:ind w:left="0" w:right="-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CIPD (2023) Points to Mental health affecting 1 in 4 people at some point in their lives. Managers who foster a positive and open communication culture contribute to employee's mental wellbeing.  Regular check-ins and acknowledging achievements can create a supportive environment. You also need to think about the job design, ensuring that job roles are challenging but not overwhelming and can prevent stress. Clear role expectations and providing opportunities for skill development contribute to job satisfaction. CIPD (2023)</w:t>
      </w:r>
    </w:p>
    <w:p w:rsidR="172614F8" w:rsidP="3F1F0C79" w:rsidRDefault="172614F8" w14:paraId="0AB3243C" w14:textId="2F353826">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Fair pay and benefit policies play a crucial role in fostering a positive work environment and attracting top talent. These policies include pay rates that exceed the statutory National Minimum/Living Wage, providing employees with fair and competitive wages. Additionally, a flexible benefits package allows employees to customize their benefits and tailor them to their personal needs and preferences. CIPD (2023) </w:t>
      </w:r>
    </w:p>
    <w:p w:rsidR="172614F8" w:rsidP="3F1F0C79" w:rsidRDefault="172614F8" w14:paraId="39071328" w14:textId="31C447D5">
      <w:pPr>
        <w:ind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CIPD (2023) Points to there being no 'one-size-fits-all' approach to establishing a health and wellness plan, its content should be based on the particular needs and features of the organisation and its workforce.</w:t>
      </w:r>
    </w:p>
    <w:p w:rsidR="3F1F0C79" w:rsidP="3F1F0C79" w:rsidRDefault="3F1F0C79" w14:paraId="7620A5C7" w14:textId="40144041">
      <w:pPr>
        <w:spacing w:before="0" w:beforeAutospacing="off" w:after="0" w:afterAutospacing="off" w:line="257" w:lineRule="auto"/>
        <w:ind w:right="-20"/>
        <w:rPr>
          <w:rFonts w:ascii="Arial" w:hAnsi="Arial" w:eastAsia="Arial" w:cs="Arial"/>
          <w:b w:val="0"/>
          <w:bCs w:val="0"/>
          <w:i w:val="0"/>
          <w:iCs w:val="0"/>
          <w:caps w:val="0"/>
          <w:smallCaps w:val="0"/>
          <w:noProof w:val="0"/>
          <w:color w:val="000000" w:themeColor="text1" w:themeTint="FF" w:themeShade="FF"/>
          <w:sz w:val="22"/>
          <w:szCs w:val="22"/>
          <w:lang w:val="en-US"/>
        </w:rPr>
      </w:pPr>
    </w:p>
    <w:p w:rsidR="172614F8" w:rsidP="3F1F0C79" w:rsidRDefault="172614F8" w14:paraId="7A720E38" w14:textId="76026B47">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FF0000"/>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CIPHR (2022) Points to the employee lifecycle representing the staff experience and provides a framework for engagement initiatives. The journey of an employee within an organisation from recruitment to separation is intricately linked to various people practice roles and is comparable to the customer lifecycle because your employees' experiences are just as vital as your customers'. </w:t>
      </w:r>
      <w:r w:rsidRPr="3F1F0C79" w:rsidR="172614F8">
        <w:rPr>
          <w:rFonts w:ascii="Calibri" w:hAnsi="Calibri" w:eastAsia="Calibri" w:cs="Calibri"/>
          <w:b w:val="0"/>
          <w:bCs w:val="0"/>
          <w:i w:val="0"/>
          <w:iCs w:val="0"/>
          <w:caps w:val="0"/>
          <w:smallCaps w:val="0"/>
          <w:noProof w:val="0"/>
          <w:color w:val="FF0000"/>
          <w:sz w:val="24"/>
          <w:szCs w:val="24"/>
          <w:lang w:val="en-US"/>
        </w:rPr>
        <w:t xml:space="preserve"> </w:t>
      </w:r>
    </w:p>
    <w:p w:rsidR="172614F8" w:rsidP="3F1F0C79" w:rsidRDefault="172614F8" w14:paraId="7507908B" w14:textId="38F99EB0">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Recruitment specialists or talent acquisition professionals are involved in attracting and selecting candidates during the recruitment stage. Taylor and Woodhams (2022) Points that getting it right to this stage will enhance the number of candidates available to you. If you get it wrong, your talent pipeline will dry up before it even begins, no matter how fantastic the rest of your company is. Onboarding specialists or HR generalists manage the smooth integration of new hires into the organisation.</w:t>
      </w:r>
    </w:p>
    <w:p w:rsidR="172614F8" w:rsidP="3F1F0C79" w:rsidRDefault="172614F8" w14:paraId="5CC6288D" w14:textId="22CF31B8">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Various people practice will offer comprehensive wellbeing support throughout the employee lifecycle, integrating an awareness of health issues associated with various stages of the employee journey into your health and wellbeing strategy offer with the existence of policies and guidelines helps managers and individuals in reaching agreements on supportive workplace adjustments. CIPD (2023)</w:t>
      </w:r>
    </w:p>
    <w:p w:rsidR="3F1F0C79" w:rsidP="3F1F0C79" w:rsidRDefault="3F1F0C79" w14:paraId="359287D7" w14:textId="5B419044">
      <w:pPr>
        <w:spacing w:before="0" w:beforeAutospacing="off" w:after="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60DA3907" w14:textId="2A734C67">
      <w:pPr>
        <w:spacing w:before="0" w:beforeAutospacing="off" w:after="160" w:afterAutospacing="off"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Retention is the responsibility of all people practice roles employee relations specialists or HR business partners handle conflict resolution to maintain a positive work environment. Compensation and benefits specialists or HR analysts manage salary structures and benefits packages. Career development and succession planning are overseen by HR managers, identifying and grooming high-potential employees. Employee engagement specialists or HR professionals work on initiatives to boost morale and satisfaction. Finally, the offboarding process, including exit interviews and paperwork, is managed by HR professionals during the employee exit stage. Understanding these links is vital for effective human resource management, ensuring employee well-being, development, and organisational success. Access HR (2023)</w:t>
      </w:r>
    </w:p>
    <w:p w:rsidR="3F1F0C79" w:rsidP="3F1F0C79" w:rsidRDefault="3F1F0C79" w14:paraId="02360FAC" w14:textId="30B0C6D6">
      <w:pPr>
        <w:spacing w:before="0" w:beforeAutospacing="off" w:after="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72614F8" w:rsidP="3F1F0C79" w:rsidRDefault="172614F8" w14:paraId="7AA2E5F8" w14:textId="2659371F">
      <w:pPr>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Thid CIPD (2023) Points to one of the keyways in which people practice supports wider people and organisations strategies is through alignment with organisational goals. Business partnering is one of the most common HR operating models used by people departments around the globe. Organisations typically have specific objectives, such as increased profitability, improved efficiency, or enhanced customer satisfaction. Business partnering is about defining and aligning people function capabilities to fulfil the organisation's objectives. </w:t>
      </w:r>
    </w:p>
    <w:p w:rsidR="172614F8" w:rsidP="3F1F0C79" w:rsidRDefault="172614F8" w14:paraId="128F9833" w14:textId="6A49459A">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large organisations, the Ulirich model would suggest that it should be separated into three segments. Shared service activities should be centered in a call centre with an intranet that provides administrative and basic assistance to the rest of the business. In contrast to business partners collaborating closely with business unit managers on critical initiatives and change management. Finally, centres of expertise exist as repositories of critical technical knowledge on resourcing, reward, employment relations, and so on, and they can formulate policy while also supporting business units and shared services. Ulrich believes that the three-legged model's apex should be a small corporate HR team that oversees the entire department and offers strategic direction. Oxford Reference (No date) </w:t>
      </w:r>
    </w:p>
    <w:p w:rsidR="172614F8" w:rsidP="3F1F0C79" w:rsidRDefault="172614F8" w14:paraId="14F62988" w14:textId="2C8BAEFB">
      <w:pPr>
        <w:ind w:left="-2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Vertical integration in HR involves aligning HR activities with the broader business strategy, ensuring that HR strategies directly contribute to organisational objectives. This approach emphasises the seamless connection between HR and overall business goals. On the other hand, horizontal integration focuses on the cohesion of various HR activities, creating integrated HR practices or bundles. This interconnectedness aims to enhance organisational performance by fostering constructive collaboration among different HR functions. Together, vertical, and horizontal integration in HR contribute to a holistic and effective approach, where HR activities are not only aligned with strategic goals but also work harmoniously to maximize their impact on the organisation LinkedIn (2021)</w:t>
      </w:r>
    </w:p>
    <w:p w:rsidR="3F1F0C79" w:rsidP="3F1F0C79" w:rsidRDefault="3F1F0C79" w14:paraId="50B55784" w14:textId="05FD4BEC">
      <w:pPr>
        <w:rPr>
          <w:rFonts w:ascii="Calibri" w:hAnsi="Calibri" w:eastAsia="Calibri" w:cs="Calibri"/>
          <w:b w:val="0"/>
          <w:bCs w:val="0"/>
          <w:i w:val="0"/>
          <w:iCs w:val="0"/>
          <w:caps w:val="0"/>
          <w:smallCaps w:val="0"/>
          <w:noProof w:val="0"/>
          <w:color w:val="000000" w:themeColor="text1" w:themeTint="FF" w:themeShade="FF"/>
          <w:sz w:val="24"/>
          <w:szCs w:val="24"/>
          <w:lang w:val="en-US"/>
        </w:rPr>
      </w:pPr>
    </w:p>
    <w:p w:rsidR="172614F8" w:rsidP="3F1F0C79" w:rsidRDefault="172614F8" w14:paraId="69D2D480" w14:textId="16719DE9">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Regular communication is essential in fostering a strong relationship between people and the organisation. CIPD (2023) Points to the notion that two-way, responsive communication is critical. Effective two-way communication fosters a psychological contract and employee engagement by making individuals feel listened to and valued.</w:t>
      </w:r>
    </w:p>
    <w:p w:rsidR="172614F8" w:rsidP="3F1F0C79" w:rsidRDefault="172614F8" w14:paraId="681F9A84" w14:textId="0B70CABA">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Staff surveys could play a critical role in creating a healthy company culture and achieving better business results by fine-tuning your employee surveys to collect critical information, you stand a much greater chance of having a beneficial impact on your organisation. Employee surveys can be extremely effective in building a healthy company culture, recruiting, and retaining talent, and achieving greater business results. However, these things are not achieved randomly. To get the best possible results out of employee surveys, you need to understand what they do, why they matter, and how to maximise their influence. GBW (2023) </w:t>
      </w:r>
    </w:p>
    <w:p w:rsidR="172614F8" w:rsidP="3F1F0C79" w:rsidRDefault="172614F8" w14:paraId="2D81E666" w14:textId="391266F2">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Clear communication channels play a pivotal role in enhancing workplace dynamics and productivity. They facilitate the instantaneous and timely delivery of information, ensuring that every team member is equipped with the same data, thus minimising the risk of misunderstandings. It is common for organisations to fail at sharing timely information. By clearly articulating expectations and goals, these channels contribute to increased productivity as employees have a solid understanding of their roles. Moreover, they foster an environment of open dialogue, encouraging group discussions and feedback. This not only allows for the exchange of diverse perspectives but also provides a platform for employees to voice concerns or seek clarification. The channels not only enable vertical communication from leaders to team members but also promote horizontal interaction among team members, strengthening team bonds. Clear communication channels build trust, transparency, and stronger relationships among employees, contributing to a positive and collaborative work atmosphere. Indeed (2023)</w:t>
      </w:r>
    </w:p>
    <w:p w:rsidR="172614F8" w:rsidP="3F1F0C79" w:rsidRDefault="172614F8" w14:paraId="7145BBA9" w14:textId="0E93840D">
      <w:pPr>
        <w:spacing w:after="160" w:line="257" w:lineRule="auto"/>
        <w:ind w:left="0" w:right="-20"/>
        <w:rPr>
          <w:rFonts w:ascii="Calibri" w:hAnsi="Calibri" w:eastAsia="Calibri" w:cs="Calibri"/>
          <w:b w:val="0"/>
          <w:bCs w:val="0"/>
          <w:i w:val="0"/>
          <w:iCs w:val="0"/>
          <w:caps w:val="0"/>
          <w:smallCaps w:val="0"/>
          <w:noProof w:val="0"/>
          <w:color w:val="000000" w:themeColor="text1" w:themeTint="FF" w:themeShade="FF"/>
          <w:sz w:val="24"/>
          <w:szCs w:val="24"/>
          <w:lang w:val="en-US"/>
        </w:rPr>
      </w:pPr>
      <w:r w:rsidRPr="3F1F0C79" w:rsidR="172614F8">
        <w:rPr>
          <w:rFonts w:ascii="Calibri" w:hAnsi="Calibri" w:eastAsia="Calibri" w:cs="Calibri"/>
          <w:b w:val="0"/>
          <w:bCs w:val="0"/>
          <w:i w:val="0"/>
          <w:iCs w:val="0"/>
          <w:caps w:val="0"/>
          <w:smallCaps w:val="0"/>
          <w:noProof w:val="0"/>
          <w:color w:val="000000" w:themeColor="text1" w:themeTint="FF" w:themeShade="FF"/>
          <w:sz w:val="24"/>
          <w:szCs w:val="24"/>
          <w:lang w:val="en-US"/>
        </w:rPr>
        <w:t>To create a workplace that clearly responds to the needs of employees is the foundation of consulting and engaging with internal customers effectively is like external customer service. Many firms use internal customer service to provide a good working environment for employees to solve problems, increase productivity, and assist them accomplish their task to a better standard. Indeed (2022)</w:t>
      </w:r>
    </w:p>
    <w:p w:rsidR="3F1F0C79" w:rsidP="3F1F0C79" w:rsidRDefault="3F1F0C79" w14:paraId="66657169" w14:textId="760B841F">
      <w:pPr>
        <w:spacing w:after="160" w:afterAutospacing="off"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F1F0C79" w:rsidP="3F1F0C79" w:rsidRDefault="3F1F0C79" w14:paraId="33E4D551" w14:textId="2E83893F">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tZNwJC/JiGrS" int2:id="91JjK2Va">
      <int2:state int2:type="AugLoop_Text_Critique" int2:value="Rejected"/>
    </int2:textHash>
    <int2:textHash int2:hashCode="XSUiEPxXFZ9tOg" int2:id="CNgiXpkt">
      <int2:state int2:type="AugLoop_Text_Critique" int2:value="Rejected"/>
    </int2:textHash>
    <int2:textHash int2:hashCode="nRSox3TdiEm2GZ" int2:id="It5GG9M2">
      <int2:state int2:type="AugLoop_Text_Critique" int2:value="Rejected"/>
    </int2:textHash>
    <int2:textHash int2:hashCode="m/C6mGJeQTWOW1" int2:id="0X8PkbzU">
      <int2:state int2:type="AugLoop_Text_Critique" int2:value="Rejected"/>
    </int2:textHash>
    <int2:textHash int2:hashCode="HEYy+0nPLNzFKk" int2:id="yNnXlXuR">
      <int2:state int2:type="AugLoop_Text_Critique" int2:value="Rejected"/>
    </int2:textHash>
    <int2:textHash int2:hashCode="xcgb3EeIup7nN2" int2:id="brMW3cQt">
      <int2:state int2:type="AugLoop_Text_Critique" int2:value="Rejected"/>
    </int2:textHash>
    <int2:textHash int2:hashCode="kv4UVae7TQCfC0" int2:id="Zy5f7zGA">
      <int2:state int2:type="AugLoop_Text_Critique" int2:value="Rejected"/>
    </int2:textHash>
    <int2:textHash int2:hashCode="kByidkXaRxGvMx" int2:id="c3U7vtQV">
      <int2:state int2:type="AugLoop_Text_Critique" int2:value="Rejected"/>
    </int2:textHash>
    <int2:textHash int2:hashCode="v3jXqOAVqWKVSe" int2:id="Y3b7c7LK">
      <int2:state int2:type="AugLoop_Text_Critique" int2:value="Rejected"/>
    </int2:textHash>
    <int2:textHash int2:hashCode="gOigg3B4VG+1IR" int2:id="8AuNdMfH">
      <int2:state int2:type="AugLoop_Text_Critique" int2:value="Rejected"/>
    </int2:textHash>
    <int2:textHash int2:hashCode="QgmNU58P0unWdN" int2:id="jWehzBR3">
      <int2:state int2:type="AugLoop_Text_Critique" int2:value="Rejected"/>
    </int2:textHash>
    <int2:textHash int2:hashCode="LMG882wHstFZ+B" int2:id="s3FR22yc">
      <int2:state int2:type="AugLoop_Text_Critique" int2:value="Rejected"/>
    </int2:textHash>
    <int2:textHash int2:hashCode="D0XCKRjQC/98jN" int2:id="ZD1eBJty">
      <int2:state int2:type="AugLoop_Text_Critique" int2:value="Rejected"/>
    </int2:textHash>
    <int2:bookmark int2:bookmarkName="_Int_tLEozfNp" int2:invalidationBookmarkName="" int2:hashCode="RoHRJMxsS3O6q/" int2:id="grlCjULt">
      <int2:state int2:type="AugLoop_Text_Critique" int2:value="Rejected"/>
    </int2:bookmark>
    <int2:bookmark int2:bookmarkName="_Int_AZUuYsOT" int2:invalidationBookmarkName="" int2:hashCode="RoHRJMxsS3O6q/" int2:id="3nRBvyKg">
      <int2:state int2:type="AugLoop_Text_Critique" int2:value="Rejected"/>
    </int2:bookmark>
    <int2:bookmark int2:bookmarkName="_Int_6Cf1fQpM" int2:invalidationBookmarkName="" int2:hashCode="bFUiyor4b8UGm3" int2:id="fLBGPKtn">
      <int2:state int2:type="AugLoop_Text_Critique" int2:value="Rejected"/>
    </int2:bookmark>
    <int2:bookmark int2:bookmarkName="_Int_PYeIZ3G8" int2:invalidationBookmarkName="" int2:hashCode="Lu33tH6bkty6kZ" int2:id="QZtKyKe5">
      <int2:state int2:type="AugLoop_Text_Critique" int2:value="Rejected"/>
    </int2:bookmark>
    <int2:bookmark int2:bookmarkName="_Int_4KTaxviF" int2:invalidationBookmarkName="" int2:hashCode="filg2P5FZPLizz" int2:id="XmvcFnlD">
      <int2:state int2:type="AugLoop_Text_Critique" int2:value="Rejected"/>
    </int2:bookmark>
    <int2:bookmark int2:bookmarkName="_Int_ypWfFV3T" int2:invalidationBookmarkName="" int2:hashCode="cO8ccj1gjyZKFm" int2:id="t8WMuID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d7bec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E4E443"/>
    <w:rsid w:val="00CD297E"/>
    <w:rsid w:val="016947D7"/>
    <w:rsid w:val="022DE239"/>
    <w:rsid w:val="02982D08"/>
    <w:rsid w:val="0335AD77"/>
    <w:rsid w:val="057EC703"/>
    <w:rsid w:val="05B7693B"/>
    <w:rsid w:val="064644AF"/>
    <w:rsid w:val="08176B3A"/>
    <w:rsid w:val="0890B4BE"/>
    <w:rsid w:val="08C02550"/>
    <w:rsid w:val="08C545B7"/>
    <w:rsid w:val="0945CF1E"/>
    <w:rsid w:val="097459BC"/>
    <w:rsid w:val="0AFA6657"/>
    <w:rsid w:val="0B27F734"/>
    <w:rsid w:val="0C9636B8"/>
    <w:rsid w:val="0CFA3FB9"/>
    <w:rsid w:val="0D17D364"/>
    <w:rsid w:val="0D1A099F"/>
    <w:rsid w:val="0D98B6DA"/>
    <w:rsid w:val="0DA51A46"/>
    <w:rsid w:val="0E320719"/>
    <w:rsid w:val="0E96101A"/>
    <w:rsid w:val="0EF33CE4"/>
    <w:rsid w:val="10BE35D6"/>
    <w:rsid w:val="1169A7DB"/>
    <w:rsid w:val="119738B8"/>
    <w:rsid w:val="125D4A0B"/>
    <w:rsid w:val="12696576"/>
    <w:rsid w:val="14561FF8"/>
    <w:rsid w:val="146F0AEC"/>
    <w:rsid w:val="14A1489D"/>
    <w:rsid w:val="14A2E3AA"/>
    <w:rsid w:val="156E08D6"/>
    <w:rsid w:val="163D18FE"/>
    <w:rsid w:val="172614F8"/>
    <w:rsid w:val="181522A4"/>
    <w:rsid w:val="1974B9C0"/>
    <w:rsid w:val="1B108A21"/>
    <w:rsid w:val="1B3E1AFE"/>
    <w:rsid w:val="1C082147"/>
    <w:rsid w:val="1C15D762"/>
    <w:rsid w:val="1F0E2706"/>
    <w:rsid w:val="1FE3FB44"/>
    <w:rsid w:val="21CD7968"/>
    <w:rsid w:val="231B9C06"/>
    <w:rsid w:val="231D9027"/>
    <w:rsid w:val="24B76C67"/>
    <w:rsid w:val="24BF59ED"/>
    <w:rsid w:val="25982E1B"/>
    <w:rsid w:val="271938EB"/>
    <w:rsid w:val="27939BA5"/>
    <w:rsid w:val="27988587"/>
    <w:rsid w:val="28248B8C"/>
    <w:rsid w:val="28F7389C"/>
    <w:rsid w:val="28FDEC9A"/>
    <w:rsid w:val="29376A2E"/>
    <w:rsid w:val="298B2D01"/>
    <w:rsid w:val="2AA0F568"/>
    <w:rsid w:val="2AE372CC"/>
    <w:rsid w:val="2B5C2C4E"/>
    <w:rsid w:val="2C38EB78"/>
    <w:rsid w:val="2C9A5152"/>
    <w:rsid w:val="2CF7FCAF"/>
    <w:rsid w:val="2D65CCD8"/>
    <w:rsid w:val="2DCAA9BF"/>
    <w:rsid w:val="2E1B138E"/>
    <w:rsid w:val="2EABFC70"/>
    <w:rsid w:val="2FA15D92"/>
    <w:rsid w:val="2FB6E3EF"/>
    <w:rsid w:val="3047CCD1"/>
    <w:rsid w:val="30D81A1E"/>
    <w:rsid w:val="319DDCF5"/>
    <w:rsid w:val="31D4773F"/>
    <w:rsid w:val="31EA49DA"/>
    <w:rsid w:val="328E3B51"/>
    <w:rsid w:val="329E1AE2"/>
    <w:rsid w:val="3339AD56"/>
    <w:rsid w:val="33A64875"/>
    <w:rsid w:val="34573B0A"/>
    <w:rsid w:val="34D9C842"/>
    <w:rsid w:val="36714E18"/>
    <w:rsid w:val="38116904"/>
    <w:rsid w:val="3848361F"/>
    <w:rsid w:val="385ACC3C"/>
    <w:rsid w:val="3890D9A6"/>
    <w:rsid w:val="38FE4623"/>
    <w:rsid w:val="39F69C9D"/>
    <w:rsid w:val="3A6AC298"/>
    <w:rsid w:val="3AB11A4D"/>
    <w:rsid w:val="3B4909C6"/>
    <w:rsid w:val="3B737792"/>
    <w:rsid w:val="3C4CEAAE"/>
    <w:rsid w:val="3D2E3D5F"/>
    <w:rsid w:val="3DA2635A"/>
    <w:rsid w:val="3EAB1854"/>
    <w:rsid w:val="3ECA0DC0"/>
    <w:rsid w:val="3F1F0C79"/>
    <w:rsid w:val="3F5395FC"/>
    <w:rsid w:val="4065DE21"/>
    <w:rsid w:val="40A7A24F"/>
    <w:rsid w:val="40F2CAF4"/>
    <w:rsid w:val="41F2888F"/>
    <w:rsid w:val="4214D63F"/>
    <w:rsid w:val="42F70FA4"/>
    <w:rsid w:val="438E58F0"/>
    <w:rsid w:val="44CF51F6"/>
    <w:rsid w:val="44DF3282"/>
    <w:rsid w:val="4504E589"/>
    <w:rsid w:val="451A59D8"/>
    <w:rsid w:val="451C84E7"/>
    <w:rsid w:val="452A2951"/>
    <w:rsid w:val="457B1372"/>
    <w:rsid w:val="45BE5CBF"/>
    <w:rsid w:val="460BFC54"/>
    <w:rsid w:val="466B2257"/>
    <w:rsid w:val="46B5FEDE"/>
    <w:rsid w:val="4B70E339"/>
    <w:rsid w:val="4C61898C"/>
    <w:rsid w:val="4D0CB39A"/>
    <w:rsid w:val="4E76343C"/>
    <w:rsid w:val="4FA241B6"/>
    <w:rsid w:val="51E9B072"/>
    <w:rsid w:val="52A6B340"/>
    <w:rsid w:val="53722CFB"/>
    <w:rsid w:val="550DFD5C"/>
    <w:rsid w:val="5556A75E"/>
    <w:rsid w:val="5573FDA0"/>
    <w:rsid w:val="55F7F3C2"/>
    <w:rsid w:val="56BD2195"/>
    <w:rsid w:val="56F277BF"/>
    <w:rsid w:val="574661D0"/>
    <w:rsid w:val="575DD5D3"/>
    <w:rsid w:val="57A0523C"/>
    <w:rsid w:val="58AB9E62"/>
    <w:rsid w:val="58AC569D"/>
    <w:rsid w:val="593C229D"/>
    <w:rsid w:val="5942B8FA"/>
    <w:rsid w:val="59A48B59"/>
    <w:rsid w:val="59EB36A2"/>
    <w:rsid w:val="5ADE895B"/>
    <w:rsid w:val="5AE4E443"/>
    <w:rsid w:val="5C64E56D"/>
    <w:rsid w:val="5C73C35F"/>
    <w:rsid w:val="5CF44CC6"/>
    <w:rsid w:val="5CF8752B"/>
    <w:rsid w:val="5D7F0F85"/>
    <w:rsid w:val="5E94458C"/>
    <w:rsid w:val="5EE7C62A"/>
    <w:rsid w:val="5F1ADFE6"/>
    <w:rsid w:val="5F9C862F"/>
    <w:rsid w:val="602BED88"/>
    <w:rsid w:val="61385690"/>
    <w:rsid w:val="615C2367"/>
    <w:rsid w:val="62D426F1"/>
    <w:rsid w:val="62F7F3C8"/>
    <w:rsid w:val="6324583C"/>
    <w:rsid w:val="634A54DA"/>
    <w:rsid w:val="637DF02F"/>
    <w:rsid w:val="639A066E"/>
    <w:rsid w:val="6462EB5B"/>
    <w:rsid w:val="6519C090"/>
    <w:rsid w:val="6535D6CF"/>
    <w:rsid w:val="6664BC00"/>
    <w:rsid w:val="66D1A730"/>
    <w:rsid w:val="678D4D55"/>
    <w:rsid w:val="679A8C1D"/>
    <w:rsid w:val="67C4F9E9"/>
    <w:rsid w:val="6887693C"/>
    <w:rsid w:val="68ADBA36"/>
    <w:rsid w:val="6A0947F2"/>
    <w:rsid w:val="6A1CBEEB"/>
    <w:rsid w:val="6AC64445"/>
    <w:rsid w:val="6AD22CDF"/>
    <w:rsid w:val="6AFC9AAB"/>
    <w:rsid w:val="6B382D23"/>
    <w:rsid w:val="6C8724A2"/>
    <w:rsid w:val="6CD3FD84"/>
    <w:rsid w:val="6E1D2179"/>
    <w:rsid w:val="6E1EC71E"/>
    <w:rsid w:val="6F53D2DA"/>
    <w:rsid w:val="6FBA977F"/>
    <w:rsid w:val="6FC342C0"/>
    <w:rsid w:val="700B9E46"/>
    <w:rsid w:val="716BDC2F"/>
    <w:rsid w:val="716E073E"/>
    <w:rsid w:val="72F0F83E"/>
    <w:rsid w:val="73433F08"/>
    <w:rsid w:val="73B38ECF"/>
    <w:rsid w:val="73E5AD10"/>
    <w:rsid w:val="7452A800"/>
    <w:rsid w:val="7479A69D"/>
    <w:rsid w:val="74DF0F69"/>
    <w:rsid w:val="770B6405"/>
    <w:rsid w:val="78BC234B"/>
    <w:rsid w:val="791C6630"/>
    <w:rsid w:val="7AC7B693"/>
    <w:rsid w:val="7AFD4A26"/>
    <w:rsid w:val="7CF20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4E443"/>
  <w15:chartTrackingRefBased/>
  <w15:docId w15:val="{2A70A54E-5100-4DB3-8638-306AAEFA5F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eforum.org/reports/the-future-of-jobs-report-2023/infographics-2128e451e0" TargetMode="External" Id="R7cc2b1be62f24946" /><Relationship Type="http://schemas.openxmlformats.org/officeDocument/2006/relationships/image" Target="/media/image.png" Id="R0503ad2a678b416e" /><Relationship Type="http://schemas.openxmlformats.org/officeDocument/2006/relationships/image" Target="/media/image2.png" Id="R0bfee1c3a2bf4adf" /><Relationship Type="http://schemas.openxmlformats.org/officeDocument/2006/relationships/image" Target="/media/image3.png" Id="R7f5e1abeb9424277" /><Relationship Type="http://schemas.openxmlformats.org/officeDocument/2006/relationships/image" Target="/media/image4.png" Id="Rd4178b1d0bbd4eea" /><Relationship Type="http://schemas.openxmlformats.org/officeDocument/2006/relationships/image" Target="/media/image5.png" Id="R5451bea25ee443e7" /><Relationship Type="http://schemas.microsoft.com/office/2020/10/relationships/intelligence" Target="intelligence2.xml" Id="R21e4dcea21cf483c" /><Relationship Type="http://schemas.openxmlformats.org/officeDocument/2006/relationships/numbering" Target="numbering.xml" Id="Rc8c7606e4d5142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2024-01-28T08:00:33.4235564Z</dcterms:created>
  <dcterms:modified xsi:type="dcterms:W3CDTF">2024-01-28T12:39:48.2124132Z</dcterms:modified>
  <dc:creator>Sian White</dc:creator>
  <lastModifiedBy>Sian White</lastModifiedBy>
</coreProperties>
</file>