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2CEB1F" w14:textId="77777777" w:rsidR="00537D9A" w:rsidRPr="00537D9A" w:rsidRDefault="00537D9A" w:rsidP="00537D9A">
      <w:pPr>
        <w:rPr>
          <w:b/>
          <w:bCs/>
          <w:sz w:val="32"/>
          <w:szCs w:val="32"/>
          <w:u w:val="single"/>
        </w:rPr>
      </w:pPr>
      <w:r w:rsidRPr="00537D9A">
        <w:rPr>
          <w:b/>
          <w:bCs/>
          <w:sz w:val="32"/>
          <w:szCs w:val="32"/>
          <w:u w:val="single"/>
        </w:rPr>
        <w:t>Have accounts of life in the trenches on the Western Front overshadowed the experiences of British servicemen and women in other theatres of war, to the detriment of our understanding of the conflict?</w:t>
      </w:r>
    </w:p>
    <w:p w14:paraId="214D40E0" w14:textId="7E9A85A1" w:rsidR="000C2FBD" w:rsidRPr="007533A9" w:rsidRDefault="00537D9A" w:rsidP="00537D9A">
      <w:pPr>
        <w:rPr>
          <w:sz w:val="24"/>
          <w:szCs w:val="24"/>
        </w:rPr>
      </w:pPr>
      <w:r w:rsidRPr="007533A9">
        <w:rPr>
          <w:sz w:val="24"/>
          <w:szCs w:val="24"/>
        </w:rPr>
        <w:t xml:space="preserve">In order to be able to fully appreciate the actions of our predecessors, it is crucial to have an accurate understanding of the actions which they took during the warfare that shaped the world in which we live in. The First World War, by Europeans, is viewed from the one-sided perspective as being confined to the </w:t>
      </w:r>
      <w:r w:rsidR="000F4C0A" w:rsidRPr="007533A9">
        <w:rPr>
          <w:sz w:val="24"/>
          <w:szCs w:val="24"/>
        </w:rPr>
        <w:t>continent</w:t>
      </w:r>
      <w:r w:rsidR="00220619">
        <w:rPr>
          <w:sz w:val="24"/>
          <w:szCs w:val="24"/>
        </w:rPr>
        <w:t xml:space="preserve">; </w:t>
      </w:r>
      <w:r w:rsidR="00F937FA">
        <w:rPr>
          <w:sz w:val="24"/>
          <w:szCs w:val="24"/>
        </w:rPr>
        <w:t>c</w:t>
      </w:r>
      <w:r w:rsidRPr="007533A9">
        <w:rPr>
          <w:sz w:val="24"/>
          <w:szCs w:val="24"/>
        </w:rPr>
        <w:t xml:space="preserve">ontrary to the name of the conflict, service outside of </w:t>
      </w:r>
      <w:r w:rsidR="000F4C0A" w:rsidRPr="007533A9">
        <w:rPr>
          <w:sz w:val="24"/>
          <w:szCs w:val="24"/>
        </w:rPr>
        <w:t>Europe</w:t>
      </w:r>
      <w:r w:rsidRPr="007533A9">
        <w:rPr>
          <w:sz w:val="24"/>
          <w:szCs w:val="24"/>
        </w:rPr>
        <w:t xml:space="preserve"> is rarely taken into accoun</w:t>
      </w:r>
      <w:r w:rsidR="004432E5">
        <w:rPr>
          <w:sz w:val="24"/>
          <w:szCs w:val="24"/>
        </w:rPr>
        <w:t>t</w:t>
      </w:r>
      <w:r w:rsidRPr="007533A9">
        <w:rPr>
          <w:sz w:val="24"/>
          <w:szCs w:val="24"/>
        </w:rPr>
        <w:t xml:space="preserve">. </w:t>
      </w:r>
      <w:r w:rsidR="00745F68">
        <w:rPr>
          <w:sz w:val="24"/>
          <w:szCs w:val="24"/>
        </w:rPr>
        <w:t xml:space="preserve">As can be observed with </w:t>
      </w:r>
      <w:r w:rsidR="00E65F5B">
        <w:rPr>
          <w:sz w:val="24"/>
          <w:szCs w:val="24"/>
        </w:rPr>
        <w:t xml:space="preserve">the </w:t>
      </w:r>
      <w:r w:rsidR="00745F68">
        <w:rPr>
          <w:sz w:val="24"/>
          <w:szCs w:val="24"/>
        </w:rPr>
        <w:t xml:space="preserve">movies </w:t>
      </w:r>
      <w:r w:rsidR="00745F68">
        <w:rPr>
          <w:i/>
          <w:iCs/>
          <w:sz w:val="24"/>
          <w:szCs w:val="24"/>
        </w:rPr>
        <w:t xml:space="preserve">All Quiet on the Western </w:t>
      </w:r>
      <w:r w:rsidR="00745F68" w:rsidRPr="00745F68">
        <w:rPr>
          <w:sz w:val="24"/>
          <w:szCs w:val="24"/>
        </w:rPr>
        <w:t>Front</w:t>
      </w:r>
      <w:r w:rsidR="00745F68">
        <w:rPr>
          <w:sz w:val="24"/>
          <w:szCs w:val="24"/>
        </w:rPr>
        <w:t xml:space="preserve"> and </w:t>
      </w:r>
      <w:r w:rsidR="00745F68" w:rsidRPr="00A67D0E">
        <w:rPr>
          <w:i/>
          <w:iCs/>
          <w:sz w:val="24"/>
          <w:szCs w:val="24"/>
        </w:rPr>
        <w:t>1917</w:t>
      </w:r>
      <w:r w:rsidR="00745F68">
        <w:rPr>
          <w:sz w:val="24"/>
          <w:szCs w:val="24"/>
        </w:rPr>
        <w:t>, as well by books</w:t>
      </w:r>
      <w:r w:rsidR="00A67D0E">
        <w:rPr>
          <w:sz w:val="24"/>
          <w:szCs w:val="24"/>
        </w:rPr>
        <w:t xml:space="preserve"> such as </w:t>
      </w:r>
      <w:r w:rsidR="00B023DF" w:rsidRPr="00E65F5B">
        <w:rPr>
          <w:i/>
          <w:iCs/>
          <w:sz w:val="24"/>
          <w:szCs w:val="24"/>
        </w:rPr>
        <w:t>Private Peaceful</w:t>
      </w:r>
      <w:r w:rsidR="00B023DF">
        <w:rPr>
          <w:sz w:val="24"/>
          <w:szCs w:val="24"/>
        </w:rPr>
        <w:t xml:space="preserve">, </w:t>
      </w:r>
      <w:r w:rsidR="005308A7">
        <w:rPr>
          <w:sz w:val="24"/>
          <w:szCs w:val="24"/>
        </w:rPr>
        <w:t>modern Britain</w:t>
      </w:r>
      <w:r w:rsidR="00B023DF">
        <w:rPr>
          <w:sz w:val="24"/>
          <w:szCs w:val="24"/>
        </w:rPr>
        <w:t xml:space="preserve"> </w:t>
      </w:r>
      <w:r w:rsidR="00E65F5B">
        <w:rPr>
          <w:sz w:val="24"/>
          <w:szCs w:val="24"/>
        </w:rPr>
        <w:t>significantly</w:t>
      </w:r>
      <w:r w:rsidR="00B023DF">
        <w:rPr>
          <w:sz w:val="24"/>
          <w:szCs w:val="24"/>
        </w:rPr>
        <w:t xml:space="preserve"> better remember</w:t>
      </w:r>
      <w:r w:rsidR="002000EF">
        <w:rPr>
          <w:sz w:val="24"/>
          <w:szCs w:val="24"/>
        </w:rPr>
        <w:t>s action on the Western Front</w:t>
      </w:r>
      <w:r w:rsidR="00A7072A">
        <w:rPr>
          <w:sz w:val="24"/>
          <w:szCs w:val="24"/>
        </w:rPr>
        <w:t xml:space="preserve"> than any other theatre</w:t>
      </w:r>
      <w:r w:rsidR="005308A7">
        <w:rPr>
          <w:sz w:val="24"/>
          <w:szCs w:val="24"/>
        </w:rPr>
        <w:t xml:space="preserve"> of the war</w:t>
      </w:r>
      <w:r w:rsidR="00CB567E">
        <w:rPr>
          <w:sz w:val="24"/>
          <w:szCs w:val="24"/>
        </w:rPr>
        <w:t xml:space="preserve">. </w:t>
      </w:r>
      <w:r w:rsidRPr="00745F68">
        <w:rPr>
          <w:sz w:val="24"/>
          <w:szCs w:val="24"/>
        </w:rPr>
        <w:t>To</w:t>
      </w:r>
      <w:r w:rsidRPr="007533A9">
        <w:rPr>
          <w:sz w:val="24"/>
          <w:szCs w:val="24"/>
        </w:rPr>
        <w:t xml:space="preserve"> a certain extent it could be argued that life in the trenches of the Western Front overshadows the experiences of British servicemen and women who served in other theatres. This is due to the fact that the service of colonial troops in Africa is not taken into account with regards to memory of the war. </w:t>
      </w:r>
      <w:r w:rsidR="0046141E" w:rsidRPr="007533A9">
        <w:rPr>
          <w:sz w:val="24"/>
          <w:szCs w:val="24"/>
        </w:rPr>
        <w:t xml:space="preserve">On the other hand, it could also be argued that life in the trenches of the Western Front does not overshadow the experiences of </w:t>
      </w:r>
      <w:r w:rsidR="006E5EE7" w:rsidRPr="007533A9">
        <w:rPr>
          <w:sz w:val="24"/>
          <w:szCs w:val="24"/>
        </w:rPr>
        <w:t>British servicemen and women who served in other theatres as World War One was a conflict of European politics, merely occurring outside of Europe due to its colonies. However</w:t>
      </w:r>
      <w:r w:rsidRPr="007533A9">
        <w:rPr>
          <w:sz w:val="24"/>
          <w:szCs w:val="24"/>
        </w:rPr>
        <w:t>, the action of Indian soldiers fighting for Britain on all fronts, especially in the crucial Mesopotamian Campaign</w:t>
      </w:r>
      <w:r w:rsidR="00F604EB" w:rsidRPr="007533A9">
        <w:rPr>
          <w:sz w:val="24"/>
          <w:szCs w:val="24"/>
        </w:rPr>
        <w:t xml:space="preserve"> </w:t>
      </w:r>
      <w:r w:rsidRPr="007533A9">
        <w:rPr>
          <w:sz w:val="24"/>
          <w:szCs w:val="24"/>
        </w:rPr>
        <w:t xml:space="preserve">would prove vital with regards to </w:t>
      </w:r>
      <w:r w:rsidR="00135F38">
        <w:rPr>
          <w:sz w:val="24"/>
          <w:szCs w:val="24"/>
        </w:rPr>
        <w:t xml:space="preserve">the acquisition of </w:t>
      </w:r>
      <w:r w:rsidR="00A21A54">
        <w:rPr>
          <w:sz w:val="24"/>
          <w:szCs w:val="24"/>
        </w:rPr>
        <w:t>British oil supplies</w:t>
      </w:r>
      <w:r w:rsidRPr="007533A9">
        <w:rPr>
          <w:sz w:val="24"/>
          <w:szCs w:val="24"/>
        </w:rPr>
        <w:t xml:space="preserve">. </w:t>
      </w:r>
      <w:r w:rsidR="00080E2D" w:rsidRPr="007533A9">
        <w:rPr>
          <w:sz w:val="24"/>
          <w:szCs w:val="24"/>
        </w:rPr>
        <w:t xml:space="preserve">Moreover, more British servicemen and women served on the Western Front than in any other campaign, and as such was the typical accounts of a British soldier in World War One. </w:t>
      </w:r>
      <w:r w:rsidRPr="007533A9">
        <w:rPr>
          <w:sz w:val="24"/>
          <w:szCs w:val="24"/>
        </w:rPr>
        <w:t>F</w:t>
      </w:r>
      <w:r w:rsidR="00080E2D" w:rsidRPr="007533A9">
        <w:rPr>
          <w:sz w:val="24"/>
          <w:szCs w:val="24"/>
        </w:rPr>
        <w:t>inally</w:t>
      </w:r>
      <w:r w:rsidRPr="007533A9">
        <w:rPr>
          <w:sz w:val="24"/>
          <w:szCs w:val="24"/>
        </w:rPr>
        <w:t>, the role of the Royal Navy, with regards to ensuring that the British army on all fronts could be constantly resupplied</w:t>
      </w:r>
      <w:r w:rsidR="00F604EB" w:rsidRPr="007533A9">
        <w:rPr>
          <w:sz w:val="24"/>
          <w:szCs w:val="24"/>
        </w:rPr>
        <w:t>,</w:t>
      </w:r>
      <w:r w:rsidRPr="007533A9">
        <w:rPr>
          <w:sz w:val="24"/>
          <w:szCs w:val="24"/>
        </w:rPr>
        <w:t xml:space="preserve"> is not taken into account. In conclusion, the account of life in the trenches of the Western Front does</w:t>
      </w:r>
      <w:r w:rsidR="00E52790" w:rsidRPr="007533A9">
        <w:rPr>
          <w:sz w:val="24"/>
          <w:szCs w:val="24"/>
        </w:rPr>
        <w:t xml:space="preserve"> </w:t>
      </w:r>
      <w:r w:rsidRPr="007533A9">
        <w:rPr>
          <w:sz w:val="24"/>
          <w:szCs w:val="24"/>
        </w:rPr>
        <w:t>overshadow the experiences of British servicemen and women in other theatres of the First World War because</w:t>
      </w:r>
      <w:r w:rsidR="009C096F">
        <w:rPr>
          <w:sz w:val="24"/>
          <w:szCs w:val="24"/>
        </w:rPr>
        <w:t xml:space="preserve"> </w:t>
      </w:r>
      <w:r w:rsidR="00E52790" w:rsidRPr="007533A9">
        <w:rPr>
          <w:sz w:val="24"/>
          <w:szCs w:val="24"/>
        </w:rPr>
        <w:t>the role of those who fought in other theatres is neglected in memory</w:t>
      </w:r>
      <w:r w:rsidR="002F5D51">
        <w:rPr>
          <w:sz w:val="24"/>
          <w:szCs w:val="24"/>
        </w:rPr>
        <w:t xml:space="preserve">, despite the significance of the </w:t>
      </w:r>
      <w:r w:rsidR="00F25F53">
        <w:rPr>
          <w:sz w:val="24"/>
          <w:szCs w:val="24"/>
        </w:rPr>
        <w:t xml:space="preserve">European theatre </w:t>
      </w:r>
      <w:r w:rsidR="002F5D51">
        <w:rPr>
          <w:sz w:val="24"/>
          <w:szCs w:val="24"/>
        </w:rPr>
        <w:t>politically and historically</w:t>
      </w:r>
      <w:r w:rsidRPr="007533A9">
        <w:rPr>
          <w:sz w:val="24"/>
          <w:szCs w:val="24"/>
        </w:rPr>
        <w:t>.</w:t>
      </w:r>
    </w:p>
    <w:p w14:paraId="79375B0B" w14:textId="486D70C0" w:rsidR="00537D9A" w:rsidRPr="007533A9" w:rsidRDefault="000C2FBD" w:rsidP="00537D9A">
      <w:pPr>
        <w:rPr>
          <w:color w:val="FF0000"/>
          <w:sz w:val="24"/>
          <w:szCs w:val="24"/>
        </w:rPr>
      </w:pPr>
      <w:r w:rsidRPr="007533A9">
        <w:rPr>
          <w:sz w:val="24"/>
          <w:szCs w:val="24"/>
        </w:rPr>
        <w:t>T</w:t>
      </w:r>
      <w:r w:rsidR="00537D9A" w:rsidRPr="007533A9">
        <w:rPr>
          <w:sz w:val="24"/>
          <w:szCs w:val="24"/>
        </w:rPr>
        <w:t xml:space="preserve">o examine the extent to which accounts of life in the trenches of the First World War have overshadowed the experiences of British servicemen and women in other campaigns, the works of numerous academics has been analysed. With regards to African soldiers who served in the East African Campaign, professor of African history at Tennessee State University Melvin E. Page is an expert in the subject. His 1987 book, </w:t>
      </w:r>
      <w:r w:rsidR="00537D9A" w:rsidRPr="007533A9">
        <w:rPr>
          <w:i/>
          <w:iCs/>
          <w:sz w:val="24"/>
          <w:szCs w:val="24"/>
        </w:rPr>
        <w:t>Africa and the First World War</w:t>
      </w:r>
      <w:r w:rsidR="00537D9A" w:rsidRPr="007533A9">
        <w:rPr>
          <w:sz w:val="24"/>
          <w:szCs w:val="24"/>
        </w:rPr>
        <w:t xml:space="preserve">, provides an insight into the struggles which Africans faced during the First World War. Adding on to this, British historian George Morton-Jack is a specialist with regards to the contributions of Indian servicemen and women in the First World War, writing numerous works on the subject. </w:t>
      </w:r>
      <w:r w:rsidR="00106AFF" w:rsidRPr="007533A9">
        <w:rPr>
          <w:sz w:val="24"/>
          <w:szCs w:val="24"/>
        </w:rPr>
        <w:t xml:space="preserve">His book, </w:t>
      </w:r>
      <w:r w:rsidR="00B657B8" w:rsidRPr="007533A9">
        <w:rPr>
          <w:i/>
          <w:iCs/>
          <w:sz w:val="24"/>
          <w:szCs w:val="24"/>
        </w:rPr>
        <w:t>Army of Empire: The Untold Story of the Indian Army in World War I</w:t>
      </w:r>
      <w:r w:rsidR="00106AFF" w:rsidRPr="007533A9">
        <w:rPr>
          <w:sz w:val="24"/>
          <w:szCs w:val="24"/>
        </w:rPr>
        <w:t xml:space="preserve"> </w:t>
      </w:r>
      <w:r w:rsidR="00537D9A" w:rsidRPr="007533A9">
        <w:rPr>
          <w:sz w:val="24"/>
          <w:szCs w:val="24"/>
        </w:rPr>
        <w:t xml:space="preserve">provides an in-depth analysis of the role of Indians towards all fields of the war, </w:t>
      </w:r>
      <w:r w:rsidR="00106AFF" w:rsidRPr="007533A9">
        <w:rPr>
          <w:sz w:val="24"/>
          <w:szCs w:val="24"/>
        </w:rPr>
        <w:t xml:space="preserve">with </w:t>
      </w:r>
      <w:r w:rsidR="00106AFF" w:rsidRPr="007533A9">
        <w:rPr>
          <w:i/>
          <w:iCs/>
          <w:sz w:val="24"/>
          <w:szCs w:val="24"/>
        </w:rPr>
        <w:t>The Indian Army on the Western Front: India’s Expeditionary Force to France and Belgium in the First World War</w:t>
      </w:r>
      <w:r w:rsidR="00106AFF" w:rsidRPr="007533A9">
        <w:rPr>
          <w:sz w:val="24"/>
          <w:szCs w:val="24"/>
        </w:rPr>
        <w:t xml:space="preserve"> specifically </w:t>
      </w:r>
      <w:r w:rsidR="00106AFF" w:rsidRPr="007533A9">
        <w:rPr>
          <w:sz w:val="24"/>
          <w:szCs w:val="24"/>
        </w:rPr>
        <w:lastRenderedPageBreak/>
        <w:t xml:space="preserve">concentrating on </w:t>
      </w:r>
      <w:r w:rsidR="00A806AF" w:rsidRPr="007533A9">
        <w:rPr>
          <w:sz w:val="24"/>
          <w:szCs w:val="24"/>
        </w:rPr>
        <w:t xml:space="preserve">the role of Indian soldiers on the Western Front. </w:t>
      </w:r>
      <w:r w:rsidR="00537D9A" w:rsidRPr="007533A9">
        <w:rPr>
          <w:sz w:val="24"/>
          <w:szCs w:val="24"/>
        </w:rPr>
        <w:t xml:space="preserve">Author A.J. Baker adds on to this with his work </w:t>
      </w:r>
      <w:r w:rsidR="00537D9A" w:rsidRPr="007533A9">
        <w:rPr>
          <w:i/>
          <w:iCs/>
          <w:sz w:val="24"/>
          <w:szCs w:val="24"/>
        </w:rPr>
        <w:t>The Bastards War: The Mesopotamian Campaign of 1914-1918</w:t>
      </w:r>
      <w:r w:rsidR="00537D9A" w:rsidRPr="007533A9">
        <w:rPr>
          <w:sz w:val="24"/>
          <w:szCs w:val="24"/>
        </w:rPr>
        <w:t xml:space="preserve">, providing a look at Britain’s role in the Middle East during the First World War. Furthermore, Lawrence </w:t>
      </w:r>
      <w:proofErr w:type="spellStart"/>
      <w:r w:rsidR="00537D9A" w:rsidRPr="007533A9">
        <w:rPr>
          <w:sz w:val="24"/>
          <w:szCs w:val="24"/>
        </w:rPr>
        <w:t>Sondhaus</w:t>
      </w:r>
      <w:proofErr w:type="spellEnd"/>
      <w:r w:rsidR="00537D9A" w:rsidRPr="007533A9">
        <w:rPr>
          <w:sz w:val="24"/>
          <w:szCs w:val="24"/>
        </w:rPr>
        <w:t xml:space="preserve">, Associate Professor of History at the University of Indianapolis, is a professional regarding naval warfare during the First World War. </w:t>
      </w:r>
      <w:r w:rsidR="00537D9A" w:rsidRPr="007533A9">
        <w:rPr>
          <w:i/>
          <w:iCs/>
          <w:sz w:val="24"/>
          <w:szCs w:val="24"/>
        </w:rPr>
        <w:t>The Great War at Sea: A Naval History of the First World War</w:t>
      </w:r>
      <w:r w:rsidR="00537D9A" w:rsidRPr="007533A9">
        <w:rPr>
          <w:sz w:val="24"/>
          <w:szCs w:val="24"/>
        </w:rPr>
        <w:t xml:space="preserve"> explores the role of each </w:t>
      </w:r>
      <w:r w:rsidR="00B86626" w:rsidRPr="007533A9">
        <w:rPr>
          <w:sz w:val="24"/>
          <w:szCs w:val="24"/>
        </w:rPr>
        <w:t>naval</w:t>
      </w:r>
      <w:r w:rsidR="00537D9A" w:rsidRPr="007533A9">
        <w:rPr>
          <w:sz w:val="24"/>
          <w:szCs w:val="24"/>
        </w:rPr>
        <w:t xml:space="preserve"> power toward the war effort. Finally, with regards to action on the Western Front, a look into Edward Grey, the British Foreign Secretary at the start of the war, through his work </w:t>
      </w:r>
      <w:r w:rsidR="00537D9A" w:rsidRPr="007533A9">
        <w:rPr>
          <w:i/>
          <w:iCs/>
          <w:sz w:val="24"/>
          <w:szCs w:val="24"/>
        </w:rPr>
        <w:t>Twenty-Five Years: 1892-1916</w:t>
      </w:r>
      <w:r w:rsidR="00537D9A" w:rsidRPr="007533A9">
        <w:rPr>
          <w:sz w:val="24"/>
          <w:szCs w:val="24"/>
        </w:rPr>
        <w:t xml:space="preserve"> provides an account as to the necessity for British involvement in the European Front.</w:t>
      </w:r>
      <w:r w:rsidR="00537D9A" w:rsidRPr="007533A9">
        <w:rPr>
          <w:color w:val="000000" w:themeColor="text1"/>
          <w:sz w:val="24"/>
          <w:szCs w:val="24"/>
        </w:rPr>
        <w:t xml:space="preserve"> </w:t>
      </w:r>
      <w:r w:rsidR="008655A1" w:rsidRPr="007533A9">
        <w:rPr>
          <w:color w:val="000000" w:themeColor="text1"/>
          <w:sz w:val="24"/>
          <w:szCs w:val="24"/>
        </w:rPr>
        <w:t>E</w:t>
      </w:r>
      <w:r w:rsidR="00A63D88" w:rsidRPr="007533A9">
        <w:rPr>
          <w:color w:val="000000" w:themeColor="text1"/>
          <w:sz w:val="24"/>
          <w:szCs w:val="24"/>
        </w:rPr>
        <w:t xml:space="preserve">xpert on European history, Zbyněk Zeman, </w:t>
      </w:r>
      <w:r w:rsidR="0087725F" w:rsidRPr="007533A9">
        <w:rPr>
          <w:color w:val="000000" w:themeColor="text1"/>
          <w:sz w:val="24"/>
          <w:szCs w:val="24"/>
        </w:rPr>
        <w:t xml:space="preserve">provides an in-depth analysis of the politics of the First World War in his book </w:t>
      </w:r>
      <w:r w:rsidR="007569E3" w:rsidRPr="007533A9">
        <w:rPr>
          <w:i/>
          <w:iCs/>
          <w:color w:val="000000" w:themeColor="text1"/>
          <w:sz w:val="24"/>
          <w:szCs w:val="24"/>
        </w:rPr>
        <w:t>A Diplomatic History of the First World War</w:t>
      </w:r>
      <w:r w:rsidR="007569E3" w:rsidRPr="007533A9">
        <w:rPr>
          <w:color w:val="000000" w:themeColor="text1"/>
          <w:sz w:val="24"/>
          <w:szCs w:val="24"/>
        </w:rPr>
        <w:t xml:space="preserve">. </w:t>
      </w:r>
      <w:r w:rsidR="00086925" w:rsidRPr="007533A9">
        <w:rPr>
          <w:color w:val="000000" w:themeColor="text1"/>
          <w:sz w:val="24"/>
          <w:szCs w:val="24"/>
        </w:rPr>
        <w:t xml:space="preserve">Adding on to this, </w:t>
      </w:r>
      <w:r w:rsidR="001001F0" w:rsidRPr="007533A9">
        <w:rPr>
          <w:color w:val="000000" w:themeColor="text1"/>
          <w:sz w:val="24"/>
          <w:szCs w:val="24"/>
        </w:rPr>
        <w:t xml:space="preserve">the British War Office in 1922 provided an account as to the numbers who served in Britain’s war effort in </w:t>
      </w:r>
      <w:r w:rsidR="001001F0" w:rsidRPr="007533A9">
        <w:rPr>
          <w:i/>
          <w:iCs/>
          <w:color w:val="000000" w:themeColor="text1"/>
          <w:sz w:val="24"/>
          <w:szCs w:val="24"/>
        </w:rPr>
        <w:t>Statistics of the military effort of the British Empire during the Great War, 1914-1920</w:t>
      </w:r>
      <w:r w:rsidR="001001F0" w:rsidRPr="007533A9">
        <w:rPr>
          <w:color w:val="000000" w:themeColor="text1"/>
          <w:sz w:val="24"/>
          <w:szCs w:val="24"/>
        </w:rPr>
        <w:t>.</w:t>
      </w:r>
    </w:p>
    <w:p w14:paraId="1D35A1E0" w14:textId="0250B6DF" w:rsidR="00A24A9B" w:rsidRPr="007533A9" w:rsidRDefault="00537D9A" w:rsidP="00537D9A">
      <w:pPr>
        <w:rPr>
          <w:sz w:val="24"/>
          <w:szCs w:val="24"/>
        </w:rPr>
      </w:pPr>
      <w:r w:rsidRPr="007533A9">
        <w:rPr>
          <w:sz w:val="24"/>
          <w:szCs w:val="24"/>
        </w:rPr>
        <w:t xml:space="preserve">First and foremost, the accounts of life in the trenches of the Western Front overshadow the experiences of colonial servicemen and women who fought for the preservation of the British empire in Africa. </w:t>
      </w:r>
      <w:r w:rsidR="00D73AB9">
        <w:rPr>
          <w:sz w:val="24"/>
          <w:szCs w:val="24"/>
        </w:rPr>
        <w:t xml:space="preserve">Fighting for Britain to </w:t>
      </w:r>
      <w:r w:rsidR="00A10239">
        <w:rPr>
          <w:sz w:val="24"/>
          <w:szCs w:val="24"/>
        </w:rPr>
        <w:t xml:space="preserve">be able to </w:t>
      </w:r>
      <w:r w:rsidR="00D73AB9">
        <w:rPr>
          <w:sz w:val="24"/>
          <w:szCs w:val="24"/>
        </w:rPr>
        <w:t>maintain</w:t>
      </w:r>
      <w:r w:rsidR="009877DD">
        <w:rPr>
          <w:sz w:val="24"/>
          <w:szCs w:val="24"/>
        </w:rPr>
        <w:t xml:space="preserve"> its colonies from Germany’s imperial ambitions, </w:t>
      </w:r>
      <w:r w:rsidRPr="007533A9">
        <w:rPr>
          <w:sz w:val="24"/>
          <w:szCs w:val="24"/>
        </w:rPr>
        <w:t xml:space="preserve">Africans served in the British army. Providing an insight, Page asserts that one million </w:t>
      </w:r>
      <w:r w:rsidR="009B621B">
        <w:rPr>
          <w:sz w:val="24"/>
          <w:szCs w:val="24"/>
        </w:rPr>
        <w:t>volunteered</w:t>
      </w:r>
      <w:r w:rsidRPr="007533A9">
        <w:rPr>
          <w:sz w:val="24"/>
          <w:szCs w:val="24"/>
        </w:rPr>
        <w:t xml:space="preserve"> in the East African Campaign, stating that with regards to casualties</w:t>
      </w:r>
      <w:r w:rsidR="00A24A9B" w:rsidRPr="007533A9">
        <w:rPr>
          <w:sz w:val="24"/>
          <w:szCs w:val="24"/>
        </w:rPr>
        <w:t xml:space="preserve">, </w:t>
      </w:r>
    </w:p>
    <w:p w14:paraId="7EF59AE6" w14:textId="0280A021" w:rsidR="00A24A9B" w:rsidRPr="007533A9" w:rsidRDefault="00537D9A" w:rsidP="00A24A9B">
      <w:pPr>
        <w:ind w:left="227" w:right="227"/>
        <w:rPr>
          <w:sz w:val="24"/>
          <w:szCs w:val="24"/>
        </w:rPr>
      </w:pPr>
      <w:r w:rsidRPr="007533A9">
        <w:rPr>
          <w:sz w:val="24"/>
          <w:szCs w:val="24"/>
        </w:rPr>
        <w:t>G.W.T. Hodges attempted to reconstruct service statistics for the East African campaign and arrived at the figure of more than 100,000 deaths in the British forces alone, nearly 10 percent of the Africans who served in the campaign.</w:t>
      </w:r>
      <w:r w:rsidR="003250E3" w:rsidRPr="007533A9">
        <w:rPr>
          <w:rStyle w:val="FootnoteReference"/>
          <w:sz w:val="24"/>
          <w:szCs w:val="24"/>
        </w:rPr>
        <w:footnoteReference w:id="1"/>
      </w:r>
      <w:r w:rsidRPr="007533A9">
        <w:rPr>
          <w:sz w:val="24"/>
          <w:szCs w:val="24"/>
        </w:rPr>
        <w:t xml:space="preserve"> </w:t>
      </w:r>
    </w:p>
    <w:p w14:paraId="7E002DD8" w14:textId="37A68F87" w:rsidR="00A24A9B" w:rsidRPr="007533A9" w:rsidRDefault="00537D9A" w:rsidP="00537D9A">
      <w:pPr>
        <w:rPr>
          <w:sz w:val="24"/>
          <w:szCs w:val="24"/>
        </w:rPr>
      </w:pPr>
      <w:r w:rsidRPr="007533A9">
        <w:rPr>
          <w:sz w:val="24"/>
          <w:szCs w:val="24"/>
        </w:rPr>
        <w:t xml:space="preserve">These soldiers would prove vital in Britain’s war effort on the continent, </w:t>
      </w:r>
      <w:r w:rsidR="00B5756F">
        <w:rPr>
          <w:sz w:val="24"/>
          <w:szCs w:val="24"/>
        </w:rPr>
        <w:t>with their service being pivotal to the outcome of the c</w:t>
      </w:r>
      <w:r w:rsidR="00C13000">
        <w:rPr>
          <w:sz w:val="24"/>
          <w:szCs w:val="24"/>
        </w:rPr>
        <w:t xml:space="preserve">ampaign. </w:t>
      </w:r>
      <w:r w:rsidRPr="007533A9">
        <w:rPr>
          <w:sz w:val="24"/>
          <w:szCs w:val="24"/>
        </w:rPr>
        <w:t>Page continu</w:t>
      </w:r>
      <w:r w:rsidR="00C13000">
        <w:rPr>
          <w:sz w:val="24"/>
          <w:szCs w:val="24"/>
        </w:rPr>
        <w:t>es</w:t>
      </w:r>
      <w:r w:rsidRPr="007533A9">
        <w:rPr>
          <w:sz w:val="24"/>
          <w:szCs w:val="24"/>
        </w:rPr>
        <w:t xml:space="preserve"> that</w:t>
      </w:r>
      <w:r w:rsidR="00A24A9B" w:rsidRPr="007533A9">
        <w:rPr>
          <w:sz w:val="24"/>
          <w:szCs w:val="24"/>
        </w:rPr>
        <w:t>,</w:t>
      </w:r>
      <w:r w:rsidRPr="007533A9">
        <w:rPr>
          <w:sz w:val="24"/>
          <w:szCs w:val="24"/>
        </w:rPr>
        <w:t xml:space="preserve"> </w:t>
      </w:r>
    </w:p>
    <w:p w14:paraId="5861BAD6" w14:textId="27F0D933" w:rsidR="00A24A9B" w:rsidRPr="007533A9" w:rsidRDefault="00537D9A" w:rsidP="006770A2">
      <w:pPr>
        <w:ind w:left="227" w:right="227"/>
        <w:rPr>
          <w:sz w:val="24"/>
          <w:szCs w:val="24"/>
        </w:rPr>
      </w:pPr>
      <w:r w:rsidRPr="007533A9">
        <w:rPr>
          <w:sz w:val="24"/>
          <w:szCs w:val="24"/>
        </w:rPr>
        <w:t>the campaign in east Africa resembled, more than any other on the continent, the war in Europe. First, there was its length … it was, by a day or so, the longest campaign of the entire war. … The bulk of the campaign, however, was borne – sometimes literally – by Africans. … The askari serving in the numerous battalions of the British King’s African Rifles (KAR) were recruited from the local populations of British East Africa Uganda, Nyasaland, Northern Rhodesia, and even Mozambique. … These African soldiers, especially those of the KAR, took on almost all of the fighting during the last two years of the campaign as first Europeans, then South Africans and Indians, were withdrawn for service in other theatres.</w:t>
      </w:r>
      <w:r w:rsidR="00DE6529" w:rsidRPr="007533A9">
        <w:rPr>
          <w:rStyle w:val="FootnoteReference"/>
          <w:sz w:val="24"/>
          <w:szCs w:val="24"/>
        </w:rPr>
        <w:footnoteReference w:id="2"/>
      </w:r>
      <w:r w:rsidRPr="007533A9">
        <w:rPr>
          <w:sz w:val="24"/>
          <w:szCs w:val="24"/>
        </w:rPr>
        <w:t xml:space="preserve"> </w:t>
      </w:r>
    </w:p>
    <w:p w14:paraId="5BACBFB0" w14:textId="2B186B81" w:rsidR="00537D9A" w:rsidRPr="007533A9" w:rsidRDefault="007046EA" w:rsidP="00537D9A">
      <w:pPr>
        <w:rPr>
          <w:sz w:val="24"/>
          <w:szCs w:val="24"/>
        </w:rPr>
      </w:pPr>
      <w:r>
        <w:rPr>
          <w:sz w:val="24"/>
          <w:szCs w:val="24"/>
        </w:rPr>
        <w:t xml:space="preserve">This means that </w:t>
      </w:r>
      <w:r w:rsidR="00DE2C49">
        <w:rPr>
          <w:sz w:val="24"/>
          <w:szCs w:val="24"/>
        </w:rPr>
        <w:t>the service of Africans fighting for the British army was</w:t>
      </w:r>
      <w:r w:rsidR="00537D9A" w:rsidRPr="007533A9">
        <w:rPr>
          <w:sz w:val="24"/>
          <w:szCs w:val="24"/>
        </w:rPr>
        <w:t xml:space="preserve"> crucial </w:t>
      </w:r>
      <w:r w:rsidR="00A24A9B" w:rsidRPr="007533A9">
        <w:rPr>
          <w:sz w:val="24"/>
          <w:szCs w:val="24"/>
        </w:rPr>
        <w:t xml:space="preserve">in order </w:t>
      </w:r>
      <w:r w:rsidR="00537D9A" w:rsidRPr="007533A9">
        <w:rPr>
          <w:sz w:val="24"/>
          <w:szCs w:val="24"/>
        </w:rPr>
        <w:t xml:space="preserve">to </w:t>
      </w:r>
      <w:r w:rsidR="000770A6">
        <w:rPr>
          <w:sz w:val="24"/>
          <w:szCs w:val="24"/>
        </w:rPr>
        <w:t>achieve</w:t>
      </w:r>
      <w:r w:rsidR="00537D9A" w:rsidRPr="007533A9">
        <w:rPr>
          <w:sz w:val="24"/>
          <w:szCs w:val="24"/>
        </w:rPr>
        <w:t xml:space="preserve"> victory in this theatre. </w:t>
      </w:r>
      <w:r>
        <w:rPr>
          <w:sz w:val="24"/>
          <w:szCs w:val="24"/>
        </w:rPr>
        <w:t xml:space="preserve">As such, </w:t>
      </w:r>
      <w:r w:rsidR="00AF4A66">
        <w:rPr>
          <w:sz w:val="24"/>
          <w:szCs w:val="24"/>
        </w:rPr>
        <w:t xml:space="preserve">the </w:t>
      </w:r>
      <w:r w:rsidR="00705E80">
        <w:rPr>
          <w:sz w:val="24"/>
          <w:szCs w:val="24"/>
        </w:rPr>
        <w:t>vast</w:t>
      </w:r>
      <w:r w:rsidR="00AF4A66">
        <w:rPr>
          <w:sz w:val="24"/>
          <w:szCs w:val="24"/>
        </w:rPr>
        <w:t xml:space="preserve"> number of Africans fighting for Britain</w:t>
      </w:r>
      <w:r w:rsidR="00E76823">
        <w:rPr>
          <w:sz w:val="24"/>
          <w:szCs w:val="24"/>
        </w:rPr>
        <w:t xml:space="preserve"> </w:t>
      </w:r>
      <w:r w:rsidR="00705E80">
        <w:rPr>
          <w:sz w:val="24"/>
          <w:szCs w:val="24"/>
        </w:rPr>
        <w:t xml:space="preserve">was vital to its war effort on this front. </w:t>
      </w:r>
      <w:r w:rsidR="00537D9A" w:rsidRPr="007533A9">
        <w:rPr>
          <w:sz w:val="24"/>
          <w:szCs w:val="24"/>
        </w:rPr>
        <w:t xml:space="preserve">Therefore, the accounts of life in the trenches on </w:t>
      </w:r>
      <w:r w:rsidR="00537D9A" w:rsidRPr="007533A9">
        <w:rPr>
          <w:sz w:val="24"/>
          <w:szCs w:val="24"/>
        </w:rPr>
        <w:lastRenderedPageBreak/>
        <w:t>the Western Front overshadow the experiences of colonial troops in Africa who fought in service of Britain</w:t>
      </w:r>
      <w:r w:rsidR="009E64CA">
        <w:rPr>
          <w:sz w:val="24"/>
          <w:szCs w:val="24"/>
        </w:rPr>
        <w:t>,</w:t>
      </w:r>
      <w:r w:rsidR="00537D9A" w:rsidRPr="007533A9">
        <w:rPr>
          <w:sz w:val="24"/>
          <w:szCs w:val="24"/>
        </w:rPr>
        <w:t xml:space="preserve"> </w:t>
      </w:r>
      <w:r w:rsidR="009E64CA">
        <w:rPr>
          <w:sz w:val="24"/>
          <w:szCs w:val="24"/>
        </w:rPr>
        <w:t>with</w:t>
      </w:r>
      <w:r w:rsidR="00537D9A" w:rsidRPr="007533A9">
        <w:rPr>
          <w:sz w:val="24"/>
          <w:szCs w:val="24"/>
        </w:rPr>
        <w:t xml:space="preserve"> their necessity in this theatre </w:t>
      </w:r>
      <w:r w:rsidR="009E64CA">
        <w:rPr>
          <w:sz w:val="24"/>
          <w:szCs w:val="24"/>
        </w:rPr>
        <w:t>being</w:t>
      </w:r>
      <w:r w:rsidR="00537D9A" w:rsidRPr="007533A9">
        <w:rPr>
          <w:sz w:val="24"/>
          <w:szCs w:val="24"/>
        </w:rPr>
        <w:t xml:space="preserve"> cast aside</w:t>
      </w:r>
      <w:r w:rsidR="009E64CA">
        <w:rPr>
          <w:sz w:val="24"/>
          <w:szCs w:val="24"/>
        </w:rPr>
        <w:t>.</w:t>
      </w:r>
    </w:p>
    <w:p w14:paraId="7A2C80B1" w14:textId="74C4232B" w:rsidR="00316A93" w:rsidRPr="007533A9" w:rsidRDefault="00316A93" w:rsidP="00316A93">
      <w:pPr>
        <w:rPr>
          <w:sz w:val="24"/>
          <w:szCs w:val="24"/>
        </w:rPr>
      </w:pPr>
      <w:r w:rsidRPr="007533A9">
        <w:rPr>
          <w:sz w:val="24"/>
          <w:szCs w:val="24"/>
        </w:rPr>
        <w:t>On the other hand, it could also be argued that the accounts of life in the trenches of the Western Front do not overshadow the experiences of British servicemen and women in other theatres of the war, and as such provides an accurate understanding of the conflict. This is due to the fact that World War One, being centred around European geo-political tensions, started and ended in Europe; from the British perspective the conflict was fought in order to stop a rival empire from expanding</w:t>
      </w:r>
      <w:r w:rsidR="00F2759E">
        <w:rPr>
          <w:sz w:val="24"/>
          <w:szCs w:val="24"/>
        </w:rPr>
        <w:t>, thereby</w:t>
      </w:r>
      <w:r w:rsidRPr="007533A9">
        <w:rPr>
          <w:sz w:val="24"/>
          <w:szCs w:val="24"/>
        </w:rPr>
        <w:t xml:space="preserve"> preserv</w:t>
      </w:r>
      <w:r w:rsidR="00F2759E">
        <w:rPr>
          <w:sz w:val="24"/>
          <w:szCs w:val="24"/>
        </w:rPr>
        <w:t>ing</w:t>
      </w:r>
      <w:r w:rsidRPr="007533A9">
        <w:rPr>
          <w:sz w:val="24"/>
          <w:szCs w:val="24"/>
        </w:rPr>
        <w:t xml:space="preserve"> the status-quo. Illustrated by the then British Foreign Secretary, Edward Grey, who stated in his 1925 book that, of the war, </w:t>
      </w:r>
    </w:p>
    <w:p w14:paraId="1851FFFD" w14:textId="65F8355F" w:rsidR="00316A93" w:rsidRPr="007533A9" w:rsidRDefault="00316A93" w:rsidP="00316A93">
      <w:pPr>
        <w:ind w:left="227" w:right="227"/>
        <w:rPr>
          <w:sz w:val="24"/>
          <w:szCs w:val="24"/>
        </w:rPr>
      </w:pPr>
      <w:r w:rsidRPr="007533A9">
        <w:rPr>
          <w:sz w:val="24"/>
          <w:szCs w:val="24"/>
        </w:rPr>
        <w:t>The French thought of it as the possible end of the history of France as a great Power; to the Germans it must have seemed a possible step forward in the history of their Empire.</w:t>
      </w:r>
      <w:r w:rsidR="00B054EA" w:rsidRPr="007533A9">
        <w:rPr>
          <w:rStyle w:val="FootnoteReference"/>
          <w:sz w:val="24"/>
          <w:szCs w:val="24"/>
        </w:rPr>
        <w:footnoteReference w:id="3"/>
      </w:r>
      <w:r w:rsidRPr="007533A9">
        <w:rPr>
          <w:sz w:val="24"/>
          <w:szCs w:val="24"/>
        </w:rPr>
        <w:t xml:space="preserve"> </w:t>
      </w:r>
    </w:p>
    <w:p w14:paraId="1CD63FCA" w14:textId="77777777" w:rsidR="00316A93" w:rsidRPr="007533A9" w:rsidRDefault="00316A93" w:rsidP="00316A93">
      <w:pPr>
        <w:rPr>
          <w:sz w:val="24"/>
          <w:szCs w:val="24"/>
        </w:rPr>
      </w:pPr>
      <w:r w:rsidRPr="007533A9">
        <w:rPr>
          <w:sz w:val="24"/>
          <w:szCs w:val="24"/>
        </w:rPr>
        <w:t>This means that if Germany had been successful in defeating France, they would have risen to become the most powerful nation in Europe. Such a position would threaten Britain’s own, as explained by Zeman who states that the United Kingdom</w:t>
      </w:r>
    </w:p>
    <w:p w14:paraId="6259E8AB" w14:textId="4A621257" w:rsidR="00316A93" w:rsidRPr="007533A9" w:rsidRDefault="00316A93" w:rsidP="00316A93">
      <w:pPr>
        <w:ind w:left="227" w:right="227"/>
        <w:rPr>
          <w:sz w:val="24"/>
          <w:szCs w:val="24"/>
        </w:rPr>
      </w:pPr>
      <w:r w:rsidRPr="007533A9">
        <w:rPr>
          <w:sz w:val="24"/>
          <w:szCs w:val="24"/>
        </w:rPr>
        <w:t xml:space="preserve">Fought the war for the security and extension of the empire. … German </w:t>
      </w:r>
      <w:r w:rsidRPr="007533A9">
        <w:rPr>
          <w:i/>
          <w:iCs/>
          <w:sz w:val="24"/>
          <w:szCs w:val="24"/>
        </w:rPr>
        <w:t>Mitteleuropa</w:t>
      </w:r>
      <w:r w:rsidRPr="007533A9">
        <w:rPr>
          <w:sz w:val="24"/>
          <w:szCs w:val="24"/>
        </w:rPr>
        <w:t xml:space="preserve"> plans had their concomitant in </w:t>
      </w:r>
      <w:proofErr w:type="spellStart"/>
      <w:r w:rsidRPr="007533A9">
        <w:rPr>
          <w:i/>
          <w:iCs/>
          <w:sz w:val="24"/>
          <w:szCs w:val="24"/>
        </w:rPr>
        <w:t>Mittelafrika</w:t>
      </w:r>
      <w:proofErr w:type="spellEnd"/>
      <w:r w:rsidRPr="007533A9">
        <w:rPr>
          <w:sz w:val="24"/>
          <w:szCs w:val="24"/>
        </w:rPr>
        <w:t xml:space="preserve"> ambitions – an empire, that is, stretching from the Atlantic to the Indian Ocean.</w:t>
      </w:r>
      <w:r w:rsidR="001C7AAE" w:rsidRPr="007533A9">
        <w:rPr>
          <w:rStyle w:val="FootnoteReference"/>
          <w:sz w:val="24"/>
          <w:szCs w:val="24"/>
        </w:rPr>
        <w:footnoteReference w:id="4"/>
      </w:r>
      <w:r w:rsidRPr="007533A9">
        <w:rPr>
          <w:sz w:val="24"/>
          <w:szCs w:val="24"/>
        </w:rPr>
        <w:t xml:space="preserve"> </w:t>
      </w:r>
    </w:p>
    <w:p w14:paraId="488F57C8" w14:textId="2A7E28B3" w:rsidR="00316A93" w:rsidRPr="007533A9" w:rsidRDefault="00316A93" w:rsidP="00316A93">
      <w:pPr>
        <w:rPr>
          <w:sz w:val="24"/>
          <w:szCs w:val="24"/>
        </w:rPr>
      </w:pPr>
      <w:r w:rsidRPr="007533A9">
        <w:rPr>
          <w:sz w:val="24"/>
          <w:szCs w:val="24"/>
        </w:rPr>
        <w:t>This means that European rivalries were the cause of the conflict in theatres outside of the continent, as the war was fought over territorial expansion. As such, the war outside of Europe was of a secondary importance with regards to battlefield success, as victory at home would determine the outcome of the war</w:t>
      </w:r>
      <w:r w:rsidR="00DA1EC5">
        <w:rPr>
          <w:sz w:val="24"/>
          <w:szCs w:val="24"/>
        </w:rPr>
        <w:t xml:space="preserve">; through the defeat of Germany in Europe, </w:t>
      </w:r>
      <w:r w:rsidR="00D12FA8">
        <w:rPr>
          <w:sz w:val="24"/>
          <w:szCs w:val="24"/>
        </w:rPr>
        <w:t>territorial expansion abroad would cease</w:t>
      </w:r>
      <w:r w:rsidRPr="007533A9">
        <w:rPr>
          <w:sz w:val="24"/>
          <w:szCs w:val="24"/>
        </w:rPr>
        <w:t>. Therefore, the account of life in the trenches of the Western Front do not overshadow the experiences of British servicemen and women who served in other theatres of the war as Europe was the main battleground of the conflict, whose politics are the reason for the warfare in other geographical areas</w:t>
      </w:r>
      <w:r w:rsidR="00435931">
        <w:rPr>
          <w:sz w:val="24"/>
          <w:szCs w:val="24"/>
        </w:rPr>
        <w:t xml:space="preserve">, being </w:t>
      </w:r>
      <w:r w:rsidR="001B00C4">
        <w:rPr>
          <w:sz w:val="24"/>
          <w:szCs w:val="24"/>
        </w:rPr>
        <w:t>pivotal</w:t>
      </w:r>
      <w:r w:rsidRPr="007533A9">
        <w:rPr>
          <w:sz w:val="24"/>
          <w:szCs w:val="24"/>
        </w:rPr>
        <w:t xml:space="preserve"> to the ultimate victory.</w:t>
      </w:r>
    </w:p>
    <w:p w14:paraId="02B8E9EC" w14:textId="77777777" w:rsidR="00BE7F32" w:rsidRPr="007533A9" w:rsidRDefault="00537D9A" w:rsidP="00537D9A">
      <w:pPr>
        <w:rPr>
          <w:sz w:val="24"/>
          <w:szCs w:val="24"/>
        </w:rPr>
      </w:pPr>
      <w:r w:rsidRPr="007533A9">
        <w:rPr>
          <w:sz w:val="24"/>
          <w:szCs w:val="24"/>
        </w:rPr>
        <w:t>Adding on to this, the accounts of life in the trenches on the Western Front have overshadowed the experiences of Indian soldiers who served Britain as their action in combat is largely forgotten. Indian servicemen and women were vital to all theatres of the war with their numerical advantage being crucial to the war effort. Morton-Jack explains that</w:t>
      </w:r>
      <w:r w:rsidR="00BE7F32" w:rsidRPr="007533A9">
        <w:rPr>
          <w:sz w:val="24"/>
          <w:szCs w:val="24"/>
        </w:rPr>
        <w:t xml:space="preserve">, </w:t>
      </w:r>
    </w:p>
    <w:p w14:paraId="1B2B53F8" w14:textId="55C682DF" w:rsidR="00BE7F32" w:rsidRPr="007533A9" w:rsidRDefault="00537D9A" w:rsidP="00BE7F32">
      <w:pPr>
        <w:ind w:left="227" w:right="227"/>
        <w:rPr>
          <w:sz w:val="24"/>
          <w:szCs w:val="24"/>
        </w:rPr>
      </w:pPr>
      <w:r w:rsidRPr="007533A9">
        <w:rPr>
          <w:sz w:val="24"/>
          <w:szCs w:val="24"/>
        </w:rPr>
        <w:t xml:space="preserve">India in fact provided seven overseas expeditionary forces for the British war effort. Besides IEFA … (Indian Expeditionary Force A), who served on the Western Front, … </w:t>
      </w:r>
      <w:r w:rsidRPr="007533A9">
        <w:rPr>
          <w:sz w:val="24"/>
          <w:szCs w:val="24"/>
        </w:rPr>
        <w:lastRenderedPageBreak/>
        <w:t>there were IEFs B and C to East Africa, D to Mesopotamia, E and F to Egypt, and G to Gallipoli.</w:t>
      </w:r>
      <w:r w:rsidR="00DE6529" w:rsidRPr="007533A9">
        <w:rPr>
          <w:rStyle w:val="FootnoteReference"/>
          <w:sz w:val="24"/>
          <w:szCs w:val="24"/>
        </w:rPr>
        <w:footnoteReference w:id="5"/>
      </w:r>
      <w:r w:rsidRPr="007533A9">
        <w:rPr>
          <w:sz w:val="24"/>
          <w:szCs w:val="24"/>
        </w:rPr>
        <w:t xml:space="preserve">  </w:t>
      </w:r>
    </w:p>
    <w:p w14:paraId="4DA77BAC" w14:textId="0B3BD273" w:rsidR="00934921" w:rsidRPr="007533A9" w:rsidRDefault="002C379D" w:rsidP="00537D9A">
      <w:pPr>
        <w:rPr>
          <w:sz w:val="24"/>
          <w:szCs w:val="24"/>
        </w:rPr>
      </w:pPr>
      <w:r w:rsidRPr="007533A9">
        <w:rPr>
          <w:sz w:val="24"/>
          <w:szCs w:val="24"/>
        </w:rPr>
        <w:t xml:space="preserve">As </w:t>
      </w:r>
      <w:r w:rsidR="00537D9A" w:rsidRPr="007533A9">
        <w:rPr>
          <w:sz w:val="24"/>
          <w:szCs w:val="24"/>
        </w:rPr>
        <w:t>1.</w:t>
      </w:r>
      <w:r w:rsidR="0013562B" w:rsidRPr="007533A9">
        <w:rPr>
          <w:sz w:val="24"/>
          <w:szCs w:val="24"/>
        </w:rPr>
        <w:t>5</w:t>
      </w:r>
      <w:r w:rsidR="00537D9A" w:rsidRPr="007533A9">
        <w:rPr>
          <w:sz w:val="24"/>
          <w:szCs w:val="24"/>
        </w:rPr>
        <w:t xml:space="preserve"> million Indians fought in total,</w:t>
      </w:r>
      <w:r w:rsidR="00A617F3" w:rsidRPr="007533A9">
        <w:rPr>
          <w:rStyle w:val="FootnoteReference"/>
          <w:sz w:val="24"/>
          <w:szCs w:val="24"/>
        </w:rPr>
        <w:footnoteReference w:id="6"/>
      </w:r>
      <w:r w:rsidR="00537D9A" w:rsidRPr="007533A9">
        <w:rPr>
          <w:sz w:val="24"/>
          <w:szCs w:val="24"/>
        </w:rPr>
        <w:t xml:space="preserve"> with 8.7 million soldiers serv</w:t>
      </w:r>
      <w:r w:rsidR="001B714F">
        <w:rPr>
          <w:sz w:val="24"/>
          <w:szCs w:val="24"/>
        </w:rPr>
        <w:t>ing</w:t>
      </w:r>
      <w:r w:rsidR="00537D9A" w:rsidRPr="007533A9">
        <w:rPr>
          <w:sz w:val="24"/>
          <w:szCs w:val="24"/>
        </w:rPr>
        <w:t xml:space="preserve"> in the British army overall, Indian soldiers accounted for almost 1 in 9 of Britain’s manpower, proving vital in notably instances, such as in the Mesopotamian Campaign. In this theatre, in order to be able to preserve its supply of oil from a hostile Ottoman empire, Britain became militarily involved in the Middle East, utilizing Indian troops due to their geographical proximity. Baker explains that</w:t>
      </w:r>
      <w:r w:rsidR="00934921" w:rsidRPr="007533A9">
        <w:rPr>
          <w:sz w:val="24"/>
          <w:szCs w:val="24"/>
        </w:rPr>
        <w:t>,</w:t>
      </w:r>
      <w:r w:rsidR="00537D9A" w:rsidRPr="007533A9">
        <w:rPr>
          <w:sz w:val="24"/>
          <w:szCs w:val="24"/>
        </w:rPr>
        <w:t xml:space="preserve"> </w:t>
      </w:r>
    </w:p>
    <w:p w14:paraId="184F67E5" w14:textId="37785DE8" w:rsidR="00934921" w:rsidRPr="007533A9" w:rsidRDefault="00537D9A" w:rsidP="00934921">
      <w:pPr>
        <w:ind w:left="227" w:right="227"/>
        <w:rPr>
          <w:sz w:val="24"/>
          <w:szCs w:val="24"/>
        </w:rPr>
      </w:pPr>
      <w:r w:rsidRPr="007533A9">
        <w:rPr>
          <w:sz w:val="24"/>
          <w:szCs w:val="24"/>
        </w:rPr>
        <w:t>in Whitehall, an expedition to Mesopotamia had already been discussed at the end of September … (1914) … when a memorandum entitled ‘The role of India in a Turkish War’ was submitted to the British Government by Sir Edmund Barrow, the Military Secretary of the India Office</w:t>
      </w:r>
      <w:r w:rsidR="00934921" w:rsidRPr="007533A9">
        <w:rPr>
          <w:sz w:val="24"/>
          <w:szCs w:val="24"/>
        </w:rPr>
        <w:t>.</w:t>
      </w:r>
      <w:r w:rsidRPr="007533A9">
        <w:rPr>
          <w:sz w:val="24"/>
          <w:szCs w:val="24"/>
        </w:rPr>
        <w:t xml:space="preserve"> … Such action would serve to protect the refinery at Abadan … important since oil interests were becoming the prime concern of Britain’s economy.</w:t>
      </w:r>
      <w:r w:rsidR="00D97F8D" w:rsidRPr="007533A9">
        <w:rPr>
          <w:rStyle w:val="FootnoteReference"/>
          <w:sz w:val="24"/>
          <w:szCs w:val="24"/>
        </w:rPr>
        <w:footnoteReference w:id="7"/>
      </w:r>
      <w:r w:rsidRPr="007533A9">
        <w:rPr>
          <w:sz w:val="24"/>
          <w:szCs w:val="24"/>
        </w:rPr>
        <w:t xml:space="preserve"> </w:t>
      </w:r>
    </w:p>
    <w:p w14:paraId="1F3F64A6" w14:textId="171E48AD" w:rsidR="00537D9A" w:rsidRPr="007533A9" w:rsidRDefault="00537D9A" w:rsidP="00537D9A">
      <w:pPr>
        <w:rPr>
          <w:sz w:val="24"/>
          <w:szCs w:val="24"/>
        </w:rPr>
      </w:pPr>
      <w:r w:rsidRPr="007533A9">
        <w:rPr>
          <w:sz w:val="24"/>
          <w:szCs w:val="24"/>
        </w:rPr>
        <w:t xml:space="preserve">Under the command of John Nixon, the Indian Expeditionary Forces landed near the city of Abadan on the 23rd of October to secure British oil fields. After the Ottoman Empire officially entered the war on the side of the Central Powers, on November 6th, 1914, an Indian infantry division under the command of General Barret landed </w:t>
      </w:r>
      <w:r w:rsidR="004460AC">
        <w:rPr>
          <w:sz w:val="24"/>
          <w:szCs w:val="24"/>
        </w:rPr>
        <w:t>near</w:t>
      </w:r>
      <w:r w:rsidRPr="007533A9">
        <w:rPr>
          <w:sz w:val="24"/>
          <w:szCs w:val="24"/>
        </w:rPr>
        <w:t xml:space="preserve"> the city of </w:t>
      </w:r>
      <w:proofErr w:type="spellStart"/>
      <w:r w:rsidRPr="007533A9">
        <w:rPr>
          <w:sz w:val="24"/>
          <w:szCs w:val="24"/>
        </w:rPr>
        <w:t>Fao</w:t>
      </w:r>
      <w:proofErr w:type="spellEnd"/>
      <w:r w:rsidRPr="007533A9">
        <w:rPr>
          <w:sz w:val="24"/>
          <w:szCs w:val="24"/>
        </w:rPr>
        <w:t>, capturing it on November 8th.</w:t>
      </w:r>
      <w:r w:rsidR="00866D96" w:rsidRPr="007533A9">
        <w:rPr>
          <w:rStyle w:val="FootnoteReference"/>
          <w:sz w:val="24"/>
          <w:szCs w:val="24"/>
        </w:rPr>
        <w:footnoteReference w:id="8"/>
      </w:r>
      <w:r w:rsidRPr="007533A9">
        <w:rPr>
          <w:sz w:val="24"/>
          <w:szCs w:val="24"/>
        </w:rPr>
        <w:t xml:space="preserve"> </w:t>
      </w:r>
      <w:r w:rsidR="00021EBF">
        <w:rPr>
          <w:sz w:val="24"/>
          <w:szCs w:val="24"/>
        </w:rPr>
        <w:t>D</w:t>
      </w:r>
      <w:r w:rsidRPr="007533A9">
        <w:rPr>
          <w:sz w:val="24"/>
          <w:szCs w:val="24"/>
        </w:rPr>
        <w:t xml:space="preserve">espite the importance of this theatre, and the key role which Indian troops played in it, the Mesopotamian Campaign is largely brushed aside </w:t>
      </w:r>
      <w:r w:rsidR="009F7D5B">
        <w:rPr>
          <w:sz w:val="24"/>
          <w:szCs w:val="24"/>
        </w:rPr>
        <w:t>in memory of the</w:t>
      </w:r>
      <w:r w:rsidRPr="007533A9">
        <w:rPr>
          <w:sz w:val="24"/>
          <w:szCs w:val="24"/>
        </w:rPr>
        <w:t xml:space="preserve"> First World War in favour of the Western Front</w:t>
      </w:r>
      <w:r w:rsidR="00021EBF">
        <w:rPr>
          <w:sz w:val="24"/>
          <w:szCs w:val="24"/>
        </w:rPr>
        <w:t xml:space="preserve">. This means that their role in </w:t>
      </w:r>
      <w:r w:rsidR="00905B6C">
        <w:rPr>
          <w:sz w:val="24"/>
          <w:szCs w:val="24"/>
        </w:rPr>
        <w:t xml:space="preserve">securing Britain’s supply of oil, </w:t>
      </w:r>
      <w:r w:rsidR="00005505">
        <w:rPr>
          <w:sz w:val="24"/>
          <w:szCs w:val="24"/>
        </w:rPr>
        <w:t>fundamental</w:t>
      </w:r>
      <w:r w:rsidR="00905B6C">
        <w:rPr>
          <w:sz w:val="24"/>
          <w:szCs w:val="24"/>
        </w:rPr>
        <w:t xml:space="preserve"> to the war effort, is </w:t>
      </w:r>
      <w:r w:rsidR="00095ABB">
        <w:rPr>
          <w:sz w:val="24"/>
          <w:szCs w:val="24"/>
        </w:rPr>
        <w:t>cast aside.</w:t>
      </w:r>
      <w:r w:rsidR="003C2880">
        <w:rPr>
          <w:sz w:val="24"/>
          <w:szCs w:val="24"/>
        </w:rPr>
        <w:t xml:space="preserve"> </w:t>
      </w:r>
      <w:r w:rsidRPr="007533A9">
        <w:rPr>
          <w:sz w:val="24"/>
          <w:szCs w:val="24"/>
        </w:rPr>
        <w:t>Therefore, accounts of life in the trenches on the Western Front have overshadowed the experiences of Indian troops</w:t>
      </w:r>
      <w:r w:rsidR="00394001">
        <w:rPr>
          <w:sz w:val="24"/>
          <w:szCs w:val="24"/>
        </w:rPr>
        <w:t xml:space="preserve"> who served in all theatres</w:t>
      </w:r>
      <w:r w:rsidRPr="007533A9">
        <w:rPr>
          <w:sz w:val="24"/>
          <w:szCs w:val="24"/>
        </w:rPr>
        <w:t xml:space="preserve">, </w:t>
      </w:r>
      <w:r w:rsidR="00057E86">
        <w:rPr>
          <w:sz w:val="24"/>
          <w:szCs w:val="24"/>
        </w:rPr>
        <w:t>crucially in the</w:t>
      </w:r>
      <w:r w:rsidRPr="007533A9">
        <w:rPr>
          <w:sz w:val="24"/>
          <w:szCs w:val="24"/>
        </w:rPr>
        <w:t xml:space="preserve"> Mesopotamian Campaign, as their service was vital to the preservation of the British empire, an action neglected in modern memory of the First World War.</w:t>
      </w:r>
    </w:p>
    <w:p w14:paraId="79D3DE54" w14:textId="276525D9" w:rsidR="00316A93" w:rsidRPr="007533A9" w:rsidRDefault="00316A93" w:rsidP="00537D9A">
      <w:pPr>
        <w:rPr>
          <w:sz w:val="24"/>
          <w:szCs w:val="24"/>
        </w:rPr>
      </w:pPr>
      <w:r w:rsidRPr="007533A9">
        <w:rPr>
          <w:sz w:val="24"/>
          <w:szCs w:val="24"/>
        </w:rPr>
        <w:t>Moreover, it could be argued that the accounts of life in the trenches of the Western Front do not overshadow the experiences of British servicemen and women in other theatres of the war because substantially more soldiers served in the former rather than in that of the latter as a result of its political importance. According to the official British government survey conducted in 1922, roughly 650,000</w:t>
      </w:r>
      <w:r w:rsidR="006C2E68" w:rsidRPr="007533A9">
        <w:rPr>
          <w:rStyle w:val="FootnoteReference"/>
          <w:sz w:val="24"/>
          <w:szCs w:val="24"/>
        </w:rPr>
        <w:footnoteReference w:id="9"/>
      </w:r>
      <w:r w:rsidRPr="007533A9">
        <w:rPr>
          <w:sz w:val="24"/>
          <w:szCs w:val="24"/>
        </w:rPr>
        <w:t xml:space="preserve"> British soldiers died in France and Flanders, including colonial troops; by contrast 115,418</w:t>
      </w:r>
      <w:r w:rsidR="00E156AA" w:rsidRPr="007533A9">
        <w:rPr>
          <w:rStyle w:val="FootnoteReference"/>
          <w:sz w:val="24"/>
          <w:szCs w:val="24"/>
        </w:rPr>
        <w:footnoteReference w:id="10"/>
      </w:r>
      <w:r w:rsidRPr="007533A9">
        <w:rPr>
          <w:sz w:val="24"/>
          <w:szCs w:val="24"/>
        </w:rPr>
        <w:t xml:space="preserve"> died serving in all other fronts combined. </w:t>
      </w:r>
      <w:r w:rsidR="00592288" w:rsidRPr="007533A9">
        <w:rPr>
          <w:sz w:val="24"/>
          <w:szCs w:val="24"/>
        </w:rPr>
        <w:t>This is due to the fact that</w:t>
      </w:r>
      <w:r w:rsidRPr="007533A9">
        <w:rPr>
          <w:sz w:val="24"/>
          <w:szCs w:val="24"/>
        </w:rPr>
        <w:t xml:space="preserve"> substantially more men serv</w:t>
      </w:r>
      <w:r w:rsidR="00A65961" w:rsidRPr="007533A9">
        <w:rPr>
          <w:sz w:val="24"/>
          <w:szCs w:val="24"/>
        </w:rPr>
        <w:t>ed</w:t>
      </w:r>
      <w:r w:rsidRPr="007533A9">
        <w:rPr>
          <w:sz w:val="24"/>
          <w:szCs w:val="24"/>
        </w:rPr>
        <w:t xml:space="preserve"> on the </w:t>
      </w:r>
      <w:r w:rsidRPr="007533A9">
        <w:rPr>
          <w:sz w:val="24"/>
          <w:szCs w:val="24"/>
        </w:rPr>
        <w:lastRenderedPageBreak/>
        <w:t xml:space="preserve">Western Front than in any other theatre, </w:t>
      </w:r>
      <w:r w:rsidR="000D21EB" w:rsidRPr="007533A9">
        <w:rPr>
          <w:sz w:val="24"/>
          <w:szCs w:val="24"/>
        </w:rPr>
        <w:t xml:space="preserve">with </w:t>
      </w:r>
      <w:r w:rsidR="00FB1A37" w:rsidRPr="007533A9">
        <w:rPr>
          <w:sz w:val="24"/>
          <w:szCs w:val="24"/>
        </w:rPr>
        <w:t>5,400</w:t>
      </w:r>
      <w:r w:rsidR="00944869" w:rsidRPr="007533A9">
        <w:rPr>
          <w:sz w:val="24"/>
          <w:szCs w:val="24"/>
        </w:rPr>
        <w:t>,000 British troops having served in this campaign,</w:t>
      </w:r>
      <w:r w:rsidR="0002644E" w:rsidRPr="007533A9">
        <w:rPr>
          <w:rStyle w:val="FootnoteReference"/>
          <w:sz w:val="24"/>
          <w:szCs w:val="24"/>
        </w:rPr>
        <w:footnoteReference w:id="11"/>
      </w:r>
      <w:r w:rsidR="00944869" w:rsidRPr="007533A9">
        <w:rPr>
          <w:sz w:val="24"/>
          <w:szCs w:val="24"/>
        </w:rPr>
        <w:t xml:space="preserve"> </w:t>
      </w:r>
      <w:r w:rsidR="00955146">
        <w:rPr>
          <w:sz w:val="24"/>
          <w:szCs w:val="24"/>
        </w:rPr>
        <w:t>whereas</w:t>
      </w:r>
      <w:r w:rsidR="00944869" w:rsidRPr="007533A9">
        <w:rPr>
          <w:sz w:val="24"/>
          <w:szCs w:val="24"/>
        </w:rPr>
        <w:t xml:space="preserve"> </w:t>
      </w:r>
      <w:r w:rsidR="00E57FE8" w:rsidRPr="007533A9">
        <w:rPr>
          <w:sz w:val="24"/>
          <w:szCs w:val="24"/>
        </w:rPr>
        <w:t>890,000</w:t>
      </w:r>
      <w:r w:rsidR="00955146">
        <w:rPr>
          <w:sz w:val="24"/>
          <w:szCs w:val="24"/>
        </w:rPr>
        <w:t xml:space="preserve"> </w:t>
      </w:r>
      <w:r w:rsidR="00E57FE8" w:rsidRPr="007533A9">
        <w:rPr>
          <w:sz w:val="24"/>
          <w:szCs w:val="24"/>
        </w:rPr>
        <w:t>fought in Mesopotamia</w:t>
      </w:r>
      <w:r w:rsidR="00F27ECB" w:rsidRPr="007533A9">
        <w:rPr>
          <w:rStyle w:val="FootnoteReference"/>
          <w:sz w:val="24"/>
          <w:szCs w:val="24"/>
        </w:rPr>
        <w:footnoteReference w:id="12"/>
      </w:r>
      <w:r w:rsidR="00E57FE8" w:rsidRPr="007533A9">
        <w:rPr>
          <w:sz w:val="24"/>
          <w:szCs w:val="24"/>
        </w:rPr>
        <w:t xml:space="preserve"> and 2,687,000</w:t>
      </w:r>
      <w:r w:rsidR="00B636A7">
        <w:rPr>
          <w:sz w:val="24"/>
          <w:szCs w:val="24"/>
        </w:rPr>
        <w:t xml:space="preserve"> battled</w:t>
      </w:r>
      <w:r w:rsidR="00E57FE8" w:rsidRPr="007533A9">
        <w:rPr>
          <w:sz w:val="24"/>
          <w:szCs w:val="24"/>
        </w:rPr>
        <w:t xml:space="preserve"> </w:t>
      </w:r>
      <w:r w:rsidR="00A65961" w:rsidRPr="007533A9">
        <w:rPr>
          <w:sz w:val="24"/>
          <w:szCs w:val="24"/>
        </w:rPr>
        <w:t>in all other fronts</w:t>
      </w:r>
      <w:r w:rsidR="0002644E" w:rsidRPr="007533A9">
        <w:rPr>
          <w:sz w:val="24"/>
          <w:szCs w:val="24"/>
        </w:rPr>
        <w:t>.</w:t>
      </w:r>
      <w:r w:rsidR="00F27ECB" w:rsidRPr="007533A9">
        <w:rPr>
          <w:rStyle w:val="FootnoteReference"/>
          <w:sz w:val="24"/>
          <w:szCs w:val="24"/>
        </w:rPr>
        <w:footnoteReference w:id="13"/>
      </w:r>
      <w:r w:rsidR="00E764D5" w:rsidRPr="007533A9">
        <w:rPr>
          <w:sz w:val="24"/>
          <w:szCs w:val="24"/>
        </w:rPr>
        <w:t xml:space="preserve"> </w:t>
      </w:r>
      <w:r w:rsidR="00E05D26">
        <w:rPr>
          <w:sz w:val="24"/>
          <w:szCs w:val="24"/>
        </w:rPr>
        <w:t>As such, this means</w:t>
      </w:r>
      <w:r w:rsidR="00251A45" w:rsidRPr="007533A9">
        <w:rPr>
          <w:sz w:val="24"/>
          <w:szCs w:val="24"/>
        </w:rPr>
        <w:t xml:space="preserve"> that</w:t>
      </w:r>
      <w:r w:rsidRPr="007533A9">
        <w:rPr>
          <w:sz w:val="24"/>
          <w:szCs w:val="24"/>
        </w:rPr>
        <w:t xml:space="preserve"> the </w:t>
      </w:r>
      <w:r w:rsidR="00E764D5" w:rsidRPr="007533A9">
        <w:rPr>
          <w:sz w:val="24"/>
          <w:szCs w:val="24"/>
        </w:rPr>
        <w:t>Western Front</w:t>
      </w:r>
      <w:r w:rsidRPr="007533A9">
        <w:rPr>
          <w:sz w:val="24"/>
          <w:szCs w:val="24"/>
        </w:rPr>
        <w:t xml:space="preserve"> was the typical experience of British servicemen and women who fought in the First World War</w:t>
      </w:r>
      <w:r w:rsidR="00E764D5" w:rsidRPr="007533A9">
        <w:rPr>
          <w:sz w:val="24"/>
          <w:szCs w:val="24"/>
        </w:rPr>
        <w:t xml:space="preserve">, whereas other campaigns were the </w:t>
      </w:r>
      <w:r w:rsidR="00442A1A">
        <w:rPr>
          <w:sz w:val="24"/>
          <w:szCs w:val="24"/>
        </w:rPr>
        <w:t>uncommon</w:t>
      </w:r>
      <w:r w:rsidR="008E24D1" w:rsidRPr="007533A9">
        <w:rPr>
          <w:sz w:val="24"/>
          <w:szCs w:val="24"/>
        </w:rPr>
        <w:t xml:space="preserve"> perspective</w:t>
      </w:r>
      <w:r w:rsidR="0081128D">
        <w:rPr>
          <w:sz w:val="24"/>
          <w:szCs w:val="24"/>
        </w:rPr>
        <w:t xml:space="preserve">, thereby </w:t>
      </w:r>
      <w:r w:rsidR="001900D7">
        <w:rPr>
          <w:sz w:val="24"/>
          <w:szCs w:val="24"/>
        </w:rPr>
        <w:t>resulting in</w:t>
      </w:r>
      <w:r w:rsidR="00857B18">
        <w:rPr>
          <w:sz w:val="24"/>
          <w:szCs w:val="24"/>
        </w:rPr>
        <w:t xml:space="preserve"> modern Britain </w:t>
      </w:r>
      <w:r w:rsidR="001900D7">
        <w:rPr>
          <w:sz w:val="24"/>
          <w:szCs w:val="24"/>
        </w:rPr>
        <w:t>having</w:t>
      </w:r>
      <w:r w:rsidR="00857B18">
        <w:rPr>
          <w:sz w:val="24"/>
          <w:szCs w:val="24"/>
        </w:rPr>
        <w:t xml:space="preserve"> more of an attachment </w:t>
      </w:r>
      <w:r w:rsidR="001900D7">
        <w:rPr>
          <w:sz w:val="24"/>
          <w:szCs w:val="24"/>
        </w:rPr>
        <w:t xml:space="preserve">with </w:t>
      </w:r>
      <w:r w:rsidR="00033858">
        <w:rPr>
          <w:sz w:val="24"/>
          <w:szCs w:val="24"/>
        </w:rPr>
        <w:t>this theatre.</w:t>
      </w:r>
      <w:r w:rsidR="003A223C">
        <w:rPr>
          <w:sz w:val="24"/>
          <w:szCs w:val="24"/>
        </w:rPr>
        <w:t xml:space="preserve"> </w:t>
      </w:r>
      <w:r w:rsidR="002058B2">
        <w:rPr>
          <w:sz w:val="24"/>
          <w:szCs w:val="24"/>
        </w:rPr>
        <w:t>Consequently</w:t>
      </w:r>
      <w:r w:rsidR="003A223C">
        <w:rPr>
          <w:sz w:val="24"/>
          <w:szCs w:val="24"/>
        </w:rPr>
        <w:t xml:space="preserve">, </w:t>
      </w:r>
      <w:r w:rsidR="00553AFB">
        <w:rPr>
          <w:sz w:val="24"/>
          <w:szCs w:val="24"/>
        </w:rPr>
        <w:t xml:space="preserve">the reason as to </w:t>
      </w:r>
      <w:r w:rsidR="00C434B6">
        <w:rPr>
          <w:sz w:val="24"/>
          <w:szCs w:val="24"/>
        </w:rPr>
        <w:t>life on the</w:t>
      </w:r>
      <w:r w:rsidR="00553AFB">
        <w:rPr>
          <w:sz w:val="24"/>
          <w:szCs w:val="24"/>
        </w:rPr>
        <w:t xml:space="preserve"> Western Front </w:t>
      </w:r>
      <w:r w:rsidR="002D265E">
        <w:rPr>
          <w:sz w:val="24"/>
          <w:szCs w:val="24"/>
        </w:rPr>
        <w:t>is better remembered than the</w:t>
      </w:r>
      <w:r w:rsidR="00107872">
        <w:rPr>
          <w:sz w:val="24"/>
          <w:szCs w:val="24"/>
        </w:rPr>
        <w:t xml:space="preserve"> experiences of soldiers who served in other fronts is because their </w:t>
      </w:r>
      <w:r w:rsidR="002D265E">
        <w:rPr>
          <w:sz w:val="24"/>
          <w:szCs w:val="24"/>
        </w:rPr>
        <w:t>perspective of the war</w:t>
      </w:r>
      <w:r w:rsidR="00C434B6">
        <w:rPr>
          <w:sz w:val="24"/>
          <w:szCs w:val="24"/>
        </w:rPr>
        <w:t xml:space="preserve"> w</w:t>
      </w:r>
      <w:r w:rsidR="002D265E">
        <w:rPr>
          <w:sz w:val="24"/>
          <w:szCs w:val="24"/>
        </w:rPr>
        <w:t>as</w:t>
      </w:r>
      <w:r w:rsidR="00C434B6">
        <w:rPr>
          <w:sz w:val="24"/>
          <w:szCs w:val="24"/>
        </w:rPr>
        <w:t xml:space="preserve"> that of the typical British soldier.</w:t>
      </w:r>
      <w:r w:rsidRPr="007533A9">
        <w:rPr>
          <w:sz w:val="24"/>
          <w:szCs w:val="24"/>
        </w:rPr>
        <w:t xml:space="preserve"> Therefore, the accounts of life in the trenches of the Western Front do not overshadow th</w:t>
      </w:r>
      <w:r w:rsidR="00E74210">
        <w:rPr>
          <w:sz w:val="24"/>
          <w:szCs w:val="24"/>
        </w:rPr>
        <w:t>at</w:t>
      </w:r>
      <w:r w:rsidRPr="007533A9">
        <w:rPr>
          <w:sz w:val="24"/>
          <w:szCs w:val="24"/>
        </w:rPr>
        <w:t xml:space="preserve"> of British servicemen and women in other theatres of the war because th</w:t>
      </w:r>
      <w:r w:rsidR="00F00E6C">
        <w:rPr>
          <w:sz w:val="24"/>
          <w:szCs w:val="24"/>
        </w:rPr>
        <w:t>e</w:t>
      </w:r>
      <w:r w:rsidR="00584426">
        <w:rPr>
          <w:sz w:val="24"/>
          <w:szCs w:val="24"/>
        </w:rPr>
        <w:t xml:space="preserve"> former </w:t>
      </w:r>
      <w:r w:rsidRPr="007533A9">
        <w:rPr>
          <w:sz w:val="24"/>
          <w:szCs w:val="24"/>
        </w:rPr>
        <w:t xml:space="preserve">was the </w:t>
      </w:r>
      <w:r w:rsidR="00467E9E">
        <w:rPr>
          <w:sz w:val="24"/>
          <w:szCs w:val="24"/>
        </w:rPr>
        <w:t>average</w:t>
      </w:r>
      <w:r w:rsidRPr="007533A9">
        <w:rPr>
          <w:sz w:val="24"/>
          <w:szCs w:val="24"/>
        </w:rPr>
        <w:t xml:space="preserve"> experience of</w:t>
      </w:r>
      <w:r w:rsidR="002820D8">
        <w:rPr>
          <w:sz w:val="24"/>
          <w:szCs w:val="24"/>
        </w:rPr>
        <w:t xml:space="preserve"> </w:t>
      </w:r>
      <w:r w:rsidRPr="007533A9">
        <w:rPr>
          <w:sz w:val="24"/>
          <w:szCs w:val="24"/>
        </w:rPr>
        <w:t>First World War soldiers</w:t>
      </w:r>
      <w:r w:rsidR="00584426">
        <w:rPr>
          <w:sz w:val="24"/>
          <w:szCs w:val="24"/>
        </w:rPr>
        <w:t xml:space="preserve"> fighting for Britain</w:t>
      </w:r>
      <w:r w:rsidR="00617F70">
        <w:rPr>
          <w:sz w:val="24"/>
          <w:szCs w:val="24"/>
        </w:rPr>
        <w:t xml:space="preserve"> </w:t>
      </w:r>
      <w:r w:rsidR="000C2E84">
        <w:rPr>
          <w:sz w:val="24"/>
          <w:szCs w:val="24"/>
        </w:rPr>
        <w:t xml:space="preserve">and </w:t>
      </w:r>
      <w:r w:rsidR="00025246">
        <w:rPr>
          <w:sz w:val="24"/>
          <w:szCs w:val="24"/>
        </w:rPr>
        <w:t xml:space="preserve">is </w:t>
      </w:r>
      <w:r w:rsidR="00FB7FE7">
        <w:rPr>
          <w:sz w:val="24"/>
          <w:szCs w:val="24"/>
        </w:rPr>
        <w:t>subsequently better remembered</w:t>
      </w:r>
      <w:r w:rsidRPr="007533A9">
        <w:rPr>
          <w:sz w:val="24"/>
          <w:szCs w:val="24"/>
        </w:rPr>
        <w:t>.</w:t>
      </w:r>
    </w:p>
    <w:p w14:paraId="75C33638" w14:textId="7898D1CB" w:rsidR="00FB0178" w:rsidRPr="007533A9" w:rsidRDefault="00537D9A" w:rsidP="00537D9A">
      <w:pPr>
        <w:rPr>
          <w:sz w:val="24"/>
          <w:szCs w:val="24"/>
        </w:rPr>
      </w:pPr>
      <w:r w:rsidRPr="007533A9">
        <w:rPr>
          <w:sz w:val="24"/>
          <w:szCs w:val="24"/>
        </w:rPr>
        <w:t xml:space="preserve">Furthermore, the accounts of life in the trenches on the Western Front overshadow the experiences of British servicemen and women who served in the naval campaign. </w:t>
      </w:r>
      <w:r w:rsidR="00AF238C">
        <w:rPr>
          <w:sz w:val="24"/>
          <w:szCs w:val="24"/>
        </w:rPr>
        <w:t>T</w:t>
      </w:r>
      <w:r w:rsidRPr="007533A9">
        <w:rPr>
          <w:sz w:val="24"/>
          <w:szCs w:val="24"/>
        </w:rPr>
        <w:t xml:space="preserve">he defeat of Vice Admiral Maximilian von Spee’s line in the Falklands in December 1914, followed by the subsequent Allied conquest of Germany’s Pacific colonies resulted in the complete destruction of the German East Asiatic Squadron, ensuring that the </w:t>
      </w:r>
      <w:r w:rsidR="00B95DF2">
        <w:rPr>
          <w:sz w:val="24"/>
          <w:szCs w:val="24"/>
        </w:rPr>
        <w:t>Germans</w:t>
      </w:r>
      <w:r w:rsidRPr="007533A9">
        <w:rPr>
          <w:sz w:val="24"/>
          <w:szCs w:val="24"/>
        </w:rPr>
        <w:t xml:space="preserve"> could not operate beyond the Western Front without the use of U-boats. Making clear the significance of this, </w:t>
      </w:r>
      <w:proofErr w:type="spellStart"/>
      <w:r w:rsidRPr="007533A9">
        <w:rPr>
          <w:sz w:val="24"/>
          <w:szCs w:val="24"/>
        </w:rPr>
        <w:t>Sondhaus</w:t>
      </w:r>
      <w:proofErr w:type="spellEnd"/>
      <w:r w:rsidRPr="007533A9">
        <w:rPr>
          <w:sz w:val="24"/>
          <w:szCs w:val="24"/>
        </w:rPr>
        <w:t xml:space="preserve"> explains that</w:t>
      </w:r>
      <w:r w:rsidR="00FB0178" w:rsidRPr="007533A9">
        <w:rPr>
          <w:sz w:val="24"/>
          <w:szCs w:val="24"/>
        </w:rPr>
        <w:t>,</w:t>
      </w:r>
      <w:r w:rsidRPr="007533A9">
        <w:rPr>
          <w:sz w:val="24"/>
          <w:szCs w:val="24"/>
        </w:rPr>
        <w:t xml:space="preserve"> </w:t>
      </w:r>
    </w:p>
    <w:p w14:paraId="6F22AE59" w14:textId="232AFEA3" w:rsidR="00FB0178" w:rsidRPr="007533A9" w:rsidRDefault="00537D9A" w:rsidP="00376ED8">
      <w:pPr>
        <w:ind w:left="227" w:right="227"/>
        <w:rPr>
          <w:sz w:val="24"/>
          <w:szCs w:val="24"/>
        </w:rPr>
      </w:pPr>
      <w:r w:rsidRPr="007533A9">
        <w:rPr>
          <w:sz w:val="24"/>
          <w:szCs w:val="24"/>
        </w:rPr>
        <w:t>In addition to allowing the partition of Germany’s Pacific colonies, it facilitated the free movement of troops from India to Africa and to the Middle East, where they shouldered much of the burden of the Allied war effort there, and additional millions of men from the British dominions</w:t>
      </w:r>
      <w:r w:rsidR="00376ED8" w:rsidRPr="007533A9">
        <w:rPr>
          <w:sz w:val="24"/>
          <w:szCs w:val="24"/>
        </w:rPr>
        <w:t>.</w:t>
      </w:r>
      <w:r w:rsidRPr="007533A9">
        <w:rPr>
          <w:sz w:val="24"/>
          <w:szCs w:val="24"/>
        </w:rPr>
        <w:t xml:space="preserve"> … In general terms, it allowed the Allies free movement of food, fuel, and other materials on a global basis.</w:t>
      </w:r>
      <w:r w:rsidR="00D37345" w:rsidRPr="007533A9">
        <w:rPr>
          <w:rStyle w:val="FootnoteReference"/>
          <w:sz w:val="24"/>
          <w:szCs w:val="24"/>
        </w:rPr>
        <w:footnoteReference w:id="14"/>
      </w:r>
      <w:r w:rsidRPr="007533A9">
        <w:rPr>
          <w:sz w:val="24"/>
          <w:szCs w:val="24"/>
        </w:rPr>
        <w:t xml:space="preserve"> </w:t>
      </w:r>
    </w:p>
    <w:p w14:paraId="0727E3E1" w14:textId="101EA24F" w:rsidR="00537D9A" w:rsidRPr="007533A9" w:rsidRDefault="0045017F" w:rsidP="00537D9A">
      <w:pPr>
        <w:rPr>
          <w:sz w:val="24"/>
          <w:szCs w:val="24"/>
        </w:rPr>
      </w:pPr>
      <w:r>
        <w:rPr>
          <w:sz w:val="24"/>
          <w:szCs w:val="24"/>
        </w:rPr>
        <w:t>This means that</w:t>
      </w:r>
      <w:r w:rsidR="00537D9A" w:rsidRPr="007533A9">
        <w:rPr>
          <w:sz w:val="24"/>
          <w:szCs w:val="24"/>
        </w:rPr>
        <w:t xml:space="preserve"> the navy played a crucial role in the war effort as the actions of British servicemen and women who fought at sea assisted those fighting </w:t>
      </w:r>
      <w:r w:rsidR="003A21C3">
        <w:rPr>
          <w:sz w:val="24"/>
          <w:szCs w:val="24"/>
        </w:rPr>
        <w:t>i</w:t>
      </w:r>
      <w:r w:rsidR="00537D9A" w:rsidRPr="007533A9">
        <w:rPr>
          <w:sz w:val="24"/>
          <w:szCs w:val="24"/>
        </w:rPr>
        <w:t xml:space="preserve">n the </w:t>
      </w:r>
      <w:r w:rsidR="004B2C51">
        <w:rPr>
          <w:sz w:val="24"/>
          <w:szCs w:val="24"/>
        </w:rPr>
        <w:t>theatres</w:t>
      </w:r>
      <w:r w:rsidR="00537D9A" w:rsidRPr="007533A9">
        <w:rPr>
          <w:sz w:val="24"/>
          <w:szCs w:val="24"/>
        </w:rPr>
        <w:t xml:space="preserve"> on land, including on the Western Front; through destroying Germany’s global sea fleet, soldiers on the ground could receive a continuous supply of food, raw materials, and reinforcement. Therefore, the accounts of British servicemen and women fighting on the Western Front have overshadowed the experiences of those who fought in the navy because the latter’s role in the conflict ensured that Britain and its Allies could resupply itself unchallenged, a crucial function toward the running of the war which has been forgotten. </w:t>
      </w:r>
    </w:p>
    <w:p w14:paraId="30469939" w14:textId="58E0F536" w:rsidR="00717578" w:rsidRPr="007533A9" w:rsidRDefault="00F03449">
      <w:pPr>
        <w:rPr>
          <w:sz w:val="24"/>
          <w:szCs w:val="24"/>
        </w:rPr>
      </w:pPr>
      <w:r w:rsidRPr="007533A9">
        <w:rPr>
          <w:sz w:val="24"/>
          <w:szCs w:val="24"/>
        </w:rPr>
        <w:t xml:space="preserve">In conclusion, the accounts of life in the trenches of the Western Front do overshadow the experiences of British servicemen and women in other theatres of the war, causing a detriment of modern understanding of the conflict with regards to geography and combatants. The account of Indian soldiers, vital to campaigns such as that in </w:t>
      </w:r>
      <w:r w:rsidRPr="007533A9">
        <w:rPr>
          <w:sz w:val="24"/>
          <w:szCs w:val="24"/>
        </w:rPr>
        <w:lastRenderedPageBreak/>
        <w:t>Mesopotamia, of African servicemen and women, crucial toward campaigns such as th</w:t>
      </w:r>
      <w:r w:rsidR="00AF5FD2">
        <w:rPr>
          <w:sz w:val="24"/>
          <w:szCs w:val="24"/>
        </w:rPr>
        <w:t>at in East Africa</w:t>
      </w:r>
      <w:r w:rsidRPr="007533A9">
        <w:rPr>
          <w:sz w:val="24"/>
          <w:szCs w:val="24"/>
        </w:rPr>
        <w:t>, and of the Royal Navy in controlling the seas is cast aside in favour of those who served on the Western Front, meaning that their sacrifice is not remembered by modern Britain. Although the Western Front was central to the politics of the war, the role which British servicemen and women such as Indians played in the Mesopotamian campaign, vital to ensuring that Britain had a constant resupply of oil, was crucial toward the war effort. Adding on to this, the navy’s part in guaranteeing that theatres such as that in the Western Front were restocked with men and raw materials played a key role to the ultimate victory. Furthermore, although more soldiers served in the trenches of the Western Front, the exclusive focus only on their service does overshadow the experiences of British servicemen and women in other theatres, as their account is not remembered as a result. Despite the fact that campaigns such as that in Africa are of secondary importance to the war effort, men still served and died in this theatre and as such should be remembered.</w:t>
      </w:r>
    </w:p>
    <w:p w14:paraId="37FECABE" w14:textId="77777777" w:rsidR="00C311F7" w:rsidRDefault="00C311F7">
      <w:pPr>
        <w:rPr>
          <w:sz w:val="20"/>
          <w:szCs w:val="20"/>
        </w:rPr>
      </w:pPr>
    </w:p>
    <w:p w14:paraId="650C82A0" w14:textId="77777777" w:rsidR="00C311F7" w:rsidRDefault="00C311F7">
      <w:pPr>
        <w:rPr>
          <w:sz w:val="20"/>
          <w:szCs w:val="20"/>
        </w:rPr>
      </w:pPr>
    </w:p>
    <w:p w14:paraId="031A6717" w14:textId="77777777" w:rsidR="00C311F7" w:rsidRDefault="00C311F7">
      <w:pPr>
        <w:rPr>
          <w:sz w:val="20"/>
          <w:szCs w:val="20"/>
        </w:rPr>
      </w:pPr>
    </w:p>
    <w:p w14:paraId="1E36B712" w14:textId="77777777" w:rsidR="00C311F7" w:rsidRDefault="00C311F7">
      <w:pPr>
        <w:rPr>
          <w:sz w:val="20"/>
          <w:szCs w:val="20"/>
        </w:rPr>
      </w:pPr>
    </w:p>
    <w:p w14:paraId="61BA3287" w14:textId="77777777" w:rsidR="00C311F7" w:rsidRDefault="00C311F7">
      <w:pPr>
        <w:rPr>
          <w:sz w:val="20"/>
          <w:szCs w:val="20"/>
        </w:rPr>
      </w:pPr>
    </w:p>
    <w:p w14:paraId="5F8E128A" w14:textId="77777777" w:rsidR="00C311F7" w:rsidRDefault="00C311F7">
      <w:pPr>
        <w:rPr>
          <w:sz w:val="20"/>
          <w:szCs w:val="20"/>
        </w:rPr>
      </w:pPr>
    </w:p>
    <w:p w14:paraId="4257102A" w14:textId="77777777" w:rsidR="007D3293" w:rsidRDefault="007D3293" w:rsidP="00B47241">
      <w:pPr>
        <w:rPr>
          <w:sz w:val="20"/>
          <w:szCs w:val="20"/>
        </w:rPr>
      </w:pPr>
    </w:p>
    <w:p w14:paraId="78FD5E75" w14:textId="77777777" w:rsidR="00A43F9A" w:rsidRDefault="00A43F9A" w:rsidP="00B47241">
      <w:pPr>
        <w:rPr>
          <w:sz w:val="20"/>
          <w:szCs w:val="20"/>
        </w:rPr>
      </w:pPr>
    </w:p>
    <w:p w14:paraId="2D230329" w14:textId="77777777" w:rsidR="00A43F9A" w:rsidRDefault="00A43F9A" w:rsidP="00B47241">
      <w:pPr>
        <w:rPr>
          <w:sz w:val="20"/>
          <w:szCs w:val="20"/>
        </w:rPr>
      </w:pPr>
    </w:p>
    <w:p w14:paraId="464463D4" w14:textId="77777777" w:rsidR="00A43F9A" w:rsidRDefault="00A43F9A" w:rsidP="00B47241">
      <w:pPr>
        <w:rPr>
          <w:sz w:val="20"/>
          <w:szCs w:val="20"/>
        </w:rPr>
      </w:pPr>
    </w:p>
    <w:p w14:paraId="1D583E7C" w14:textId="77777777" w:rsidR="00A43F9A" w:rsidRDefault="00A43F9A" w:rsidP="00B47241">
      <w:pPr>
        <w:rPr>
          <w:sz w:val="20"/>
          <w:szCs w:val="20"/>
        </w:rPr>
      </w:pPr>
    </w:p>
    <w:p w14:paraId="10CEA7B8" w14:textId="77777777" w:rsidR="00A43F9A" w:rsidRDefault="00A43F9A" w:rsidP="00B47241">
      <w:pPr>
        <w:rPr>
          <w:sz w:val="20"/>
          <w:szCs w:val="20"/>
        </w:rPr>
      </w:pPr>
    </w:p>
    <w:p w14:paraId="513476BE" w14:textId="77777777" w:rsidR="00A43F9A" w:rsidRDefault="00A43F9A" w:rsidP="00B47241">
      <w:pPr>
        <w:rPr>
          <w:sz w:val="20"/>
          <w:szCs w:val="20"/>
        </w:rPr>
      </w:pPr>
    </w:p>
    <w:p w14:paraId="243AEDFC" w14:textId="77777777" w:rsidR="00A43F9A" w:rsidRDefault="00A43F9A" w:rsidP="00B47241">
      <w:pPr>
        <w:rPr>
          <w:sz w:val="20"/>
          <w:szCs w:val="20"/>
        </w:rPr>
      </w:pPr>
    </w:p>
    <w:p w14:paraId="409D641A" w14:textId="77777777" w:rsidR="00A43F9A" w:rsidRDefault="00A43F9A" w:rsidP="00B47241">
      <w:pPr>
        <w:rPr>
          <w:sz w:val="20"/>
          <w:szCs w:val="20"/>
        </w:rPr>
      </w:pPr>
    </w:p>
    <w:p w14:paraId="7633D198" w14:textId="77777777" w:rsidR="00A43F9A" w:rsidRDefault="00A43F9A" w:rsidP="00B47241">
      <w:pPr>
        <w:rPr>
          <w:sz w:val="20"/>
          <w:szCs w:val="20"/>
        </w:rPr>
      </w:pPr>
    </w:p>
    <w:p w14:paraId="457A26CB" w14:textId="77777777" w:rsidR="00A43F9A" w:rsidRDefault="00A43F9A" w:rsidP="00B47241">
      <w:pPr>
        <w:rPr>
          <w:sz w:val="20"/>
          <w:szCs w:val="20"/>
        </w:rPr>
      </w:pPr>
    </w:p>
    <w:p w14:paraId="792F28C2" w14:textId="77777777" w:rsidR="00A43F9A" w:rsidRDefault="00A43F9A" w:rsidP="00B47241">
      <w:pPr>
        <w:rPr>
          <w:sz w:val="20"/>
          <w:szCs w:val="20"/>
        </w:rPr>
      </w:pPr>
    </w:p>
    <w:p w14:paraId="06425B9E" w14:textId="77777777" w:rsidR="00A43F9A" w:rsidRDefault="00A43F9A" w:rsidP="00B47241">
      <w:pPr>
        <w:rPr>
          <w:sz w:val="20"/>
          <w:szCs w:val="20"/>
        </w:rPr>
      </w:pPr>
    </w:p>
    <w:p w14:paraId="2A245397" w14:textId="77777777" w:rsidR="00A43F9A" w:rsidRDefault="00A43F9A" w:rsidP="00B47241">
      <w:pPr>
        <w:rPr>
          <w:sz w:val="20"/>
          <w:szCs w:val="20"/>
        </w:rPr>
      </w:pPr>
    </w:p>
    <w:p w14:paraId="7908AC63" w14:textId="77777777" w:rsidR="00FE0080" w:rsidRDefault="00FE0080" w:rsidP="00B47241">
      <w:pPr>
        <w:rPr>
          <w:sz w:val="20"/>
          <w:szCs w:val="20"/>
        </w:rPr>
      </w:pPr>
    </w:p>
    <w:p w14:paraId="753DA91F" w14:textId="77777777" w:rsidR="00B537D3" w:rsidRDefault="00B537D3" w:rsidP="00B47241">
      <w:pPr>
        <w:rPr>
          <w:sz w:val="20"/>
          <w:szCs w:val="20"/>
        </w:rPr>
      </w:pPr>
    </w:p>
    <w:p w14:paraId="66A64CA5" w14:textId="2CFEB449" w:rsidR="00B47241" w:rsidRPr="00B47241" w:rsidRDefault="00B47241" w:rsidP="00B47241">
      <w:pPr>
        <w:rPr>
          <w:sz w:val="20"/>
          <w:szCs w:val="20"/>
        </w:rPr>
      </w:pPr>
      <w:r w:rsidRPr="00B47241">
        <w:rPr>
          <w:sz w:val="20"/>
          <w:szCs w:val="20"/>
        </w:rPr>
        <w:lastRenderedPageBreak/>
        <w:t xml:space="preserve">Bibliography </w:t>
      </w:r>
    </w:p>
    <w:p w14:paraId="5454F765" w14:textId="3F53FDB6" w:rsidR="00B47241" w:rsidRDefault="00B47241" w:rsidP="00B47241">
      <w:pPr>
        <w:rPr>
          <w:sz w:val="20"/>
          <w:szCs w:val="20"/>
        </w:rPr>
      </w:pPr>
      <w:r w:rsidRPr="00B47241">
        <w:rPr>
          <w:sz w:val="20"/>
          <w:szCs w:val="20"/>
        </w:rPr>
        <w:t xml:space="preserve">Baker, A.J., </w:t>
      </w:r>
      <w:r w:rsidRPr="0063183E">
        <w:rPr>
          <w:i/>
          <w:iCs/>
          <w:sz w:val="20"/>
          <w:szCs w:val="20"/>
        </w:rPr>
        <w:t>The Bastards War: The Mesopotamian Campaign of 1914-1918</w:t>
      </w:r>
      <w:r w:rsidRPr="00B47241">
        <w:rPr>
          <w:sz w:val="20"/>
          <w:szCs w:val="20"/>
        </w:rPr>
        <w:t xml:space="preserve"> (USA: The Dial Press New York, 1967)</w:t>
      </w:r>
    </w:p>
    <w:p w14:paraId="1DA35A5A" w14:textId="15EAD565" w:rsidR="00081543" w:rsidRPr="00A938D6" w:rsidRDefault="00A938D6" w:rsidP="00B47241">
      <w:pPr>
        <w:rPr>
          <w:sz w:val="20"/>
          <w:szCs w:val="20"/>
        </w:rPr>
      </w:pPr>
      <w:r w:rsidRPr="00A938D6">
        <w:rPr>
          <w:sz w:val="20"/>
          <w:szCs w:val="20"/>
        </w:rPr>
        <w:t>Berger</w:t>
      </w:r>
      <w:r>
        <w:rPr>
          <w:sz w:val="20"/>
          <w:szCs w:val="20"/>
        </w:rPr>
        <w:t xml:space="preserve">, Edward (dir.), </w:t>
      </w:r>
      <w:r>
        <w:rPr>
          <w:i/>
          <w:iCs/>
          <w:sz w:val="20"/>
          <w:szCs w:val="20"/>
        </w:rPr>
        <w:t>All Quiet on the Western Front</w:t>
      </w:r>
      <w:r>
        <w:rPr>
          <w:sz w:val="20"/>
          <w:szCs w:val="20"/>
        </w:rPr>
        <w:t xml:space="preserve"> (Germany: </w:t>
      </w:r>
      <w:r w:rsidR="00A438D7" w:rsidRPr="00A438D7">
        <w:rPr>
          <w:sz w:val="20"/>
          <w:szCs w:val="20"/>
        </w:rPr>
        <w:t>Amusement Park</w:t>
      </w:r>
      <w:r w:rsidR="00A438D7">
        <w:rPr>
          <w:sz w:val="20"/>
          <w:szCs w:val="20"/>
        </w:rPr>
        <w:t>, 2022)</w:t>
      </w:r>
    </w:p>
    <w:p w14:paraId="1C73D4DB" w14:textId="26A9A1FA" w:rsidR="005A5FB0" w:rsidRPr="00AC2DB8" w:rsidRDefault="005A5FB0" w:rsidP="00B47241">
      <w:pPr>
        <w:rPr>
          <w:sz w:val="20"/>
          <w:szCs w:val="20"/>
        </w:rPr>
      </w:pPr>
      <w:r>
        <w:rPr>
          <w:sz w:val="20"/>
          <w:szCs w:val="20"/>
        </w:rPr>
        <w:t xml:space="preserve">Constantine, Stephen, Mary B Rose, and Maurice W Kirby, </w:t>
      </w:r>
      <w:r>
        <w:rPr>
          <w:i/>
          <w:iCs/>
          <w:sz w:val="20"/>
          <w:szCs w:val="20"/>
        </w:rPr>
        <w:t xml:space="preserve">The First World War in British History </w:t>
      </w:r>
      <w:r w:rsidR="00AC2DB8">
        <w:rPr>
          <w:sz w:val="20"/>
          <w:szCs w:val="20"/>
        </w:rPr>
        <w:t xml:space="preserve">(UK: </w:t>
      </w:r>
      <w:r w:rsidR="00D84CE8">
        <w:rPr>
          <w:sz w:val="20"/>
          <w:szCs w:val="20"/>
        </w:rPr>
        <w:t>Hodder Headline, 1995)</w:t>
      </w:r>
    </w:p>
    <w:p w14:paraId="76B0965D" w14:textId="6F996900" w:rsidR="002E3541" w:rsidRDefault="002E3541" w:rsidP="00B47241">
      <w:pPr>
        <w:rPr>
          <w:sz w:val="20"/>
          <w:szCs w:val="20"/>
        </w:rPr>
      </w:pPr>
      <w:r w:rsidRPr="002E3541">
        <w:rPr>
          <w:sz w:val="20"/>
          <w:szCs w:val="20"/>
        </w:rPr>
        <w:t xml:space="preserve">Grey, Edward, </w:t>
      </w:r>
      <w:r w:rsidRPr="0063183E">
        <w:rPr>
          <w:i/>
          <w:iCs/>
          <w:sz w:val="20"/>
          <w:szCs w:val="20"/>
        </w:rPr>
        <w:t>Twenty-Five Years: 1892-1916</w:t>
      </w:r>
      <w:r w:rsidRPr="002E3541">
        <w:rPr>
          <w:sz w:val="20"/>
          <w:szCs w:val="20"/>
        </w:rPr>
        <w:t xml:space="preserve"> (USA: Frederick A. Stokes Company, 1925)</w:t>
      </w:r>
    </w:p>
    <w:p w14:paraId="6EC0FAE8" w14:textId="03B89E3C" w:rsidR="002E3541" w:rsidRDefault="002E3541" w:rsidP="00B47241">
      <w:pPr>
        <w:rPr>
          <w:sz w:val="20"/>
          <w:szCs w:val="20"/>
        </w:rPr>
      </w:pPr>
      <w:r w:rsidRPr="002E3541">
        <w:rPr>
          <w:sz w:val="20"/>
          <w:szCs w:val="20"/>
        </w:rPr>
        <w:t xml:space="preserve">King, Don W., </w:t>
      </w:r>
      <w:r w:rsidRPr="0063183E">
        <w:rPr>
          <w:i/>
          <w:iCs/>
          <w:sz w:val="20"/>
          <w:szCs w:val="20"/>
        </w:rPr>
        <w:t>Warnie at War (1914-1918)</w:t>
      </w:r>
      <w:r w:rsidRPr="002E3541">
        <w:rPr>
          <w:sz w:val="20"/>
          <w:szCs w:val="20"/>
        </w:rPr>
        <w:t xml:space="preserve"> (USA: Marion E. Wade </w:t>
      </w:r>
      <w:proofErr w:type="spellStart"/>
      <w:r w:rsidRPr="002E3541">
        <w:rPr>
          <w:sz w:val="20"/>
          <w:szCs w:val="20"/>
        </w:rPr>
        <w:t>Center</w:t>
      </w:r>
      <w:proofErr w:type="spellEnd"/>
      <w:r w:rsidRPr="002E3541">
        <w:rPr>
          <w:sz w:val="20"/>
          <w:szCs w:val="20"/>
        </w:rPr>
        <w:t>, Wheaton College, 2018)</w:t>
      </w:r>
    </w:p>
    <w:p w14:paraId="61931ECD" w14:textId="5A47D28B" w:rsidR="005319C1" w:rsidRDefault="005319C1" w:rsidP="00B47241">
      <w:pPr>
        <w:rPr>
          <w:sz w:val="20"/>
          <w:szCs w:val="20"/>
        </w:rPr>
      </w:pPr>
      <w:r w:rsidRPr="005319C1">
        <w:rPr>
          <w:sz w:val="20"/>
          <w:szCs w:val="20"/>
        </w:rPr>
        <w:t xml:space="preserve">Morton-Jack, George, </w:t>
      </w:r>
      <w:r w:rsidRPr="005319C1">
        <w:rPr>
          <w:i/>
          <w:iCs/>
          <w:sz w:val="20"/>
          <w:szCs w:val="20"/>
        </w:rPr>
        <w:t>Army of Empire: The Untold Story of the Indian Army in World War I</w:t>
      </w:r>
      <w:r w:rsidRPr="005319C1">
        <w:rPr>
          <w:sz w:val="20"/>
          <w:szCs w:val="20"/>
        </w:rPr>
        <w:t xml:space="preserve"> (New York: Basic Books, 2018)</w:t>
      </w:r>
    </w:p>
    <w:p w14:paraId="6288C7B6" w14:textId="0CF1605B" w:rsidR="00DD4951" w:rsidRDefault="00DD4951" w:rsidP="00D56FF4">
      <w:pPr>
        <w:rPr>
          <w:sz w:val="20"/>
          <w:szCs w:val="20"/>
        </w:rPr>
      </w:pPr>
      <w:r w:rsidRPr="00DD4951">
        <w:rPr>
          <w:sz w:val="20"/>
          <w:szCs w:val="20"/>
        </w:rPr>
        <w:t>Mendes</w:t>
      </w:r>
      <w:r>
        <w:rPr>
          <w:sz w:val="20"/>
          <w:szCs w:val="20"/>
        </w:rPr>
        <w:t xml:space="preserve">, Sam (dir.), </w:t>
      </w:r>
      <w:r w:rsidRPr="00DD4951">
        <w:rPr>
          <w:i/>
          <w:iCs/>
          <w:sz w:val="20"/>
          <w:szCs w:val="20"/>
        </w:rPr>
        <w:t>1917</w:t>
      </w:r>
      <w:r>
        <w:rPr>
          <w:sz w:val="20"/>
          <w:szCs w:val="20"/>
        </w:rPr>
        <w:t xml:space="preserve"> (UK:</w:t>
      </w:r>
      <w:r w:rsidR="00056430">
        <w:rPr>
          <w:sz w:val="20"/>
          <w:szCs w:val="20"/>
        </w:rPr>
        <w:t xml:space="preserve"> </w:t>
      </w:r>
      <w:r w:rsidR="00D56FF4" w:rsidRPr="00D56FF4">
        <w:rPr>
          <w:sz w:val="20"/>
          <w:szCs w:val="20"/>
        </w:rPr>
        <w:t>DreamWorks Pictures</w:t>
      </w:r>
      <w:r w:rsidR="00D56FF4">
        <w:rPr>
          <w:sz w:val="20"/>
          <w:szCs w:val="20"/>
        </w:rPr>
        <w:t>, 2019)</w:t>
      </w:r>
    </w:p>
    <w:p w14:paraId="52B4D879" w14:textId="14B8DA95" w:rsidR="00311A85" w:rsidRPr="00311A85" w:rsidRDefault="00311A85" w:rsidP="00D56FF4">
      <w:pPr>
        <w:rPr>
          <w:sz w:val="20"/>
          <w:szCs w:val="20"/>
        </w:rPr>
      </w:pPr>
      <w:r w:rsidRPr="00311A85">
        <w:rPr>
          <w:sz w:val="20"/>
          <w:szCs w:val="20"/>
        </w:rPr>
        <w:t>Morpurgo</w:t>
      </w:r>
      <w:r>
        <w:rPr>
          <w:sz w:val="20"/>
          <w:szCs w:val="20"/>
        </w:rPr>
        <w:t xml:space="preserve">, Michael, </w:t>
      </w:r>
      <w:r>
        <w:rPr>
          <w:i/>
          <w:iCs/>
          <w:sz w:val="20"/>
          <w:szCs w:val="20"/>
        </w:rPr>
        <w:t>Private Peaceful</w:t>
      </w:r>
      <w:r>
        <w:rPr>
          <w:sz w:val="20"/>
          <w:szCs w:val="20"/>
        </w:rPr>
        <w:t xml:space="preserve"> (UK:</w:t>
      </w:r>
      <w:r w:rsidR="004D5464">
        <w:rPr>
          <w:sz w:val="20"/>
          <w:szCs w:val="20"/>
        </w:rPr>
        <w:t xml:space="preserve"> </w:t>
      </w:r>
      <w:r w:rsidR="004D5464" w:rsidRPr="004D5464">
        <w:rPr>
          <w:sz w:val="20"/>
          <w:szCs w:val="20"/>
        </w:rPr>
        <w:t>HarperCollins</w:t>
      </w:r>
      <w:r w:rsidR="004D5464">
        <w:rPr>
          <w:sz w:val="20"/>
          <w:szCs w:val="20"/>
        </w:rPr>
        <w:t>, 2003)</w:t>
      </w:r>
    </w:p>
    <w:p w14:paraId="5FF55BB7" w14:textId="2CB0089B" w:rsidR="00311A85" w:rsidRDefault="002E3541" w:rsidP="00B47241">
      <w:pPr>
        <w:rPr>
          <w:sz w:val="20"/>
          <w:szCs w:val="20"/>
        </w:rPr>
      </w:pPr>
      <w:r w:rsidRPr="002E3541">
        <w:rPr>
          <w:sz w:val="20"/>
          <w:szCs w:val="20"/>
        </w:rPr>
        <w:t xml:space="preserve">Morton-Jack, George, </w:t>
      </w:r>
      <w:r w:rsidRPr="0063183E">
        <w:rPr>
          <w:i/>
          <w:iCs/>
          <w:sz w:val="20"/>
          <w:szCs w:val="20"/>
        </w:rPr>
        <w:t>The Indian Army on the Western Front: India’s Expeditionary Force to France and Belgium in the First World War</w:t>
      </w:r>
      <w:r w:rsidRPr="002E3541">
        <w:rPr>
          <w:sz w:val="20"/>
          <w:szCs w:val="20"/>
        </w:rPr>
        <w:t xml:space="preserve"> (USA: Cambridge University Press, 2014)</w:t>
      </w:r>
    </w:p>
    <w:p w14:paraId="14D74EF4" w14:textId="7DD7A153" w:rsidR="00B47241" w:rsidRDefault="00B47241" w:rsidP="00B47241">
      <w:pPr>
        <w:rPr>
          <w:sz w:val="20"/>
          <w:szCs w:val="20"/>
        </w:rPr>
      </w:pPr>
      <w:r w:rsidRPr="00B47241">
        <w:rPr>
          <w:sz w:val="20"/>
          <w:szCs w:val="20"/>
        </w:rPr>
        <w:t xml:space="preserve">Page, Melvin E., </w:t>
      </w:r>
      <w:r w:rsidRPr="0063183E">
        <w:rPr>
          <w:i/>
          <w:iCs/>
          <w:sz w:val="20"/>
          <w:szCs w:val="20"/>
        </w:rPr>
        <w:t>Africa and the First World War</w:t>
      </w:r>
      <w:r w:rsidRPr="00B47241">
        <w:rPr>
          <w:sz w:val="20"/>
          <w:szCs w:val="20"/>
        </w:rPr>
        <w:t xml:space="preserve"> (USA: Macmillan Press, 1987) </w:t>
      </w:r>
    </w:p>
    <w:p w14:paraId="203AAAE5" w14:textId="782010B8" w:rsidR="00830D80" w:rsidRDefault="00830D80" w:rsidP="00B47241">
      <w:pPr>
        <w:rPr>
          <w:sz w:val="20"/>
          <w:szCs w:val="20"/>
        </w:rPr>
      </w:pPr>
      <w:r>
        <w:rPr>
          <w:sz w:val="20"/>
          <w:szCs w:val="20"/>
        </w:rPr>
        <w:t xml:space="preserve">Ritter, Gerhard, </w:t>
      </w:r>
      <w:r>
        <w:rPr>
          <w:i/>
          <w:iCs/>
          <w:sz w:val="20"/>
          <w:szCs w:val="20"/>
        </w:rPr>
        <w:t>The Schlieffen Plan</w:t>
      </w:r>
      <w:r>
        <w:rPr>
          <w:sz w:val="20"/>
          <w:szCs w:val="20"/>
        </w:rPr>
        <w:t xml:space="preserve"> (</w:t>
      </w:r>
      <w:r w:rsidR="009475EC">
        <w:rPr>
          <w:sz w:val="20"/>
          <w:szCs w:val="20"/>
        </w:rPr>
        <w:t xml:space="preserve">UK: Oswald Wolff, 1958) </w:t>
      </w:r>
    </w:p>
    <w:p w14:paraId="798FBEDB" w14:textId="77777777" w:rsidR="00B47241" w:rsidRPr="00B47241" w:rsidRDefault="00B47241" w:rsidP="00B47241">
      <w:pPr>
        <w:rPr>
          <w:sz w:val="20"/>
          <w:szCs w:val="20"/>
        </w:rPr>
      </w:pPr>
      <w:proofErr w:type="spellStart"/>
      <w:r w:rsidRPr="00B47241">
        <w:rPr>
          <w:sz w:val="20"/>
          <w:szCs w:val="20"/>
        </w:rPr>
        <w:t>Sondhaus</w:t>
      </w:r>
      <w:proofErr w:type="spellEnd"/>
      <w:r w:rsidRPr="00B47241">
        <w:rPr>
          <w:sz w:val="20"/>
          <w:szCs w:val="20"/>
        </w:rPr>
        <w:t xml:space="preserve">, Lawrence, </w:t>
      </w:r>
      <w:r w:rsidRPr="0063183E">
        <w:rPr>
          <w:i/>
          <w:iCs/>
          <w:sz w:val="20"/>
          <w:szCs w:val="20"/>
        </w:rPr>
        <w:t>The Great War at Sea: A Naval History of the First World War</w:t>
      </w:r>
      <w:r w:rsidRPr="00B47241">
        <w:rPr>
          <w:sz w:val="20"/>
          <w:szCs w:val="20"/>
        </w:rPr>
        <w:t xml:space="preserve"> (UK: Cambridge University Press, 2014) </w:t>
      </w:r>
    </w:p>
    <w:p w14:paraId="563D155E" w14:textId="34FE6D22" w:rsidR="00F81931" w:rsidRDefault="00B47241" w:rsidP="00B47241">
      <w:pPr>
        <w:rPr>
          <w:sz w:val="20"/>
          <w:szCs w:val="20"/>
        </w:rPr>
      </w:pPr>
      <w:r w:rsidRPr="00B47241">
        <w:rPr>
          <w:sz w:val="20"/>
          <w:szCs w:val="20"/>
        </w:rPr>
        <w:t xml:space="preserve">Taylor, AJP, </w:t>
      </w:r>
      <w:r w:rsidRPr="0063183E">
        <w:rPr>
          <w:i/>
          <w:iCs/>
          <w:sz w:val="20"/>
          <w:szCs w:val="20"/>
        </w:rPr>
        <w:t>The First World War: An Illustrated History</w:t>
      </w:r>
      <w:r w:rsidRPr="00B47241">
        <w:rPr>
          <w:sz w:val="20"/>
          <w:szCs w:val="20"/>
        </w:rPr>
        <w:t xml:space="preserve"> (UK: Penguin Books, 1963)</w:t>
      </w:r>
    </w:p>
    <w:p w14:paraId="58A1B8E2" w14:textId="73913584" w:rsidR="00E12513" w:rsidRPr="00E12513" w:rsidRDefault="00E12513" w:rsidP="00B47241">
      <w:pPr>
        <w:rPr>
          <w:sz w:val="20"/>
          <w:szCs w:val="20"/>
        </w:rPr>
      </w:pPr>
      <w:r>
        <w:rPr>
          <w:sz w:val="20"/>
          <w:szCs w:val="20"/>
        </w:rPr>
        <w:t xml:space="preserve">The War Office, </w:t>
      </w:r>
      <w:r w:rsidRPr="00E12513">
        <w:rPr>
          <w:i/>
          <w:iCs/>
          <w:sz w:val="20"/>
          <w:szCs w:val="20"/>
        </w:rPr>
        <w:t>Statistics of the military effort of the British Empire during the Great War, 1914-1920</w:t>
      </w:r>
      <w:r>
        <w:rPr>
          <w:sz w:val="20"/>
          <w:szCs w:val="20"/>
        </w:rPr>
        <w:t xml:space="preserve"> (UK: </w:t>
      </w:r>
      <w:r w:rsidR="00C451AD">
        <w:rPr>
          <w:sz w:val="20"/>
          <w:szCs w:val="20"/>
        </w:rPr>
        <w:t xml:space="preserve">His Majesty’s Stationary Office, 1922) </w:t>
      </w:r>
    </w:p>
    <w:p w14:paraId="69AB0D49" w14:textId="02DFA884" w:rsidR="00C1791F" w:rsidRDefault="009B4152" w:rsidP="00B47241">
      <w:pPr>
        <w:rPr>
          <w:sz w:val="20"/>
          <w:szCs w:val="20"/>
        </w:rPr>
      </w:pPr>
      <w:r w:rsidRPr="009B4152">
        <w:rPr>
          <w:sz w:val="20"/>
          <w:szCs w:val="20"/>
        </w:rPr>
        <w:t>Winter,</w:t>
      </w:r>
      <w:r w:rsidR="0033213B">
        <w:rPr>
          <w:sz w:val="20"/>
          <w:szCs w:val="20"/>
        </w:rPr>
        <w:t xml:space="preserve"> J.M.,</w:t>
      </w:r>
      <w:r w:rsidRPr="009B4152">
        <w:rPr>
          <w:sz w:val="20"/>
          <w:szCs w:val="20"/>
        </w:rPr>
        <w:t xml:space="preserve"> </w:t>
      </w:r>
      <w:r w:rsidRPr="009B4152">
        <w:rPr>
          <w:i/>
          <w:iCs/>
          <w:sz w:val="20"/>
          <w:szCs w:val="20"/>
        </w:rPr>
        <w:t xml:space="preserve">The Great War and the British People </w:t>
      </w:r>
      <w:r w:rsidRPr="009B4152">
        <w:rPr>
          <w:sz w:val="20"/>
          <w:szCs w:val="20"/>
        </w:rPr>
        <w:t>(UK: Macmillan Publishers LTD, 1985)</w:t>
      </w:r>
    </w:p>
    <w:p w14:paraId="71A27928" w14:textId="3CF093F1" w:rsidR="00E64ABC" w:rsidRPr="00B47241" w:rsidRDefault="00E64ABC" w:rsidP="00B47241">
      <w:pPr>
        <w:rPr>
          <w:sz w:val="20"/>
          <w:szCs w:val="20"/>
        </w:rPr>
      </w:pPr>
      <w:r w:rsidRPr="00E64ABC">
        <w:rPr>
          <w:sz w:val="20"/>
          <w:szCs w:val="20"/>
        </w:rPr>
        <w:t>Zeman,</w:t>
      </w:r>
      <w:r>
        <w:rPr>
          <w:sz w:val="20"/>
          <w:szCs w:val="20"/>
        </w:rPr>
        <w:t xml:space="preserve"> Z.A.B.,</w:t>
      </w:r>
      <w:r w:rsidRPr="00E64ABC">
        <w:rPr>
          <w:sz w:val="20"/>
          <w:szCs w:val="20"/>
        </w:rPr>
        <w:t xml:space="preserve"> </w:t>
      </w:r>
      <w:r w:rsidRPr="00E64ABC">
        <w:rPr>
          <w:i/>
          <w:iCs/>
          <w:sz w:val="20"/>
          <w:szCs w:val="20"/>
        </w:rPr>
        <w:t>A Diplomatic History of the First World War</w:t>
      </w:r>
      <w:r w:rsidRPr="00E64ABC">
        <w:rPr>
          <w:sz w:val="20"/>
          <w:szCs w:val="20"/>
        </w:rPr>
        <w:t xml:space="preserve"> (UK: The Chaucer Press, 1971)</w:t>
      </w:r>
    </w:p>
    <w:sectPr w:rsidR="00E64ABC" w:rsidRPr="00B472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79C12D" w14:textId="77777777" w:rsidR="008C2A88" w:rsidRDefault="008C2A88" w:rsidP="003250E3">
      <w:pPr>
        <w:spacing w:after="0" w:line="240" w:lineRule="auto"/>
      </w:pPr>
      <w:r>
        <w:separator/>
      </w:r>
    </w:p>
  </w:endnote>
  <w:endnote w:type="continuationSeparator" w:id="0">
    <w:p w14:paraId="3854639C" w14:textId="77777777" w:rsidR="008C2A88" w:rsidRDefault="008C2A88" w:rsidP="003250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3687D3" w14:textId="77777777" w:rsidR="008C2A88" w:rsidRDefault="008C2A88" w:rsidP="003250E3">
      <w:pPr>
        <w:spacing w:after="0" w:line="240" w:lineRule="auto"/>
      </w:pPr>
      <w:r>
        <w:separator/>
      </w:r>
    </w:p>
  </w:footnote>
  <w:footnote w:type="continuationSeparator" w:id="0">
    <w:p w14:paraId="1E750936" w14:textId="77777777" w:rsidR="008C2A88" w:rsidRDefault="008C2A88" w:rsidP="003250E3">
      <w:pPr>
        <w:spacing w:after="0" w:line="240" w:lineRule="auto"/>
      </w:pPr>
      <w:r>
        <w:continuationSeparator/>
      </w:r>
    </w:p>
  </w:footnote>
  <w:footnote w:id="1">
    <w:p w14:paraId="0040BC74" w14:textId="188E9070" w:rsidR="003250E3" w:rsidRDefault="003250E3">
      <w:pPr>
        <w:pStyle w:val="FootnoteText"/>
      </w:pPr>
      <w:r>
        <w:rPr>
          <w:rStyle w:val="FootnoteReference"/>
        </w:rPr>
        <w:footnoteRef/>
      </w:r>
      <w:r>
        <w:t xml:space="preserve"> </w:t>
      </w:r>
      <w:r w:rsidR="00DE6529" w:rsidRPr="00DE6529">
        <w:t>Melvin E.</w:t>
      </w:r>
      <w:r w:rsidR="00DE6529">
        <w:t xml:space="preserve"> Page</w:t>
      </w:r>
      <w:r w:rsidR="00DE6529" w:rsidRPr="00DE6529">
        <w:t xml:space="preserve">, </w:t>
      </w:r>
      <w:r w:rsidR="00DE6529" w:rsidRPr="00DE6529">
        <w:rPr>
          <w:i/>
          <w:iCs/>
        </w:rPr>
        <w:t>Africa and the First World War</w:t>
      </w:r>
      <w:r w:rsidR="00DE6529" w:rsidRPr="00DE6529">
        <w:t xml:space="preserve"> (USA: Macmillan Press, 1987)</w:t>
      </w:r>
      <w:r w:rsidR="00DE6529">
        <w:t>, p.14.</w:t>
      </w:r>
    </w:p>
  </w:footnote>
  <w:footnote w:id="2">
    <w:p w14:paraId="4D98771E" w14:textId="7666DFDC" w:rsidR="00DE6529" w:rsidRPr="00DE6529" w:rsidRDefault="00DE6529">
      <w:pPr>
        <w:pStyle w:val="FootnoteText"/>
      </w:pPr>
      <w:r>
        <w:rPr>
          <w:rStyle w:val="FootnoteReference"/>
        </w:rPr>
        <w:footnoteRef/>
      </w:r>
      <w:r>
        <w:t xml:space="preserve"> Page, </w:t>
      </w:r>
      <w:r>
        <w:rPr>
          <w:i/>
          <w:iCs/>
        </w:rPr>
        <w:t>Africa and the First</w:t>
      </w:r>
      <w:r>
        <w:t xml:space="preserve">, p.12 &amp; p.13. </w:t>
      </w:r>
    </w:p>
  </w:footnote>
  <w:footnote w:id="3">
    <w:p w14:paraId="7E246AAE" w14:textId="6FCAEDE6" w:rsidR="00B054EA" w:rsidRDefault="00B054EA">
      <w:pPr>
        <w:pStyle w:val="FootnoteText"/>
      </w:pPr>
      <w:r>
        <w:rPr>
          <w:rStyle w:val="FootnoteReference"/>
        </w:rPr>
        <w:footnoteRef/>
      </w:r>
      <w:r>
        <w:t xml:space="preserve"> </w:t>
      </w:r>
      <w:r w:rsidR="006541A6" w:rsidRPr="006541A6">
        <w:t xml:space="preserve">Edward Grey, </w:t>
      </w:r>
      <w:r w:rsidR="006541A6" w:rsidRPr="006541A6">
        <w:rPr>
          <w:i/>
          <w:iCs/>
        </w:rPr>
        <w:t>Twenty-Five Years: 1892-1916</w:t>
      </w:r>
      <w:r w:rsidR="006541A6" w:rsidRPr="006541A6">
        <w:t xml:space="preserve"> (USA: Frederick A. Stokes Company, 1925), p.24.</w:t>
      </w:r>
    </w:p>
  </w:footnote>
  <w:footnote w:id="4">
    <w:p w14:paraId="4F49194A" w14:textId="0DB3EB99" w:rsidR="001C7AAE" w:rsidRPr="008C5AA4" w:rsidRDefault="001C7AAE">
      <w:pPr>
        <w:pStyle w:val="FootnoteText"/>
      </w:pPr>
      <w:r>
        <w:rPr>
          <w:rStyle w:val="FootnoteReference"/>
        </w:rPr>
        <w:footnoteRef/>
      </w:r>
      <w:r>
        <w:t xml:space="preserve"> </w:t>
      </w:r>
      <w:r w:rsidR="008C5AA4">
        <w:t xml:space="preserve">Z.A.B. Zeman, </w:t>
      </w:r>
      <w:r w:rsidR="008C5AA4">
        <w:rPr>
          <w:i/>
          <w:iCs/>
        </w:rPr>
        <w:t>A Diplomatic History of the First World War</w:t>
      </w:r>
      <w:r w:rsidR="008C5AA4">
        <w:t xml:space="preserve"> (</w:t>
      </w:r>
      <w:r w:rsidR="00A11DF6">
        <w:t>UK: The Chaucer Press, 1971), p.318 &amp; p.319.</w:t>
      </w:r>
    </w:p>
  </w:footnote>
  <w:footnote w:id="5">
    <w:p w14:paraId="13EC3B31" w14:textId="4FD4A899" w:rsidR="00DE6529" w:rsidRDefault="00DE6529">
      <w:pPr>
        <w:pStyle w:val="FootnoteText"/>
      </w:pPr>
      <w:r>
        <w:rPr>
          <w:rStyle w:val="FootnoteReference"/>
        </w:rPr>
        <w:footnoteRef/>
      </w:r>
      <w:r>
        <w:t xml:space="preserve"> </w:t>
      </w:r>
      <w:r w:rsidR="00D97F8D" w:rsidRPr="00D97F8D">
        <w:t>George</w:t>
      </w:r>
      <w:r w:rsidR="00D97F8D">
        <w:t xml:space="preserve"> Morton-Jack</w:t>
      </w:r>
      <w:r w:rsidR="00D97F8D" w:rsidRPr="00D97F8D">
        <w:t xml:space="preserve">, </w:t>
      </w:r>
      <w:r w:rsidR="00D97F8D" w:rsidRPr="00D97F8D">
        <w:rPr>
          <w:i/>
          <w:iCs/>
        </w:rPr>
        <w:t>The Indian Army on the Western Front: India’s Expeditionary Force to France and Belgium in the First World War</w:t>
      </w:r>
      <w:r w:rsidR="00D97F8D" w:rsidRPr="00D97F8D">
        <w:t xml:space="preserve"> (USA: Cambridge University Press, 2014)</w:t>
      </w:r>
      <w:r w:rsidR="00D97F8D">
        <w:t>, p.1.</w:t>
      </w:r>
    </w:p>
  </w:footnote>
  <w:footnote w:id="6">
    <w:p w14:paraId="3F3A0862" w14:textId="08D220A7" w:rsidR="00A617F3" w:rsidRPr="002714BE" w:rsidRDefault="00A617F3">
      <w:pPr>
        <w:pStyle w:val="FootnoteText"/>
      </w:pPr>
      <w:r>
        <w:rPr>
          <w:rStyle w:val="FootnoteReference"/>
        </w:rPr>
        <w:footnoteRef/>
      </w:r>
      <w:r>
        <w:t xml:space="preserve"> </w:t>
      </w:r>
      <w:r w:rsidR="00A536BF">
        <w:t>George</w:t>
      </w:r>
      <w:r w:rsidR="005319C1">
        <w:t xml:space="preserve"> Morton-Jack</w:t>
      </w:r>
      <w:r w:rsidR="00A536BF">
        <w:t>,</w:t>
      </w:r>
      <w:r w:rsidR="002714BE">
        <w:t xml:space="preserve"> </w:t>
      </w:r>
      <w:r w:rsidR="002714BE" w:rsidRPr="002714BE">
        <w:rPr>
          <w:i/>
          <w:iCs/>
        </w:rPr>
        <w:t>Army of Empire: The Untold Story of the Indian Army in World War I</w:t>
      </w:r>
      <w:r w:rsidR="002714BE">
        <w:t xml:space="preserve"> </w:t>
      </w:r>
      <w:r w:rsidR="00A1617F">
        <w:t xml:space="preserve">(New York: Basic Books, </w:t>
      </w:r>
      <w:r w:rsidR="00B76621">
        <w:t>2018), p.</w:t>
      </w:r>
      <w:r w:rsidR="001C043D">
        <w:t>2</w:t>
      </w:r>
      <w:r w:rsidR="00362CC8">
        <w:t xml:space="preserve">. </w:t>
      </w:r>
    </w:p>
  </w:footnote>
  <w:footnote w:id="7">
    <w:p w14:paraId="4FAB711E" w14:textId="4AB1F9D6" w:rsidR="00D97F8D" w:rsidRDefault="00D97F8D">
      <w:pPr>
        <w:pStyle w:val="FootnoteText"/>
      </w:pPr>
      <w:r>
        <w:rPr>
          <w:rStyle w:val="FootnoteReference"/>
        </w:rPr>
        <w:footnoteRef/>
      </w:r>
      <w:r>
        <w:t xml:space="preserve"> </w:t>
      </w:r>
      <w:r w:rsidR="00D37345" w:rsidRPr="00D37345">
        <w:t>A.J.</w:t>
      </w:r>
      <w:r w:rsidR="00D37345">
        <w:t xml:space="preserve"> Baker</w:t>
      </w:r>
      <w:r w:rsidR="00D37345" w:rsidRPr="00D37345">
        <w:t xml:space="preserve">, </w:t>
      </w:r>
      <w:r w:rsidR="00D37345" w:rsidRPr="00D37345">
        <w:rPr>
          <w:i/>
          <w:iCs/>
        </w:rPr>
        <w:t>The Bastards War: The Mesopotamian Campaign of 1914-1918</w:t>
      </w:r>
      <w:r w:rsidR="00D37345" w:rsidRPr="00D37345">
        <w:t xml:space="preserve"> (USA: The Dial Press New York, 1967)</w:t>
      </w:r>
      <w:r w:rsidR="00D37345">
        <w:t>, p.22.</w:t>
      </w:r>
    </w:p>
  </w:footnote>
  <w:footnote w:id="8">
    <w:p w14:paraId="4971B37E" w14:textId="189B87E6" w:rsidR="00866D96" w:rsidRPr="00866D96" w:rsidRDefault="00866D96">
      <w:pPr>
        <w:pStyle w:val="FootnoteText"/>
      </w:pPr>
      <w:r>
        <w:rPr>
          <w:rStyle w:val="FootnoteReference"/>
        </w:rPr>
        <w:footnoteRef/>
      </w:r>
      <w:r>
        <w:t xml:space="preserve"> Baker, </w:t>
      </w:r>
      <w:r>
        <w:rPr>
          <w:i/>
          <w:iCs/>
        </w:rPr>
        <w:t>The Bastards War</w:t>
      </w:r>
      <w:r>
        <w:t>, p.</w:t>
      </w:r>
      <w:r w:rsidR="0094579F">
        <w:t>24 &amp; p.25.</w:t>
      </w:r>
    </w:p>
  </w:footnote>
  <w:footnote w:id="9">
    <w:p w14:paraId="4E471F9B" w14:textId="322DD630" w:rsidR="006C2E68" w:rsidRDefault="006C2E68">
      <w:pPr>
        <w:pStyle w:val="FootnoteText"/>
      </w:pPr>
      <w:r>
        <w:rPr>
          <w:rStyle w:val="FootnoteReference"/>
        </w:rPr>
        <w:footnoteRef/>
      </w:r>
      <w:r>
        <w:t xml:space="preserve"> </w:t>
      </w:r>
      <w:r w:rsidRPr="006C2E68">
        <w:t xml:space="preserve">The War Office, </w:t>
      </w:r>
      <w:r w:rsidRPr="006C2E68">
        <w:rPr>
          <w:i/>
          <w:iCs/>
        </w:rPr>
        <w:t>Statistics of the military effort of the British Empire during the Great War</w:t>
      </w:r>
      <w:r w:rsidRPr="006C2E68">
        <w:t>, 1914-1920 (UK: His Majesty’s Stationary Office, 1922)</w:t>
      </w:r>
      <w:r>
        <w:t>, p.</w:t>
      </w:r>
      <w:r w:rsidR="00E156AA">
        <w:t>238 &amp; p.239</w:t>
      </w:r>
      <w:r w:rsidR="001E3E3D">
        <w:t>.</w:t>
      </w:r>
    </w:p>
  </w:footnote>
  <w:footnote w:id="10">
    <w:p w14:paraId="27E183DE" w14:textId="6E78FA79" w:rsidR="00E156AA" w:rsidRPr="00E156AA" w:rsidRDefault="00E156AA">
      <w:pPr>
        <w:pStyle w:val="FootnoteText"/>
      </w:pPr>
      <w:r>
        <w:rPr>
          <w:rStyle w:val="FootnoteReference"/>
        </w:rPr>
        <w:footnoteRef/>
      </w:r>
      <w:r>
        <w:t xml:space="preserve"> The War Office, </w:t>
      </w:r>
      <w:r>
        <w:rPr>
          <w:i/>
          <w:iCs/>
        </w:rPr>
        <w:t>Statistics of the military</w:t>
      </w:r>
      <w:r>
        <w:t>, p.238 &amp; p.239</w:t>
      </w:r>
      <w:r w:rsidR="001E3E3D">
        <w:t>.</w:t>
      </w:r>
    </w:p>
  </w:footnote>
  <w:footnote w:id="11">
    <w:p w14:paraId="4BAEB2F1" w14:textId="5DC20211" w:rsidR="0002644E" w:rsidRDefault="0002644E">
      <w:pPr>
        <w:pStyle w:val="FootnoteText"/>
      </w:pPr>
      <w:r>
        <w:rPr>
          <w:rStyle w:val="FootnoteReference"/>
        </w:rPr>
        <w:footnoteRef/>
      </w:r>
      <w:r>
        <w:t xml:space="preserve"> The War Office, </w:t>
      </w:r>
      <w:r w:rsidRPr="00702A2B">
        <w:rPr>
          <w:i/>
          <w:iCs/>
        </w:rPr>
        <w:t>Statistics of the military</w:t>
      </w:r>
      <w:r>
        <w:t>, p.</w:t>
      </w:r>
      <w:r w:rsidR="00F27ECB">
        <w:t xml:space="preserve">65. </w:t>
      </w:r>
    </w:p>
  </w:footnote>
  <w:footnote w:id="12">
    <w:p w14:paraId="13D2BA5F" w14:textId="0F5C2B6B" w:rsidR="00F27ECB" w:rsidRDefault="00F27ECB">
      <w:pPr>
        <w:pStyle w:val="FootnoteText"/>
      </w:pPr>
      <w:r>
        <w:rPr>
          <w:rStyle w:val="FootnoteReference"/>
        </w:rPr>
        <w:footnoteRef/>
      </w:r>
      <w:r>
        <w:t xml:space="preserve"> The War Office, </w:t>
      </w:r>
      <w:r w:rsidRPr="00702A2B">
        <w:rPr>
          <w:i/>
          <w:iCs/>
        </w:rPr>
        <w:t>Statistics of the military</w:t>
      </w:r>
      <w:r>
        <w:t>, p.65</w:t>
      </w:r>
      <w:r w:rsidR="00702A2B">
        <w:t>.</w:t>
      </w:r>
    </w:p>
  </w:footnote>
  <w:footnote w:id="13">
    <w:p w14:paraId="0B1E1FDA" w14:textId="09DD719C" w:rsidR="00F27ECB" w:rsidRDefault="00F27ECB">
      <w:pPr>
        <w:pStyle w:val="FootnoteText"/>
      </w:pPr>
      <w:r>
        <w:rPr>
          <w:rStyle w:val="FootnoteReference"/>
        </w:rPr>
        <w:footnoteRef/>
      </w:r>
      <w:r>
        <w:t xml:space="preserve"> The War Office, </w:t>
      </w:r>
      <w:r w:rsidRPr="00702A2B">
        <w:rPr>
          <w:i/>
          <w:iCs/>
        </w:rPr>
        <w:t>Statistics of the mil</w:t>
      </w:r>
      <w:r w:rsidR="00702A2B" w:rsidRPr="00702A2B">
        <w:rPr>
          <w:i/>
          <w:iCs/>
        </w:rPr>
        <w:t>itary</w:t>
      </w:r>
      <w:r w:rsidR="00702A2B">
        <w:t>, p.65.</w:t>
      </w:r>
    </w:p>
  </w:footnote>
  <w:footnote w:id="14">
    <w:p w14:paraId="77CDFB74" w14:textId="0073B39C" w:rsidR="00D37345" w:rsidRDefault="00D37345">
      <w:pPr>
        <w:pStyle w:val="FootnoteText"/>
      </w:pPr>
      <w:r>
        <w:rPr>
          <w:rStyle w:val="FootnoteReference"/>
        </w:rPr>
        <w:footnoteRef/>
      </w:r>
      <w:r>
        <w:t xml:space="preserve"> </w:t>
      </w:r>
      <w:r w:rsidR="00516F8A" w:rsidRPr="00516F8A">
        <w:t>Lawrence</w:t>
      </w:r>
      <w:r w:rsidR="00516F8A">
        <w:t xml:space="preserve"> </w:t>
      </w:r>
      <w:proofErr w:type="spellStart"/>
      <w:r w:rsidR="00516F8A">
        <w:t>Sondhaus</w:t>
      </w:r>
      <w:proofErr w:type="spellEnd"/>
      <w:r w:rsidR="00516F8A" w:rsidRPr="00516F8A">
        <w:t xml:space="preserve">, </w:t>
      </w:r>
      <w:r w:rsidR="00516F8A" w:rsidRPr="00516F8A">
        <w:rPr>
          <w:i/>
          <w:iCs/>
        </w:rPr>
        <w:t>The Great War at Sea: A Naval History of the First World War</w:t>
      </w:r>
      <w:r w:rsidR="00516F8A" w:rsidRPr="00516F8A">
        <w:t xml:space="preserve"> (UK: Cambridge University Press, 2014)</w:t>
      </w:r>
      <w:r w:rsidR="00516F8A">
        <w:t>, p.70 &amp; p.71.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D9A"/>
    <w:rsid w:val="00005505"/>
    <w:rsid w:val="000061FA"/>
    <w:rsid w:val="00021EBF"/>
    <w:rsid w:val="00025246"/>
    <w:rsid w:val="0002644E"/>
    <w:rsid w:val="00033858"/>
    <w:rsid w:val="00045C74"/>
    <w:rsid w:val="00056430"/>
    <w:rsid w:val="00057E86"/>
    <w:rsid w:val="00057F5C"/>
    <w:rsid w:val="000770A6"/>
    <w:rsid w:val="00080E2D"/>
    <w:rsid w:val="00081543"/>
    <w:rsid w:val="00086925"/>
    <w:rsid w:val="00095ABB"/>
    <w:rsid w:val="00096B73"/>
    <w:rsid w:val="000A4BF8"/>
    <w:rsid w:val="000B3E5C"/>
    <w:rsid w:val="000C2E84"/>
    <w:rsid w:val="000C2FBD"/>
    <w:rsid w:val="000C501D"/>
    <w:rsid w:val="000D21EB"/>
    <w:rsid w:val="000D6A57"/>
    <w:rsid w:val="000F3E73"/>
    <w:rsid w:val="000F4C0A"/>
    <w:rsid w:val="001001F0"/>
    <w:rsid w:val="001057E1"/>
    <w:rsid w:val="00106AFF"/>
    <w:rsid w:val="00107872"/>
    <w:rsid w:val="0013562B"/>
    <w:rsid w:val="00135F38"/>
    <w:rsid w:val="00151B47"/>
    <w:rsid w:val="001620B7"/>
    <w:rsid w:val="001900D7"/>
    <w:rsid w:val="001A09AE"/>
    <w:rsid w:val="001A3825"/>
    <w:rsid w:val="001A453D"/>
    <w:rsid w:val="001B00C4"/>
    <w:rsid w:val="001B714F"/>
    <w:rsid w:val="001C043D"/>
    <w:rsid w:val="001C29BC"/>
    <w:rsid w:val="001C7AAE"/>
    <w:rsid w:val="001D7CB1"/>
    <w:rsid w:val="001E273E"/>
    <w:rsid w:val="001E3E3D"/>
    <w:rsid w:val="002000EF"/>
    <w:rsid w:val="0020039C"/>
    <w:rsid w:val="002058B2"/>
    <w:rsid w:val="00220619"/>
    <w:rsid w:val="002330CD"/>
    <w:rsid w:val="00251A45"/>
    <w:rsid w:val="002714BE"/>
    <w:rsid w:val="002820D8"/>
    <w:rsid w:val="00284B4A"/>
    <w:rsid w:val="002B19D5"/>
    <w:rsid w:val="002B2644"/>
    <w:rsid w:val="002C379D"/>
    <w:rsid w:val="002D265E"/>
    <w:rsid w:val="002E3541"/>
    <w:rsid w:val="002F18EE"/>
    <w:rsid w:val="002F5D51"/>
    <w:rsid w:val="00311A85"/>
    <w:rsid w:val="00316A93"/>
    <w:rsid w:val="003250E3"/>
    <w:rsid w:val="0033213B"/>
    <w:rsid w:val="00362CC8"/>
    <w:rsid w:val="00376ED8"/>
    <w:rsid w:val="00394001"/>
    <w:rsid w:val="003A21C3"/>
    <w:rsid w:val="003A223C"/>
    <w:rsid w:val="003C181A"/>
    <w:rsid w:val="003C2880"/>
    <w:rsid w:val="003C5A83"/>
    <w:rsid w:val="003D0F10"/>
    <w:rsid w:val="003E449F"/>
    <w:rsid w:val="00435931"/>
    <w:rsid w:val="00442A1A"/>
    <w:rsid w:val="004432E5"/>
    <w:rsid w:val="004460AC"/>
    <w:rsid w:val="0045017F"/>
    <w:rsid w:val="00456B47"/>
    <w:rsid w:val="0046141E"/>
    <w:rsid w:val="00467E9E"/>
    <w:rsid w:val="0047177A"/>
    <w:rsid w:val="004745AF"/>
    <w:rsid w:val="00484553"/>
    <w:rsid w:val="004B2C51"/>
    <w:rsid w:val="004B6629"/>
    <w:rsid w:val="004C3E68"/>
    <w:rsid w:val="004D5464"/>
    <w:rsid w:val="004E2F3D"/>
    <w:rsid w:val="00501E37"/>
    <w:rsid w:val="005150A6"/>
    <w:rsid w:val="00515C40"/>
    <w:rsid w:val="00516F8A"/>
    <w:rsid w:val="00521C9D"/>
    <w:rsid w:val="0053076F"/>
    <w:rsid w:val="005308A7"/>
    <w:rsid w:val="005319C1"/>
    <w:rsid w:val="00537D9A"/>
    <w:rsid w:val="00547CCD"/>
    <w:rsid w:val="00553AFB"/>
    <w:rsid w:val="005568DD"/>
    <w:rsid w:val="00584426"/>
    <w:rsid w:val="00592288"/>
    <w:rsid w:val="005A5FB0"/>
    <w:rsid w:val="005B35FC"/>
    <w:rsid w:val="005F5486"/>
    <w:rsid w:val="005F62DD"/>
    <w:rsid w:val="00600E2B"/>
    <w:rsid w:val="00617F70"/>
    <w:rsid w:val="0063183E"/>
    <w:rsid w:val="00631A2F"/>
    <w:rsid w:val="006541A6"/>
    <w:rsid w:val="006770A2"/>
    <w:rsid w:val="006834B9"/>
    <w:rsid w:val="006A4B6A"/>
    <w:rsid w:val="006A5192"/>
    <w:rsid w:val="006A7B02"/>
    <w:rsid w:val="006C2E68"/>
    <w:rsid w:val="006E5EE7"/>
    <w:rsid w:val="006F2CA6"/>
    <w:rsid w:val="00702A2B"/>
    <w:rsid w:val="007046EA"/>
    <w:rsid w:val="00705E80"/>
    <w:rsid w:val="00717578"/>
    <w:rsid w:val="00745F68"/>
    <w:rsid w:val="007533A9"/>
    <w:rsid w:val="007569E3"/>
    <w:rsid w:val="007D3293"/>
    <w:rsid w:val="007E3886"/>
    <w:rsid w:val="00802DB1"/>
    <w:rsid w:val="008073C7"/>
    <w:rsid w:val="0081128D"/>
    <w:rsid w:val="0081159C"/>
    <w:rsid w:val="00817694"/>
    <w:rsid w:val="00830D80"/>
    <w:rsid w:val="00837BE6"/>
    <w:rsid w:val="00840E89"/>
    <w:rsid w:val="00850C08"/>
    <w:rsid w:val="00857B18"/>
    <w:rsid w:val="008655A1"/>
    <w:rsid w:val="00866481"/>
    <w:rsid w:val="00866D96"/>
    <w:rsid w:val="0087725F"/>
    <w:rsid w:val="008A68B5"/>
    <w:rsid w:val="008C2A88"/>
    <w:rsid w:val="008C5AA4"/>
    <w:rsid w:val="008E24D1"/>
    <w:rsid w:val="008F6A59"/>
    <w:rsid w:val="00905B6C"/>
    <w:rsid w:val="00927612"/>
    <w:rsid w:val="00934921"/>
    <w:rsid w:val="00944869"/>
    <w:rsid w:val="0094579F"/>
    <w:rsid w:val="009475EC"/>
    <w:rsid w:val="009545C2"/>
    <w:rsid w:val="00955146"/>
    <w:rsid w:val="009877DD"/>
    <w:rsid w:val="00993B52"/>
    <w:rsid w:val="009B4152"/>
    <w:rsid w:val="009B621B"/>
    <w:rsid w:val="009B6BEA"/>
    <w:rsid w:val="009C096F"/>
    <w:rsid w:val="009C26AE"/>
    <w:rsid w:val="009E2EF7"/>
    <w:rsid w:val="009E64CA"/>
    <w:rsid w:val="009F0A1D"/>
    <w:rsid w:val="009F2196"/>
    <w:rsid w:val="009F7D5B"/>
    <w:rsid w:val="00A00404"/>
    <w:rsid w:val="00A10239"/>
    <w:rsid w:val="00A11DF6"/>
    <w:rsid w:val="00A1524A"/>
    <w:rsid w:val="00A1617F"/>
    <w:rsid w:val="00A21A54"/>
    <w:rsid w:val="00A227F5"/>
    <w:rsid w:val="00A24A9B"/>
    <w:rsid w:val="00A438D7"/>
    <w:rsid w:val="00A43F9A"/>
    <w:rsid w:val="00A45FB8"/>
    <w:rsid w:val="00A536BF"/>
    <w:rsid w:val="00A54D28"/>
    <w:rsid w:val="00A57E79"/>
    <w:rsid w:val="00A617F3"/>
    <w:rsid w:val="00A63D88"/>
    <w:rsid w:val="00A65961"/>
    <w:rsid w:val="00A67D0E"/>
    <w:rsid w:val="00A7072A"/>
    <w:rsid w:val="00A7352E"/>
    <w:rsid w:val="00A806AF"/>
    <w:rsid w:val="00A8349C"/>
    <w:rsid w:val="00A938D6"/>
    <w:rsid w:val="00AB0D87"/>
    <w:rsid w:val="00AC1BC6"/>
    <w:rsid w:val="00AC2DB8"/>
    <w:rsid w:val="00AE04FD"/>
    <w:rsid w:val="00AF238C"/>
    <w:rsid w:val="00AF325B"/>
    <w:rsid w:val="00AF4A66"/>
    <w:rsid w:val="00AF5FD2"/>
    <w:rsid w:val="00B023DF"/>
    <w:rsid w:val="00B054EA"/>
    <w:rsid w:val="00B33339"/>
    <w:rsid w:val="00B34F97"/>
    <w:rsid w:val="00B47241"/>
    <w:rsid w:val="00B537D3"/>
    <w:rsid w:val="00B5756F"/>
    <w:rsid w:val="00B5760F"/>
    <w:rsid w:val="00B636A7"/>
    <w:rsid w:val="00B657B8"/>
    <w:rsid w:val="00B65E89"/>
    <w:rsid w:val="00B76621"/>
    <w:rsid w:val="00B86626"/>
    <w:rsid w:val="00B95DF2"/>
    <w:rsid w:val="00BC4A51"/>
    <w:rsid w:val="00BE7F32"/>
    <w:rsid w:val="00BF5762"/>
    <w:rsid w:val="00C13000"/>
    <w:rsid w:val="00C1791F"/>
    <w:rsid w:val="00C311F7"/>
    <w:rsid w:val="00C40857"/>
    <w:rsid w:val="00C434B6"/>
    <w:rsid w:val="00C451AD"/>
    <w:rsid w:val="00C52273"/>
    <w:rsid w:val="00C87410"/>
    <w:rsid w:val="00CA051C"/>
    <w:rsid w:val="00CA5BBB"/>
    <w:rsid w:val="00CA63DE"/>
    <w:rsid w:val="00CA69D9"/>
    <w:rsid w:val="00CB567E"/>
    <w:rsid w:val="00CC24AC"/>
    <w:rsid w:val="00D12FA8"/>
    <w:rsid w:val="00D37345"/>
    <w:rsid w:val="00D50FF6"/>
    <w:rsid w:val="00D56FF4"/>
    <w:rsid w:val="00D73AB9"/>
    <w:rsid w:val="00D845D1"/>
    <w:rsid w:val="00D84CE8"/>
    <w:rsid w:val="00D97F8D"/>
    <w:rsid w:val="00DA09B9"/>
    <w:rsid w:val="00DA1EC5"/>
    <w:rsid w:val="00DA264F"/>
    <w:rsid w:val="00DB5C27"/>
    <w:rsid w:val="00DC3F41"/>
    <w:rsid w:val="00DD4951"/>
    <w:rsid w:val="00DE2C49"/>
    <w:rsid w:val="00DE6529"/>
    <w:rsid w:val="00E05D26"/>
    <w:rsid w:val="00E12513"/>
    <w:rsid w:val="00E14DF5"/>
    <w:rsid w:val="00E156AA"/>
    <w:rsid w:val="00E30154"/>
    <w:rsid w:val="00E3298B"/>
    <w:rsid w:val="00E52790"/>
    <w:rsid w:val="00E56B66"/>
    <w:rsid w:val="00E57F39"/>
    <w:rsid w:val="00E57FE8"/>
    <w:rsid w:val="00E618CE"/>
    <w:rsid w:val="00E64ABC"/>
    <w:rsid w:val="00E65F5B"/>
    <w:rsid w:val="00E74210"/>
    <w:rsid w:val="00E764D5"/>
    <w:rsid w:val="00E76823"/>
    <w:rsid w:val="00ED367C"/>
    <w:rsid w:val="00EF6C63"/>
    <w:rsid w:val="00F00E6C"/>
    <w:rsid w:val="00F03449"/>
    <w:rsid w:val="00F25F53"/>
    <w:rsid w:val="00F2759E"/>
    <w:rsid w:val="00F27ECB"/>
    <w:rsid w:val="00F36A09"/>
    <w:rsid w:val="00F45AF5"/>
    <w:rsid w:val="00F604EB"/>
    <w:rsid w:val="00F764EE"/>
    <w:rsid w:val="00F81931"/>
    <w:rsid w:val="00F86754"/>
    <w:rsid w:val="00F87A7B"/>
    <w:rsid w:val="00F937FA"/>
    <w:rsid w:val="00F942E5"/>
    <w:rsid w:val="00FB0178"/>
    <w:rsid w:val="00FB1A37"/>
    <w:rsid w:val="00FB7FE7"/>
    <w:rsid w:val="00FE0080"/>
    <w:rsid w:val="00FF0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5F0DA"/>
  <w15:chartTrackingRefBased/>
  <w15:docId w15:val="{84D44CE2-250A-4DFE-9E48-BEC6AE4F6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7D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7D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7D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7D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7D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7D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7D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7D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7D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D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7D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7D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7D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7D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7D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7D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7D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7D9A"/>
    <w:rPr>
      <w:rFonts w:eastAsiaTheme="majorEastAsia" w:cstheme="majorBidi"/>
      <w:color w:val="272727" w:themeColor="text1" w:themeTint="D8"/>
    </w:rPr>
  </w:style>
  <w:style w:type="paragraph" w:styleId="Title">
    <w:name w:val="Title"/>
    <w:basedOn w:val="Normal"/>
    <w:next w:val="Normal"/>
    <w:link w:val="TitleChar"/>
    <w:uiPriority w:val="10"/>
    <w:qFormat/>
    <w:rsid w:val="00537D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7D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7D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7D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7D9A"/>
    <w:pPr>
      <w:spacing w:before="160"/>
      <w:jc w:val="center"/>
    </w:pPr>
    <w:rPr>
      <w:i/>
      <w:iCs/>
      <w:color w:val="404040" w:themeColor="text1" w:themeTint="BF"/>
    </w:rPr>
  </w:style>
  <w:style w:type="character" w:customStyle="1" w:styleId="QuoteChar">
    <w:name w:val="Quote Char"/>
    <w:basedOn w:val="DefaultParagraphFont"/>
    <w:link w:val="Quote"/>
    <w:uiPriority w:val="29"/>
    <w:rsid w:val="00537D9A"/>
    <w:rPr>
      <w:i/>
      <w:iCs/>
      <w:color w:val="404040" w:themeColor="text1" w:themeTint="BF"/>
    </w:rPr>
  </w:style>
  <w:style w:type="paragraph" w:styleId="ListParagraph">
    <w:name w:val="List Paragraph"/>
    <w:basedOn w:val="Normal"/>
    <w:uiPriority w:val="34"/>
    <w:qFormat/>
    <w:rsid w:val="00537D9A"/>
    <w:pPr>
      <w:ind w:left="720"/>
      <w:contextualSpacing/>
    </w:pPr>
  </w:style>
  <w:style w:type="character" w:styleId="IntenseEmphasis">
    <w:name w:val="Intense Emphasis"/>
    <w:basedOn w:val="DefaultParagraphFont"/>
    <w:uiPriority w:val="21"/>
    <w:qFormat/>
    <w:rsid w:val="00537D9A"/>
    <w:rPr>
      <w:i/>
      <w:iCs/>
      <w:color w:val="0F4761" w:themeColor="accent1" w:themeShade="BF"/>
    </w:rPr>
  </w:style>
  <w:style w:type="paragraph" w:styleId="IntenseQuote">
    <w:name w:val="Intense Quote"/>
    <w:basedOn w:val="Normal"/>
    <w:next w:val="Normal"/>
    <w:link w:val="IntenseQuoteChar"/>
    <w:uiPriority w:val="30"/>
    <w:qFormat/>
    <w:rsid w:val="00537D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7D9A"/>
    <w:rPr>
      <w:i/>
      <w:iCs/>
      <w:color w:val="0F4761" w:themeColor="accent1" w:themeShade="BF"/>
    </w:rPr>
  </w:style>
  <w:style w:type="character" w:styleId="IntenseReference">
    <w:name w:val="Intense Reference"/>
    <w:basedOn w:val="DefaultParagraphFont"/>
    <w:uiPriority w:val="32"/>
    <w:qFormat/>
    <w:rsid w:val="00537D9A"/>
    <w:rPr>
      <w:b/>
      <w:bCs/>
      <w:smallCaps/>
      <w:color w:val="0F4761" w:themeColor="accent1" w:themeShade="BF"/>
      <w:spacing w:val="5"/>
    </w:rPr>
  </w:style>
  <w:style w:type="paragraph" w:styleId="FootnoteText">
    <w:name w:val="footnote text"/>
    <w:basedOn w:val="Normal"/>
    <w:link w:val="FootnoteTextChar"/>
    <w:uiPriority w:val="99"/>
    <w:semiHidden/>
    <w:unhideWhenUsed/>
    <w:rsid w:val="003250E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250E3"/>
    <w:rPr>
      <w:sz w:val="20"/>
      <w:szCs w:val="20"/>
    </w:rPr>
  </w:style>
  <w:style w:type="character" w:styleId="FootnoteReference">
    <w:name w:val="footnote reference"/>
    <w:basedOn w:val="DefaultParagraphFont"/>
    <w:uiPriority w:val="99"/>
    <w:semiHidden/>
    <w:unhideWhenUsed/>
    <w:rsid w:val="003250E3"/>
    <w:rPr>
      <w:vertAlign w:val="superscript"/>
    </w:rPr>
  </w:style>
  <w:style w:type="character" w:styleId="Hyperlink">
    <w:name w:val="Hyperlink"/>
    <w:basedOn w:val="DefaultParagraphFont"/>
    <w:uiPriority w:val="99"/>
    <w:unhideWhenUsed/>
    <w:rsid w:val="001E273E"/>
    <w:rPr>
      <w:color w:val="467886" w:themeColor="hyperlink"/>
      <w:u w:val="single"/>
    </w:rPr>
  </w:style>
  <w:style w:type="character" w:styleId="UnresolvedMention">
    <w:name w:val="Unresolved Mention"/>
    <w:basedOn w:val="DefaultParagraphFont"/>
    <w:uiPriority w:val="99"/>
    <w:semiHidden/>
    <w:unhideWhenUsed/>
    <w:rsid w:val="001E27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A561B3-13EF-4DCD-A23A-FEAE8E7B0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7</Pages>
  <Words>2605</Words>
  <Characters>14855</Characters>
  <Application>Microsoft Office Word</Application>
  <DocSecurity>0</DocSecurity>
  <Lines>123</Lines>
  <Paragraphs>34</Paragraphs>
  <ScaleCrop>false</ScaleCrop>
  <Company/>
  <LinksUpToDate>false</LinksUpToDate>
  <CharactersWithSpaces>17426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Maties</dc:creator>
  <cp:keywords/>
  <dc:description/>
  <cp:lastModifiedBy>Alin Maties</cp:lastModifiedBy>
  <cp:revision>181</cp:revision>
  <dcterms:created xsi:type="dcterms:W3CDTF">2024-05-04T19:50:00Z</dcterms:created>
  <dcterms:modified xsi:type="dcterms:W3CDTF">2024-05-05T14:07:00Z</dcterms:modified>
</cp:coreProperties>
</file>