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A096B9" w14:textId="260D718D" w:rsidR="009B1AD5" w:rsidRPr="00DE6B21" w:rsidRDefault="00284635" w:rsidP="0091589F">
      <w:pPr>
        <w:rPr>
          <w:rFonts w:ascii="Arial" w:hAnsi="Arial" w:cs="Arial"/>
          <w:b/>
          <w:bCs/>
          <w:sz w:val="22"/>
          <w:szCs w:val="22"/>
        </w:rPr>
      </w:pPr>
      <w:r w:rsidRPr="00DE6B21">
        <w:rPr>
          <w:rFonts w:ascii="Arial" w:hAnsi="Arial" w:cs="Arial"/>
          <w:noProof/>
          <w:sz w:val="22"/>
          <w:szCs w:val="22"/>
        </w:rPr>
        <w:drawing>
          <wp:anchor distT="0" distB="0" distL="114300" distR="114300" simplePos="0" relativeHeight="251659264" behindDoc="0" locked="0" layoutInCell="1" allowOverlap="1" wp14:anchorId="6CC9ED03" wp14:editId="19966E2C">
            <wp:simplePos x="0" y="0"/>
            <wp:positionH relativeFrom="column">
              <wp:posOffset>0</wp:posOffset>
            </wp:positionH>
            <wp:positionV relativeFrom="paragraph">
              <wp:posOffset>317500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DBC87AC" w14:textId="77777777" w:rsidR="009B1AD5" w:rsidRPr="00DE6B21" w:rsidRDefault="009B1AD5" w:rsidP="0091589F">
      <w:pPr>
        <w:rPr>
          <w:rFonts w:ascii="Arial" w:hAnsi="Arial" w:cs="Arial"/>
          <w:b/>
          <w:bCs/>
          <w:sz w:val="22"/>
          <w:szCs w:val="22"/>
        </w:rPr>
      </w:pPr>
    </w:p>
    <w:p w14:paraId="70F2161B" w14:textId="77777777" w:rsidR="009B1AD5" w:rsidRPr="00DE6B21" w:rsidRDefault="009B1AD5" w:rsidP="0091589F">
      <w:pPr>
        <w:rPr>
          <w:rFonts w:ascii="Arial" w:hAnsi="Arial" w:cs="Arial"/>
          <w:b/>
          <w:bCs/>
          <w:sz w:val="22"/>
          <w:szCs w:val="22"/>
        </w:rPr>
      </w:pPr>
    </w:p>
    <w:p w14:paraId="460258C2" w14:textId="77777777" w:rsidR="009B1AD5" w:rsidRPr="00DE6B21" w:rsidRDefault="009B1AD5" w:rsidP="0091589F">
      <w:pPr>
        <w:rPr>
          <w:rFonts w:ascii="Arial" w:hAnsi="Arial" w:cs="Arial"/>
          <w:b/>
          <w:bCs/>
          <w:sz w:val="22"/>
          <w:szCs w:val="22"/>
        </w:rPr>
      </w:pPr>
    </w:p>
    <w:p w14:paraId="39B67FB2" w14:textId="77777777" w:rsidR="00AC75BF" w:rsidRPr="00DE6B21" w:rsidRDefault="00AC75BF" w:rsidP="0091589F">
      <w:pPr>
        <w:rPr>
          <w:rFonts w:ascii="Arial" w:hAnsi="Arial" w:cs="Arial"/>
          <w:b/>
          <w:bCs/>
          <w:sz w:val="22"/>
          <w:szCs w:val="22"/>
        </w:rPr>
      </w:pPr>
    </w:p>
    <w:p w14:paraId="228695E2" w14:textId="77777777" w:rsidR="00AC75BF" w:rsidRPr="00DE6B21" w:rsidRDefault="00AC75BF" w:rsidP="0091589F">
      <w:pPr>
        <w:rPr>
          <w:rFonts w:ascii="Arial" w:hAnsi="Arial" w:cs="Arial"/>
          <w:b/>
          <w:bCs/>
          <w:sz w:val="22"/>
          <w:szCs w:val="22"/>
        </w:rPr>
      </w:pPr>
    </w:p>
    <w:p w14:paraId="0B114149" w14:textId="77777777" w:rsidR="009B1AD5" w:rsidRPr="00DE6B21" w:rsidRDefault="009B1AD5" w:rsidP="0091589F">
      <w:pPr>
        <w:rPr>
          <w:rFonts w:ascii="Arial" w:hAnsi="Arial" w:cs="Arial"/>
          <w:b/>
          <w:bCs/>
          <w:sz w:val="22"/>
          <w:szCs w:val="22"/>
        </w:rPr>
      </w:pPr>
    </w:p>
    <w:p w14:paraId="61F46343" w14:textId="77777777" w:rsidR="009B1AD5" w:rsidRPr="00DE6B21" w:rsidRDefault="009B1AD5" w:rsidP="0091589F">
      <w:pPr>
        <w:rPr>
          <w:rFonts w:ascii="Arial" w:hAnsi="Arial" w:cs="Arial"/>
          <w:b/>
          <w:bCs/>
          <w:sz w:val="22"/>
          <w:szCs w:val="22"/>
        </w:rPr>
      </w:pPr>
    </w:p>
    <w:p w14:paraId="35FA62DF" w14:textId="20FE9A97" w:rsidR="0091589F" w:rsidRPr="0091589F" w:rsidRDefault="0091589F" w:rsidP="0091589F">
      <w:pPr>
        <w:rPr>
          <w:rFonts w:ascii="Arial" w:hAnsi="Arial" w:cs="Arial"/>
          <w:sz w:val="22"/>
          <w:szCs w:val="22"/>
        </w:rPr>
      </w:pPr>
      <w:r w:rsidRPr="0091589F">
        <w:rPr>
          <w:rFonts w:ascii="Arial" w:hAnsi="Arial" w:cs="Arial"/>
          <w:b/>
          <w:bCs/>
          <w:sz w:val="22"/>
          <w:szCs w:val="22"/>
        </w:rPr>
        <w:t>Student Name:</w:t>
      </w:r>
      <w:r w:rsidRPr="0091589F">
        <w:rPr>
          <w:rFonts w:ascii="Arial" w:hAnsi="Arial" w:cs="Arial"/>
          <w:sz w:val="22"/>
          <w:szCs w:val="22"/>
        </w:rPr>
        <w:t xml:space="preserve"> Gila Serrote</w:t>
      </w:r>
      <w:r w:rsidRPr="0091589F">
        <w:rPr>
          <w:rFonts w:ascii="Arial" w:hAnsi="Arial" w:cs="Arial"/>
          <w:sz w:val="22"/>
          <w:szCs w:val="22"/>
        </w:rPr>
        <w:br/>
      </w:r>
      <w:r w:rsidRPr="0091589F">
        <w:rPr>
          <w:rFonts w:ascii="Arial" w:hAnsi="Arial" w:cs="Arial"/>
          <w:b/>
          <w:bCs/>
          <w:sz w:val="22"/>
          <w:szCs w:val="22"/>
        </w:rPr>
        <w:t>Student ID:</w:t>
      </w:r>
      <w:r w:rsidRPr="0091589F">
        <w:rPr>
          <w:rFonts w:ascii="Arial" w:hAnsi="Arial" w:cs="Arial"/>
          <w:sz w:val="22"/>
          <w:szCs w:val="22"/>
        </w:rPr>
        <w:t xml:space="preserve"> 2510697</w:t>
      </w:r>
      <w:r w:rsidRPr="0091589F">
        <w:rPr>
          <w:rFonts w:ascii="Arial" w:hAnsi="Arial" w:cs="Arial"/>
          <w:sz w:val="22"/>
          <w:szCs w:val="22"/>
        </w:rPr>
        <w:br/>
      </w:r>
      <w:r w:rsidRPr="0091589F">
        <w:rPr>
          <w:rFonts w:ascii="Arial" w:hAnsi="Arial" w:cs="Arial"/>
          <w:b/>
          <w:bCs/>
          <w:sz w:val="22"/>
          <w:szCs w:val="22"/>
        </w:rPr>
        <w:t>Course:</w:t>
      </w:r>
      <w:r w:rsidRPr="0091589F">
        <w:rPr>
          <w:rFonts w:ascii="Arial" w:hAnsi="Arial" w:cs="Arial"/>
          <w:sz w:val="22"/>
          <w:szCs w:val="22"/>
        </w:rPr>
        <w:t xml:space="preserve"> Level 4 Health and Social Care</w:t>
      </w:r>
      <w:r w:rsidRPr="0091589F">
        <w:rPr>
          <w:rFonts w:ascii="Arial" w:hAnsi="Arial" w:cs="Arial"/>
          <w:sz w:val="22"/>
          <w:szCs w:val="22"/>
        </w:rPr>
        <w:br/>
      </w:r>
      <w:r w:rsidRPr="0091589F">
        <w:rPr>
          <w:rFonts w:ascii="Arial" w:hAnsi="Arial" w:cs="Arial"/>
          <w:b/>
          <w:bCs/>
          <w:sz w:val="22"/>
          <w:szCs w:val="22"/>
        </w:rPr>
        <w:t>Module:</w:t>
      </w:r>
      <w:r w:rsidRPr="0091589F">
        <w:rPr>
          <w:rFonts w:ascii="Arial" w:hAnsi="Arial" w:cs="Arial"/>
          <w:sz w:val="22"/>
          <w:szCs w:val="22"/>
        </w:rPr>
        <w:t xml:space="preserve"> </w:t>
      </w:r>
      <w:r w:rsidR="009B1AD5" w:rsidRPr="00DE6B21">
        <w:rPr>
          <w:rFonts w:ascii="Arial" w:hAnsi="Arial" w:cs="Arial"/>
          <w:sz w:val="22"/>
          <w:szCs w:val="22"/>
        </w:rPr>
        <w:t>Public Health</w:t>
      </w:r>
      <w:r w:rsidRPr="0091589F">
        <w:rPr>
          <w:rFonts w:ascii="Arial" w:hAnsi="Arial" w:cs="Arial"/>
          <w:sz w:val="22"/>
          <w:szCs w:val="22"/>
        </w:rPr>
        <w:br/>
      </w:r>
      <w:r w:rsidRPr="0091589F">
        <w:rPr>
          <w:rFonts w:ascii="Arial" w:hAnsi="Arial" w:cs="Arial"/>
          <w:b/>
          <w:bCs/>
          <w:sz w:val="22"/>
          <w:szCs w:val="22"/>
        </w:rPr>
        <w:t>Lecturer:</w:t>
      </w:r>
      <w:r w:rsidRPr="0091589F">
        <w:rPr>
          <w:rFonts w:ascii="Arial" w:hAnsi="Arial" w:cs="Arial"/>
          <w:sz w:val="22"/>
          <w:szCs w:val="22"/>
        </w:rPr>
        <w:t xml:space="preserve"> Arif</w:t>
      </w:r>
      <w:r w:rsidRPr="0091589F">
        <w:rPr>
          <w:rFonts w:ascii="Arial" w:hAnsi="Arial" w:cs="Arial"/>
          <w:sz w:val="22"/>
          <w:szCs w:val="22"/>
        </w:rPr>
        <w:br/>
      </w:r>
      <w:r w:rsidRPr="0091589F">
        <w:rPr>
          <w:rFonts w:ascii="Arial" w:hAnsi="Arial" w:cs="Arial"/>
          <w:b/>
          <w:bCs/>
          <w:sz w:val="22"/>
          <w:szCs w:val="22"/>
        </w:rPr>
        <w:t>Assignment Title:</w:t>
      </w:r>
      <w:r w:rsidRPr="0091589F">
        <w:rPr>
          <w:rFonts w:ascii="Arial" w:hAnsi="Arial" w:cs="Arial"/>
          <w:sz w:val="22"/>
          <w:szCs w:val="22"/>
        </w:rPr>
        <w:t xml:space="preserve"> Lung Cancer: Public Health Report</w:t>
      </w:r>
      <w:r w:rsidRPr="0091589F">
        <w:rPr>
          <w:rFonts w:ascii="Arial" w:hAnsi="Arial" w:cs="Arial"/>
          <w:sz w:val="22"/>
          <w:szCs w:val="22"/>
        </w:rPr>
        <w:br/>
      </w:r>
      <w:r w:rsidRPr="0091589F">
        <w:rPr>
          <w:rFonts w:ascii="Arial" w:hAnsi="Arial" w:cs="Arial"/>
          <w:b/>
          <w:bCs/>
          <w:sz w:val="22"/>
          <w:szCs w:val="22"/>
        </w:rPr>
        <w:t>Date:</w:t>
      </w:r>
      <w:r w:rsidRPr="0091589F">
        <w:rPr>
          <w:rFonts w:ascii="Arial" w:hAnsi="Arial" w:cs="Arial"/>
          <w:sz w:val="22"/>
          <w:szCs w:val="22"/>
        </w:rPr>
        <w:t xml:space="preserve"> </w:t>
      </w:r>
      <w:r w:rsidR="009B1AD5" w:rsidRPr="00DE6B21">
        <w:rPr>
          <w:rFonts w:ascii="Arial" w:hAnsi="Arial" w:cs="Arial"/>
          <w:sz w:val="22"/>
          <w:szCs w:val="22"/>
        </w:rPr>
        <w:t>14/04/2026</w:t>
      </w:r>
    </w:p>
    <w:p w14:paraId="61AFD868" w14:textId="671AEE09" w:rsidR="0091589F" w:rsidRPr="00DE6B21" w:rsidRDefault="0091589F" w:rsidP="0091589F">
      <w:pPr>
        <w:rPr>
          <w:rFonts w:ascii="Arial" w:hAnsi="Arial" w:cs="Arial"/>
          <w:sz w:val="22"/>
          <w:szCs w:val="22"/>
        </w:rPr>
      </w:pPr>
    </w:p>
    <w:p w14:paraId="19957541" w14:textId="15EBE8CB" w:rsidR="009B1AD5" w:rsidRPr="00DE6B21" w:rsidRDefault="00880EB3" w:rsidP="0091589F">
      <w:pPr>
        <w:rPr>
          <w:rFonts w:ascii="Arial" w:hAnsi="Arial" w:cs="Arial"/>
          <w:sz w:val="22"/>
          <w:szCs w:val="22"/>
        </w:rPr>
      </w:pPr>
      <w:r>
        <w:rPr>
          <w:noProof/>
        </w:rPr>
        <w:drawing>
          <wp:inline distT="0" distB="0" distL="0" distR="0" wp14:anchorId="6E9BA89C" wp14:editId="7D5A8D4E">
            <wp:extent cx="5619750" cy="3333750"/>
            <wp:effectExtent l="0" t="0" r="0" b="0"/>
            <wp:docPr id="956476673" name="Picture 3" descr="Lung cancer: Having a new continuous cough for longer than two weeks i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Lung cancer: Having a new continuous cough for longer than two weeks i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19750" cy="3333750"/>
                    </a:xfrm>
                    <a:prstGeom prst="rect">
                      <a:avLst/>
                    </a:prstGeom>
                    <a:noFill/>
                    <a:ln>
                      <a:noFill/>
                    </a:ln>
                  </pic:spPr>
                </pic:pic>
              </a:graphicData>
            </a:graphic>
          </wp:inline>
        </w:drawing>
      </w:r>
    </w:p>
    <w:p w14:paraId="005DE688" w14:textId="77777777" w:rsidR="009B1AD5" w:rsidRPr="00DE6B21" w:rsidRDefault="009B1AD5" w:rsidP="0091589F">
      <w:pPr>
        <w:rPr>
          <w:rFonts w:ascii="Arial" w:hAnsi="Arial" w:cs="Arial"/>
          <w:sz w:val="22"/>
          <w:szCs w:val="22"/>
        </w:rPr>
      </w:pPr>
    </w:p>
    <w:p w14:paraId="144E19D0" w14:textId="77777777" w:rsidR="009B1AD5" w:rsidRPr="00DE6B21" w:rsidRDefault="009B1AD5" w:rsidP="0091589F">
      <w:pPr>
        <w:rPr>
          <w:rFonts w:ascii="Arial" w:hAnsi="Arial" w:cs="Arial"/>
          <w:sz w:val="22"/>
          <w:szCs w:val="22"/>
        </w:rPr>
      </w:pPr>
    </w:p>
    <w:p w14:paraId="41CD080A" w14:textId="77777777" w:rsidR="009B1AD5" w:rsidRPr="00DE6B21" w:rsidRDefault="009B1AD5" w:rsidP="0091589F">
      <w:pPr>
        <w:rPr>
          <w:rFonts w:ascii="Arial" w:hAnsi="Arial" w:cs="Arial"/>
          <w:sz w:val="22"/>
          <w:szCs w:val="22"/>
        </w:rPr>
      </w:pPr>
    </w:p>
    <w:p w14:paraId="0FCAD897" w14:textId="77777777" w:rsidR="00DE6B21" w:rsidRPr="00DE6B21" w:rsidRDefault="00DE6B21" w:rsidP="0091589F">
      <w:pPr>
        <w:rPr>
          <w:rFonts w:ascii="Arial" w:hAnsi="Arial" w:cs="Arial"/>
          <w:sz w:val="22"/>
          <w:szCs w:val="22"/>
        </w:rPr>
      </w:pPr>
    </w:p>
    <w:p w14:paraId="19246176" w14:textId="77777777" w:rsidR="009B1AD5" w:rsidRPr="0091589F" w:rsidRDefault="009B1AD5" w:rsidP="0091589F">
      <w:pPr>
        <w:rPr>
          <w:rFonts w:ascii="Arial" w:hAnsi="Arial" w:cs="Arial"/>
          <w:sz w:val="22"/>
          <w:szCs w:val="22"/>
        </w:rPr>
      </w:pPr>
    </w:p>
    <w:p w14:paraId="320DEDFE" w14:textId="43AD018F" w:rsidR="0091589F" w:rsidRPr="0091589F" w:rsidRDefault="0091589F" w:rsidP="0091589F">
      <w:pPr>
        <w:rPr>
          <w:rFonts w:ascii="Arial" w:hAnsi="Arial" w:cs="Arial"/>
          <w:b/>
          <w:bCs/>
          <w:sz w:val="22"/>
          <w:szCs w:val="22"/>
        </w:rPr>
      </w:pPr>
      <w:r w:rsidRPr="0091589F">
        <w:rPr>
          <w:rFonts w:ascii="Arial" w:hAnsi="Arial" w:cs="Arial"/>
          <w:b/>
          <w:bCs/>
          <w:sz w:val="22"/>
          <w:szCs w:val="22"/>
        </w:rPr>
        <w:lastRenderedPageBreak/>
        <w:t xml:space="preserve">Introduction </w:t>
      </w:r>
    </w:p>
    <w:p w14:paraId="5B6FE571" w14:textId="77777777" w:rsidR="0091589F" w:rsidRPr="0091589F" w:rsidRDefault="0091589F" w:rsidP="0091589F">
      <w:pPr>
        <w:rPr>
          <w:rFonts w:ascii="Arial" w:hAnsi="Arial" w:cs="Arial"/>
          <w:sz w:val="22"/>
          <w:szCs w:val="22"/>
        </w:rPr>
      </w:pPr>
      <w:r w:rsidRPr="0091589F">
        <w:rPr>
          <w:rFonts w:ascii="Arial" w:hAnsi="Arial" w:cs="Arial"/>
          <w:sz w:val="22"/>
          <w:szCs w:val="22"/>
        </w:rPr>
        <w:t>Lung cancer is a malignant disease characterised by the uncontrolled growth of abnormal cells within the lungs, which can invade surrounding tissues and metastasise to other parts of the body (NHS, 2022). It is one of the most common and serious cancers in the United Kingdom, with approximately 48,000 new cases diagnosed each year (Cancer Research UK, 2024). Globally, lung cancer contributes significantly to the burden of disease, accounting for high mortality and disability rates measured using Disability-Adjusted Life Years (DALYs) (WHO, 2023).</w:t>
      </w:r>
    </w:p>
    <w:p w14:paraId="6EC1F46B" w14:textId="77777777" w:rsidR="0091589F" w:rsidRPr="0091589F" w:rsidRDefault="0091589F" w:rsidP="0091589F">
      <w:pPr>
        <w:rPr>
          <w:rFonts w:ascii="Arial" w:hAnsi="Arial" w:cs="Arial"/>
          <w:sz w:val="22"/>
          <w:szCs w:val="22"/>
        </w:rPr>
      </w:pPr>
      <w:r w:rsidRPr="0091589F">
        <w:rPr>
          <w:rFonts w:ascii="Arial" w:hAnsi="Arial" w:cs="Arial"/>
          <w:sz w:val="22"/>
          <w:szCs w:val="22"/>
        </w:rPr>
        <w:t>Common symptoms include a persistent cough, coughing up blood, breathlessness, chest pain, fatigue, and unexplained weight loss (NHS, 2022). Lung cancer has a profound impact on physical, emotional, and social wellbeing, often requiring long-term care. Individuals affected require coordinated health and social care support services within the community, including general practitioners (GPs), specialist nurses, multidisciplinary teams, and palliative care services to manage symptoms and improve quality of life (NICE, 2024).</w:t>
      </w:r>
    </w:p>
    <w:p w14:paraId="21CA9AF1" w14:textId="5F21A982" w:rsidR="0091589F" w:rsidRPr="0091589F" w:rsidRDefault="0091589F" w:rsidP="0091589F">
      <w:pPr>
        <w:rPr>
          <w:rFonts w:ascii="Arial" w:hAnsi="Arial" w:cs="Arial"/>
          <w:sz w:val="22"/>
          <w:szCs w:val="22"/>
        </w:rPr>
      </w:pPr>
    </w:p>
    <w:p w14:paraId="74A6E2F1" w14:textId="77777777" w:rsidR="0091589F" w:rsidRPr="0091589F" w:rsidRDefault="0091589F" w:rsidP="0091589F">
      <w:pPr>
        <w:rPr>
          <w:rFonts w:ascii="Arial" w:hAnsi="Arial" w:cs="Arial"/>
          <w:b/>
          <w:bCs/>
          <w:sz w:val="22"/>
          <w:szCs w:val="22"/>
        </w:rPr>
      </w:pPr>
      <w:r w:rsidRPr="0091589F">
        <w:rPr>
          <w:rFonts w:ascii="Arial" w:hAnsi="Arial" w:cs="Arial"/>
          <w:b/>
          <w:bCs/>
          <w:sz w:val="22"/>
          <w:szCs w:val="22"/>
        </w:rPr>
        <w:t>Classification of Lung Cancer</w:t>
      </w:r>
    </w:p>
    <w:p w14:paraId="415D3E1F" w14:textId="77777777" w:rsidR="0091589F" w:rsidRPr="0091589F" w:rsidRDefault="0091589F" w:rsidP="0091589F">
      <w:pPr>
        <w:rPr>
          <w:rFonts w:ascii="Arial" w:hAnsi="Arial" w:cs="Arial"/>
          <w:sz w:val="22"/>
          <w:szCs w:val="22"/>
        </w:rPr>
      </w:pPr>
      <w:r w:rsidRPr="0091589F">
        <w:rPr>
          <w:rFonts w:ascii="Arial" w:hAnsi="Arial" w:cs="Arial"/>
          <w:sz w:val="22"/>
          <w:szCs w:val="22"/>
        </w:rPr>
        <w:t>Lung cancer is broadly classified into two main types: small cell lung cancer (SCLC) and non-small cell lung cancer (NSCLC), which differ in their biological behaviour and treatment approaches (NICE, 2024). SCLC accounts for approximately 10–15% of cases and is highly aggressive, spreading rapidly to other parts of the body (Cancer Research UK, 2024). It is strongly associated with smoking and typically originates in the bronchi (WHO, 2023).</w:t>
      </w:r>
    </w:p>
    <w:p w14:paraId="31250DCB" w14:textId="77777777" w:rsidR="0091589F" w:rsidRPr="0091589F" w:rsidRDefault="0091589F" w:rsidP="0091589F">
      <w:pPr>
        <w:rPr>
          <w:rFonts w:ascii="Arial" w:hAnsi="Arial" w:cs="Arial"/>
          <w:sz w:val="22"/>
          <w:szCs w:val="22"/>
        </w:rPr>
      </w:pPr>
      <w:r w:rsidRPr="0091589F">
        <w:rPr>
          <w:rFonts w:ascii="Arial" w:hAnsi="Arial" w:cs="Arial"/>
          <w:sz w:val="22"/>
          <w:szCs w:val="22"/>
        </w:rPr>
        <w:t>In contrast, NSCLC is the most common type, accounting for around 80–85% of cases (NHS, 2022). It includes subtypes such as adenocarcinoma, squamous cell carcinoma, and large cell carcinoma. NSCLC generally grows more slowly than SCLC, making it more responsive to a wider range of treatments, including surgery, chemotherapy, radiotherapy, and targeted therapies (NICE, 2024).</w:t>
      </w:r>
    </w:p>
    <w:p w14:paraId="08F7BB9C" w14:textId="164E662D" w:rsidR="0091589F" w:rsidRPr="0091589F" w:rsidRDefault="0091589F" w:rsidP="0091589F">
      <w:pPr>
        <w:rPr>
          <w:rFonts w:ascii="Arial" w:hAnsi="Arial" w:cs="Arial"/>
          <w:sz w:val="22"/>
          <w:szCs w:val="22"/>
        </w:rPr>
      </w:pPr>
      <w:r w:rsidRPr="0091589F">
        <w:rPr>
          <w:rFonts w:ascii="Arial" w:hAnsi="Arial" w:cs="Arial"/>
          <w:sz w:val="22"/>
          <w:szCs w:val="22"/>
        </w:rPr>
        <w:t>Accurate classification is essential for determining treatment and prognosis. Diagnostic methods such as CT scans, MRI, PET scans, and biopsies are used to identify the type and stage of cancer (NICE, 2024). Early and accurate diagnosis significantly improves survival rates and treatment outcomes.</w:t>
      </w:r>
    </w:p>
    <w:p w14:paraId="22E4FCB5" w14:textId="77777777" w:rsidR="0091589F" w:rsidRPr="0091589F" w:rsidRDefault="0091589F" w:rsidP="0091589F">
      <w:pPr>
        <w:rPr>
          <w:rFonts w:ascii="Arial" w:hAnsi="Arial" w:cs="Arial"/>
          <w:b/>
          <w:bCs/>
          <w:sz w:val="22"/>
          <w:szCs w:val="22"/>
        </w:rPr>
      </w:pPr>
      <w:r w:rsidRPr="0091589F">
        <w:rPr>
          <w:rFonts w:ascii="Arial" w:hAnsi="Arial" w:cs="Arial"/>
          <w:b/>
          <w:bCs/>
          <w:sz w:val="22"/>
          <w:szCs w:val="22"/>
        </w:rPr>
        <w:t>Risk Factors and Incidence in the UK</w:t>
      </w:r>
    </w:p>
    <w:p w14:paraId="45BF6599" w14:textId="77777777" w:rsidR="0091589F" w:rsidRPr="0091589F" w:rsidRDefault="0091589F" w:rsidP="0091589F">
      <w:pPr>
        <w:rPr>
          <w:rFonts w:ascii="Arial" w:hAnsi="Arial" w:cs="Arial"/>
          <w:sz w:val="22"/>
          <w:szCs w:val="22"/>
        </w:rPr>
      </w:pPr>
      <w:r w:rsidRPr="0091589F">
        <w:rPr>
          <w:rFonts w:ascii="Arial" w:hAnsi="Arial" w:cs="Arial"/>
          <w:sz w:val="22"/>
          <w:szCs w:val="22"/>
        </w:rPr>
        <w:t>Lung cancer is associated with a range of modifiable and non-modifiable risk factors. Smoking remains the most significant risk factor, responsible for approximately 72% of lung cancer cases in the UK (Cancer Research UK, 2024). Tobacco smoke contains carcinogens that damage lung cells and DNA, leading to cancer development (WHO, 2023).</w:t>
      </w:r>
    </w:p>
    <w:p w14:paraId="5AA9811D" w14:textId="77777777" w:rsidR="0091589F" w:rsidRPr="0091589F" w:rsidRDefault="0091589F" w:rsidP="0091589F">
      <w:pPr>
        <w:rPr>
          <w:rFonts w:ascii="Arial" w:hAnsi="Arial" w:cs="Arial"/>
          <w:sz w:val="22"/>
          <w:szCs w:val="22"/>
        </w:rPr>
      </w:pPr>
      <w:r w:rsidRPr="0091589F">
        <w:rPr>
          <w:rFonts w:ascii="Arial" w:hAnsi="Arial" w:cs="Arial"/>
          <w:sz w:val="22"/>
          <w:szCs w:val="22"/>
        </w:rPr>
        <w:t>Other risk factors include exposure to second-hand smoke, air pollution, occupational hazards such as asbestos and diesel exhaust fumes, radon gas exposure, genetic predisposition, and increasing age (Public Health England, 2021). Lung cancer is more common in individuals over the age of 65 and those living in socioeconomically deprived areas, reflecting health inequalities within the UK (Public Health England, 2021).</w:t>
      </w:r>
    </w:p>
    <w:p w14:paraId="33CB09E8" w14:textId="77777777" w:rsidR="0091589F" w:rsidRDefault="0091589F" w:rsidP="0091589F">
      <w:pPr>
        <w:rPr>
          <w:rFonts w:ascii="Arial" w:hAnsi="Arial" w:cs="Arial"/>
          <w:sz w:val="22"/>
          <w:szCs w:val="22"/>
        </w:rPr>
      </w:pPr>
      <w:r w:rsidRPr="0091589F">
        <w:rPr>
          <w:rFonts w:ascii="Arial" w:hAnsi="Arial" w:cs="Arial"/>
          <w:sz w:val="22"/>
          <w:szCs w:val="22"/>
        </w:rPr>
        <w:lastRenderedPageBreak/>
        <w:t>According to the Global Burden of Disease study, lung cancer is one of the leading causes of cancer-related deaths worldwide, highlighting its significant impact on global health systems (WHO, 2023). The high incidence and mortality rates emphasise the importance of prevention strategies, early detection, and public health interventions such as smoking cessation programmes (Cancer Research UK, 2024).</w:t>
      </w:r>
    </w:p>
    <w:p w14:paraId="60B2BC11" w14:textId="67E7A6C6" w:rsidR="00880EB3" w:rsidRPr="0091589F" w:rsidRDefault="00880EB3" w:rsidP="00880EB3">
      <w:pPr>
        <w:jc w:val="center"/>
        <w:rPr>
          <w:rFonts w:ascii="Arial" w:hAnsi="Arial" w:cs="Arial"/>
          <w:sz w:val="22"/>
          <w:szCs w:val="22"/>
        </w:rPr>
      </w:pPr>
      <w:r>
        <w:rPr>
          <w:rFonts w:ascii="Arial" w:hAnsi="Arial" w:cs="Arial"/>
          <w:noProof/>
          <w:sz w:val="22"/>
          <w:szCs w:val="22"/>
        </w:rPr>
        <w:drawing>
          <wp:inline distT="0" distB="0" distL="0" distR="0" wp14:anchorId="1C50FC9A" wp14:editId="7DBB9A07">
            <wp:extent cx="5213350" cy="2609850"/>
            <wp:effectExtent l="0" t="0" r="6350" b="0"/>
            <wp:docPr id="1983706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13350" cy="2609850"/>
                    </a:xfrm>
                    <a:prstGeom prst="rect">
                      <a:avLst/>
                    </a:prstGeom>
                    <a:noFill/>
                  </pic:spPr>
                </pic:pic>
              </a:graphicData>
            </a:graphic>
          </wp:inline>
        </w:drawing>
      </w:r>
    </w:p>
    <w:p w14:paraId="0F47D0FE" w14:textId="65F22096" w:rsidR="0091589F" w:rsidRPr="0091589F" w:rsidRDefault="0091589F" w:rsidP="0091589F">
      <w:pPr>
        <w:rPr>
          <w:rFonts w:ascii="Arial" w:hAnsi="Arial" w:cs="Arial"/>
          <w:sz w:val="22"/>
          <w:szCs w:val="22"/>
        </w:rPr>
      </w:pPr>
    </w:p>
    <w:p w14:paraId="51294D3B" w14:textId="77777777" w:rsidR="0091589F" w:rsidRPr="0091589F" w:rsidRDefault="0091589F" w:rsidP="0091589F">
      <w:pPr>
        <w:rPr>
          <w:rFonts w:ascii="Arial" w:hAnsi="Arial" w:cs="Arial"/>
          <w:b/>
          <w:bCs/>
          <w:sz w:val="22"/>
          <w:szCs w:val="22"/>
        </w:rPr>
      </w:pPr>
      <w:r w:rsidRPr="0091589F">
        <w:rPr>
          <w:rFonts w:ascii="Arial" w:hAnsi="Arial" w:cs="Arial"/>
          <w:b/>
          <w:bCs/>
          <w:sz w:val="22"/>
          <w:szCs w:val="22"/>
        </w:rPr>
        <w:t>Consequences of Lung Cancer</w:t>
      </w:r>
    </w:p>
    <w:p w14:paraId="3884A9AD" w14:textId="77777777" w:rsidR="0091589F" w:rsidRPr="0091589F" w:rsidRDefault="0091589F" w:rsidP="0091589F">
      <w:pPr>
        <w:rPr>
          <w:rFonts w:ascii="Arial" w:hAnsi="Arial" w:cs="Arial"/>
          <w:sz w:val="22"/>
          <w:szCs w:val="22"/>
        </w:rPr>
      </w:pPr>
      <w:r w:rsidRPr="0091589F">
        <w:rPr>
          <w:rFonts w:ascii="Arial" w:hAnsi="Arial" w:cs="Arial"/>
          <w:sz w:val="22"/>
          <w:szCs w:val="22"/>
        </w:rPr>
        <w:t>Lung cancer has significant physical, psychological, and social consequences. Physically, individuals may experience chronic breathlessness, persistent cough, severe pain, fatigue, and reduced mobility, which can significantly limit daily activities (NHS, 2022). Complications such as pleural effusion can occur when fluid builds up around the lungs, making breathing more difficult (Macmillan Cancer Support, 2025).</w:t>
      </w:r>
    </w:p>
    <w:p w14:paraId="546E1223" w14:textId="77777777" w:rsidR="0091589F" w:rsidRPr="0091589F" w:rsidRDefault="0091589F" w:rsidP="0091589F">
      <w:pPr>
        <w:rPr>
          <w:rFonts w:ascii="Arial" w:hAnsi="Arial" w:cs="Arial"/>
          <w:sz w:val="22"/>
          <w:szCs w:val="22"/>
        </w:rPr>
      </w:pPr>
      <w:r w:rsidRPr="0091589F">
        <w:rPr>
          <w:rFonts w:ascii="Arial" w:hAnsi="Arial" w:cs="Arial"/>
          <w:sz w:val="22"/>
          <w:szCs w:val="22"/>
        </w:rPr>
        <w:t>Psychologically, individuals diagnosed with lung cancer often experience anxiety, depression, fear, and emotional distress, particularly due to the life-limiting nature of the disease (Macmillan Cancer Support, 2025). These mental health challenges can negatively affect treatment adherence and overall wellbeing.</w:t>
      </w:r>
    </w:p>
    <w:p w14:paraId="1DBA9CB6" w14:textId="77777777" w:rsidR="0091589F" w:rsidRPr="0091589F" w:rsidRDefault="0091589F" w:rsidP="0091589F">
      <w:pPr>
        <w:rPr>
          <w:rFonts w:ascii="Arial" w:hAnsi="Arial" w:cs="Arial"/>
          <w:sz w:val="22"/>
          <w:szCs w:val="22"/>
        </w:rPr>
      </w:pPr>
      <w:r w:rsidRPr="0091589F">
        <w:rPr>
          <w:rFonts w:ascii="Arial" w:hAnsi="Arial" w:cs="Arial"/>
          <w:sz w:val="22"/>
          <w:szCs w:val="22"/>
        </w:rPr>
        <w:t>Socially, lung cancer can lead to loss of employment, reduced income, and increased dependence on family members or carers (Public Health England, 2021). Individuals may also experience social isolation and reduced participation in everyday activities. In advanced stages, lung cancer often requires palliative or end-of-life care, further impacting both patients and their families (NICE, 2024).</w:t>
      </w:r>
    </w:p>
    <w:p w14:paraId="1B1ABD59" w14:textId="14D90053" w:rsidR="0091589F" w:rsidRPr="0091589F" w:rsidRDefault="0091589F" w:rsidP="0091589F">
      <w:pPr>
        <w:rPr>
          <w:rFonts w:ascii="Arial" w:hAnsi="Arial" w:cs="Arial"/>
          <w:sz w:val="22"/>
          <w:szCs w:val="22"/>
        </w:rPr>
      </w:pPr>
    </w:p>
    <w:p w14:paraId="6BDEC0E4" w14:textId="77777777" w:rsidR="0091589F" w:rsidRPr="0091589F" w:rsidRDefault="0091589F" w:rsidP="0091589F">
      <w:pPr>
        <w:rPr>
          <w:rFonts w:ascii="Arial" w:hAnsi="Arial" w:cs="Arial"/>
          <w:b/>
          <w:bCs/>
          <w:sz w:val="22"/>
          <w:szCs w:val="22"/>
        </w:rPr>
      </w:pPr>
      <w:r w:rsidRPr="0091589F">
        <w:rPr>
          <w:rFonts w:ascii="Arial" w:hAnsi="Arial" w:cs="Arial"/>
          <w:b/>
          <w:bCs/>
          <w:sz w:val="22"/>
          <w:szCs w:val="22"/>
        </w:rPr>
        <w:t>Health and Social Care Support Services in the Community</w:t>
      </w:r>
    </w:p>
    <w:p w14:paraId="5B9AE88E" w14:textId="77777777" w:rsidR="0091589F" w:rsidRPr="0091589F" w:rsidRDefault="0091589F" w:rsidP="0091589F">
      <w:pPr>
        <w:rPr>
          <w:rFonts w:ascii="Arial" w:hAnsi="Arial" w:cs="Arial"/>
          <w:sz w:val="22"/>
          <w:szCs w:val="22"/>
        </w:rPr>
      </w:pPr>
      <w:r w:rsidRPr="0091589F">
        <w:rPr>
          <w:rFonts w:ascii="Arial" w:hAnsi="Arial" w:cs="Arial"/>
          <w:sz w:val="22"/>
          <w:szCs w:val="22"/>
        </w:rPr>
        <w:t xml:space="preserve">The management of lung cancer requires a coordinated, multidisciplinary approach involving a range of health and social care services. Primary healthcare services, including GPs, play a key role in early detection, referral, and ongoing monitoring of patients (NHS, 2022). Community nurses and specialist cancer nurses, such as Macmillan nurses, provide </w:t>
      </w:r>
      <w:r w:rsidRPr="0091589F">
        <w:rPr>
          <w:rFonts w:ascii="Arial" w:hAnsi="Arial" w:cs="Arial"/>
          <w:sz w:val="22"/>
          <w:szCs w:val="22"/>
        </w:rPr>
        <w:lastRenderedPageBreak/>
        <w:t>essential support with symptom management, medication, and emotional care (Macmillan Cancer Support, 2025).</w:t>
      </w:r>
    </w:p>
    <w:p w14:paraId="60D887FE" w14:textId="77777777" w:rsidR="0091589F" w:rsidRPr="0091589F" w:rsidRDefault="0091589F" w:rsidP="0091589F">
      <w:pPr>
        <w:rPr>
          <w:rFonts w:ascii="Arial" w:hAnsi="Arial" w:cs="Arial"/>
          <w:sz w:val="22"/>
          <w:szCs w:val="22"/>
        </w:rPr>
      </w:pPr>
      <w:r w:rsidRPr="0091589F">
        <w:rPr>
          <w:rFonts w:ascii="Arial" w:hAnsi="Arial" w:cs="Arial"/>
          <w:sz w:val="22"/>
          <w:szCs w:val="22"/>
        </w:rPr>
        <w:t>Multidisciplinary teams (MDTs) are central to delivering person-centred care and may include oncologists, respiratory specialists, physiotherapists, occupational therapists, psychologists, and social workers (NICE, 2024). These professionals work collaboratively to develop and implement individualised care plans that meet the complex needs of patients.</w:t>
      </w:r>
    </w:p>
    <w:p w14:paraId="6DE61781" w14:textId="77777777" w:rsidR="0091589F" w:rsidRPr="0091589F" w:rsidRDefault="0091589F" w:rsidP="0091589F">
      <w:pPr>
        <w:rPr>
          <w:rFonts w:ascii="Arial" w:hAnsi="Arial" w:cs="Arial"/>
          <w:sz w:val="22"/>
          <w:szCs w:val="22"/>
        </w:rPr>
      </w:pPr>
      <w:r w:rsidRPr="0091589F">
        <w:rPr>
          <w:rFonts w:ascii="Arial" w:hAnsi="Arial" w:cs="Arial"/>
          <w:sz w:val="22"/>
          <w:szCs w:val="22"/>
        </w:rPr>
        <w:t>Practical interventions by healthcare professionals include providing smoking cessation advice, arranging diagnostic tests such as chest X-rays, monitoring symptoms, supporting nutrition, and promoting safe mobility (Public Health England, 2021). These interventions help reduce complications and hospital admissions while improving patient outcomes.</w:t>
      </w:r>
    </w:p>
    <w:p w14:paraId="2F208FD9" w14:textId="77777777" w:rsidR="0091589F" w:rsidRPr="0091589F" w:rsidRDefault="0091589F" w:rsidP="0091589F">
      <w:pPr>
        <w:rPr>
          <w:rFonts w:ascii="Arial" w:hAnsi="Arial" w:cs="Arial"/>
          <w:sz w:val="22"/>
          <w:szCs w:val="22"/>
        </w:rPr>
      </w:pPr>
      <w:r w:rsidRPr="0091589F">
        <w:rPr>
          <w:rFonts w:ascii="Arial" w:hAnsi="Arial" w:cs="Arial"/>
          <w:sz w:val="22"/>
          <w:szCs w:val="22"/>
        </w:rPr>
        <w:t>Palliative care services play a vital role in managing symptoms such as pain, breathlessness, and fatigue, particularly in advanced stages of the disease (NICE, 2024). Early integration of palliative care has been shown to improve quality of life and patient satisfaction.</w:t>
      </w:r>
    </w:p>
    <w:p w14:paraId="0F3B4589" w14:textId="77777777" w:rsidR="0091589F" w:rsidRPr="0091589F" w:rsidRDefault="0091589F" w:rsidP="0091589F">
      <w:pPr>
        <w:rPr>
          <w:rFonts w:ascii="Arial" w:hAnsi="Arial" w:cs="Arial"/>
          <w:sz w:val="22"/>
          <w:szCs w:val="22"/>
        </w:rPr>
      </w:pPr>
      <w:r w:rsidRPr="0091589F">
        <w:rPr>
          <w:rFonts w:ascii="Arial" w:hAnsi="Arial" w:cs="Arial"/>
          <w:sz w:val="22"/>
          <w:szCs w:val="22"/>
        </w:rPr>
        <w:t>Social care services are also essential and include home care support, assistance with daily activities, transport to medical appointments, financial advice, and respite care for carers (Care Act, 2014). Psychological support services, including counselling and support groups, help individuals cope with emotional challenges associated with lung cancer (Macmillan Cancer Support, 2025).</w:t>
      </w:r>
    </w:p>
    <w:p w14:paraId="6FE75A1B" w14:textId="77777777" w:rsidR="0091589F" w:rsidRPr="00DE6B21" w:rsidRDefault="0091589F" w:rsidP="0091589F">
      <w:pPr>
        <w:rPr>
          <w:rFonts w:ascii="Arial" w:hAnsi="Arial" w:cs="Arial"/>
          <w:sz w:val="22"/>
          <w:szCs w:val="22"/>
        </w:rPr>
      </w:pPr>
      <w:r w:rsidRPr="0091589F">
        <w:rPr>
          <w:rFonts w:ascii="Arial" w:hAnsi="Arial" w:cs="Arial"/>
          <w:sz w:val="22"/>
          <w:szCs w:val="22"/>
        </w:rPr>
        <w:t>Family carers are a crucial part of the care system and may require support through carer assessments, emotional support, and bereavement services. Ensuring that both patients and carers receive adequate support is essential for maintaining wellbeing and quality of life (Care Act, 2014).</w:t>
      </w:r>
    </w:p>
    <w:p w14:paraId="0C4C866F" w14:textId="48FA10B4" w:rsidR="00DE6B21" w:rsidRPr="0091589F" w:rsidRDefault="00DE6B21" w:rsidP="0091589F">
      <w:pPr>
        <w:rPr>
          <w:rFonts w:ascii="Arial" w:hAnsi="Arial" w:cs="Arial"/>
          <w:sz w:val="22"/>
          <w:szCs w:val="22"/>
        </w:rPr>
      </w:pPr>
      <w:r w:rsidRPr="00DE6B21">
        <w:rPr>
          <w:rFonts w:ascii="Arial" w:hAnsi="Arial" w:cs="Arial"/>
          <w:noProof/>
          <w:sz w:val="22"/>
          <w:szCs w:val="22"/>
        </w:rPr>
        <w:drawing>
          <wp:inline distT="0" distB="0" distL="0" distR="0" wp14:anchorId="1B5C5247" wp14:editId="61F32C5F">
            <wp:extent cx="3238500" cy="2571750"/>
            <wp:effectExtent l="0" t="0" r="0" b="0"/>
            <wp:docPr id="13725716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38500" cy="2571750"/>
                    </a:xfrm>
                    <a:prstGeom prst="rect">
                      <a:avLst/>
                    </a:prstGeom>
                    <a:noFill/>
                  </pic:spPr>
                </pic:pic>
              </a:graphicData>
            </a:graphic>
          </wp:inline>
        </w:drawing>
      </w:r>
    </w:p>
    <w:p w14:paraId="1978A6A3" w14:textId="63EE1DDB" w:rsidR="0091589F" w:rsidRPr="0091589F" w:rsidRDefault="0091589F" w:rsidP="0091589F">
      <w:pPr>
        <w:rPr>
          <w:rFonts w:ascii="Arial" w:hAnsi="Arial" w:cs="Arial"/>
          <w:sz w:val="22"/>
          <w:szCs w:val="22"/>
        </w:rPr>
      </w:pPr>
    </w:p>
    <w:p w14:paraId="449D7330" w14:textId="77777777" w:rsidR="0091589F" w:rsidRPr="0091589F" w:rsidRDefault="0091589F" w:rsidP="0091589F">
      <w:pPr>
        <w:rPr>
          <w:rFonts w:ascii="Arial" w:hAnsi="Arial" w:cs="Arial"/>
          <w:b/>
          <w:bCs/>
          <w:sz w:val="22"/>
          <w:szCs w:val="22"/>
        </w:rPr>
      </w:pPr>
      <w:r w:rsidRPr="0091589F">
        <w:rPr>
          <w:rFonts w:ascii="Arial" w:hAnsi="Arial" w:cs="Arial"/>
          <w:b/>
          <w:bCs/>
          <w:sz w:val="22"/>
          <w:szCs w:val="22"/>
        </w:rPr>
        <w:t>Prevention and Public Health Strategies</w:t>
      </w:r>
    </w:p>
    <w:p w14:paraId="6758C636" w14:textId="77777777" w:rsidR="0091589F" w:rsidRPr="0091589F" w:rsidRDefault="0091589F" w:rsidP="0091589F">
      <w:pPr>
        <w:rPr>
          <w:rFonts w:ascii="Arial" w:hAnsi="Arial" w:cs="Arial"/>
          <w:sz w:val="22"/>
          <w:szCs w:val="22"/>
        </w:rPr>
      </w:pPr>
      <w:r w:rsidRPr="0091589F">
        <w:rPr>
          <w:rFonts w:ascii="Arial" w:hAnsi="Arial" w:cs="Arial"/>
          <w:sz w:val="22"/>
          <w:szCs w:val="22"/>
        </w:rPr>
        <w:t xml:space="preserve">Preventing lung cancer is a major public health priority. Smoking cessation is the most effective strategy for reducing lung cancer risk, as smoking is responsible for the majority of </w:t>
      </w:r>
      <w:r w:rsidRPr="0091589F">
        <w:rPr>
          <w:rFonts w:ascii="Arial" w:hAnsi="Arial" w:cs="Arial"/>
          <w:sz w:val="22"/>
          <w:szCs w:val="22"/>
        </w:rPr>
        <w:lastRenderedPageBreak/>
        <w:t>cases (Cancer Research UK, 2024). Public health campaigns and interventions aim to reduce smoking rates and increase awareness of its health risks.</w:t>
      </w:r>
    </w:p>
    <w:p w14:paraId="53B8F449" w14:textId="77777777" w:rsidR="0091589F" w:rsidRPr="0091589F" w:rsidRDefault="0091589F" w:rsidP="0091589F">
      <w:pPr>
        <w:rPr>
          <w:rFonts w:ascii="Arial" w:hAnsi="Arial" w:cs="Arial"/>
          <w:sz w:val="22"/>
          <w:szCs w:val="22"/>
        </w:rPr>
      </w:pPr>
      <w:r w:rsidRPr="0091589F">
        <w:rPr>
          <w:rFonts w:ascii="Arial" w:hAnsi="Arial" w:cs="Arial"/>
          <w:sz w:val="22"/>
          <w:szCs w:val="22"/>
        </w:rPr>
        <w:t>Other prevention strategies include reducing exposure to air pollution, improving workplace safety to limit exposure to harmful substances such as asbestos, and promoting healthy lifestyles (WHO, 2023). Early detection through screening programmes can also improve outcomes by identifying cancer at an earlier, more treatable stage (NICE, 2024).</w:t>
      </w:r>
    </w:p>
    <w:p w14:paraId="79807938" w14:textId="77777777" w:rsidR="0091589F" w:rsidRPr="0091589F" w:rsidRDefault="0091589F" w:rsidP="0091589F">
      <w:pPr>
        <w:rPr>
          <w:rFonts w:ascii="Arial" w:hAnsi="Arial" w:cs="Arial"/>
          <w:sz w:val="22"/>
          <w:szCs w:val="22"/>
        </w:rPr>
      </w:pPr>
      <w:r w:rsidRPr="0091589F">
        <w:rPr>
          <w:rFonts w:ascii="Arial" w:hAnsi="Arial" w:cs="Arial"/>
          <w:sz w:val="22"/>
          <w:szCs w:val="22"/>
        </w:rPr>
        <w:t>Health promotion initiatives play a key role in educating the public about risk factors, symptoms, and the importance of seeking early medical advice. These strategies contribute to reducing the overall burden of lung cancer and improving population health outcomes (Public Health England, 2021).</w:t>
      </w:r>
    </w:p>
    <w:p w14:paraId="50B75E57" w14:textId="40FC531E" w:rsidR="0091589F" w:rsidRPr="0091589F" w:rsidRDefault="0091589F" w:rsidP="0091589F">
      <w:pPr>
        <w:rPr>
          <w:rFonts w:ascii="Arial" w:hAnsi="Arial" w:cs="Arial"/>
          <w:sz w:val="22"/>
          <w:szCs w:val="22"/>
        </w:rPr>
      </w:pPr>
    </w:p>
    <w:p w14:paraId="25AB1955" w14:textId="3F73FFDD" w:rsidR="0091589F" w:rsidRPr="0091589F" w:rsidRDefault="0091589F" w:rsidP="0091589F">
      <w:pPr>
        <w:rPr>
          <w:rFonts w:ascii="Arial" w:hAnsi="Arial" w:cs="Arial"/>
          <w:b/>
          <w:bCs/>
          <w:sz w:val="22"/>
          <w:szCs w:val="22"/>
        </w:rPr>
      </w:pPr>
      <w:r w:rsidRPr="0091589F">
        <w:rPr>
          <w:rFonts w:ascii="Arial" w:hAnsi="Arial" w:cs="Arial"/>
          <w:b/>
          <w:bCs/>
          <w:sz w:val="22"/>
          <w:szCs w:val="22"/>
        </w:rPr>
        <w:t xml:space="preserve">Conclusion </w:t>
      </w:r>
    </w:p>
    <w:p w14:paraId="2FF790AC" w14:textId="77777777" w:rsidR="0091589F" w:rsidRPr="0091589F" w:rsidRDefault="0091589F" w:rsidP="009B1AD5">
      <w:pPr>
        <w:jc w:val="both"/>
        <w:rPr>
          <w:rFonts w:ascii="Arial" w:hAnsi="Arial" w:cs="Arial"/>
          <w:sz w:val="22"/>
          <w:szCs w:val="22"/>
        </w:rPr>
      </w:pPr>
      <w:r w:rsidRPr="0091589F">
        <w:rPr>
          <w:rFonts w:ascii="Arial" w:hAnsi="Arial" w:cs="Arial"/>
          <w:sz w:val="22"/>
          <w:szCs w:val="22"/>
        </w:rPr>
        <w:t>In conclusion, lung cancer is a serious and often life-limiting disease that has a significant impact on individuals, families, and healthcare systems (NHS, 2022). It is strongly associated with risk factors such as smoking, environmental exposure, and age, with high incidence and mortality rates both in the UK and globally (Cancer Research UK, 2024; WHO, 2023). The disease contributes substantially to the global burden of disease, reflecting its widespread impact on mortality and quality of life.</w:t>
      </w:r>
    </w:p>
    <w:p w14:paraId="4775D234" w14:textId="77777777" w:rsidR="0091589F" w:rsidRPr="0091589F" w:rsidRDefault="0091589F" w:rsidP="009B1AD5">
      <w:pPr>
        <w:jc w:val="both"/>
        <w:rPr>
          <w:rFonts w:ascii="Arial" w:hAnsi="Arial" w:cs="Arial"/>
          <w:sz w:val="22"/>
          <w:szCs w:val="22"/>
        </w:rPr>
      </w:pPr>
      <w:r w:rsidRPr="0091589F">
        <w:rPr>
          <w:rFonts w:ascii="Arial" w:hAnsi="Arial" w:cs="Arial"/>
          <w:sz w:val="22"/>
          <w:szCs w:val="22"/>
        </w:rPr>
        <w:t>The consequences of lung cancer extend beyond physical symptoms, affecting psychological wellbeing and social functioning. Individuals often require comprehensive and ongoing support to manage the complex challenges associated with the condition (Macmillan Cancer Support, 2025).</w:t>
      </w:r>
    </w:p>
    <w:p w14:paraId="0E0DE5D1" w14:textId="77777777" w:rsidR="0091589F" w:rsidRPr="0091589F" w:rsidRDefault="0091589F" w:rsidP="009B1AD5">
      <w:pPr>
        <w:jc w:val="both"/>
        <w:rPr>
          <w:rFonts w:ascii="Arial" w:hAnsi="Arial" w:cs="Arial"/>
          <w:sz w:val="22"/>
          <w:szCs w:val="22"/>
        </w:rPr>
      </w:pPr>
      <w:r w:rsidRPr="0091589F">
        <w:rPr>
          <w:rFonts w:ascii="Arial" w:hAnsi="Arial" w:cs="Arial"/>
          <w:sz w:val="22"/>
          <w:szCs w:val="22"/>
        </w:rPr>
        <w:t>Effective management relies on a multidisciplinary, person-centred approach involving healthcare professionals, social care services, and family support systems (NICE, 2024). Community-based services, including primary care, specialist nursing, and palliative care, play a crucial role in improving outcomes and maintaining quality of life.</w:t>
      </w:r>
    </w:p>
    <w:p w14:paraId="46363CFF" w14:textId="77777777" w:rsidR="0091589F" w:rsidRPr="00DE6B21" w:rsidRDefault="0091589F" w:rsidP="009B1AD5">
      <w:pPr>
        <w:jc w:val="both"/>
        <w:rPr>
          <w:rFonts w:ascii="Arial" w:hAnsi="Arial" w:cs="Arial"/>
          <w:sz w:val="22"/>
          <w:szCs w:val="22"/>
        </w:rPr>
      </w:pPr>
      <w:r w:rsidRPr="0091589F">
        <w:rPr>
          <w:rFonts w:ascii="Arial" w:hAnsi="Arial" w:cs="Arial"/>
          <w:sz w:val="22"/>
          <w:szCs w:val="22"/>
        </w:rPr>
        <w:t>Furthermore, public health strategies such as smoking cessation, early detection, and health promotion are essential in reducing the incidence and impact of lung cancer. Overall, a coordinated approach supported by evidence-based practice and UK health policy is vital in addressing this major public health issue.</w:t>
      </w:r>
    </w:p>
    <w:p w14:paraId="5A72FE16" w14:textId="77777777" w:rsidR="002A7083" w:rsidRPr="00DE6B21" w:rsidRDefault="002A7083" w:rsidP="009B1AD5">
      <w:pPr>
        <w:jc w:val="both"/>
        <w:rPr>
          <w:rFonts w:ascii="Arial" w:hAnsi="Arial" w:cs="Arial"/>
          <w:sz w:val="22"/>
          <w:szCs w:val="22"/>
        </w:rPr>
      </w:pPr>
    </w:p>
    <w:p w14:paraId="458D8B8E" w14:textId="77777777" w:rsidR="002A7083" w:rsidRPr="00DE6B21" w:rsidRDefault="002A7083" w:rsidP="009B1AD5">
      <w:pPr>
        <w:jc w:val="both"/>
        <w:rPr>
          <w:rFonts w:ascii="Arial" w:hAnsi="Arial" w:cs="Arial"/>
          <w:sz w:val="22"/>
          <w:szCs w:val="22"/>
        </w:rPr>
      </w:pPr>
    </w:p>
    <w:p w14:paraId="56783ACC" w14:textId="77777777" w:rsidR="002A7083" w:rsidRPr="00DE6B21" w:rsidRDefault="002A7083" w:rsidP="009B1AD5">
      <w:pPr>
        <w:jc w:val="both"/>
        <w:rPr>
          <w:rFonts w:ascii="Arial" w:hAnsi="Arial" w:cs="Arial"/>
          <w:sz w:val="22"/>
          <w:szCs w:val="22"/>
        </w:rPr>
      </w:pPr>
    </w:p>
    <w:p w14:paraId="5A44371C" w14:textId="77777777" w:rsidR="002A7083" w:rsidRPr="00DE6B21" w:rsidRDefault="002A7083" w:rsidP="009B1AD5">
      <w:pPr>
        <w:jc w:val="both"/>
        <w:rPr>
          <w:rFonts w:ascii="Arial" w:hAnsi="Arial" w:cs="Arial"/>
          <w:sz w:val="22"/>
          <w:szCs w:val="22"/>
        </w:rPr>
      </w:pPr>
    </w:p>
    <w:p w14:paraId="40080F0B" w14:textId="77777777" w:rsidR="002A7083" w:rsidRPr="00DE6B21" w:rsidRDefault="002A7083" w:rsidP="009B1AD5">
      <w:pPr>
        <w:jc w:val="both"/>
        <w:rPr>
          <w:rFonts w:ascii="Arial" w:hAnsi="Arial" w:cs="Arial"/>
          <w:sz w:val="22"/>
          <w:szCs w:val="22"/>
        </w:rPr>
      </w:pPr>
    </w:p>
    <w:p w14:paraId="7F9AF9F5" w14:textId="77777777" w:rsidR="002A7083" w:rsidRPr="00DE6B21" w:rsidRDefault="002A7083" w:rsidP="009B1AD5">
      <w:pPr>
        <w:jc w:val="both"/>
        <w:rPr>
          <w:rFonts w:ascii="Arial" w:hAnsi="Arial" w:cs="Arial"/>
          <w:sz w:val="22"/>
          <w:szCs w:val="22"/>
        </w:rPr>
      </w:pPr>
    </w:p>
    <w:p w14:paraId="3B69C61D" w14:textId="77777777" w:rsidR="002A7083" w:rsidRPr="00DE6B21" w:rsidRDefault="002A7083" w:rsidP="009B1AD5">
      <w:pPr>
        <w:jc w:val="both"/>
        <w:rPr>
          <w:rFonts w:ascii="Arial" w:hAnsi="Arial" w:cs="Arial"/>
          <w:sz w:val="22"/>
          <w:szCs w:val="22"/>
        </w:rPr>
      </w:pPr>
    </w:p>
    <w:p w14:paraId="725A7311" w14:textId="77777777" w:rsidR="002A7083" w:rsidRPr="00DE6B21" w:rsidRDefault="002A7083" w:rsidP="009B1AD5">
      <w:pPr>
        <w:jc w:val="both"/>
        <w:rPr>
          <w:rFonts w:ascii="Arial" w:hAnsi="Arial" w:cs="Arial"/>
          <w:sz w:val="22"/>
          <w:szCs w:val="22"/>
        </w:rPr>
      </w:pPr>
    </w:p>
    <w:p w14:paraId="76BB29D9" w14:textId="77777777" w:rsidR="002A7083" w:rsidRPr="00DE6B21" w:rsidRDefault="002A7083" w:rsidP="0091589F">
      <w:pPr>
        <w:rPr>
          <w:rFonts w:ascii="Arial" w:hAnsi="Arial" w:cs="Arial"/>
          <w:sz w:val="22"/>
          <w:szCs w:val="22"/>
        </w:rPr>
      </w:pPr>
    </w:p>
    <w:p w14:paraId="7E9CB51F" w14:textId="46B3B1DC" w:rsidR="0091589F" w:rsidRPr="00DE6B21" w:rsidRDefault="0091589F" w:rsidP="0091589F">
      <w:pPr>
        <w:rPr>
          <w:rFonts w:ascii="Arial" w:hAnsi="Arial" w:cs="Arial"/>
          <w:b/>
          <w:bCs/>
          <w:sz w:val="22"/>
          <w:szCs w:val="22"/>
        </w:rPr>
      </w:pPr>
      <w:r w:rsidRPr="0091589F">
        <w:rPr>
          <w:rFonts w:ascii="Arial" w:hAnsi="Arial" w:cs="Arial"/>
          <w:b/>
          <w:bCs/>
          <w:sz w:val="22"/>
          <w:szCs w:val="22"/>
        </w:rPr>
        <w:t xml:space="preserve">References </w:t>
      </w:r>
    </w:p>
    <w:p w14:paraId="14EFA7AF" w14:textId="77777777" w:rsidR="002A7083" w:rsidRPr="00DE6B21" w:rsidRDefault="002A7083" w:rsidP="002A7083">
      <w:pPr>
        <w:rPr>
          <w:rFonts w:ascii="Arial" w:hAnsi="Arial" w:cs="Arial"/>
          <w:sz w:val="22"/>
          <w:szCs w:val="22"/>
        </w:rPr>
      </w:pPr>
      <w:r w:rsidRPr="002A7083">
        <w:rPr>
          <w:rFonts w:ascii="Arial" w:hAnsi="Arial" w:cs="Arial"/>
          <w:sz w:val="22"/>
          <w:szCs w:val="22"/>
        </w:rPr>
        <w:t xml:space="preserve">Cancer Research UK (2024) Lung cancer statistics. Available at: </w:t>
      </w:r>
      <w:hyperlink r:id="rId11" w:history="1">
        <w:r w:rsidRPr="002A7083">
          <w:rPr>
            <w:rStyle w:val="Hyperlink"/>
            <w:rFonts w:ascii="Arial" w:hAnsi="Arial" w:cs="Arial"/>
            <w:sz w:val="22"/>
            <w:szCs w:val="22"/>
          </w:rPr>
          <w:t>https://www.cancerresearchuk.org/</w:t>
        </w:r>
      </w:hyperlink>
      <w:r w:rsidRPr="002A7083">
        <w:rPr>
          <w:rFonts w:ascii="Arial" w:hAnsi="Arial" w:cs="Arial"/>
          <w:sz w:val="22"/>
          <w:szCs w:val="22"/>
        </w:rPr>
        <w:t xml:space="preserve"> (Accessed: 31 March 2026).</w:t>
      </w:r>
      <w:r w:rsidRPr="002A7083">
        <w:rPr>
          <w:rFonts w:ascii="Arial" w:hAnsi="Arial" w:cs="Arial"/>
          <w:sz w:val="22"/>
          <w:szCs w:val="22"/>
        </w:rPr>
        <w:br/>
        <w:t xml:space="preserve">Care Act (2014) Care Act 2014. Available at: </w:t>
      </w:r>
      <w:hyperlink r:id="rId12" w:history="1">
        <w:r w:rsidRPr="002A7083">
          <w:rPr>
            <w:rStyle w:val="Hyperlink"/>
            <w:rFonts w:ascii="Arial" w:hAnsi="Arial" w:cs="Arial"/>
            <w:sz w:val="22"/>
            <w:szCs w:val="22"/>
          </w:rPr>
          <w:t>https://www.legislation.gov.uk/ukpga/2014/23/contents</w:t>
        </w:r>
      </w:hyperlink>
      <w:r w:rsidRPr="002A7083">
        <w:rPr>
          <w:rFonts w:ascii="Arial" w:hAnsi="Arial" w:cs="Arial"/>
          <w:sz w:val="22"/>
          <w:szCs w:val="22"/>
        </w:rPr>
        <w:t xml:space="preserve"> (Accessed: 31 March 2026).</w:t>
      </w:r>
      <w:r w:rsidRPr="002A7083">
        <w:rPr>
          <w:rFonts w:ascii="Arial" w:hAnsi="Arial" w:cs="Arial"/>
          <w:sz w:val="22"/>
          <w:szCs w:val="22"/>
        </w:rPr>
        <w:br/>
        <w:t xml:space="preserve">Macmillan Cancer Support (2025) Lung cancer: information and support. Available at: </w:t>
      </w:r>
      <w:hyperlink r:id="rId13" w:history="1">
        <w:r w:rsidRPr="002A7083">
          <w:rPr>
            <w:rStyle w:val="Hyperlink"/>
            <w:rFonts w:ascii="Arial" w:hAnsi="Arial" w:cs="Arial"/>
            <w:sz w:val="22"/>
            <w:szCs w:val="22"/>
          </w:rPr>
          <w:t>https://www.macmillan.org.uk/</w:t>
        </w:r>
      </w:hyperlink>
      <w:r w:rsidRPr="002A7083">
        <w:rPr>
          <w:rFonts w:ascii="Arial" w:hAnsi="Arial" w:cs="Arial"/>
          <w:sz w:val="22"/>
          <w:szCs w:val="22"/>
        </w:rPr>
        <w:t xml:space="preserve"> (Accessed: 31 March 2026).</w:t>
      </w:r>
      <w:r w:rsidRPr="002A7083">
        <w:rPr>
          <w:rFonts w:ascii="Arial" w:hAnsi="Arial" w:cs="Arial"/>
          <w:sz w:val="22"/>
          <w:szCs w:val="22"/>
        </w:rPr>
        <w:br/>
        <w:t xml:space="preserve">NHS (2022) Lung cancer. Available at: </w:t>
      </w:r>
      <w:hyperlink r:id="rId14" w:history="1">
        <w:r w:rsidRPr="002A7083">
          <w:rPr>
            <w:rStyle w:val="Hyperlink"/>
            <w:rFonts w:ascii="Arial" w:hAnsi="Arial" w:cs="Arial"/>
            <w:sz w:val="22"/>
            <w:szCs w:val="22"/>
          </w:rPr>
          <w:t>https://www.nhs.uk/conditions/lung-cancer/</w:t>
        </w:r>
      </w:hyperlink>
      <w:r w:rsidRPr="002A7083">
        <w:rPr>
          <w:rFonts w:ascii="Arial" w:hAnsi="Arial" w:cs="Arial"/>
          <w:sz w:val="22"/>
          <w:szCs w:val="22"/>
        </w:rPr>
        <w:t xml:space="preserve"> (Accessed: 31 March 2026).</w:t>
      </w:r>
      <w:r w:rsidRPr="002A7083">
        <w:rPr>
          <w:rFonts w:ascii="Arial" w:hAnsi="Arial" w:cs="Arial"/>
          <w:sz w:val="22"/>
          <w:szCs w:val="22"/>
        </w:rPr>
        <w:br/>
        <w:t xml:space="preserve">NICE (2024) Lung cancer: diagnosis and management (NG122). Available at: </w:t>
      </w:r>
      <w:hyperlink r:id="rId15" w:history="1">
        <w:r w:rsidRPr="002A7083">
          <w:rPr>
            <w:rStyle w:val="Hyperlink"/>
            <w:rFonts w:ascii="Arial" w:hAnsi="Arial" w:cs="Arial"/>
            <w:sz w:val="22"/>
            <w:szCs w:val="22"/>
          </w:rPr>
          <w:t>https://www.nice.org.uk/guidance/ng122</w:t>
        </w:r>
      </w:hyperlink>
      <w:r w:rsidRPr="002A7083">
        <w:rPr>
          <w:rFonts w:ascii="Arial" w:hAnsi="Arial" w:cs="Arial"/>
          <w:sz w:val="22"/>
          <w:szCs w:val="22"/>
        </w:rPr>
        <w:t xml:space="preserve"> (Accessed: 31 March 2026).</w:t>
      </w:r>
      <w:r w:rsidRPr="002A7083">
        <w:rPr>
          <w:rFonts w:ascii="Arial" w:hAnsi="Arial" w:cs="Arial"/>
          <w:sz w:val="22"/>
          <w:szCs w:val="22"/>
        </w:rPr>
        <w:br/>
        <w:t xml:space="preserve">Public Health England (2021) Health inequalities and cancer outcomes. Available at: </w:t>
      </w:r>
      <w:hyperlink r:id="rId16" w:history="1">
        <w:r w:rsidRPr="002A7083">
          <w:rPr>
            <w:rStyle w:val="Hyperlink"/>
            <w:rFonts w:ascii="Arial" w:hAnsi="Arial" w:cs="Arial"/>
            <w:sz w:val="22"/>
            <w:szCs w:val="22"/>
          </w:rPr>
          <w:t>https://www.gov.uk/</w:t>
        </w:r>
      </w:hyperlink>
      <w:r w:rsidRPr="002A7083">
        <w:rPr>
          <w:rFonts w:ascii="Arial" w:hAnsi="Arial" w:cs="Arial"/>
          <w:sz w:val="22"/>
          <w:szCs w:val="22"/>
        </w:rPr>
        <w:t xml:space="preserve"> (Accessed: 31 March 2026).</w:t>
      </w:r>
      <w:r w:rsidRPr="002A7083">
        <w:rPr>
          <w:rFonts w:ascii="Arial" w:hAnsi="Arial" w:cs="Arial"/>
          <w:sz w:val="22"/>
          <w:szCs w:val="22"/>
        </w:rPr>
        <w:br/>
        <w:t xml:space="preserve">World Health Organization (2023) Cancer fact sheet. Available at: </w:t>
      </w:r>
      <w:hyperlink r:id="rId17" w:history="1">
        <w:r w:rsidRPr="002A7083">
          <w:rPr>
            <w:rStyle w:val="Hyperlink"/>
            <w:rFonts w:ascii="Arial" w:hAnsi="Arial" w:cs="Arial"/>
            <w:sz w:val="22"/>
            <w:szCs w:val="22"/>
          </w:rPr>
          <w:t>https://www.who.int/</w:t>
        </w:r>
      </w:hyperlink>
      <w:r w:rsidRPr="002A7083">
        <w:rPr>
          <w:rFonts w:ascii="Arial" w:hAnsi="Arial" w:cs="Arial"/>
          <w:sz w:val="22"/>
          <w:szCs w:val="22"/>
        </w:rPr>
        <w:t xml:space="preserve"> (Accessed: 31 March 2026).</w:t>
      </w:r>
    </w:p>
    <w:p w14:paraId="1426A285" w14:textId="77777777" w:rsidR="00DE6B21" w:rsidRPr="00DE6B21" w:rsidRDefault="00DE6B21" w:rsidP="00DE6B21">
      <w:pPr>
        <w:rPr>
          <w:rFonts w:ascii="Arial" w:hAnsi="Arial" w:cs="Arial"/>
          <w:sz w:val="22"/>
          <w:szCs w:val="22"/>
        </w:rPr>
      </w:pPr>
      <w:r w:rsidRPr="00DE6B21">
        <w:rPr>
          <w:rFonts w:ascii="Arial" w:hAnsi="Arial" w:cs="Arial"/>
          <w:sz w:val="22"/>
          <w:szCs w:val="22"/>
        </w:rPr>
        <w:t>Lung cancer: diagnosis and management National Institute for Health and Care Excellence (NICE), 2010 (updated March 2024)</w:t>
      </w:r>
    </w:p>
    <w:p w14:paraId="293581F0" w14:textId="77777777" w:rsidR="00DE6B21" w:rsidRPr="00DE6B21" w:rsidRDefault="00DE6B21" w:rsidP="00DE6B21">
      <w:pPr>
        <w:rPr>
          <w:rFonts w:ascii="Arial" w:hAnsi="Arial" w:cs="Arial"/>
          <w:sz w:val="22"/>
          <w:szCs w:val="22"/>
        </w:rPr>
      </w:pPr>
      <w:r w:rsidRPr="00DE6B21">
        <w:rPr>
          <w:rFonts w:ascii="Arial" w:hAnsi="Arial" w:cs="Arial"/>
          <w:sz w:val="22"/>
          <w:szCs w:val="22"/>
        </w:rPr>
        <w:t>Lung cancer in adults National Institute for Health and Care Excellence (NICE), 2012 (updated December 2019)</w:t>
      </w:r>
    </w:p>
    <w:p w14:paraId="04C6A1D1" w14:textId="77777777" w:rsidR="00DE6B21" w:rsidRPr="00DE6B21" w:rsidRDefault="00DE6B21" w:rsidP="00DE6B21">
      <w:pPr>
        <w:rPr>
          <w:rFonts w:ascii="Arial" w:hAnsi="Arial" w:cs="Arial"/>
          <w:sz w:val="22"/>
          <w:szCs w:val="22"/>
        </w:rPr>
      </w:pPr>
      <w:r w:rsidRPr="00DE6B21">
        <w:rPr>
          <w:rFonts w:ascii="Arial" w:hAnsi="Arial" w:cs="Arial"/>
          <w:sz w:val="22"/>
          <w:szCs w:val="22"/>
        </w:rPr>
        <w:t>National Optimal Lung Cancer Pathway (NOLCP) for suspected and confirmed lung cancer: Referral to treatment NHS England, 2024</w:t>
      </w:r>
    </w:p>
    <w:p w14:paraId="533A894B" w14:textId="77777777" w:rsidR="00DE6B21" w:rsidRPr="00DE6B21" w:rsidRDefault="00DE6B21" w:rsidP="00DE6B21">
      <w:pPr>
        <w:rPr>
          <w:rFonts w:ascii="Arial" w:hAnsi="Arial" w:cs="Arial"/>
          <w:sz w:val="22"/>
          <w:szCs w:val="22"/>
        </w:rPr>
      </w:pPr>
      <w:r w:rsidRPr="00DE6B21">
        <w:rPr>
          <w:rFonts w:ascii="Arial" w:hAnsi="Arial" w:cs="Arial"/>
          <w:sz w:val="22"/>
          <w:szCs w:val="22"/>
        </w:rPr>
        <w:t>Lung cancer: Clinical management pathways Healthcare Improvement Scotland website Accessed October 2025</w:t>
      </w:r>
    </w:p>
    <w:p w14:paraId="2FD6216B" w14:textId="77777777" w:rsidR="00DE6B21" w:rsidRPr="002A7083" w:rsidRDefault="00DE6B21" w:rsidP="002A7083"/>
    <w:p w14:paraId="7220AB4D" w14:textId="77777777" w:rsidR="00A802F1" w:rsidRDefault="00A802F1"/>
    <w:sectPr w:rsidR="00A802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2653E"/>
    <w:multiLevelType w:val="multilevel"/>
    <w:tmpl w:val="8FE23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37105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89F"/>
    <w:rsid w:val="00284635"/>
    <w:rsid w:val="002A0316"/>
    <w:rsid w:val="002A7083"/>
    <w:rsid w:val="00622785"/>
    <w:rsid w:val="00880EB3"/>
    <w:rsid w:val="0091589F"/>
    <w:rsid w:val="009B1AD5"/>
    <w:rsid w:val="00A802F1"/>
    <w:rsid w:val="00AC75BF"/>
    <w:rsid w:val="00CE65F9"/>
    <w:rsid w:val="00DE6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FDDFE"/>
  <w15:chartTrackingRefBased/>
  <w15:docId w15:val="{2EBEEC3B-33DB-4464-BAE8-0854A591D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58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58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58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58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58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58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58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58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58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8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58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58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58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58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58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58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58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589F"/>
    <w:rPr>
      <w:rFonts w:eastAsiaTheme="majorEastAsia" w:cstheme="majorBidi"/>
      <w:color w:val="272727" w:themeColor="text1" w:themeTint="D8"/>
    </w:rPr>
  </w:style>
  <w:style w:type="paragraph" w:styleId="Title">
    <w:name w:val="Title"/>
    <w:basedOn w:val="Normal"/>
    <w:next w:val="Normal"/>
    <w:link w:val="TitleChar"/>
    <w:uiPriority w:val="10"/>
    <w:qFormat/>
    <w:rsid w:val="009158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58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58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58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589F"/>
    <w:pPr>
      <w:spacing w:before="160"/>
      <w:jc w:val="center"/>
    </w:pPr>
    <w:rPr>
      <w:i/>
      <w:iCs/>
      <w:color w:val="404040" w:themeColor="text1" w:themeTint="BF"/>
    </w:rPr>
  </w:style>
  <w:style w:type="character" w:customStyle="1" w:styleId="QuoteChar">
    <w:name w:val="Quote Char"/>
    <w:basedOn w:val="DefaultParagraphFont"/>
    <w:link w:val="Quote"/>
    <w:uiPriority w:val="29"/>
    <w:rsid w:val="0091589F"/>
    <w:rPr>
      <w:i/>
      <w:iCs/>
      <w:color w:val="404040" w:themeColor="text1" w:themeTint="BF"/>
    </w:rPr>
  </w:style>
  <w:style w:type="paragraph" w:styleId="ListParagraph">
    <w:name w:val="List Paragraph"/>
    <w:basedOn w:val="Normal"/>
    <w:uiPriority w:val="34"/>
    <w:qFormat/>
    <w:rsid w:val="0091589F"/>
    <w:pPr>
      <w:ind w:left="720"/>
      <w:contextualSpacing/>
    </w:pPr>
  </w:style>
  <w:style w:type="character" w:styleId="IntenseEmphasis">
    <w:name w:val="Intense Emphasis"/>
    <w:basedOn w:val="DefaultParagraphFont"/>
    <w:uiPriority w:val="21"/>
    <w:qFormat/>
    <w:rsid w:val="0091589F"/>
    <w:rPr>
      <w:i/>
      <w:iCs/>
      <w:color w:val="0F4761" w:themeColor="accent1" w:themeShade="BF"/>
    </w:rPr>
  </w:style>
  <w:style w:type="paragraph" w:styleId="IntenseQuote">
    <w:name w:val="Intense Quote"/>
    <w:basedOn w:val="Normal"/>
    <w:next w:val="Normal"/>
    <w:link w:val="IntenseQuoteChar"/>
    <w:uiPriority w:val="30"/>
    <w:qFormat/>
    <w:rsid w:val="009158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589F"/>
    <w:rPr>
      <w:i/>
      <w:iCs/>
      <w:color w:val="0F4761" w:themeColor="accent1" w:themeShade="BF"/>
    </w:rPr>
  </w:style>
  <w:style w:type="character" w:styleId="IntenseReference">
    <w:name w:val="Intense Reference"/>
    <w:basedOn w:val="DefaultParagraphFont"/>
    <w:uiPriority w:val="32"/>
    <w:qFormat/>
    <w:rsid w:val="0091589F"/>
    <w:rPr>
      <w:b/>
      <w:bCs/>
      <w:smallCaps/>
      <w:color w:val="0F4761" w:themeColor="accent1" w:themeShade="BF"/>
      <w:spacing w:val="5"/>
    </w:rPr>
  </w:style>
  <w:style w:type="character" w:styleId="Hyperlink">
    <w:name w:val="Hyperlink"/>
    <w:basedOn w:val="DefaultParagraphFont"/>
    <w:uiPriority w:val="99"/>
    <w:unhideWhenUsed/>
    <w:rsid w:val="0091589F"/>
    <w:rPr>
      <w:color w:val="467886" w:themeColor="hyperlink"/>
      <w:u w:val="single"/>
    </w:rPr>
  </w:style>
  <w:style w:type="character" w:styleId="UnresolvedMention">
    <w:name w:val="Unresolved Mention"/>
    <w:basedOn w:val="DefaultParagraphFont"/>
    <w:uiPriority w:val="99"/>
    <w:semiHidden/>
    <w:unhideWhenUsed/>
    <w:rsid w:val="009158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macmillan.org.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s://www.legislation.gov.uk/ukpga/2014/23/contents" TargetMode="External"/><Relationship Id="rId17" Type="http://schemas.openxmlformats.org/officeDocument/2006/relationships/hyperlink" Target="https://www.who.int/" TargetMode="External"/><Relationship Id="rId2" Type="http://schemas.openxmlformats.org/officeDocument/2006/relationships/numbering" Target="numbering.xml"/><Relationship Id="rId16" Type="http://schemas.openxmlformats.org/officeDocument/2006/relationships/hyperlink" Target="https://www.gov.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ancerresearchuk.org/" TargetMode="External"/><Relationship Id="rId5" Type="http://schemas.openxmlformats.org/officeDocument/2006/relationships/webSettings" Target="webSettings.xml"/><Relationship Id="rId15" Type="http://schemas.openxmlformats.org/officeDocument/2006/relationships/hyperlink" Target="https://www.nice.org.uk/guidance/ng122"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nhs.uk/conditions/lung-can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10797F-7CBB-4EC3-B344-AFD34AA43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6</Pages>
  <Words>1668</Words>
  <Characters>9512</Characters>
  <Application>Microsoft Office Word</Application>
  <DocSecurity>0</DocSecurity>
  <Lines>79</Lines>
  <Paragraphs>22</Paragraphs>
  <ScaleCrop>false</ScaleCrop>
  <Company/>
  <LinksUpToDate>false</LinksUpToDate>
  <CharactersWithSpaces>11158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Gila Serrote</dc:creator>
  <cp:keywords/>
  <dc:description/>
  <cp:lastModifiedBy>Gila Serrote</cp:lastModifiedBy>
  <cp:revision>1</cp:revision>
  <dcterms:created xsi:type="dcterms:W3CDTF">2026-04-20T21:14:00Z</dcterms:created>
  <dcterms:modified xsi:type="dcterms:W3CDTF">2026-04-20T22:36:00Z</dcterms:modified>
</cp:coreProperties>
</file>