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4472C4" w:themeColor="accent1"/>
          <w:kern w:val="2"/>
          <w:sz w:val="24"/>
          <w:lang w:val="en-IN"/>
        </w:rPr>
        <w:id w:val="1376810784"/>
        <w:docPartObj>
          <w:docPartGallery w:val="Cover Pages"/>
          <w:docPartUnique/>
        </w:docPartObj>
      </w:sdtPr>
      <w:sdtEndPr>
        <w:rPr>
          <w:color w:val="auto"/>
        </w:rPr>
      </w:sdtEndPr>
      <w:sdtContent>
        <w:p w:rsidR="002463F0" w:rsidRPr="002463F0" w:rsidRDefault="006E4BBA">
          <w:pPr>
            <w:pStyle w:val="a3"/>
            <w:spacing w:before="1540" w:after="240"/>
            <w:jc w:val="center"/>
            <w:rPr>
              <w:rFonts w:ascii="Times New Roman" w:hAnsi="Times New Roman" w:cs="Times New Roman"/>
              <w:color w:val="4472C4" w:themeColor="accent1"/>
            </w:rPr>
          </w:pPr>
          <w:r w:rsidRPr="002463F0">
            <w:rPr>
              <w:rFonts w:ascii="Times New Roman" w:hAnsi="Times New Roman" w:cs="Times New Roman"/>
              <w:noProof/>
              <w:color w:val="4472C4" w:themeColor="accent1"/>
              <w:lang w:val="bg-BG" w:eastAsia="bg-BG"/>
            </w:rPr>
            <w:drawing>
              <wp:inline distT="0" distB="0" distL="0" distR="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56"/>
              <w:szCs w:val="56"/>
            </w:rPr>
            <w:alias w:val="Title"/>
            <w:id w:val="1735040861"/>
            <w:placeholder>
              <w:docPart w:val="A9F5975376F74C628CAD517116B9CB3B"/>
            </w:placeholder>
            <w:dataBinding w:prefixMappings="xmlns:ns0='http://purl.org/dc/elements/1.1/' xmlns:ns1='http://schemas.openxmlformats.org/package/2006/metadata/core-properties' " w:xpath="/ns1:coreProperties[1]/ns0:title[1]" w:storeItemID="{6C3C8BC8-F283-45AE-878A-BAB7291924A1}"/>
            <w:text/>
          </w:sdtPr>
          <w:sdtContent>
            <w:p w:rsidR="002463F0" w:rsidRPr="002463F0" w:rsidRDefault="006E4BBA">
              <w:pPr>
                <w:pStyle w:val="a3"/>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6"/>
                  <w:szCs w:val="56"/>
                </w:rPr>
              </w:pPr>
              <w:r w:rsidRPr="002463F0">
                <w:rPr>
                  <w:rFonts w:ascii="Times New Roman" w:eastAsiaTheme="majorEastAsia" w:hAnsi="Times New Roman" w:cs="Times New Roman"/>
                  <w:caps/>
                  <w:color w:val="4472C4" w:themeColor="accent1"/>
                  <w:sz w:val="56"/>
                  <w:szCs w:val="56"/>
                </w:rPr>
                <w:t>Community Engagement</w:t>
              </w:r>
            </w:p>
          </w:sdtContent>
        </w:sdt>
        <w:p w:rsidR="002463F0" w:rsidRDefault="006E4BBA">
          <w:pPr>
            <w:pStyle w:val="a3"/>
            <w:spacing w:before="480"/>
            <w:jc w:val="center"/>
            <w:rPr>
              <w:rFonts w:ascii="Times New Roman" w:hAnsi="Times New Roman" w:cs="Times New Roman"/>
              <w:sz w:val="28"/>
              <w:szCs w:val="28"/>
            </w:rPr>
          </w:pPr>
          <w:r>
            <w:rPr>
              <w:rFonts w:ascii="Times New Roman" w:hAnsi="Times New Roman" w:cs="Times New Roman"/>
              <w:sz w:val="28"/>
              <w:szCs w:val="28"/>
            </w:rPr>
            <w:t>Module Code:LCBB4002</w:t>
          </w:r>
        </w:p>
        <w:p w:rsidR="006E4BBA" w:rsidRDefault="006E4BBA">
          <w:pPr>
            <w:pStyle w:val="a3"/>
            <w:spacing w:before="480"/>
            <w:jc w:val="center"/>
            <w:rPr>
              <w:rFonts w:ascii="Times New Roman" w:hAnsi="Times New Roman" w:cs="Times New Roman"/>
              <w:sz w:val="28"/>
              <w:szCs w:val="28"/>
            </w:rPr>
          </w:pPr>
          <w:r>
            <w:rPr>
              <w:rFonts w:ascii="Times New Roman" w:hAnsi="Times New Roman" w:cs="Times New Roman"/>
              <w:sz w:val="28"/>
              <w:szCs w:val="28"/>
            </w:rPr>
            <w:t>Model Tutor:Nadeem Mirza</w:t>
          </w:r>
        </w:p>
        <w:p w:rsidR="006E4BBA" w:rsidRDefault="006E4BBA">
          <w:pPr>
            <w:pStyle w:val="a3"/>
            <w:spacing w:before="480"/>
            <w:jc w:val="center"/>
            <w:rPr>
              <w:rFonts w:ascii="Times New Roman" w:hAnsi="Times New Roman" w:cs="Times New Roman"/>
              <w:sz w:val="28"/>
              <w:szCs w:val="28"/>
            </w:rPr>
          </w:pPr>
          <w:r>
            <w:rPr>
              <w:rFonts w:ascii="Times New Roman" w:hAnsi="Times New Roman" w:cs="Times New Roman"/>
              <w:sz w:val="28"/>
              <w:szCs w:val="28"/>
            </w:rPr>
            <w:t>Module Title:Assessment 1</w:t>
          </w:r>
        </w:p>
        <w:p w:rsidR="006E4BBA" w:rsidRDefault="006E4BBA">
          <w:pPr>
            <w:pStyle w:val="a3"/>
            <w:spacing w:before="480"/>
            <w:jc w:val="center"/>
            <w:rPr>
              <w:rFonts w:ascii="Times New Roman" w:hAnsi="Times New Roman" w:cs="Times New Roman"/>
              <w:sz w:val="28"/>
              <w:szCs w:val="28"/>
            </w:rPr>
          </w:pPr>
          <w:r>
            <w:rPr>
              <w:rFonts w:ascii="Times New Roman" w:hAnsi="Times New Roman" w:cs="Times New Roman"/>
              <w:sz w:val="28"/>
              <w:szCs w:val="28"/>
            </w:rPr>
            <w:t>Student Name:Angel Angelov</w:t>
          </w:r>
        </w:p>
        <w:p w:rsidR="006E4BBA" w:rsidRDefault="006E4BBA">
          <w:pPr>
            <w:pStyle w:val="a3"/>
            <w:spacing w:before="480"/>
            <w:jc w:val="center"/>
            <w:rPr>
              <w:rFonts w:ascii="Times New Roman" w:hAnsi="Times New Roman" w:cs="Times New Roman"/>
              <w:sz w:val="28"/>
              <w:szCs w:val="28"/>
            </w:rPr>
          </w:pPr>
          <w:r>
            <w:rPr>
              <w:rFonts w:ascii="Times New Roman" w:hAnsi="Times New Roman" w:cs="Times New Roman"/>
              <w:sz w:val="28"/>
              <w:szCs w:val="28"/>
            </w:rPr>
            <w:t>Student Number: 2120247</w:t>
          </w:r>
        </w:p>
        <w:p w:rsidR="006E4BBA" w:rsidRPr="006E4BBA" w:rsidRDefault="006E4BBA">
          <w:pPr>
            <w:pStyle w:val="a3"/>
            <w:spacing w:before="480"/>
            <w:jc w:val="center"/>
            <w:rPr>
              <w:rFonts w:ascii="Times New Roman" w:hAnsi="Times New Roman" w:cs="Times New Roman"/>
              <w:sz w:val="28"/>
              <w:szCs w:val="28"/>
            </w:rPr>
          </w:pPr>
          <w:r>
            <w:rPr>
              <w:rFonts w:ascii="Times New Roman" w:hAnsi="Times New Roman" w:cs="Times New Roman"/>
              <w:sz w:val="28"/>
              <w:szCs w:val="28"/>
            </w:rPr>
            <w:t>University of Wales Trinity Saint David</w:t>
          </w:r>
          <w:r w:rsidR="00A43448">
            <w:rPr>
              <w:rFonts w:ascii="Times New Roman" w:hAnsi="Times New Roman" w:cs="Times New Roman"/>
              <w:sz w:val="28"/>
              <w:szCs w:val="28"/>
            </w:rPr>
            <w:t>-</w:t>
          </w:r>
          <w:r>
            <w:rPr>
              <w:rFonts w:ascii="Times New Roman" w:hAnsi="Times New Roman" w:cs="Times New Roman"/>
              <w:sz w:val="28"/>
              <w:szCs w:val="28"/>
            </w:rPr>
            <w:t xml:space="preserve"> London</w:t>
          </w:r>
        </w:p>
        <w:p w:rsidR="002463F0" w:rsidRPr="002463F0" w:rsidRDefault="006E4BBA">
          <w:pPr>
            <w:spacing w:line="259" w:lineRule="auto"/>
            <w:jc w:val="left"/>
            <w:rPr>
              <w:rFonts w:cs="Times New Roman"/>
            </w:rPr>
          </w:pPr>
          <w:r w:rsidRPr="002463F0">
            <w:rPr>
              <w:rFonts w:cs="Times New Roman"/>
            </w:rPr>
            <w:br w:type="page"/>
          </w:r>
        </w:p>
      </w:sdtContent>
    </w:sdt>
    <w:sdt>
      <w:sdtPr>
        <w:rPr>
          <w:rFonts w:ascii="Times New Roman" w:eastAsiaTheme="minorHAnsi" w:hAnsi="Times New Roman" w:cs="Times New Roman"/>
          <w:b/>
          <w:bCs/>
          <w:color w:val="auto"/>
          <w:kern w:val="2"/>
          <w:sz w:val="24"/>
          <w:szCs w:val="24"/>
          <w:lang w:val="en-IN"/>
        </w:rPr>
        <w:id w:val="-1252653417"/>
        <w:docPartObj>
          <w:docPartGallery w:val="Table of Contents"/>
          <w:docPartUnique/>
        </w:docPartObj>
      </w:sdtPr>
      <w:sdtEndPr>
        <w:rPr>
          <w:rFonts w:cstheme="minorBidi"/>
          <w:noProof/>
          <w:szCs w:val="22"/>
        </w:rPr>
      </w:sdtEndPr>
      <w:sdtContent>
        <w:p w:rsidR="007D5730" w:rsidRDefault="006E4BBA" w:rsidP="007D5730">
          <w:pPr>
            <w:pStyle w:val="ab"/>
            <w:jc w:val="center"/>
            <w:rPr>
              <w:rFonts w:ascii="Times New Roman" w:hAnsi="Times New Roman" w:cs="Times New Roman"/>
              <w:b/>
              <w:bCs/>
              <w:color w:val="auto"/>
              <w:sz w:val="24"/>
              <w:szCs w:val="24"/>
            </w:rPr>
          </w:pPr>
          <w:r w:rsidRPr="007D5730">
            <w:rPr>
              <w:rFonts w:ascii="Times New Roman" w:hAnsi="Times New Roman" w:cs="Times New Roman"/>
              <w:b/>
              <w:bCs/>
              <w:color w:val="auto"/>
              <w:sz w:val="24"/>
              <w:szCs w:val="24"/>
            </w:rPr>
            <w:t>Table of Contents</w:t>
          </w:r>
        </w:p>
        <w:p w:rsidR="007D5730" w:rsidRPr="007D5730" w:rsidRDefault="007D5730" w:rsidP="007D5730">
          <w:pPr>
            <w:rPr>
              <w:lang w:val="en-US"/>
            </w:rPr>
          </w:pPr>
        </w:p>
        <w:p w:rsidR="007D5730" w:rsidRDefault="00CE1DEA">
          <w:pPr>
            <w:pStyle w:val="11"/>
            <w:tabs>
              <w:tab w:val="right" w:leader="dot" w:pos="9016"/>
            </w:tabs>
            <w:rPr>
              <w:noProof/>
            </w:rPr>
          </w:pPr>
          <w:r w:rsidRPr="00CE1DEA">
            <w:fldChar w:fldCharType="begin"/>
          </w:r>
          <w:r w:rsidR="006E4BBA">
            <w:instrText xml:space="preserve"> TOC \o "1-3" \h \z \u </w:instrText>
          </w:r>
          <w:r w:rsidRPr="00CE1DEA">
            <w:fldChar w:fldCharType="separate"/>
          </w:r>
          <w:hyperlink w:anchor="_Toc134555729" w:history="1">
            <w:r w:rsidR="006E4BBA" w:rsidRPr="00464F8B">
              <w:rPr>
                <w:rStyle w:val="aa"/>
                <w:noProof/>
              </w:rPr>
              <w:t>Introduction</w:t>
            </w:r>
            <w:r w:rsidR="006E4BBA">
              <w:rPr>
                <w:noProof/>
                <w:webHidden/>
              </w:rPr>
              <w:tab/>
            </w:r>
            <w:r>
              <w:rPr>
                <w:noProof/>
                <w:webHidden/>
              </w:rPr>
              <w:fldChar w:fldCharType="begin"/>
            </w:r>
            <w:r w:rsidR="006E4BBA">
              <w:rPr>
                <w:noProof/>
                <w:webHidden/>
              </w:rPr>
              <w:instrText xml:space="preserve"> PAGEREF _Toc134555729 \h </w:instrText>
            </w:r>
            <w:r>
              <w:rPr>
                <w:noProof/>
                <w:webHidden/>
              </w:rPr>
            </w:r>
            <w:r>
              <w:rPr>
                <w:noProof/>
                <w:webHidden/>
              </w:rPr>
              <w:fldChar w:fldCharType="separate"/>
            </w:r>
            <w:r w:rsidR="006E4BBA">
              <w:rPr>
                <w:noProof/>
                <w:webHidden/>
              </w:rPr>
              <w:t>2</w:t>
            </w:r>
            <w:r>
              <w:rPr>
                <w:noProof/>
                <w:webHidden/>
              </w:rPr>
              <w:fldChar w:fldCharType="end"/>
            </w:r>
          </w:hyperlink>
        </w:p>
        <w:p w:rsidR="007D5730" w:rsidRDefault="00CE1DEA">
          <w:pPr>
            <w:pStyle w:val="11"/>
            <w:tabs>
              <w:tab w:val="right" w:leader="dot" w:pos="9016"/>
            </w:tabs>
            <w:rPr>
              <w:noProof/>
            </w:rPr>
          </w:pPr>
          <w:hyperlink w:anchor="_Toc134555730" w:history="1">
            <w:r w:rsidR="006E4BBA" w:rsidRPr="00464F8B">
              <w:rPr>
                <w:rStyle w:val="aa"/>
                <w:noProof/>
              </w:rPr>
              <w:t>Community Engagement in Hackney Council</w:t>
            </w:r>
            <w:r w:rsidR="006E4BBA">
              <w:rPr>
                <w:noProof/>
                <w:webHidden/>
              </w:rPr>
              <w:tab/>
            </w:r>
            <w:r>
              <w:rPr>
                <w:noProof/>
                <w:webHidden/>
              </w:rPr>
              <w:fldChar w:fldCharType="begin"/>
            </w:r>
            <w:r w:rsidR="006E4BBA">
              <w:rPr>
                <w:noProof/>
                <w:webHidden/>
              </w:rPr>
              <w:instrText xml:space="preserve"> PAGEREF _Toc134555730 \h </w:instrText>
            </w:r>
            <w:r>
              <w:rPr>
                <w:noProof/>
                <w:webHidden/>
              </w:rPr>
            </w:r>
            <w:r>
              <w:rPr>
                <w:noProof/>
                <w:webHidden/>
              </w:rPr>
              <w:fldChar w:fldCharType="separate"/>
            </w:r>
            <w:r w:rsidR="006E4BBA">
              <w:rPr>
                <w:noProof/>
                <w:webHidden/>
              </w:rPr>
              <w:t>2</w:t>
            </w:r>
            <w:r>
              <w:rPr>
                <w:noProof/>
                <w:webHidden/>
              </w:rPr>
              <w:fldChar w:fldCharType="end"/>
            </w:r>
          </w:hyperlink>
        </w:p>
        <w:p w:rsidR="007D5730" w:rsidRDefault="00CE1DEA">
          <w:pPr>
            <w:pStyle w:val="11"/>
            <w:tabs>
              <w:tab w:val="right" w:leader="dot" w:pos="9016"/>
            </w:tabs>
            <w:rPr>
              <w:noProof/>
            </w:rPr>
          </w:pPr>
          <w:hyperlink w:anchor="_Toc134555731" w:history="1">
            <w:r w:rsidR="006E4BBA" w:rsidRPr="00464F8B">
              <w:rPr>
                <w:rStyle w:val="aa"/>
                <w:noProof/>
              </w:rPr>
              <w:t>The issue in Hackney Council</w:t>
            </w:r>
            <w:r w:rsidR="006E4BBA">
              <w:rPr>
                <w:noProof/>
                <w:webHidden/>
              </w:rPr>
              <w:tab/>
            </w:r>
            <w:r>
              <w:rPr>
                <w:noProof/>
                <w:webHidden/>
              </w:rPr>
              <w:fldChar w:fldCharType="begin"/>
            </w:r>
            <w:r w:rsidR="006E4BBA">
              <w:rPr>
                <w:noProof/>
                <w:webHidden/>
              </w:rPr>
              <w:instrText xml:space="preserve"> PAGEREF _Toc134555731 \h </w:instrText>
            </w:r>
            <w:r>
              <w:rPr>
                <w:noProof/>
                <w:webHidden/>
              </w:rPr>
            </w:r>
            <w:r>
              <w:rPr>
                <w:noProof/>
                <w:webHidden/>
              </w:rPr>
              <w:fldChar w:fldCharType="separate"/>
            </w:r>
            <w:r w:rsidR="006E4BBA">
              <w:rPr>
                <w:noProof/>
                <w:webHidden/>
              </w:rPr>
              <w:t>4</w:t>
            </w:r>
            <w:r>
              <w:rPr>
                <w:noProof/>
                <w:webHidden/>
              </w:rPr>
              <w:fldChar w:fldCharType="end"/>
            </w:r>
          </w:hyperlink>
        </w:p>
        <w:p w:rsidR="007D5730" w:rsidRDefault="00CE1DEA">
          <w:pPr>
            <w:pStyle w:val="11"/>
            <w:tabs>
              <w:tab w:val="right" w:leader="dot" w:pos="9016"/>
            </w:tabs>
            <w:rPr>
              <w:noProof/>
            </w:rPr>
          </w:pPr>
          <w:hyperlink w:anchor="_Toc134555732" w:history="1">
            <w:r w:rsidR="006E4BBA" w:rsidRPr="00464F8B">
              <w:rPr>
                <w:rStyle w:val="aa"/>
                <w:noProof/>
              </w:rPr>
              <w:t>Principles and Strategies in Overcoming the Issue in Hackney Council</w:t>
            </w:r>
            <w:r w:rsidR="006E4BBA">
              <w:rPr>
                <w:noProof/>
                <w:webHidden/>
              </w:rPr>
              <w:tab/>
            </w:r>
            <w:r>
              <w:rPr>
                <w:noProof/>
                <w:webHidden/>
              </w:rPr>
              <w:fldChar w:fldCharType="begin"/>
            </w:r>
            <w:r w:rsidR="006E4BBA">
              <w:rPr>
                <w:noProof/>
                <w:webHidden/>
              </w:rPr>
              <w:instrText xml:space="preserve"> PAGEREF _Toc134555732 \h </w:instrText>
            </w:r>
            <w:r>
              <w:rPr>
                <w:noProof/>
                <w:webHidden/>
              </w:rPr>
            </w:r>
            <w:r>
              <w:rPr>
                <w:noProof/>
                <w:webHidden/>
              </w:rPr>
              <w:fldChar w:fldCharType="separate"/>
            </w:r>
            <w:r w:rsidR="006E4BBA">
              <w:rPr>
                <w:noProof/>
                <w:webHidden/>
              </w:rPr>
              <w:t>5</w:t>
            </w:r>
            <w:r>
              <w:rPr>
                <w:noProof/>
                <w:webHidden/>
              </w:rPr>
              <w:fldChar w:fldCharType="end"/>
            </w:r>
          </w:hyperlink>
        </w:p>
        <w:p w:rsidR="007D5730" w:rsidRDefault="00CE1DEA">
          <w:pPr>
            <w:pStyle w:val="11"/>
            <w:tabs>
              <w:tab w:val="right" w:leader="dot" w:pos="9016"/>
            </w:tabs>
            <w:rPr>
              <w:noProof/>
            </w:rPr>
          </w:pPr>
          <w:hyperlink w:anchor="_Toc134555733" w:history="1">
            <w:r w:rsidR="006E4BBA" w:rsidRPr="00464F8B">
              <w:rPr>
                <w:rStyle w:val="aa"/>
                <w:noProof/>
                <w:lang w:val="en-GB"/>
              </w:rPr>
              <w:t>Conclusion</w:t>
            </w:r>
            <w:r w:rsidR="006E4BBA">
              <w:rPr>
                <w:noProof/>
                <w:webHidden/>
              </w:rPr>
              <w:tab/>
            </w:r>
            <w:r>
              <w:rPr>
                <w:noProof/>
                <w:webHidden/>
              </w:rPr>
              <w:fldChar w:fldCharType="begin"/>
            </w:r>
            <w:r w:rsidR="006E4BBA">
              <w:rPr>
                <w:noProof/>
                <w:webHidden/>
              </w:rPr>
              <w:instrText xml:space="preserve"> PAGEREF _Toc134555733 \h </w:instrText>
            </w:r>
            <w:r>
              <w:rPr>
                <w:noProof/>
                <w:webHidden/>
              </w:rPr>
            </w:r>
            <w:r>
              <w:rPr>
                <w:noProof/>
                <w:webHidden/>
              </w:rPr>
              <w:fldChar w:fldCharType="separate"/>
            </w:r>
            <w:r w:rsidR="006E4BBA">
              <w:rPr>
                <w:noProof/>
                <w:webHidden/>
              </w:rPr>
              <w:t>8</w:t>
            </w:r>
            <w:r>
              <w:rPr>
                <w:noProof/>
                <w:webHidden/>
              </w:rPr>
              <w:fldChar w:fldCharType="end"/>
            </w:r>
          </w:hyperlink>
        </w:p>
        <w:p w:rsidR="007D5730" w:rsidRDefault="00CE1DEA">
          <w:pPr>
            <w:pStyle w:val="11"/>
            <w:tabs>
              <w:tab w:val="right" w:leader="dot" w:pos="9016"/>
            </w:tabs>
            <w:rPr>
              <w:noProof/>
            </w:rPr>
          </w:pPr>
          <w:hyperlink w:anchor="_Toc134555734" w:history="1">
            <w:r w:rsidR="006E4BBA" w:rsidRPr="00464F8B">
              <w:rPr>
                <w:rStyle w:val="aa"/>
                <w:noProof/>
                <w:lang w:val="en-GB"/>
              </w:rPr>
              <w:t>References</w:t>
            </w:r>
            <w:r w:rsidR="006E4BBA">
              <w:rPr>
                <w:noProof/>
                <w:webHidden/>
              </w:rPr>
              <w:tab/>
            </w:r>
            <w:r>
              <w:rPr>
                <w:noProof/>
                <w:webHidden/>
              </w:rPr>
              <w:fldChar w:fldCharType="begin"/>
            </w:r>
            <w:r w:rsidR="006E4BBA">
              <w:rPr>
                <w:noProof/>
                <w:webHidden/>
              </w:rPr>
              <w:instrText xml:space="preserve"> PAGEREF _Toc134555734 \h </w:instrText>
            </w:r>
            <w:r>
              <w:rPr>
                <w:noProof/>
                <w:webHidden/>
              </w:rPr>
            </w:r>
            <w:r>
              <w:rPr>
                <w:noProof/>
                <w:webHidden/>
              </w:rPr>
              <w:fldChar w:fldCharType="separate"/>
            </w:r>
            <w:r w:rsidR="006E4BBA">
              <w:rPr>
                <w:noProof/>
                <w:webHidden/>
              </w:rPr>
              <w:t>9</w:t>
            </w:r>
            <w:r>
              <w:rPr>
                <w:noProof/>
                <w:webHidden/>
              </w:rPr>
              <w:fldChar w:fldCharType="end"/>
            </w:r>
          </w:hyperlink>
        </w:p>
        <w:p w:rsidR="007D5730" w:rsidRDefault="00CE1DEA">
          <w:r>
            <w:rPr>
              <w:b/>
              <w:bCs/>
              <w:noProof/>
            </w:rPr>
            <w:fldChar w:fldCharType="end"/>
          </w:r>
        </w:p>
      </w:sdtContent>
    </w:sdt>
    <w:p w:rsidR="00D921F0" w:rsidRDefault="00D921F0" w:rsidP="00BD0F39">
      <w:pPr>
        <w:rPr>
          <w:rFonts w:cs="Times New Roman"/>
        </w:rPr>
      </w:pPr>
    </w:p>
    <w:p w:rsidR="002463F0" w:rsidRDefault="002463F0" w:rsidP="00BD0F39">
      <w:pPr>
        <w:rPr>
          <w:rFonts w:cs="Times New Roman"/>
        </w:rPr>
      </w:pPr>
    </w:p>
    <w:p w:rsidR="002463F0" w:rsidRDefault="006E4BBA">
      <w:pPr>
        <w:spacing w:line="259" w:lineRule="auto"/>
        <w:jc w:val="left"/>
        <w:rPr>
          <w:rFonts w:cs="Times New Roman"/>
        </w:rPr>
      </w:pPr>
      <w:r>
        <w:rPr>
          <w:rFonts w:cs="Times New Roman"/>
        </w:rPr>
        <w:br w:type="page"/>
      </w:r>
    </w:p>
    <w:p w:rsidR="002463F0" w:rsidRDefault="006E4BBA" w:rsidP="002463F0">
      <w:pPr>
        <w:pStyle w:val="1"/>
      </w:pPr>
      <w:bookmarkStart w:id="0" w:name="_Toc134555729"/>
      <w:r>
        <w:lastRenderedPageBreak/>
        <w:t>Introduction</w:t>
      </w:r>
      <w:bookmarkEnd w:id="0"/>
    </w:p>
    <w:p w:rsidR="002463F0" w:rsidRDefault="006E4BBA" w:rsidP="002463F0">
      <w:r>
        <w:t xml:space="preserve">Community engagement is a collaborative and interactive process between people or organisations and a community </w:t>
      </w:r>
      <w:r w:rsidR="006F4117">
        <w:t>(</w:t>
      </w:r>
      <w:r w:rsidR="006F4117" w:rsidRPr="006F4117">
        <w:rPr>
          <w:lang w:val="en-GB"/>
        </w:rPr>
        <w:t>Gilmore</w:t>
      </w:r>
      <w:r w:rsidR="006F4117">
        <w:rPr>
          <w:lang w:val="en-GB"/>
        </w:rPr>
        <w:t xml:space="preserve"> et al., 2020</w:t>
      </w:r>
      <w:r w:rsidR="006F4117">
        <w:t>)</w:t>
      </w:r>
      <w:r>
        <w:t xml:space="preserve">. Ensuring that their thoughts and opinions are considered and appreciated entails actively including the community's residents in decision-making that impact their lives. To enhance community results, community involvement aims to </w:t>
      </w:r>
      <w:r w:rsidR="00DF6760">
        <w:t>instil</w:t>
      </w:r>
      <w:r>
        <w:t xml:space="preserve"> a sense of </w:t>
      </w:r>
      <w:r w:rsidRPr="00491FA4">
        <w:rPr>
          <w:lang w:val="en-GB"/>
        </w:rPr>
        <w:t>ownership</w:t>
      </w:r>
      <w:r>
        <w:t>, empowerment, and responsibility among its constituents. Activities that attempt to include the community in decision-making include forums, surveys, and community meetings. Promoting social fairness, community development, and creating more substantial, resilient communities depend on community involvement.</w:t>
      </w:r>
      <w:r w:rsidR="00EA5E21">
        <w:t xml:space="preserve"> Community engagement is a priority for Hackney Council as it helps advance social justice and build a more vital, inclusive </w:t>
      </w:r>
      <w:r w:rsidR="00DF6760">
        <w:t>neighbourhood</w:t>
      </w:r>
      <w:r w:rsidR="006F4117">
        <w:rPr>
          <w:lang w:val="en-GB"/>
        </w:rPr>
        <w:t>(</w:t>
      </w:r>
      <w:r w:rsidR="006F4117" w:rsidRPr="006F4117">
        <w:rPr>
          <w:lang w:val="en-GB"/>
        </w:rPr>
        <w:t>Mooreand Woodcraft, 2019</w:t>
      </w:r>
      <w:r w:rsidR="006F4117">
        <w:rPr>
          <w:lang w:val="en-GB"/>
        </w:rPr>
        <w:t>)</w:t>
      </w:r>
      <w:r w:rsidR="00EA5E21">
        <w:t xml:space="preserve">. The council interacts with its varied population through various techniques, such as open forums, </w:t>
      </w:r>
      <w:r w:rsidR="00DF6760">
        <w:t>neighbourhood</w:t>
      </w:r>
      <w:r w:rsidR="00EA5E21">
        <w:t xml:space="preserve"> gatherings, and internet forums.</w:t>
      </w:r>
    </w:p>
    <w:p w:rsidR="002463F0" w:rsidRDefault="00EA5E21" w:rsidP="002463F0">
      <w:r>
        <w:t xml:space="preserve">Additionally, it gives people a chance to take part in decisions that impact their life, such as the distribution of resources and the creation of </w:t>
      </w:r>
      <w:r w:rsidR="00DF6760">
        <w:t>neighbourhood</w:t>
      </w:r>
      <w:r>
        <w:t xml:space="preserve"> services. With the help of people, community organisations, and companies, Hackney Council hopes to create strong relationships that will lead to a shared vision for the borough's future. This study would identify the issue arising within the community engagement in Hackney Council and aim at overcoming the same.</w:t>
      </w:r>
    </w:p>
    <w:p w:rsidR="00EA5E21" w:rsidRDefault="006E4BBA" w:rsidP="00EA5E21">
      <w:pPr>
        <w:pStyle w:val="1"/>
      </w:pPr>
      <w:bookmarkStart w:id="1" w:name="_Toc134555730"/>
      <w:r>
        <w:t>Community Engagement in Hackney Council</w:t>
      </w:r>
      <w:bookmarkEnd w:id="1"/>
    </w:p>
    <w:p w:rsidR="00227D77" w:rsidRDefault="006E4BBA" w:rsidP="00227D77">
      <w:r>
        <w:t xml:space="preserve">Hackney Council has an established tradition of supporting community involvement because it understands how crucial it is to build a more responsive and inclusive local government. In recent years, the council has made tremendous strides to ramp up its community involvement initiatives and expand the possibilities for locals to participate in decisions that impact their lives. The Hackney Conversation, a forum for community interaction established in 2017, is </w:t>
      </w:r>
      <w:r>
        <w:lastRenderedPageBreak/>
        <w:t>one such project</w:t>
      </w:r>
      <w:r w:rsidR="00413A9A">
        <w:rPr>
          <w:lang w:val="en-GB"/>
        </w:rPr>
        <w:t>(</w:t>
      </w:r>
      <w:r w:rsidR="00413A9A" w:rsidRPr="00413A9A">
        <w:rPr>
          <w:lang w:val="en-GB"/>
        </w:rPr>
        <w:t>Bianchi</w:t>
      </w:r>
      <w:r w:rsidR="00413A9A">
        <w:rPr>
          <w:lang w:val="en-GB"/>
        </w:rPr>
        <w:t>, 2019)</w:t>
      </w:r>
      <w:r>
        <w:t>. The platform offers locals an online forum where they can express their opinions, suggestions, and issues about various subjects, such as housing, transportation, and health. To encourage citizens to interact in person with council members and other residents, The Hackney Conversation regularly sponsors open forums and workshops. The Council's Resident Engagement Strategy, created in conjunction with locals and community organisations, is another substantial attempt to involve the community. The plan shows the council's dedication to including locals in decision-making, cultivating bonds with the community, and ensuring that services adapt to locals' requirements. To guarantee that residents' perspectives are heard, the approach involves a variety of efforts, including frequent meetings with residents' associations, focus groups, and surveys</w:t>
      </w:r>
      <w:r w:rsidR="00463482">
        <w:rPr>
          <w:lang w:val="en-GB"/>
        </w:rPr>
        <w:t>(</w:t>
      </w:r>
      <w:r w:rsidR="00463482" w:rsidRPr="00413A9A">
        <w:rPr>
          <w:lang w:val="en-GB"/>
        </w:rPr>
        <w:t>Alkhani, 2020</w:t>
      </w:r>
      <w:r w:rsidR="00463482">
        <w:rPr>
          <w:lang w:val="en-GB"/>
        </w:rPr>
        <w:t>)</w:t>
      </w:r>
      <w:r>
        <w:t>. The council has worked to increase community participation in the planning process. The Planning for Hackney's Future programme, which the council initiated in 2020, intends to include citizens in directing the borough's growth. Residents may give input on planned developments and help create a new local plan through the campaign's online consultations, community events, and workshops.</w:t>
      </w:r>
    </w:p>
    <w:p w:rsidR="00124426" w:rsidRDefault="006E4BBA">
      <w:r>
        <w:t>Hackney Council's dedication to community involvement has been tested recently as the borough dealt with several difficulties, including the COVID-19 outbreak and persistent socioeconomic disparity problems. As a result, the council has modified its community participation techniques to increase assistance for vulnerable individuals and give underrepresented populations priority. For example, the council created a COVID-19 Community Support Hub in response to the pandemic, which offered help to at-risk individuals via various channels, such as phone support and internet information</w:t>
      </w:r>
      <w:r w:rsidR="00463482">
        <w:rPr>
          <w:lang w:val="en-GB"/>
        </w:rPr>
        <w:t>(</w:t>
      </w:r>
      <w:r w:rsidR="00463482" w:rsidRPr="00463482">
        <w:rPr>
          <w:lang w:val="en-GB"/>
        </w:rPr>
        <w:t>Turcu and Rotolo, 2022</w:t>
      </w:r>
      <w:r w:rsidR="00463482">
        <w:rPr>
          <w:lang w:val="en-GB"/>
        </w:rPr>
        <w:t>)</w:t>
      </w:r>
      <w:r>
        <w:t>. The hub also tried to interact with marginalized communities to ensure that underrepresented populations, such as those with poor English proficiency, were aware of the resources and support offered.</w:t>
      </w:r>
    </w:p>
    <w:p w:rsidR="00EA5E21" w:rsidRDefault="006E4BBA" w:rsidP="00EA5E21">
      <w:pPr>
        <w:pStyle w:val="1"/>
      </w:pPr>
      <w:bookmarkStart w:id="2" w:name="_Toc134555731"/>
      <w:r>
        <w:lastRenderedPageBreak/>
        <w:t>The issue in Hackney Council</w:t>
      </w:r>
      <w:bookmarkEnd w:id="2"/>
    </w:p>
    <w:p w:rsidR="00834F5C" w:rsidRDefault="006E4BBA" w:rsidP="00834F5C">
      <w:r>
        <w:t>Despite its dedication to community engagement, Hackney Council encounters several issues when trying to involve its constituents in decision-making processes successfully. The impact of gentrification on community participation, representation, and access difficulties, and the need for more openness and accountability in the council's engagement initiatives. The question of representation and access is one of the critical challenges facing Hackney Council's community involvement initiatives. Even though the council has tried to interact with different populations, there are still significant inequalities in participation and representation. According to a 2018 report by the council, despite making up a sizable fraction of the borough's population, black and ethnic minority citizens were noticeably underrepresented in council discussions</w:t>
      </w:r>
      <w:r w:rsidR="00463482">
        <w:rPr>
          <w:lang w:val="en-GB"/>
        </w:rPr>
        <w:t>(</w:t>
      </w:r>
      <w:r w:rsidR="00463482" w:rsidRPr="00463482">
        <w:rPr>
          <w:lang w:val="en-GB"/>
        </w:rPr>
        <w:t>Nelson and Lewis, 2021</w:t>
      </w:r>
      <w:r w:rsidR="00463482">
        <w:rPr>
          <w:lang w:val="en-GB"/>
        </w:rPr>
        <w:t>)</w:t>
      </w:r>
      <w:r>
        <w:t>.Additionally, participation in engagement activities, such as attending public meetings or using online resources, may be difficult for persons with impairments or inadequate English ability. The council has created specific engagement initiatives to reach disadvantaged populations to solve these problems. A vital component of the council's resident engagement strategy is connecting with and engaging marginalised populations and the local organisations that support them. However, more funding is still required for outreach and engagement initiatives that prioritize these groups' needs and viewpoints.</w:t>
      </w:r>
    </w:p>
    <w:p w:rsidR="00632237" w:rsidRDefault="006E4BBA" w:rsidP="00632237">
      <w:r>
        <w:t xml:space="preserve">The effects of gentrification on the neighbourhood are another issue that community involvement in Hackney must address. Since the borough has recently experienced tremendous expansion and rebuilding, some long-term residents could feel left out of engagement events or that their opinions should be appreciated. Increased rivalry for resources and housing brought on by gentrification may also lead to friction and discord in the neighbourhood. The council has worked to involve gentrification-affected citizens and prioritize their opinions in decision-making to solve these issues. In the council's Planning for </w:t>
      </w:r>
      <w:r>
        <w:lastRenderedPageBreak/>
        <w:t>Hackney's Future campaign, inhabitants of the borough's neighbourhoods, like Hackney Wick and Fish Island, which are undergoing substantial transformation, are given special attention</w:t>
      </w:r>
      <w:r w:rsidR="00463482">
        <w:rPr>
          <w:lang w:val="en-GB"/>
        </w:rPr>
        <w:t>(</w:t>
      </w:r>
      <w:r w:rsidR="00463482" w:rsidRPr="00463482">
        <w:rPr>
          <w:lang w:val="en-GB"/>
        </w:rPr>
        <w:t>Rahmat</w:t>
      </w:r>
      <w:r w:rsidR="00463482">
        <w:rPr>
          <w:lang w:val="en-GB"/>
        </w:rPr>
        <w:t>, 2020)</w:t>
      </w:r>
      <w:r>
        <w:t>. The council also formed the Hackney Wick and Fish Island Community Development Trust, which seeks to include locals in the regeneration process and ensure that their needs are considered. However, there is still a need to focus more on how gentrification affects neighbourhood participation and the council's responsibility to foster equitable development that benefits all locals.</w:t>
      </w:r>
    </w:p>
    <w:p w:rsidR="00227D77" w:rsidRPr="00227D77" w:rsidRDefault="006E4BBA" w:rsidP="00227D77">
      <w:r>
        <w:t>Community engagement in Hackney is confronting a substantial challenge in openness and accountability. The council has tried to involve citizens in decision-making, but more accountability and openness are still needed in the council's engagement strategies. This entails ensuring that locals are informed of the results of engagement initiatives and that their viewpoints are considered throughout the decision-making processes</w:t>
      </w:r>
      <w:r w:rsidR="00463482">
        <w:t xml:space="preserve"> (</w:t>
      </w:r>
      <w:r w:rsidR="00463482" w:rsidRPr="00463482">
        <w:rPr>
          <w:lang w:val="en-GB"/>
        </w:rPr>
        <w:t>Crawshaw</w:t>
      </w:r>
      <w:r w:rsidR="00463482">
        <w:rPr>
          <w:lang w:val="en-GB"/>
        </w:rPr>
        <w:t xml:space="preserve"> et al., 2022</w:t>
      </w:r>
      <w:r w:rsidR="00463482">
        <w:t>)</w:t>
      </w:r>
      <w:r>
        <w:t>. The council has created several tools for accountability and input to address these problems, including online feedback forms and resident-led inspections of neighbourhood services. The council has also agreed to provide frequent updates on its engagement initiatives and to make sure that the public can access information on how people's feedback has been considered when making decisions. However, more funding is still required for accountability and openness processes that prioritize citizens' needs and viewpoints. This entails ensuring that locals were involved in creating these systems and that they were accessible and straightforward to use.</w:t>
      </w:r>
    </w:p>
    <w:p w:rsidR="00EA5E21" w:rsidRDefault="006E4BBA" w:rsidP="00EA5E21">
      <w:pPr>
        <w:pStyle w:val="1"/>
      </w:pPr>
      <w:bookmarkStart w:id="3" w:name="_Toc134555732"/>
      <w:r>
        <w:t>Principles and Strategies for Overcoming the Issue in Hackney Council</w:t>
      </w:r>
      <w:bookmarkEnd w:id="3"/>
    </w:p>
    <w:p w:rsidR="00E7712F" w:rsidRDefault="006E4BBA" w:rsidP="008F2BA6">
      <w:r>
        <w:t xml:space="preserve">The theory of Praxis refers to the process of applying theory in real-world situations. Praxis in the context of community engagement entails putting community engagement's guiding concepts and tactics into practice. It entails bridging the gap between theory and practice by implementing community engagement projects guided by community engagement's guiding </w:t>
      </w:r>
      <w:r>
        <w:lastRenderedPageBreak/>
        <w:t>concepts and tactics</w:t>
      </w:r>
      <w:r w:rsidR="00E70608">
        <w:rPr>
          <w:lang w:val="en-GB"/>
        </w:rPr>
        <w:t>(</w:t>
      </w:r>
      <w:r w:rsidR="00E70608" w:rsidRPr="00E70608">
        <w:rPr>
          <w:lang w:val="en-GB"/>
        </w:rPr>
        <w:t>Subedi</w:t>
      </w:r>
      <w:r w:rsidR="00E70608">
        <w:rPr>
          <w:lang w:val="en-GB"/>
        </w:rPr>
        <w:t xml:space="preserve"> and Rai, 2020)</w:t>
      </w:r>
      <w:r>
        <w:t xml:space="preserve">. </w:t>
      </w:r>
      <w:r w:rsidRPr="008F2BA6">
        <w:t>One of the fundamental principles of community engagement is inclusivity.</w:t>
      </w:r>
      <w:r>
        <w:t xml:space="preserve"> Providing accessibility and inclusion for all community members, regardless of their background or circumstances, is one of the main tenets of community participation. The council should </w:t>
      </w:r>
      <w:r w:rsidR="00EF7CEB">
        <w:t>try</w:t>
      </w:r>
      <w:r>
        <w:t xml:space="preserve"> to interact with underrepresented groups, such as those with disabilities or people from minority ethnic groups. Offering specialised assistance and tools, such as interpreting services or accessible meeting locations, might be one way to promote greater participation. The council should also promote an atmosphere of openness and transparency that invites citizens to express their opinions and participate in decision-making. Initiatives like public consultations, online feedback forms, or regular public meetings might be used to accomplish this.</w:t>
      </w:r>
    </w:p>
    <w:p w:rsidR="00BA18A7" w:rsidRDefault="006E4BBA" w:rsidP="008F2BA6">
      <w:r>
        <w:t>A second principle of community engagement is collaboration. To achieve this, collaboration with stakeholders is necessary to develop solutions that benefit all parties. Collaboration and trust-building are essential for effective community participation</w:t>
      </w:r>
      <w:r w:rsidR="00E70608">
        <w:rPr>
          <w:lang w:val="en-GB"/>
        </w:rPr>
        <w:t>(</w:t>
      </w:r>
      <w:r w:rsidR="00E70608" w:rsidRPr="00E70608">
        <w:rPr>
          <w:lang w:val="en-GB"/>
        </w:rPr>
        <w:t>Subedi</w:t>
      </w:r>
      <w:r w:rsidR="00E70608">
        <w:rPr>
          <w:lang w:val="en-GB"/>
        </w:rPr>
        <w:t xml:space="preserve"> and Rai, 2020)</w:t>
      </w:r>
      <w:r>
        <w:t>. The council should forge strong bonds with neighbourhood residents, community organisations, and stakeholders through consistent involvement and communication. This might entail holding frequent public gatherings, forming a team of community liaisons, or collaborating with nearby organisations to offer assistance and resources. Additionally, the council must be open and honest in its decision-making and prepared to hear criticism and make changes in response to suggestions from the public. The council may develop trust, promote community ownership and participation, and make decisions with the community's input.</w:t>
      </w:r>
    </w:p>
    <w:p w:rsidR="00E7712F" w:rsidRDefault="006E4BBA" w:rsidP="00BA18A7">
      <w:r w:rsidRPr="00BA18A7">
        <w:t>Another key strategy for effective community engagement is involving stakeholders early in decision-making</w:t>
      </w:r>
      <w:r w:rsidR="00E70608">
        <w:rPr>
          <w:lang w:val="en-GB"/>
        </w:rPr>
        <w:t>(</w:t>
      </w:r>
      <w:r w:rsidR="00E70608" w:rsidRPr="00E70608">
        <w:rPr>
          <w:lang w:val="en-GB"/>
        </w:rPr>
        <w:t>Subedi</w:t>
      </w:r>
      <w:r w:rsidR="00E70608">
        <w:rPr>
          <w:lang w:val="en-GB"/>
        </w:rPr>
        <w:t xml:space="preserve"> and Rai, 2020)</w:t>
      </w:r>
      <w:r w:rsidRPr="00BA18A7">
        <w:t>.</w:t>
      </w:r>
      <w:r>
        <w:t xml:space="preserve"> The decision-making of Hackney Council must refer to the prioritization of representation and addressing the impact of gentrification. The council must take action to guarantee that all community members have a voice and are included in decision-making processes since representation is a crucial component of community </w:t>
      </w:r>
      <w:r>
        <w:lastRenderedPageBreak/>
        <w:t xml:space="preserve">participation. This might entail creating representative bodies to make sure that all viewpoints are heard or collaborating with local community organisations and leaders to identify and engage difficult-to-reach populations. The council should also place a higher priority on including the groups who are most negatively impacted by issues like gentrification or socioeconomic inequality. The council can better understand the issues and needs of the community and create more successful engagement plans by actively seeking out and listening to these organisations. Hackney's community participation has been significantly impacted by gentrification; </w:t>
      </w:r>
      <w:r w:rsidR="00EF7CEB">
        <w:t>thus,</w:t>
      </w:r>
      <w:r>
        <w:t xml:space="preserve"> the council </w:t>
      </w:r>
      <w:r w:rsidR="00E70608">
        <w:t>must</w:t>
      </w:r>
      <w:r>
        <w:t xml:space="preserve"> take action to make sure that everyone is involved in discussions about regeneration and development. This can entail putting procedures in place to guarantee that the perspectives of long-term residents and those most negatively impacted by gentrification are heard and given priority. The council should also endeavour to prevent the exclusion of or the displacement of long-term residents or small businesses by regeneration and development projects so that everyone in the community benefits. This might entail creating communal land trusts or other systems to offer locals inexpensive homes or workspace.</w:t>
      </w:r>
    </w:p>
    <w:p w:rsidR="00E7712F" w:rsidRPr="00632237" w:rsidRDefault="006E4BBA" w:rsidP="00BA18A7">
      <w:r w:rsidRPr="00BA18A7">
        <w:t>A third strategy for effective community engagement is providing meaningful participation opportunities.</w:t>
      </w:r>
      <w:r w:rsidR="00D57CBA">
        <w:t>Engagement in the community is a continual process that calls for continuous learning and development</w:t>
      </w:r>
      <w:r>
        <w:t xml:space="preserve"> as well as participation</w:t>
      </w:r>
      <w:r w:rsidR="00E70608">
        <w:rPr>
          <w:lang w:val="en-GB"/>
        </w:rPr>
        <w:t>(</w:t>
      </w:r>
      <w:r w:rsidR="00E70608" w:rsidRPr="00E70608">
        <w:rPr>
          <w:lang w:val="en-GB"/>
        </w:rPr>
        <w:t>Subedi</w:t>
      </w:r>
      <w:r w:rsidR="00E70608">
        <w:rPr>
          <w:lang w:val="en-GB"/>
        </w:rPr>
        <w:t xml:space="preserve"> and Rai, 2020)</w:t>
      </w:r>
      <w:r w:rsidR="00D57CBA">
        <w:t xml:space="preserve">. The council should be prepared to frequently assess its engagement programmes and make changes </w:t>
      </w:r>
      <w:r w:rsidR="005C5BB0">
        <w:t>considering</w:t>
      </w:r>
      <w:r w:rsidR="00D57CBA">
        <w:t xml:space="preserve"> input and results. This might entail setting up a community feedback system to facilitate continuing communication with residents or conducting frequent surveys or focus groups to evaluate the success of engagement activities. The council should also be receptive to fresh perspectives on community involvement, particularly those offered by locals and neighbourhood associations. The council can make sure that its engagement activities are </w:t>
      </w:r>
      <w:r w:rsidR="00D57CBA">
        <w:lastRenderedPageBreak/>
        <w:t>successful, significant, and sensitive to community needs by encouraging continual learning and development</w:t>
      </w:r>
      <w:r>
        <w:t xml:space="preserve"> as well as participation</w:t>
      </w:r>
      <w:r w:rsidR="00D57CBA">
        <w:t>.</w:t>
      </w:r>
    </w:p>
    <w:p w:rsidR="002463F0" w:rsidRDefault="006E4BBA" w:rsidP="002463F0">
      <w:pPr>
        <w:pStyle w:val="1"/>
        <w:rPr>
          <w:lang w:val="en-GB"/>
        </w:rPr>
      </w:pPr>
      <w:bookmarkStart w:id="4" w:name="_Toc134555733"/>
      <w:r>
        <w:rPr>
          <w:lang w:val="en-GB"/>
        </w:rPr>
        <w:t>Conclusion</w:t>
      </w:r>
      <w:bookmarkEnd w:id="4"/>
    </w:p>
    <w:p w:rsidR="00BA18A7" w:rsidRPr="00BA18A7" w:rsidRDefault="006E4BBA" w:rsidP="00BA18A7">
      <w:pPr>
        <w:rPr>
          <w:lang w:val="en-GB"/>
        </w:rPr>
      </w:pPr>
      <w:r w:rsidRPr="00DA6476">
        <w:rPr>
          <w:lang w:val="en-GB"/>
        </w:rPr>
        <w:t xml:space="preserve">In conclusion, </w:t>
      </w:r>
      <w:r>
        <w:rPr>
          <w:lang w:val="en-GB"/>
        </w:rPr>
        <w:t xml:space="preserve">a </w:t>
      </w:r>
      <w:r w:rsidRPr="00DA6476">
        <w:rPr>
          <w:lang w:val="en-GB"/>
        </w:rPr>
        <w:t>key component of local governance is community participation, and Hackney Council has worked hard to include its citizens in decision-making. By launching programmes like The Hackney Conversation and the Resident Engagement Strategy, the council has given residents a forum to voice their ideas and participate in the borough's development. The council has modified its community engagement strategies with the Planning for Hackney's Future initiative and the COVID-19 Community Support Hub to aid vulnerable people and underrepresented groups. These initiatives show the council's dedication to fortifying a diverse and inclusive community.</w:t>
      </w:r>
      <w:r>
        <w:rPr>
          <w:lang w:val="en-GB"/>
        </w:rPr>
        <w:t xml:space="preserve"> T</w:t>
      </w:r>
      <w:r w:rsidRPr="00DA6476">
        <w:rPr>
          <w:lang w:val="en-GB"/>
        </w:rPr>
        <w:t>he Hackney Council has several challenges to overcome to involve the community successfully. These issues include unequal representation and participation, the effects of gentrification, and the demand for greater transparency and accountability. The council can use community engagement concepts and techniques, such as inclusion, cooperation, and early stakeholder involvement, to resolve these problems. The council might place more emphasis on fostering an environment of openness and transparency and interacting with marginalised groups. Additionally, it should seek out and pay attention to the people that are most adversely affected by problems like gentrification or socioeconomic disparity. It should establish trust among area inhabitants, community organisations, and stakeholders.By putting these tactics and ideas into practice, the council can design more effective and successful engagement plans and guarantee that everyone is included in conversations about regeneration and development.</w:t>
      </w:r>
    </w:p>
    <w:p w:rsidR="002463F0" w:rsidRDefault="006E4BBA">
      <w:pPr>
        <w:spacing w:line="259" w:lineRule="auto"/>
        <w:jc w:val="left"/>
        <w:rPr>
          <w:rFonts w:cs="Times New Roman"/>
          <w:lang w:val="en-GB"/>
        </w:rPr>
      </w:pPr>
      <w:r>
        <w:rPr>
          <w:rFonts w:cs="Times New Roman"/>
          <w:lang w:val="en-GB"/>
        </w:rPr>
        <w:br w:type="page"/>
      </w:r>
    </w:p>
    <w:p w:rsidR="002463F0" w:rsidRDefault="006E4BBA" w:rsidP="002463F0">
      <w:pPr>
        <w:pStyle w:val="1"/>
        <w:rPr>
          <w:lang w:val="en-GB"/>
        </w:rPr>
      </w:pPr>
      <w:bookmarkStart w:id="5" w:name="_Toc134555734"/>
      <w:r>
        <w:rPr>
          <w:lang w:val="en-GB"/>
        </w:rPr>
        <w:lastRenderedPageBreak/>
        <w:t>References</w:t>
      </w:r>
      <w:bookmarkEnd w:id="5"/>
    </w:p>
    <w:p w:rsidR="0098253C" w:rsidRDefault="006E4BBA" w:rsidP="00413A9A">
      <w:pPr>
        <w:rPr>
          <w:lang w:val="en-GB"/>
        </w:rPr>
      </w:pPr>
      <w:r w:rsidRPr="00413A9A">
        <w:rPr>
          <w:lang w:val="en-GB"/>
        </w:rPr>
        <w:t>Alkhani, R., 2020. Understanding private-sector engagement in sustainable urban development and delivering the climate agenda in northwestern Europe—A case study of London and Copenhagen. Sustainability, 12(20), p.8431.https://www.mdpi.com/2071-1050/12/20/8431/pdf</w:t>
      </w:r>
    </w:p>
    <w:p w:rsidR="0098253C" w:rsidRDefault="006E4BBA" w:rsidP="006F4117">
      <w:pPr>
        <w:rPr>
          <w:lang w:val="en-GB"/>
        </w:rPr>
      </w:pPr>
      <w:r w:rsidRPr="00413A9A">
        <w:rPr>
          <w:lang w:val="en-GB"/>
        </w:rPr>
        <w:t>Bianchi, M., 2019. Renewing the city through public participation and cultural activities. The case study of Gillet square, a community-led urban regeneration project. Journal of Entrepreneurial and Organizational Diversity, 8(1).https://www.academia.edu/download/60168605/JEOD_-_Gillet_Square20190731-91857-osqybf.pdf</w:t>
      </w:r>
    </w:p>
    <w:p w:rsidR="0098253C" w:rsidRDefault="006E4BBA" w:rsidP="00413A9A">
      <w:pPr>
        <w:rPr>
          <w:lang w:val="en-GB"/>
        </w:rPr>
      </w:pPr>
      <w:r w:rsidRPr="00463482">
        <w:rPr>
          <w:lang w:val="en-GB"/>
        </w:rPr>
        <w:t>Crawshaw, A.F., Hickey, C., Lutumba, L.M., Kitoko, L.M., Nkembi, S.L., Knights, F., Ciftci, Y., Goldsmith, L.P., Vandrevala, T., Forster, A.S. and Hargreaves, S., 2022. Co-designing an intervention to strengthen vaccine uptake in Congolese migrants in the UK (LISOLO MALAMU): a participatory study protocol. medRxiv, pp.2022-07.https://www.medrxiv.org/content/10.1101/2022.07.19.22277798.full.pdf</w:t>
      </w:r>
    </w:p>
    <w:p w:rsidR="0098253C" w:rsidRDefault="006E4BBA" w:rsidP="006F4117">
      <w:pPr>
        <w:rPr>
          <w:lang w:val="en-GB"/>
        </w:rPr>
      </w:pPr>
      <w:r w:rsidRPr="006F4117">
        <w:rPr>
          <w:lang w:val="en-GB"/>
        </w:rPr>
        <w:t>Gilmore, B., Ndejjo, R., Tchetchia, A., De Claro, V., Mago, E., Lopes, C. and Bhattacharyya, S., 2020. Community engagement for COVID-19 prevention and control: a rapid evidence synthesis. BMJ global health, 5(10), p.e003188.https://gh.bmj.com/content/bmjgh/5/10/e003188.full.pdf</w:t>
      </w:r>
    </w:p>
    <w:p w:rsidR="0098253C" w:rsidRDefault="006E4BBA" w:rsidP="006F4117">
      <w:pPr>
        <w:rPr>
          <w:lang w:val="en-GB"/>
        </w:rPr>
      </w:pPr>
      <w:r w:rsidRPr="006F4117">
        <w:rPr>
          <w:lang w:val="en-GB"/>
        </w:rPr>
        <w:t>Moore, H.L. and Woodcraft, S., 2019. Understanding prosperity in East London: Local meanings and “sticky” measures of the good life. City &amp; Society, 31(2), pp.275-298.https://www.academia.edu/download/63996993/ciso.1220820200722-29945-btvdlt.pdf</w:t>
      </w:r>
    </w:p>
    <w:p w:rsidR="0098253C" w:rsidRDefault="006E4BBA" w:rsidP="00413A9A">
      <w:pPr>
        <w:rPr>
          <w:lang w:val="en-GB"/>
        </w:rPr>
      </w:pPr>
      <w:r w:rsidRPr="00463482">
        <w:rPr>
          <w:lang w:val="en-GB"/>
        </w:rPr>
        <w:t>Nelson, S. and Lewis, J., 2021. Resident engagement in social housing regeneration: the case of Woodberry Down, London. International Journal of Housing Policy, 21(1), pp.48-</w:t>
      </w:r>
      <w:r w:rsidRPr="00463482">
        <w:rPr>
          <w:lang w:val="en-GB"/>
        </w:rPr>
        <w:lastRenderedPageBreak/>
        <w:t>69.https://westminsterresearch.westminster.ac.uk/download/3cbc18624ac0d051e7105d602d80bd0fd159c9782ef2ca415e7dade2fb59550a/6805557/Resident%20Engagement%20in%20Regeneration%20Final.pdf</w:t>
      </w:r>
    </w:p>
    <w:p w:rsidR="0098253C" w:rsidRDefault="006E4BBA" w:rsidP="00413A9A">
      <w:pPr>
        <w:rPr>
          <w:lang w:val="en-GB"/>
        </w:rPr>
      </w:pPr>
      <w:r w:rsidRPr="00463482">
        <w:rPr>
          <w:lang w:val="en-GB"/>
        </w:rPr>
        <w:t>Rahmat, H., 2020. Open online platforms and the collaborative production of micro-urban spaces: Towards an architecture of civic engagement. Open Cities| Open Data: Collaborative Cities in the Information Era, pp.107-128.https://www.researchgate.net/profile/Christopher-Pettit/publication/336105326_An_Information_Management_Strategy_for_City_Data_Hubs_Open_Data_Strategies_for_Large_Organisations/links/5e71af3192851c93e0aa4876/An-Information-Management-Strategy-for-City-Data-Hubs-Open-Data-Strategies-for-Large-Organisations.pdf#page=139</w:t>
      </w:r>
    </w:p>
    <w:p w:rsidR="0098253C" w:rsidRPr="006F4117" w:rsidRDefault="006E4BBA" w:rsidP="00413A9A">
      <w:pPr>
        <w:rPr>
          <w:lang w:val="en-GB"/>
        </w:rPr>
      </w:pPr>
      <w:r w:rsidRPr="00E70608">
        <w:rPr>
          <w:lang w:val="en-GB"/>
        </w:rPr>
        <w:t>Subedi, D. and Rai, I.M., 2020. Praxis amid Theory and Practice in a Teacher Education Course: Narrowing the Gap via Reflective Practices. In Innovative Technologies and Pedagogical Shifts in Nepalese Higher Education (pp. 104-118). Brill.https://www.researchgate.net/profile/Indra-Rai-5/publication/368248839_Praxis_amid_Theory_and_Practice_in_a_Teacher_Education_Course_Narrowing_the_Gap_via_Reflective_Practices/links/6412d76b92cfd54f8404b447/Praxis-amid-Theory-and-Practice-in-a-Teacher-Education-Course-Narrowing-the-Gap-via-Reflective-Practices.pdf</w:t>
      </w:r>
    </w:p>
    <w:p w:rsidR="0098253C" w:rsidRDefault="006E4BBA" w:rsidP="00413A9A">
      <w:pPr>
        <w:rPr>
          <w:lang w:val="en-GB"/>
        </w:rPr>
      </w:pPr>
      <w:r w:rsidRPr="00463482">
        <w:rPr>
          <w:lang w:val="en-GB"/>
        </w:rPr>
        <w:t>Turcu, C. and Rotolo, M.M., 2022. Disrupting from the Ground Up: community-led and place-based food governance in London during COVID-19. Urban Governance, 2(1), pp.178-187.https://www.sciencedirect.com/science/article/pii/S2664328622000195</w:t>
      </w:r>
    </w:p>
    <w:sectPr w:rsidR="0098253C" w:rsidSect="002463F0">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51F2" w:rsidRDefault="00A451F2">
      <w:pPr>
        <w:spacing w:after="0" w:line="240" w:lineRule="auto"/>
      </w:pPr>
      <w:r>
        <w:separator/>
      </w:r>
    </w:p>
  </w:endnote>
  <w:endnote w:type="continuationSeparator" w:id="1">
    <w:p w:rsidR="00A451F2" w:rsidRDefault="00A451F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51F2" w:rsidRDefault="00A451F2">
      <w:pPr>
        <w:spacing w:after="0" w:line="240" w:lineRule="auto"/>
      </w:pPr>
      <w:r>
        <w:separator/>
      </w:r>
    </w:p>
  </w:footnote>
  <w:footnote w:type="continuationSeparator" w:id="1">
    <w:p w:rsidR="00A451F2" w:rsidRDefault="00A451F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4BBA" w:rsidRDefault="006E4BBA">
    <w:pPr>
      <w:pStyle w:val="a5"/>
    </w:pPr>
    <w:r w:rsidRPr="00CE1DEA">
      <w:rPr>
        <w:noProof/>
      </w:rPr>
      <w:pict>
        <v:shapetype id="_x0000_t202" coordsize="21600,21600" o:spt="202" path="m,l,21600r21600,l21600,xe">
          <v:stroke joinstyle="miter"/>
          <v:path gradientshapeok="t" o:connecttype="rect"/>
        </v:shapetype>
        <v:shape id="Text Box 70" o:spid="_x0000_s2049" type="#_x0000_t202" style="position:absolute;left:0;text-align:left;margin-left:0;margin-top:0;width:468pt;height:13.7pt;z-index:251665408;visibility:visible;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rsidR="006E4BBA" w:rsidRDefault="006E4BBA" w:rsidP="002463F0">
                <w:pPr>
                  <w:spacing w:after="0" w:line="240" w:lineRule="auto"/>
                  <w:jc w:val="left"/>
                  <w:rPr>
                    <w:noProof/>
                  </w:rPr>
                </w:pPr>
                <w:r w:rsidRPr="002463F0">
                  <w:rPr>
                    <w:noProof/>
                  </w:rPr>
                  <w:t>COMMUNITY ENGAGEMENT</w:t>
                </w:r>
              </w:p>
            </w:txbxContent>
          </v:textbox>
          <w10:wrap anchorx="margin"/>
        </v:shape>
      </w:pict>
    </w:r>
    <w:r w:rsidRPr="00CE1DEA">
      <w:rPr>
        <w:noProof/>
      </w:rPr>
      <w:pict>
        <v:shape id="Text Box 71" o:spid="_x0000_s2050" type="#_x0000_t202" style="position:absolute;left:0;text-align:left;margin-left:52.4pt;margin-top:0;width:71.8pt;height:13.45pt;z-index:251663360;visibility:visible;mso-width-percent:1000;mso-position-horizontal:right;mso-position-horizontal-relative:page;mso-position-vertical:center;mso-position-vertical-relative:top-margin-area;mso-width-percent:1000;mso-width-relative:right-margin-area;v-text-anchor:middle" o:allowincell="f" fillcolor="#a8d08d" stroked="f">
          <v:textbox style="mso-fit-shape-to-text:t" inset=",0,,0">
            <w:txbxContent>
              <w:p w:rsidR="006E4BBA" w:rsidRDefault="006E4BBA">
                <w:pPr>
                  <w:spacing w:after="0" w:line="240" w:lineRule="auto"/>
                  <w:rPr>
                    <w:color w:val="FFFFFF" w:themeColor="background1"/>
                  </w:rPr>
                </w:pPr>
                <w:r w:rsidRPr="00CE1DEA">
                  <w:fldChar w:fldCharType="begin"/>
                </w:r>
                <w:r>
                  <w:instrText xml:space="preserve"> PAGE   \* MERGEFORMAT </w:instrText>
                </w:r>
                <w:r w:rsidRPr="00CE1DEA">
                  <w:fldChar w:fldCharType="separate"/>
                </w:r>
                <w:r w:rsidR="00A43448" w:rsidRPr="00A43448">
                  <w:rPr>
                    <w:noProof/>
                    <w:color w:val="FFFFFF" w:themeColor="background1"/>
                  </w:rPr>
                  <w:t>1</w:t>
                </w:r>
                <w:r>
                  <w:rPr>
                    <w:noProof/>
                    <w:color w:val="FFFFFF" w:themeColor="background1"/>
                  </w:rPr>
                  <w:fldChar w:fldCharType="end"/>
                </w:r>
              </w:p>
            </w:txbxContent>
          </v:textbox>
          <w10:wrap anchorx="page"/>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4BBA" w:rsidRDefault="006E4BBA">
    <w:pPr>
      <w:pStyle w:val="a5"/>
    </w:pPr>
    <w:r w:rsidRPr="00CE1DEA">
      <w:rPr>
        <w:noProof/>
      </w:rPr>
      <w:pict>
        <v:shapetype id="_x0000_t202" coordsize="21600,21600" o:spt="202" path="m,l,21600r21600,l21600,xe">
          <v:stroke joinstyle="miter"/>
          <v:path gradientshapeok="t" o:connecttype="rect"/>
        </v:shapetype>
        <v:shape id="_x0000_s2051" type="#_x0000_t202" style="position:absolute;left:0;text-align:left;margin-left:0;margin-top:0;width:468pt;height:13.7pt;z-index:251661312;visibility:visible;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rsidR="006E4BBA" w:rsidRDefault="006E4BBA" w:rsidP="002463F0">
                <w:pPr>
                  <w:spacing w:after="0" w:line="240" w:lineRule="auto"/>
                  <w:jc w:val="left"/>
                  <w:rPr>
                    <w:noProof/>
                  </w:rPr>
                </w:pPr>
                <w:r>
                  <w:rPr>
                    <w:noProof/>
                  </w:rPr>
                  <w:t xml:space="preserve">Running head: </w:t>
                </w:r>
                <w:r w:rsidRPr="002463F0">
                  <w:rPr>
                    <w:noProof/>
                  </w:rPr>
                  <w:t>COMMUNITY ENGAGEMENT</w:t>
                </w:r>
              </w:p>
            </w:txbxContent>
          </v:textbox>
          <w10:wrap anchorx="margin"/>
        </v:shape>
      </w:pict>
    </w:r>
    <w:r w:rsidRPr="00CE1DEA">
      <w:rPr>
        <w:noProof/>
      </w:rPr>
      <w:pict>
        <v:shape id="_x0000_s2052" type="#_x0000_t202" style="position:absolute;left:0;text-align:left;margin-left:52.4pt;margin-top:0;width:71.8pt;height:13.45pt;z-index:251659264;visibility:visible;mso-width-percent:1000;mso-position-horizontal:right;mso-position-horizontal-relative:page;mso-position-vertical:center;mso-position-vertical-relative:top-margin-area;mso-width-percent:1000;mso-width-relative:right-margin-area;v-text-anchor:middle" o:allowincell="f" fillcolor="#a8d08d" stroked="f">
          <v:textbox style="mso-fit-shape-to-text:t" inset=",0,,0">
            <w:txbxContent>
              <w:p w:rsidR="006E4BBA" w:rsidRDefault="006E4BBA">
                <w:pPr>
                  <w:spacing w:after="0" w:line="240" w:lineRule="auto"/>
                  <w:rPr>
                    <w:color w:val="FFFFFF" w:themeColor="background1"/>
                  </w:rPr>
                </w:pPr>
                <w:r w:rsidRPr="00CE1DEA">
                  <w:fldChar w:fldCharType="begin"/>
                </w:r>
                <w:r>
                  <w:instrText xml:space="preserve"> PAGE   \* MERGEFORMAT </w:instrText>
                </w:r>
                <w:r w:rsidRPr="00CE1DEA">
                  <w:fldChar w:fldCharType="separate"/>
                </w:r>
                <w:r w:rsidR="00A43448" w:rsidRPr="00A43448">
                  <w:rPr>
                    <w:noProof/>
                    <w:color w:val="FFFFFF" w:themeColor="background1"/>
                  </w:rPr>
                  <w:t>0</w:t>
                </w:r>
                <w:r>
                  <w:rPr>
                    <w:noProof/>
                    <w:color w:val="FFFFFF" w:themeColor="background1"/>
                  </w:rPr>
                  <w:fldChar w:fldCharType="end"/>
                </w:r>
              </w:p>
            </w:txbxContent>
          </v:textbox>
          <w10:wrap anchorx="pag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A2F17"/>
    <w:multiLevelType w:val="multilevel"/>
    <w:tmpl w:val="827E88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0B841F0"/>
    <w:multiLevelType w:val="hybridMultilevel"/>
    <w:tmpl w:val="CED20C8E"/>
    <w:lvl w:ilvl="0" w:tplc="7E18DE46">
      <w:start w:val="1"/>
      <w:numFmt w:val="bullet"/>
      <w:lvlText w:val=""/>
      <w:lvlJc w:val="left"/>
      <w:pPr>
        <w:ind w:left="720" w:hanging="360"/>
      </w:pPr>
      <w:rPr>
        <w:rFonts w:ascii="Symbol" w:hAnsi="Symbol" w:hint="default"/>
      </w:rPr>
    </w:lvl>
    <w:lvl w:ilvl="1" w:tplc="B9DE0DEC" w:tentative="1">
      <w:start w:val="1"/>
      <w:numFmt w:val="bullet"/>
      <w:lvlText w:val="o"/>
      <w:lvlJc w:val="left"/>
      <w:pPr>
        <w:ind w:left="1440" w:hanging="360"/>
      </w:pPr>
      <w:rPr>
        <w:rFonts w:ascii="Courier New" w:hAnsi="Courier New" w:cs="Courier New" w:hint="default"/>
      </w:rPr>
    </w:lvl>
    <w:lvl w:ilvl="2" w:tplc="994694EC" w:tentative="1">
      <w:start w:val="1"/>
      <w:numFmt w:val="bullet"/>
      <w:lvlText w:val=""/>
      <w:lvlJc w:val="left"/>
      <w:pPr>
        <w:ind w:left="2160" w:hanging="360"/>
      </w:pPr>
      <w:rPr>
        <w:rFonts w:ascii="Wingdings" w:hAnsi="Wingdings" w:hint="default"/>
      </w:rPr>
    </w:lvl>
    <w:lvl w:ilvl="3" w:tplc="8842BAF2" w:tentative="1">
      <w:start w:val="1"/>
      <w:numFmt w:val="bullet"/>
      <w:lvlText w:val=""/>
      <w:lvlJc w:val="left"/>
      <w:pPr>
        <w:ind w:left="2880" w:hanging="360"/>
      </w:pPr>
      <w:rPr>
        <w:rFonts w:ascii="Symbol" w:hAnsi="Symbol" w:hint="default"/>
      </w:rPr>
    </w:lvl>
    <w:lvl w:ilvl="4" w:tplc="6B1C7D42" w:tentative="1">
      <w:start w:val="1"/>
      <w:numFmt w:val="bullet"/>
      <w:lvlText w:val="o"/>
      <w:lvlJc w:val="left"/>
      <w:pPr>
        <w:ind w:left="3600" w:hanging="360"/>
      </w:pPr>
      <w:rPr>
        <w:rFonts w:ascii="Courier New" w:hAnsi="Courier New" w:cs="Courier New" w:hint="default"/>
      </w:rPr>
    </w:lvl>
    <w:lvl w:ilvl="5" w:tplc="CC9AA5D0" w:tentative="1">
      <w:start w:val="1"/>
      <w:numFmt w:val="bullet"/>
      <w:lvlText w:val=""/>
      <w:lvlJc w:val="left"/>
      <w:pPr>
        <w:ind w:left="4320" w:hanging="360"/>
      </w:pPr>
      <w:rPr>
        <w:rFonts w:ascii="Wingdings" w:hAnsi="Wingdings" w:hint="default"/>
      </w:rPr>
    </w:lvl>
    <w:lvl w:ilvl="6" w:tplc="9C6C41A8" w:tentative="1">
      <w:start w:val="1"/>
      <w:numFmt w:val="bullet"/>
      <w:lvlText w:val=""/>
      <w:lvlJc w:val="left"/>
      <w:pPr>
        <w:ind w:left="5040" w:hanging="360"/>
      </w:pPr>
      <w:rPr>
        <w:rFonts w:ascii="Symbol" w:hAnsi="Symbol" w:hint="default"/>
      </w:rPr>
    </w:lvl>
    <w:lvl w:ilvl="7" w:tplc="158AC674" w:tentative="1">
      <w:start w:val="1"/>
      <w:numFmt w:val="bullet"/>
      <w:lvlText w:val="o"/>
      <w:lvlJc w:val="left"/>
      <w:pPr>
        <w:ind w:left="5760" w:hanging="360"/>
      </w:pPr>
      <w:rPr>
        <w:rFonts w:ascii="Courier New" w:hAnsi="Courier New" w:cs="Courier New" w:hint="default"/>
      </w:rPr>
    </w:lvl>
    <w:lvl w:ilvl="8" w:tplc="FCA6F60A"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hdrShapeDefaults>
    <o:shapedefaults v:ext="edit" spidmax="3074"/>
    <o:shapelayout v:ext="edit">
      <o:idmap v:ext="edit" data="2"/>
    </o:shapelayout>
  </w:hdrShapeDefaults>
  <w:footnotePr>
    <w:footnote w:id="0"/>
    <w:footnote w:id="1"/>
  </w:footnotePr>
  <w:endnotePr>
    <w:endnote w:id="0"/>
    <w:endnote w:id="1"/>
  </w:endnotePr>
  <w:compat/>
  <w:rsids>
    <w:rsidRoot w:val="00BD0F39"/>
    <w:rsid w:val="00112017"/>
    <w:rsid w:val="00124426"/>
    <w:rsid w:val="00227D77"/>
    <w:rsid w:val="002463F0"/>
    <w:rsid w:val="00413A9A"/>
    <w:rsid w:val="00463482"/>
    <w:rsid w:val="00464F8B"/>
    <w:rsid w:val="00491FA4"/>
    <w:rsid w:val="005B2606"/>
    <w:rsid w:val="005C27FB"/>
    <w:rsid w:val="005C5BB0"/>
    <w:rsid w:val="00632237"/>
    <w:rsid w:val="006E4BBA"/>
    <w:rsid w:val="006F4117"/>
    <w:rsid w:val="00777FE7"/>
    <w:rsid w:val="007D5730"/>
    <w:rsid w:val="00834F5C"/>
    <w:rsid w:val="0083705C"/>
    <w:rsid w:val="008F2BA6"/>
    <w:rsid w:val="0098253C"/>
    <w:rsid w:val="00A43448"/>
    <w:rsid w:val="00A451F2"/>
    <w:rsid w:val="00A974C5"/>
    <w:rsid w:val="00AC0714"/>
    <w:rsid w:val="00B53F8A"/>
    <w:rsid w:val="00B8349A"/>
    <w:rsid w:val="00BA18A7"/>
    <w:rsid w:val="00BD0F39"/>
    <w:rsid w:val="00CE1DEA"/>
    <w:rsid w:val="00D57CBA"/>
    <w:rsid w:val="00D921F0"/>
    <w:rsid w:val="00DA6476"/>
    <w:rsid w:val="00DB5506"/>
    <w:rsid w:val="00DF6760"/>
    <w:rsid w:val="00E70608"/>
    <w:rsid w:val="00E73DD8"/>
    <w:rsid w:val="00E7712F"/>
    <w:rsid w:val="00EA5E21"/>
    <w:rsid w:val="00EF7CEB"/>
    <w:rsid w:val="00F8188D"/>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D0F39"/>
    <w:pPr>
      <w:spacing w:line="480" w:lineRule="auto"/>
      <w:jc w:val="both"/>
    </w:pPr>
    <w:rPr>
      <w:rFonts w:ascii="Times New Roman" w:hAnsi="Times New Roman"/>
      <w:sz w:val="24"/>
    </w:rPr>
  </w:style>
  <w:style w:type="paragraph" w:styleId="1">
    <w:name w:val="heading 1"/>
    <w:basedOn w:val="a"/>
    <w:next w:val="a"/>
    <w:link w:val="10"/>
    <w:uiPriority w:val="9"/>
    <w:qFormat/>
    <w:rsid w:val="00BD0F39"/>
    <w:pPr>
      <w:keepNext/>
      <w:keepLines/>
      <w:spacing w:before="240" w:after="0"/>
      <w:outlineLvl w:val="0"/>
    </w:pPr>
    <w:rPr>
      <w:rFonts w:eastAsiaTheme="majorEastAsia" w:cstheme="majorBidi"/>
      <w:b/>
      <w:szCs w:val="32"/>
    </w:rPr>
  </w:style>
  <w:style w:type="paragraph" w:styleId="2">
    <w:name w:val="heading 2"/>
    <w:basedOn w:val="a"/>
    <w:next w:val="a"/>
    <w:link w:val="20"/>
    <w:uiPriority w:val="9"/>
    <w:semiHidden/>
    <w:unhideWhenUsed/>
    <w:qFormat/>
    <w:rsid w:val="00BD0F39"/>
    <w:pPr>
      <w:keepNext/>
      <w:keepLines/>
      <w:spacing w:before="40" w:after="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D0F39"/>
    <w:rPr>
      <w:rFonts w:ascii="Times New Roman" w:eastAsiaTheme="majorEastAsia" w:hAnsi="Times New Roman" w:cstheme="majorBidi"/>
      <w:b/>
      <w:sz w:val="24"/>
      <w:szCs w:val="32"/>
    </w:rPr>
  </w:style>
  <w:style w:type="character" w:customStyle="1" w:styleId="20">
    <w:name w:val="Заглавие 2 Знак"/>
    <w:basedOn w:val="a0"/>
    <w:link w:val="2"/>
    <w:uiPriority w:val="9"/>
    <w:semiHidden/>
    <w:rsid w:val="00BD0F39"/>
    <w:rPr>
      <w:rFonts w:ascii="Times New Roman" w:eastAsiaTheme="majorEastAsia" w:hAnsi="Times New Roman" w:cstheme="majorBidi"/>
      <w:b/>
      <w:sz w:val="24"/>
      <w:szCs w:val="26"/>
    </w:rPr>
  </w:style>
  <w:style w:type="paragraph" w:styleId="a3">
    <w:name w:val="No Spacing"/>
    <w:link w:val="a4"/>
    <w:uiPriority w:val="1"/>
    <w:qFormat/>
    <w:rsid w:val="002463F0"/>
    <w:pPr>
      <w:spacing w:after="0" w:line="240" w:lineRule="auto"/>
    </w:pPr>
    <w:rPr>
      <w:rFonts w:eastAsiaTheme="minorEastAsia"/>
      <w:kern w:val="0"/>
      <w:lang w:val="en-US"/>
    </w:rPr>
  </w:style>
  <w:style w:type="character" w:customStyle="1" w:styleId="a4">
    <w:name w:val="Без разредка Знак"/>
    <w:basedOn w:val="a0"/>
    <w:link w:val="a3"/>
    <w:uiPriority w:val="1"/>
    <w:rsid w:val="002463F0"/>
    <w:rPr>
      <w:rFonts w:eastAsiaTheme="minorEastAsia"/>
      <w:kern w:val="0"/>
      <w:lang w:val="en-US"/>
    </w:rPr>
  </w:style>
  <w:style w:type="paragraph" w:styleId="a5">
    <w:name w:val="header"/>
    <w:basedOn w:val="a"/>
    <w:link w:val="a6"/>
    <w:uiPriority w:val="99"/>
    <w:unhideWhenUsed/>
    <w:rsid w:val="002463F0"/>
    <w:pPr>
      <w:tabs>
        <w:tab w:val="center" w:pos="4513"/>
        <w:tab w:val="right" w:pos="9026"/>
      </w:tabs>
      <w:spacing w:after="0" w:line="240" w:lineRule="auto"/>
    </w:pPr>
  </w:style>
  <w:style w:type="character" w:customStyle="1" w:styleId="a6">
    <w:name w:val="Горен колонтитул Знак"/>
    <w:basedOn w:val="a0"/>
    <w:link w:val="a5"/>
    <w:uiPriority w:val="99"/>
    <w:rsid w:val="002463F0"/>
    <w:rPr>
      <w:rFonts w:ascii="Times New Roman" w:hAnsi="Times New Roman"/>
      <w:sz w:val="24"/>
    </w:rPr>
  </w:style>
  <w:style w:type="paragraph" w:styleId="a7">
    <w:name w:val="footer"/>
    <w:basedOn w:val="a"/>
    <w:link w:val="a8"/>
    <w:uiPriority w:val="99"/>
    <w:unhideWhenUsed/>
    <w:rsid w:val="002463F0"/>
    <w:pPr>
      <w:tabs>
        <w:tab w:val="center" w:pos="4513"/>
        <w:tab w:val="right" w:pos="9026"/>
      </w:tabs>
      <w:spacing w:after="0" w:line="240" w:lineRule="auto"/>
    </w:pPr>
  </w:style>
  <w:style w:type="character" w:customStyle="1" w:styleId="a8">
    <w:name w:val="Долен колонтитул Знак"/>
    <w:basedOn w:val="a0"/>
    <w:link w:val="a7"/>
    <w:uiPriority w:val="99"/>
    <w:rsid w:val="002463F0"/>
    <w:rPr>
      <w:rFonts w:ascii="Times New Roman" w:hAnsi="Times New Roman"/>
      <w:sz w:val="24"/>
    </w:rPr>
  </w:style>
  <w:style w:type="paragraph" w:styleId="a9">
    <w:name w:val="List Paragraph"/>
    <w:basedOn w:val="a"/>
    <w:uiPriority w:val="34"/>
    <w:qFormat/>
    <w:rsid w:val="00EF7CEB"/>
    <w:pPr>
      <w:ind w:left="720"/>
      <w:contextualSpacing/>
    </w:pPr>
  </w:style>
  <w:style w:type="character" w:styleId="aa">
    <w:name w:val="Hyperlink"/>
    <w:basedOn w:val="a0"/>
    <w:uiPriority w:val="99"/>
    <w:unhideWhenUsed/>
    <w:rsid w:val="006F4117"/>
    <w:rPr>
      <w:color w:val="0563C1" w:themeColor="hyperlink"/>
      <w:u w:val="single"/>
    </w:rPr>
  </w:style>
  <w:style w:type="character" w:customStyle="1" w:styleId="UnresolvedMention">
    <w:name w:val="Unresolved Mention"/>
    <w:basedOn w:val="a0"/>
    <w:uiPriority w:val="99"/>
    <w:semiHidden/>
    <w:unhideWhenUsed/>
    <w:rsid w:val="006F4117"/>
    <w:rPr>
      <w:color w:val="605E5C"/>
      <w:shd w:val="clear" w:color="auto" w:fill="E1DFDD"/>
    </w:rPr>
  </w:style>
  <w:style w:type="paragraph" w:styleId="ab">
    <w:name w:val="TOC Heading"/>
    <w:basedOn w:val="1"/>
    <w:next w:val="a"/>
    <w:uiPriority w:val="39"/>
    <w:unhideWhenUsed/>
    <w:qFormat/>
    <w:rsid w:val="007D5730"/>
    <w:pPr>
      <w:spacing w:line="259" w:lineRule="auto"/>
      <w:jc w:val="left"/>
      <w:outlineLvl w:val="9"/>
    </w:pPr>
    <w:rPr>
      <w:rFonts w:asciiTheme="majorHAnsi" w:hAnsiTheme="majorHAnsi"/>
      <w:b w:val="0"/>
      <w:color w:val="2F5496" w:themeColor="accent1" w:themeShade="BF"/>
      <w:kern w:val="0"/>
      <w:sz w:val="32"/>
      <w:lang w:val="en-US"/>
    </w:rPr>
  </w:style>
  <w:style w:type="paragraph" w:styleId="11">
    <w:name w:val="toc 1"/>
    <w:basedOn w:val="a"/>
    <w:next w:val="a"/>
    <w:autoRedefine/>
    <w:uiPriority w:val="39"/>
    <w:unhideWhenUsed/>
    <w:rsid w:val="007D5730"/>
    <w:pPr>
      <w:spacing w:after="100"/>
    </w:pPr>
  </w:style>
  <w:style w:type="paragraph" w:styleId="ac">
    <w:name w:val="Balloon Text"/>
    <w:basedOn w:val="a"/>
    <w:link w:val="ad"/>
    <w:uiPriority w:val="99"/>
    <w:semiHidden/>
    <w:unhideWhenUsed/>
    <w:rsid w:val="006E4BBA"/>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6E4BB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hyphenationZone w:val="425"/>
  <w:characterSpacingControl w:val="doNotCompress"/>
  <w:compat>
    <w:useFELayout/>
  </w:compat>
  <w:rsids>
    <w:rsidRoot w:val="005C27FB"/>
    <w:rsid w:val="00176018"/>
    <w:rsid w:val="005C27FB"/>
    <w:rsid w:val="00A102F9"/>
    <w:rsid w:val="00A2777F"/>
    <w:rsid w:val="00A31C2C"/>
    <w:rsid w:val="00DB5506"/>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IN"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76018"/>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A9F5975376F74C628CAD517116B9CB3B">
    <w:name w:val="A9F5975376F74C628CAD517116B9CB3B"/>
    <w:rsid w:val="005C27FB"/>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B3248-6A18-490A-9375-BBF9A37DE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Pages>
  <Words>2759</Words>
  <Characters>15728</Characters>
  <Application>Microsoft Office Word</Application>
  <DocSecurity>0</DocSecurity>
  <Lines>131</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Community Engagement</vt:lpstr>
      <vt:lpstr/>
    </vt:vector>
  </TitlesOfParts>
  <Company/>
  <LinksUpToDate>false</LinksUpToDate>
  <CharactersWithSpaces>18451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dc:subject>
  <dc:creator>Shalomi Mondal</dc:creator>
  <cp:lastModifiedBy>20141009</cp:lastModifiedBy>
  <cp:revision>24</cp:revision>
  <dcterms:created xsi:type="dcterms:W3CDTF">2023-05-09T13:11:00Z</dcterms:created>
  <dcterms:modified xsi:type="dcterms:W3CDTF">2023-05-10T18:15:00Z</dcterms:modified>
</cp:coreProperties>
</file>