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A65112" w14:textId="77777777" w:rsidR="00E24CCE" w:rsidRDefault="00E24CCE" w:rsidP="00EF1527">
      <w:pPr>
        <w:pStyle w:val="Normal1"/>
        <w:spacing w:line="360" w:lineRule="auto"/>
        <w:jc w:val="center"/>
        <w:rPr>
          <w:rFonts w:ascii="Times New Roman" w:eastAsia="Times New Roman" w:hAnsi="Times New Roman" w:cs="Times New Roman"/>
          <w:b/>
          <w:sz w:val="32"/>
          <w:szCs w:val="24"/>
          <w:lang w:val="en-GB"/>
        </w:rPr>
      </w:pPr>
    </w:p>
    <w:p w14:paraId="354AABA5" w14:textId="77777777" w:rsidR="00E24CCE" w:rsidRDefault="00E24CCE" w:rsidP="00EF1527">
      <w:pPr>
        <w:pStyle w:val="Normal1"/>
        <w:spacing w:line="360" w:lineRule="auto"/>
        <w:jc w:val="center"/>
        <w:rPr>
          <w:rFonts w:ascii="Times New Roman" w:eastAsia="Times New Roman" w:hAnsi="Times New Roman" w:cs="Times New Roman"/>
          <w:b/>
          <w:sz w:val="32"/>
          <w:szCs w:val="24"/>
          <w:lang w:val="en-GB"/>
        </w:rPr>
      </w:pPr>
    </w:p>
    <w:p w14:paraId="6045A22A" w14:textId="749EBC55" w:rsidR="00FC2064" w:rsidRDefault="00FC2064" w:rsidP="00EF1527">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UNIVERSITY OF WALES</w:t>
      </w:r>
      <w:r w:rsidR="00D47201">
        <w:rPr>
          <w:rFonts w:ascii="Times New Roman" w:eastAsia="Times New Roman" w:hAnsi="Times New Roman" w:cs="Times New Roman"/>
          <w:b/>
          <w:sz w:val="32"/>
          <w:szCs w:val="24"/>
          <w:lang w:val="en-GB"/>
        </w:rPr>
        <w:t xml:space="preserve"> TRINITY SAINT DAVID</w:t>
      </w:r>
    </w:p>
    <w:p w14:paraId="4AABBEF6" w14:textId="03FEA879" w:rsidR="00D47201" w:rsidRDefault="00B47D92" w:rsidP="00EF1527">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BA(HONS)BUSINESS MANAGEMENT</w:t>
      </w:r>
    </w:p>
    <w:p w14:paraId="4A79B9A7" w14:textId="77777777" w:rsidR="00E24CCE" w:rsidRDefault="00E24CCE" w:rsidP="00EF1527">
      <w:pPr>
        <w:pStyle w:val="Normal1"/>
        <w:spacing w:line="360" w:lineRule="auto"/>
        <w:jc w:val="center"/>
        <w:rPr>
          <w:rFonts w:ascii="Times New Roman" w:eastAsia="Times New Roman" w:hAnsi="Times New Roman" w:cs="Times New Roman"/>
          <w:b/>
          <w:sz w:val="32"/>
          <w:szCs w:val="24"/>
          <w:lang w:val="en-GB"/>
        </w:rPr>
      </w:pPr>
    </w:p>
    <w:p w14:paraId="72E88950" w14:textId="77777777" w:rsidR="00E24CCE" w:rsidRDefault="00E24CCE" w:rsidP="00E2282B">
      <w:pPr>
        <w:pStyle w:val="Normal1"/>
        <w:spacing w:line="360" w:lineRule="auto"/>
        <w:rPr>
          <w:rFonts w:ascii="Times New Roman" w:eastAsia="Times New Roman" w:hAnsi="Times New Roman" w:cs="Times New Roman"/>
          <w:b/>
          <w:sz w:val="32"/>
          <w:szCs w:val="24"/>
          <w:lang w:val="en-GB"/>
        </w:rPr>
      </w:pPr>
    </w:p>
    <w:p w14:paraId="2F92236F" w14:textId="3AD4059F" w:rsidR="00EE4612" w:rsidRPr="00170191" w:rsidRDefault="00EF1527" w:rsidP="00EF1527">
      <w:pPr>
        <w:pStyle w:val="Normal1"/>
        <w:spacing w:line="360" w:lineRule="auto"/>
        <w:jc w:val="center"/>
        <w:rPr>
          <w:rFonts w:ascii="Times New Roman" w:eastAsia="Times New Roman" w:hAnsi="Times New Roman" w:cs="Times New Roman"/>
          <w:b/>
          <w:sz w:val="32"/>
          <w:szCs w:val="24"/>
          <w:lang w:val="en-GB"/>
        </w:rPr>
      </w:pPr>
      <w:r w:rsidRPr="00170191">
        <w:rPr>
          <w:rFonts w:ascii="Times New Roman" w:eastAsia="Times New Roman" w:hAnsi="Times New Roman" w:cs="Times New Roman"/>
          <w:b/>
          <w:sz w:val="32"/>
          <w:szCs w:val="24"/>
          <w:lang w:val="en-GB"/>
        </w:rPr>
        <w:t>ACCOUNTING FUNDAMENTALS</w:t>
      </w:r>
    </w:p>
    <w:p w14:paraId="14662B39" w14:textId="77777777" w:rsidR="00170191" w:rsidRDefault="00EF1527" w:rsidP="00EF1527">
      <w:pPr>
        <w:pStyle w:val="Normal1"/>
        <w:spacing w:line="360" w:lineRule="auto"/>
        <w:jc w:val="center"/>
        <w:rPr>
          <w:rFonts w:ascii="Times New Roman" w:eastAsia="Times New Roman" w:hAnsi="Times New Roman" w:cs="Times New Roman"/>
          <w:b/>
          <w:sz w:val="32"/>
          <w:szCs w:val="24"/>
          <w:lang w:val="en-GB"/>
        </w:rPr>
      </w:pPr>
      <w:r w:rsidRPr="00170191">
        <w:rPr>
          <w:rFonts w:ascii="Times New Roman" w:eastAsia="Times New Roman" w:hAnsi="Times New Roman" w:cs="Times New Roman"/>
          <w:b/>
          <w:sz w:val="32"/>
          <w:szCs w:val="24"/>
          <w:lang w:val="en-GB"/>
        </w:rPr>
        <w:t>ASSIGNMENT- A1</w:t>
      </w:r>
    </w:p>
    <w:p w14:paraId="4A5119C2" w14:textId="76101958" w:rsidR="00054D86" w:rsidRDefault="00054D86" w:rsidP="00EF1527">
      <w:pPr>
        <w:pStyle w:val="Normal1"/>
        <w:spacing w:line="360" w:lineRule="auto"/>
        <w:jc w:val="center"/>
        <w:rPr>
          <w:rFonts w:ascii="Times New Roman" w:eastAsia="Times New Roman" w:hAnsi="Times New Roman" w:cs="Times New Roman"/>
          <w:b/>
          <w:sz w:val="32"/>
          <w:szCs w:val="24"/>
          <w:lang w:val="en-GB"/>
        </w:rPr>
      </w:pPr>
      <w:proofErr w:type="gramStart"/>
      <w:r>
        <w:rPr>
          <w:rFonts w:ascii="Times New Roman" w:eastAsia="Times New Roman" w:hAnsi="Times New Roman" w:cs="Times New Roman"/>
          <w:b/>
          <w:sz w:val="32"/>
          <w:szCs w:val="24"/>
          <w:lang w:val="en-GB"/>
        </w:rPr>
        <w:t>LECTURER:THOMAS</w:t>
      </w:r>
      <w:proofErr w:type="gramEnd"/>
      <w:r>
        <w:rPr>
          <w:rFonts w:ascii="Times New Roman" w:eastAsia="Times New Roman" w:hAnsi="Times New Roman" w:cs="Times New Roman"/>
          <w:b/>
          <w:sz w:val="32"/>
          <w:szCs w:val="24"/>
          <w:lang w:val="en-GB"/>
        </w:rPr>
        <w:t xml:space="preserve"> ADE</w:t>
      </w:r>
      <w:r w:rsidR="00B34D60">
        <w:rPr>
          <w:rFonts w:ascii="Times New Roman" w:eastAsia="Times New Roman" w:hAnsi="Times New Roman" w:cs="Times New Roman"/>
          <w:b/>
          <w:sz w:val="32"/>
          <w:szCs w:val="24"/>
          <w:lang w:val="en-GB"/>
        </w:rPr>
        <w:t>YEMI</w:t>
      </w:r>
    </w:p>
    <w:p w14:paraId="1000E69B" w14:textId="3B9D9866" w:rsidR="00B34D60" w:rsidRDefault="00B34D60" w:rsidP="00EF1527">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 xml:space="preserve">STUDENT </w:t>
      </w:r>
      <w:proofErr w:type="gramStart"/>
      <w:r>
        <w:rPr>
          <w:rFonts w:ascii="Times New Roman" w:eastAsia="Times New Roman" w:hAnsi="Times New Roman" w:cs="Times New Roman"/>
          <w:b/>
          <w:sz w:val="32"/>
          <w:szCs w:val="24"/>
          <w:lang w:val="en-GB"/>
        </w:rPr>
        <w:t>NAME:OVIDIU</w:t>
      </w:r>
      <w:proofErr w:type="gramEnd"/>
      <w:r>
        <w:rPr>
          <w:rFonts w:ascii="Times New Roman" w:eastAsia="Times New Roman" w:hAnsi="Times New Roman" w:cs="Times New Roman"/>
          <w:b/>
          <w:sz w:val="32"/>
          <w:szCs w:val="24"/>
          <w:lang w:val="en-GB"/>
        </w:rPr>
        <w:t xml:space="preserve"> MURESAN</w:t>
      </w:r>
    </w:p>
    <w:p w14:paraId="33591E7E" w14:textId="41F1964E" w:rsidR="00B34D60" w:rsidRDefault="00B116F9" w:rsidP="00EF1527">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ID:2131059</w:t>
      </w:r>
    </w:p>
    <w:p w14:paraId="265EDB92" w14:textId="4F40D7CA" w:rsidR="00B116F9" w:rsidRDefault="00B116F9" w:rsidP="00EF1527">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SUBMISSION:</w:t>
      </w:r>
      <w:r w:rsidR="00FC2064">
        <w:rPr>
          <w:rFonts w:ascii="Times New Roman" w:eastAsia="Times New Roman" w:hAnsi="Times New Roman" w:cs="Times New Roman"/>
          <w:b/>
          <w:sz w:val="32"/>
          <w:szCs w:val="24"/>
          <w:lang w:val="en-GB"/>
        </w:rPr>
        <w:t>07.05.2023</w:t>
      </w:r>
    </w:p>
    <w:p w14:paraId="2E94F1A4" w14:textId="77777777" w:rsidR="00170191" w:rsidRDefault="00170191">
      <w:pP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br w:type="page"/>
      </w:r>
    </w:p>
    <w:sdt>
      <w:sdtPr>
        <w:rPr>
          <w:rFonts w:ascii="Times New Roman" w:eastAsia="Arial" w:hAnsi="Times New Roman" w:cs="Times New Roman"/>
          <w:b w:val="0"/>
          <w:bCs w:val="0"/>
          <w:color w:val="auto"/>
          <w:sz w:val="24"/>
          <w:szCs w:val="24"/>
        </w:rPr>
        <w:id w:val="11409213"/>
        <w:docPartObj>
          <w:docPartGallery w:val="Table of Contents"/>
          <w:docPartUnique/>
        </w:docPartObj>
      </w:sdtPr>
      <w:sdtContent>
        <w:p w14:paraId="2306E271" w14:textId="77777777" w:rsidR="00170191" w:rsidRPr="00170191" w:rsidRDefault="00170191" w:rsidP="00170191">
          <w:pPr>
            <w:pStyle w:val="TOCHeading"/>
            <w:spacing w:line="360" w:lineRule="auto"/>
            <w:jc w:val="center"/>
            <w:rPr>
              <w:rFonts w:ascii="Times New Roman" w:hAnsi="Times New Roman" w:cs="Times New Roman"/>
              <w:color w:val="auto"/>
              <w:sz w:val="24"/>
              <w:szCs w:val="24"/>
            </w:rPr>
          </w:pPr>
          <w:r w:rsidRPr="00170191">
            <w:rPr>
              <w:rFonts w:ascii="Times New Roman" w:hAnsi="Times New Roman" w:cs="Times New Roman"/>
              <w:color w:val="auto"/>
              <w:sz w:val="24"/>
              <w:szCs w:val="24"/>
            </w:rPr>
            <w:t>Table of Contents</w:t>
          </w:r>
        </w:p>
        <w:p w14:paraId="5A29D5ED" w14:textId="77777777" w:rsidR="00170191" w:rsidRPr="00170191" w:rsidRDefault="00170191" w:rsidP="00170191">
          <w:pPr>
            <w:pStyle w:val="TOC1"/>
            <w:tabs>
              <w:tab w:val="right" w:leader="dot" w:pos="9350"/>
            </w:tabs>
            <w:spacing w:line="360" w:lineRule="auto"/>
            <w:jc w:val="center"/>
            <w:rPr>
              <w:rFonts w:ascii="Times New Roman" w:hAnsi="Times New Roman" w:cs="Times New Roman"/>
              <w:noProof/>
              <w:sz w:val="24"/>
              <w:szCs w:val="24"/>
            </w:rPr>
          </w:pPr>
          <w:r w:rsidRPr="00170191">
            <w:rPr>
              <w:rFonts w:ascii="Times New Roman" w:hAnsi="Times New Roman" w:cs="Times New Roman"/>
              <w:sz w:val="24"/>
              <w:szCs w:val="24"/>
            </w:rPr>
            <w:fldChar w:fldCharType="begin"/>
          </w:r>
          <w:r w:rsidRPr="00170191">
            <w:rPr>
              <w:rFonts w:ascii="Times New Roman" w:hAnsi="Times New Roman" w:cs="Times New Roman"/>
              <w:sz w:val="24"/>
              <w:szCs w:val="24"/>
            </w:rPr>
            <w:instrText xml:space="preserve"> TOC \o "1-3" \h \z \u </w:instrText>
          </w:r>
          <w:r w:rsidRPr="00170191">
            <w:rPr>
              <w:rFonts w:ascii="Times New Roman" w:hAnsi="Times New Roman" w:cs="Times New Roman"/>
              <w:sz w:val="24"/>
              <w:szCs w:val="24"/>
            </w:rPr>
            <w:fldChar w:fldCharType="separate"/>
          </w:r>
          <w:hyperlink w:anchor="_Toc129687882" w:history="1">
            <w:r w:rsidRPr="00170191">
              <w:rPr>
                <w:rStyle w:val="Hyperlink"/>
                <w:rFonts w:ascii="Times New Roman" w:hAnsi="Times New Roman" w:cs="Times New Roman"/>
                <w:noProof/>
                <w:color w:val="auto"/>
                <w:sz w:val="24"/>
                <w:szCs w:val="24"/>
              </w:rPr>
              <w:t>Question 1</w:t>
            </w:r>
            <w:r w:rsidRPr="00170191">
              <w:rPr>
                <w:rFonts w:ascii="Times New Roman" w:hAnsi="Times New Roman" w:cs="Times New Roman"/>
                <w:noProof/>
                <w:webHidden/>
                <w:sz w:val="24"/>
                <w:szCs w:val="24"/>
              </w:rPr>
              <w:tab/>
            </w:r>
            <w:r w:rsidRPr="00170191">
              <w:rPr>
                <w:rFonts w:ascii="Times New Roman" w:hAnsi="Times New Roman" w:cs="Times New Roman"/>
                <w:noProof/>
                <w:webHidden/>
                <w:sz w:val="24"/>
                <w:szCs w:val="24"/>
              </w:rPr>
              <w:fldChar w:fldCharType="begin"/>
            </w:r>
            <w:r w:rsidRPr="00170191">
              <w:rPr>
                <w:rFonts w:ascii="Times New Roman" w:hAnsi="Times New Roman" w:cs="Times New Roman"/>
                <w:noProof/>
                <w:webHidden/>
                <w:sz w:val="24"/>
                <w:szCs w:val="24"/>
              </w:rPr>
              <w:instrText xml:space="preserve"> PAGEREF _Toc129687882 \h </w:instrText>
            </w:r>
            <w:r w:rsidRPr="00170191">
              <w:rPr>
                <w:rFonts w:ascii="Times New Roman" w:hAnsi="Times New Roman" w:cs="Times New Roman"/>
                <w:noProof/>
                <w:webHidden/>
                <w:sz w:val="24"/>
                <w:szCs w:val="24"/>
              </w:rPr>
            </w:r>
            <w:r w:rsidRPr="00170191">
              <w:rPr>
                <w:rFonts w:ascii="Times New Roman" w:hAnsi="Times New Roman" w:cs="Times New Roman"/>
                <w:noProof/>
                <w:webHidden/>
                <w:sz w:val="24"/>
                <w:szCs w:val="24"/>
              </w:rPr>
              <w:fldChar w:fldCharType="separate"/>
            </w:r>
            <w:r w:rsidRPr="00170191">
              <w:rPr>
                <w:rFonts w:ascii="Times New Roman" w:hAnsi="Times New Roman" w:cs="Times New Roman"/>
                <w:noProof/>
                <w:webHidden/>
                <w:sz w:val="24"/>
                <w:szCs w:val="24"/>
              </w:rPr>
              <w:t>3</w:t>
            </w:r>
            <w:r w:rsidRPr="00170191">
              <w:rPr>
                <w:rFonts w:ascii="Times New Roman" w:hAnsi="Times New Roman" w:cs="Times New Roman"/>
                <w:noProof/>
                <w:webHidden/>
                <w:sz w:val="24"/>
                <w:szCs w:val="24"/>
              </w:rPr>
              <w:fldChar w:fldCharType="end"/>
            </w:r>
          </w:hyperlink>
        </w:p>
        <w:p w14:paraId="1200CCE0" w14:textId="77777777" w:rsidR="00170191" w:rsidRPr="00170191" w:rsidRDefault="00000000" w:rsidP="00170191">
          <w:pPr>
            <w:pStyle w:val="TOC1"/>
            <w:tabs>
              <w:tab w:val="right" w:leader="dot" w:pos="9350"/>
            </w:tabs>
            <w:spacing w:line="360" w:lineRule="auto"/>
            <w:jc w:val="center"/>
            <w:rPr>
              <w:rFonts w:ascii="Times New Roman" w:hAnsi="Times New Roman" w:cs="Times New Roman"/>
              <w:noProof/>
              <w:sz w:val="24"/>
              <w:szCs w:val="24"/>
            </w:rPr>
          </w:pPr>
          <w:hyperlink w:anchor="_Toc129687883" w:history="1">
            <w:r w:rsidR="00170191" w:rsidRPr="00170191">
              <w:rPr>
                <w:rStyle w:val="Hyperlink"/>
                <w:rFonts w:ascii="Times New Roman" w:hAnsi="Times New Roman" w:cs="Times New Roman"/>
                <w:noProof/>
                <w:color w:val="auto"/>
                <w:sz w:val="24"/>
                <w:szCs w:val="24"/>
              </w:rPr>
              <w:t>Question 2</w:t>
            </w:r>
            <w:r w:rsidR="00170191" w:rsidRPr="00170191">
              <w:rPr>
                <w:rFonts w:ascii="Times New Roman" w:hAnsi="Times New Roman" w:cs="Times New Roman"/>
                <w:noProof/>
                <w:webHidden/>
                <w:sz w:val="24"/>
                <w:szCs w:val="24"/>
              </w:rPr>
              <w:tab/>
            </w:r>
            <w:r w:rsidR="00170191" w:rsidRPr="00170191">
              <w:rPr>
                <w:rFonts w:ascii="Times New Roman" w:hAnsi="Times New Roman" w:cs="Times New Roman"/>
                <w:noProof/>
                <w:webHidden/>
                <w:sz w:val="24"/>
                <w:szCs w:val="24"/>
              </w:rPr>
              <w:fldChar w:fldCharType="begin"/>
            </w:r>
            <w:r w:rsidR="00170191" w:rsidRPr="00170191">
              <w:rPr>
                <w:rFonts w:ascii="Times New Roman" w:hAnsi="Times New Roman" w:cs="Times New Roman"/>
                <w:noProof/>
                <w:webHidden/>
                <w:sz w:val="24"/>
                <w:szCs w:val="24"/>
              </w:rPr>
              <w:instrText xml:space="preserve"> PAGEREF _Toc129687883 \h </w:instrText>
            </w:r>
            <w:r w:rsidR="00170191" w:rsidRPr="00170191">
              <w:rPr>
                <w:rFonts w:ascii="Times New Roman" w:hAnsi="Times New Roman" w:cs="Times New Roman"/>
                <w:noProof/>
                <w:webHidden/>
                <w:sz w:val="24"/>
                <w:szCs w:val="24"/>
              </w:rPr>
            </w:r>
            <w:r w:rsidR="00170191" w:rsidRPr="00170191">
              <w:rPr>
                <w:rFonts w:ascii="Times New Roman" w:hAnsi="Times New Roman" w:cs="Times New Roman"/>
                <w:noProof/>
                <w:webHidden/>
                <w:sz w:val="24"/>
                <w:szCs w:val="24"/>
              </w:rPr>
              <w:fldChar w:fldCharType="separate"/>
            </w:r>
            <w:r w:rsidR="00170191" w:rsidRPr="00170191">
              <w:rPr>
                <w:rFonts w:ascii="Times New Roman" w:hAnsi="Times New Roman" w:cs="Times New Roman"/>
                <w:noProof/>
                <w:webHidden/>
                <w:sz w:val="24"/>
                <w:szCs w:val="24"/>
              </w:rPr>
              <w:t>6</w:t>
            </w:r>
            <w:r w:rsidR="00170191" w:rsidRPr="00170191">
              <w:rPr>
                <w:rFonts w:ascii="Times New Roman" w:hAnsi="Times New Roman" w:cs="Times New Roman"/>
                <w:noProof/>
                <w:webHidden/>
                <w:sz w:val="24"/>
                <w:szCs w:val="24"/>
              </w:rPr>
              <w:fldChar w:fldCharType="end"/>
            </w:r>
          </w:hyperlink>
        </w:p>
        <w:p w14:paraId="43C076CE" w14:textId="77777777" w:rsidR="00170191" w:rsidRPr="00170191" w:rsidRDefault="00000000" w:rsidP="00170191">
          <w:pPr>
            <w:pStyle w:val="TOC1"/>
            <w:tabs>
              <w:tab w:val="right" w:leader="dot" w:pos="9350"/>
            </w:tabs>
            <w:spacing w:line="360" w:lineRule="auto"/>
            <w:jc w:val="center"/>
            <w:rPr>
              <w:rFonts w:ascii="Times New Roman" w:hAnsi="Times New Roman" w:cs="Times New Roman"/>
              <w:noProof/>
              <w:sz w:val="24"/>
              <w:szCs w:val="24"/>
            </w:rPr>
          </w:pPr>
          <w:hyperlink w:anchor="_Toc129687884" w:history="1">
            <w:r w:rsidR="00170191" w:rsidRPr="00170191">
              <w:rPr>
                <w:rStyle w:val="Hyperlink"/>
                <w:rFonts w:ascii="Times New Roman" w:hAnsi="Times New Roman" w:cs="Times New Roman"/>
                <w:noProof/>
                <w:color w:val="auto"/>
                <w:sz w:val="24"/>
                <w:szCs w:val="24"/>
              </w:rPr>
              <w:t>Reference list</w:t>
            </w:r>
            <w:r w:rsidR="00170191" w:rsidRPr="00170191">
              <w:rPr>
                <w:rFonts w:ascii="Times New Roman" w:hAnsi="Times New Roman" w:cs="Times New Roman"/>
                <w:noProof/>
                <w:webHidden/>
                <w:sz w:val="24"/>
                <w:szCs w:val="24"/>
              </w:rPr>
              <w:tab/>
            </w:r>
            <w:r w:rsidR="00170191" w:rsidRPr="00170191">
              <w:rPr>
                <w:rFonts w:ascii="Times New Roman" w:hAnsi="Times New Roman" w:cs="Times New Roman"/>
                <w:noProof/>
                <w:webHidden/>
                <w:sz w:val="24"/>
                <w:szCs w:val="24"/>
              </w:rPr>
              <w:fldChar w:fldCharType="begin"/>
            </w:r>
            <w:r w:rsidR="00170191" w:rsidRPr="00170191">
              <w:rPr>
                <w:rFonts w:ascii="Times New Roman" w:hAnsi="Times New Roman" w:cs="Times New Roman"/>
                <w:noProof/>
                <w:webHidden/>
                <w:sz w:val="24"/>
                <w:szCs w:val="24"/>
              </w:rPr>
              <w:instrText xml:space="preserve"> PAGEREF _Toc129687884 \h </w:instrText>
            </w:r>
            <w:r w:rsidR="00170191" w:rsidRPr="00170191">
              <w:rPr>
                <w:rFonts w:ascii="Times New Roman" w:hAnsi="Times New Roman" w:cs="Times New Roman"/>
                <w:noProof/>
                <w:webHidden/>
                <w:sz w:val="24"/>
                <w:szCs w:val="24"/>
              </w:rPr>
            </w:r>
            <w:r w:rsidR="00170191" w:rsidRPr="00170191">
              <w:rPr>
                <w:rFonts w:ascii="Times New Roman" w:hAnsi="Times New Roman" w:cs="Times New Roman"/>
                <w:noProof/>
                <w:webHidden/>
                <w:sz w:val="24"/>
                <w:szCs w:val="24"/>
              </w:rPr>
              <w:fldChar w:fldCharType="separate"/>
            </w:r>
            <w:r w:rsidR="00170191" w:rsidRPr="00170191">
              <w:rPr>
                <w:rFonts w:ascii="Times New Roman" w:hAnsi="Times New Roman" w:cs="Times New Roman"/>
                <w:noProof/>
                <w:webHidden/>
                <w:sz w:val="24"/>
                <w:szCs w:val="24"/>
              </w:rPr>
              <w:t>14</w:t>
            </w:r>
            <w:r w:rsidR="00170191" w:rsidRPr="00170191">
              <w:rPr>
                <w:rFonts w:ascii="Times New Roman" w:hAnsi="Times New Roman" w:cs="Times New Roman"/>
                <w:noProof/>
                <w:webHidden/>
                <w:sz w:val="24"/>
                <w:szCs w:val="24"/>
              </w:rPr>
              <w:fldChar w:fldCharType="end"/>
            </w:r>
          </w:hyperlink>
        </w:p>
        <w:p w14:paraId="499A96F9" w14:textId="77777777" w:rsidR="00170191" w:rsidRPr="00170191" w:rsidRDefault="00170191" w:rsidP="00170191">
          <w:pPr>
            <w:spacing w:line="360" w:lineRule="auto"/>
            <w:jc w:val="center"/>
            <w:rPr>
              <w:rFonts w:ascii="Times New Roman" w:hAnsi="Times New Roman" w:cs="Times New Roman"/>
              <w:sz w:val="24"/>
              <w:szCs w:val="24"/>
            </w:rPr>
          </w:pPr>
          <w:r w:rsidRPr="00170191">
            <w:rPr>
              <w:rFonts w:ascii="Times New Roman" w:hAnsi="Times New Roman" w:cs="Times New Roman"/>
              <w:sz w:val="24"/>
              <w:szCs w:val="24"/>
            </w:rPr>
            <w:fldChar w:fldCharType="end"/>
          </w:r>
        </w:p>
      </w:sdtContent>
    </w:sdt>
    <w:p w14:paraId="4A9EBC00" w14:textId="77777777" w:rsidR="00EE4612" w:rsidRPr="00170191" w:rsidRDefault="005D7182" w:rsidP="00EF1527">
      <w:pPr>
        <w:pStyle w:val="Normal1"/>
        <w:spacing w:line="360" w:lineRule="auto"/>
        <w:jc w:val="center"/>
        <w:rPr>
          <w:rFonts w:ascii="Times New Roman" w:eastAsia="Times New Roman" w:hAnsi="Times New Roman" w:cs="Times New Roman"/>
          <w:sz w:val="24"/>
          <w:szCs w:val="24"/>
          <w:lang w:val="en-GB"/>
        </w:rPr>
      </w:pPr>
      <w:r w:rsidRPr="00170191">
        <w:rPr>
          <w:lang w:val="en-GB"/>
        </w:rPr>
        <w:br w:type="page"/>
      </w:r>
    </w:p>
    <w:p w14:paraId="469F3B45" w14:textId="77777777" w:rsidR="00EE4612" w:rsidRPr="00170191" w:rsidRDefault="005D7182" w:rsidP="00170191">
      <w:pPr>
        <w:pStyle w:val="Heading1"/>
      </w:pPr>
      <w:bookmarkStart w:id="0" w:name="_Toc129687882"/>
      <w:r w:rsidRPr="00170191">
        <w:lastRenderedPageBreak/>
        <w:t>Question 1</w:t>
      </w:r>
      <w:bookmarkEnd w:id="0"/>
    </w:p>
    <w:p w14:paraId="65B195CA" w14:textId="77777777" w:rsidR="00EE4612" w:rsidRPr="00170191" w:rsidRDefault="00EF1527" w:rsidP="00EF1527">
      <w:pPr>
        <w:pStyle w:val="Normal1"/>
        <w:numPr>
          <w:ilvl w:val="0"/>
          <w:numId w:val="1"/>
        </w:numPr>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I</w:t>
      </w:r>
      <w:r w:rsidR="005D7182" w:rsidRPr="00170191">
        <w:rPr>
          <w:rFonts w:ascii="Times New Roman" w:eastAsia="Times New Roman" w:hAnsi="Times New Roman" w:cs="Times New Roman"/>
          <w:b/>
          <w:sz w:val="24"/>
          <w:szCs w:val="24"/>
          <w:lang w:val="en-GB"/>
        </w:rPr>
        <w:t>ncome statement and the financial position</w:t>
      </w:r>
      <w:r w:rsidRPr="00170191">
        <w:rPr>
          <w:rFonts w:ascii="Times New Roman" w:eastAsia="Times New Roman" w:hAnsi="Times New Roman" w:cs="Times New Roman"/>
          <w:b/>
          <w:sz w:val="24"/>
          <w:szCs w:val="24"/>
          <w:lang w:val="en-GB"/>
        </w:rPr>
        <w:t xml:space="preserve"> </w:t>
      </w:r>
      <w:r w:rsidR="003966AC" w:rsidRPr="00170191">
        <w:rPr>
          <w:rFonts w:ascii="Times New Roman" w:eastAsia="Times New Roman" w:hAnsi="Times New Roman" w:cs="Times New Roman"/>
          <w:b/>
          <w:sz w:val="24"/>
          <w:szCs w:val="24"/>
          <w:lang w:val="en-GB"/>
        </w:rPr>
        <w:t>statement</w:t>
      </w:r>
    </w:p>
    <w:tbl>
      <w:tblPr>
        <w:tblStyle w:val="Table1"/>
        <w:tblW w:w="5000" w:type="pct"/>
        <w:tblInd w:w="0" w:type="dxa"/>
        <w:tblBorders>
          <w:top w:val="nil"/>
          <w:left w:val="nil"/>
          <w:bottom w:val="nil"/>
          <w:right w:val="nil"/>
          <w:insideH w:val="nil"/>
          <w:insideV w:val="nil"/>
        </w:tblBorders>
        <w:tblLook w:val="0600" w:firstRow="0" w:lastRow="0" w:firstColumn="0" w:lastColumn="0" w:noHBand="1" w:noVBand="1"/>
      </w:tblPr>
      <w:tblGrid>
        <w:gridCol w:w="5446"/>
        <w:gridCol w:w="1947"/>
        <w:gridCol w:w="1949"/>
      </w:tblGrid>
      <w:tr w:rsidR="00EE4612" w:rsidRPr="00170191" w14:paraId="004F8ACB" w14:textId="77777777" w:rsidTr="00170191">
        <w:trPr>
          <w:cantSplit/>
          <w:trHeight w:val="575"/>
          <w:tblHeader/>
        </w:trPr>
        <w:tc>
          <w:tcPr>
            <w:tcW w:w="5000" w:type="pct"/>
            <w:gridSpan w:val="3"/>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vAlign w:val="bottom"/>
          </w:tcPr>
          <w:p w14:paraId="68CC4A69" w14:textId="77777777" w:rsidR="00EE4612" w:rsidRPr="00170191" w:rsidRDefault="005D7182">
            <w:pPr>
              <w:pStyle w:val="Normal1"/>
              <w:spacing w:before="240" w:line="360" w:lineRule="auto"/>
              <w:jc w:val="center"/>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lastRenderedPageBreak/>
              <w:t>Income statement of Wales PLC</w:t>
            </w:r>
          </w:p>
        </w:tc>
      </w:tr>
      <w:tr w:rsidR="00EE4612" w:rsidRPr="00170191" w14:paraId="4FDCA04A" w14:textId="77777777" w:rsidTr="00170191">
        <w:trPr>
          <w:cantSplit/>
          <w:trHeight w:val="575"/>
          <w:tblHeader/>
        </w:trPr>
        <w:tc>
          <w:tcPr>
            <w:tcW w:w="5000" w:type="pct"/>
            <w:gridSpan w:val="3"/>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068C4FC3" w14:textId="77777777" w:rsidR="00EE4612" w:rsidRPr="00170191" w:rsidRDefault="005D7182">
            <w:pPr>
              <w:pStyle w:val="Normal1"/>
              <w:spacing w:before="240" w:line="360" w:lineRule="auto"/>
              <w:jc w:val="center"/>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 xml:space="preserve">As of </w:t>
            </w:r>
            <w:proofErr w:type="gramStart"/>
            <w:r w:rsidRPr="00170191">
              <w:rPr>
                <w:rFonts w:ascii="Times New Roman" w:eastAsia="Times New Roman" w:hAnsi="Times New Roman" w:cs="Times New Roman"/>
                <w:b/>
                <w:sz w:val="24"/>
                <w:szCs w:val="24"/>
                <w:lang w:val="en-GB"/>
              </w:rPr>
              <w:t>31st Dec 2022</w:t>
            </w:r>
            <w:proofErr w:type="gramEnd"/>
          </w:p>
        </w:tc>
      </w:tr>
      <w:tr w:rsidR="00EE4612" w:rsidRPr="00170191" w14:paraId="09338CD9"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DFE24C9"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Particulars</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9D62E46"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Amount</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8BA2BEB"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Amount</w:t>
            </w:r>
          </w:p>
        </w:tc>
      </w:tr>
      <w:tr w:rsidR="00EE4612" w:rsidRPr="00170191" w14:paraId="689FCE9E"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9AF1655"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Sales</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CF888E0"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800980</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5A7FCF4"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r>
      <w:tr w:rsidR="00EE4612" w:rsidRPr="00170191" w14:paraId="35B875D0"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5C66328"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Cost of sales</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6D6D49E"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578650</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AA77821"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r>
      <w:tr w:rsidR="00EE4612" w:rsidRPr="00170191" w14:paraId="27520ED7"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008C6EA7"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Gross profit</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67DB817"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00BFF68"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222330</w:t>
            </w:r>
          </w:p>
        </w:tc>
      </w:tr>
      <w:tr w:rsidR="00EE4612" w:rsidRPr="00170191" w14:paraId="3E1F2779"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2100601"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Administrative expenses</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BC31B2D"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30000</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6F63369"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r>
      <w:tr w:rsidR="00EE4612" w:rsidRPr="00170191" w14:paraId="39DA2418"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C3A2F1D"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proofErr w:type="gramStart"/>
            <w:r w:rsidRPr="00170191">
              <w:rPr>
                <w:rFonts w:ascii="Times New Roman" w:eastAsia="Times New Roman" w:hAnsi="Times New Roman" w:cs="Times New Roman"/>
                <w:sz w:val="24"/>
                <w:szCs w:val="24"/>
                <w:lang w:val="en-GB"/>
              </w:rPr>
              <w:t>Directors</w:t>
            </w:r>
            <w:proofErr w:type="gramEnd"/>
            <w:r w:rsidRPr="00170191">
              <w:rPr>
                <w:rFonts w:ascii="Times New Roman" w:eastAsia="Times New Roman" w:hAnsi="Times New Roman" w:cs="Times New Roman"/>
                <w:sz w:val="24"/>
                <w:szCs w:val="24"/>
                <w:lang w:val="en-GB"/>
              </w:rPr>
              <w:t xml:space="preserve"> remuneration</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F2E436C"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5000</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CDD88E8"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r>
      <w:tr w:rsidR="00EE4612" w:rsidRPr="00170191" w14:paraId="2A7A561C"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00A77135"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Distribution cost</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2AEB27B"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28000</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301E350"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r>
      <w:tr w:rsidR="00EE4612" w:rsidRPr="00170191" w14:paraId="76A4707E"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32462A8B"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Commission</w:t>
            </w:r>
            <w:r w:rsidR="00EF1527" w:rsidRPr="00170191">
              <w:rPr>
                <w:rFonts w:ascii="Times New Roman" w:eastAsia="Times New Roman" w:hAnsi="Times New Roman" w:cs="Times New Roman"/>
                <w:sz w:val="24"/>
                <w:szCs w:val="24"/>
                <w:lang w:val="en-GB"/>
              </w:rPr>
              <w:t xml:space="preserve"> of Salesman</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8DADD14"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3000</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F602627"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r>
      <w:tr w:rsidR="00EE4612" w:rsidRPr="00170191" w14:paraId="6F99E2D6"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D7C992C"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Operating income</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00CE927"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A59518A"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156330</w:t>
            </w:r>
          </w:p>
        </w:tc>
      </w:tr>
      <w:tr w:rsidR="00EE4612" w:rsidRPr="00170191" w14:paraId="5E2CC58E"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DA0256C"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Ordinary dividend </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3C89FD7"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20000</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2A8BB78"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r>
      <w:tr w:rsidR="00EE4612" w:rsidRPr="00170191" w14:paraId="16B5F4DB"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6A3C60E"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Preference dividend </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3F1EF64"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30000</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3797CCF"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r>
      <w:tr w:rsidR="00EE4612" w:rsidRPr="00170191" w14:paraId="1D910DAF"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D7F3F83"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Interest paid</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5B46924"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2000</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5328124"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r>
      <w:tr w:rsidR="00EE4612" w:rsidRPr="00170191" w14:paraId="3587CE72"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60C6B09D"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Corporation tax</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1726029"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100000</w:t>
            </w: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BDFD8AA"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r>
      <w:tr w:rsidR="00EE4612" w:rsidRPr="00170191" w14:paraId="0A9C0DA2" w14:textId="77777777" w:rsidTr="00170191">
        <w:trPr>
          <w:cantSplit/>
          <w:trHeight w:val="575"/>
          <w:tblHeader/>
        </w:trPr>
        <w:tc>
          <w:tcPr>
            <w:tcW w:w="2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3607B957"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lastRenderedPageBreak/>
              <w:t>Net profit</w:t>
            </w:r>
          </w:p>
        </w:tc>
        <w:tc>
          <w:tcPr>
            <w:tcW w:w="1042"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15E14D9"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04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152A54A"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4330</w:t>
            </w:r>
          </w:p>
        </w:tc>
      </w:tr>
    </w:tbl>
    <w:p w14:paraId="1FC3BC2C"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p w14:paraId="33169FEE" w14:textId="77777777" w:rsidR="00EE4612" w:rsidRPr="00170191" w:rsidRDefault="005D7182">
      <w:pPr>
        <w:pStyle w:val="Normal1"/>
        <w:spacing w:line="360" w:lineRule="auto"/>
        <w:jc w:val="center"/>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 xml:space="preserve">Table 1: Income statement of Wales </w:t>
      </w:r>
      <w:proofErr w:type="spellStart"/>
      <w:r w:rsidRPr="00170191">
        <w:rPr>
          <w:rFonts w:ascii="Times New Roman" w:eastAsia="Times New Roman" w:hAnsi="Times New Roman" w:cs="Times New Roman"/>
          <w:b/>
          <w:sz w:val="24"/>
          <w:szCs w:val="24"/>
          <w:lang w:val="en-GB"/>
        </w:rPr>
        <w:t>PLc</w:t>
      </w:r>
      <w:proofErr w:type="spellEnd"/>
    </w:p>
    <w:p w14:paraId="06022CEE" w14:textId="77777777"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The income statement of Wales PLC </w:t>
      </w:r>
      <w:r w:rsidR="00170191" w:rsidRPr="00170191">
        <w:rPr>
          <w:rFonts w:ascii="Times New Roman" w:eastAsia="Times New Roman" w:hAnsi="Times New Roman" w:cs="Times New Roman"/>
          <w:sz w:val="24"/>
          <w:szCs w:val="24"/>
          <w:lang w:val="en-GB"/>
        </w:rPr>
        <w:t>was</w:t>
      </w:r>
      <w:r w:rsidRPr="00170191">
        <w:rPr>
          <w:rFonts w:ascii="Times New Roman" w:eastAsia="Times New Roman" w:hAnsi="Times New Roman" w:cs="Times New Roman"/>
          <w:sz w:val="24"/>
          <w:szCs w:val="24"/>
          <w:lang w:val="en-GB"/>
        </w:rPr>
        <w:t xml:space="preserve"> prepared by considering all information given in the trial balance and additional information. The gross profit of the organisation was calculated by subtracting the cost of sales from the total sales (</w:t>
      </w:r>
      <w:proofErr w:type="spellStart"/>
      <w:r w:rsidRPr="00170191">
        <w:rPr>
          <w:rFonts w:ascii="Times New Roman" w:eastAsia="Times New Roman" w:hAnsi="Times New Roman" w:cs="Times New Roman"/>
          <w:color w:val="222222"/>
          <w:sz w:val="24"/>
          <w:szCs w:val="24"/>
          <w:highlight w:val="white"/>
          <w:lang w:val="en-GB"/>
        </w:rPr>
        <w:t>Fridson</w:t>
      </w:r>
      <w:proofErr w:type="spellEnd"/>
      <w:r w:rsidRPr="00170191">
        <w:rPr>
          <w:rFonts w:ascii="Times New Roman" w:eastAsia="Times New Roman" w:hAnsi="Times New Roman" w:cs="Times New Roman"/>
          <w:color w:val="222222"/>
          <w:sz w:val="24"/>
          <w:szCs w:val="24"/>
          <w:highlight w:val="white"/>
          <w:lang w:val="en-GB"/>
        </w:rPr>
        <w:t xml:space="preserve"> and Alvarez, 2022)</w:t>
      </w:r>
      <w:r w:rsidRPr="00170191">
        <w:rPr>
          <w:rFonts w:ascii="Times New Roman" w:eastAsia="Times New Roman" w:hAnsi="Times New Roman" w:cs="Times New Roman"/>
          <w:sz w:val="24"/>
          <w:szCs w:val="24"/>
          <w:lang w:val="en-GB"/>
        </w:rPr>
        <w:t xml:space="preserve">. The gross profit of the company was 222330. The credit sales of the organisation were also recorded in the total sales value. The operating expenses like administrative expenses, directors' remuneration, </w:t>
      </w:r>
      <w:r w:rsidR="00170191" w:rsidRPr="00170191">
        <w:rPr>
          <w:rFonts w:ascii="Times New Roman" w:eastAsia="Times New Roman" w:hAnsi="Times New Roman" w:cs="Times New Roman"/>
          <w:sz w:val="24"/>
          <w:szCs w:val="24"/>
          <w:lang w:val="en-GB"/>
        </w:rPr>
        <w:t>and distribution</w:t>
      </w:r>
      <w:r w:rsidRPr="00170191">
        <w:rPr>
          <w:rFonts w:ascii="Times New Roman" w:eastAsia="Times New Roman" w:hAnsi="Times New Roman" w:cs="Times New Roman"/>
          <w:sz w:val="24"/>
          <w:szCs w:val="24"/>
          <w:lang w:val="en-GB"/>
        </w:rPr>
        <w:t xml:space="preserve"> cost and salesman permission were subtracted from the gross profit to calculate the operating income. The operating income of Wales PLC was 156330. </w:t>
      </w:r>
      <w:proofErr w:type="gramStart"/>
      <w:r w:rsidRPr="00170191">
        <w:rPr>
          <w:rFonts w:ascii="Times New Roman" w:eastAsia="Times New Roman" w:hAnsi="Times New Roman" w:cs="Times New Roman"/>
          <w:sz w:val="24"/>
          <w:szCs w:val="24"/>
          <w:lang w:val="en-GB"/>
        </w:rPr>
        <w:t>In order to</w:t>
      </w:r>
      <w:proofErr w:type="gramEnd"/>
      <w:r w:rsidRPr="00170191">
        <w:rPr>
          <w:rFonts w:ascii="Times New Roman" w:eastAsia="Times New Roman" w:hAnsi="Times New Roman" w:cs="Times New Roman"/>
          <w:sz w:val="24"/>
          <w:szCs w:val="24"/>
          <w:lang w:val="en-GB"/>
        </w:rPr>
        <w:t xml:space="preserve"> calculate the net income of this company, ordinary dividend payment, preference dividend payment, interest payment and Corporation Tax payment were subtracted from the operating income. The value net profit of this company in the financial year 2022 was 4330 pounds.</w:t>
      </w:r>
    </w:p>
    <w:tbl>
      <w:tblPr>
        <w:tblStyle w:val="Table2"/>
        <w:tblW w:w="5000" w:type="pct"/>
        <w:tblInd w:w="0" w:type="dxa"/>
        <w:tblBorders>
          <w:top w:val="nil"/>
          <w:left w:val="nil"/>
          <w:bottom w:val="nil"/>
          <w:right w:val="nil"/>
          <w:insideH w:val="nil"/>
          <w:insideV w:val="nil"/>
        </w:tblBorders>
        <w:tblLook w:val="0600" w:firstRow="0" w:lastRow="0" w:firstColumn="0" w:lastColumn="0" w:noHBand="1" w:noVBand="1"/>
      </w:tblPr>
      <w:tblGrid>
        <w:gridCol w:w="5478"/>
        <w:gridCol w:w="1932"/>
        <w:gridCol w:w="1932"/>
      </w:tblGrid>
      <w:tr w:rsidR="00EE4612" w:rsidRPr="00170191" w14:paraId="4EE3C7D1" w14:textId="77777777" w:rsidTr="00170191">
        <w:trPr>
          <w:cantSplit/>
          <w:trHeight w:val="998"/>
          <w:tblHeader/>
        </w:trPr>
        <w:tc>
          <w:tcPr>
            <w:tcW w:w="5000" w:type="pct"/>
            <w:gridSpan w:val="3"/>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vAlign w:val="bottom"/>
          </w:tcPr>
          <w:p w14:paraId="1C82542B" w14:textId="77777777" w:rsidR="00EE4612" w:rsidRPr="00170191" w:rsidRDefault="005D7182" w:rsidP="00EF1527">
            <w:pPr>
              <w:pStyle w:val="Normal1"/>
              <w:spacing w:before="240" w:line="360" w:lineRule="auto"/>
              <w:jc w:val="center"/>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lastRenderedPageBreak/>
              <w:t xml:space="preserve">The balance sheet </w:t>
            </w:r>
          </w:p>
        </w:tc>
      </w:tr>
      <w:tr w:rsidR="00EE4612" w:rsidRPr="00170191" w14:paraId="1DD85DAD" w14:textId="77777777" w:rsidTr="00170191">
        <w:trPr>
          <w:cantSplit/>
          <w:trHeight w:val="575"/>
          <w:tblHeader/>
        </w:trPr>
        <w:tc>
          <w:tcPr>
            <w:tcW w:w="5000" w:type="pct"/>
            <w:gridSpan w:val="3"/>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37580BC" w14:textId="77777777" w:rsidR="00EE4612" w:rsidRPr="00170191" w:rsidRDefault="005D7182">
            <w:pPr>
              <w:pStyle w:val="Normal1"/>
              <w:spacing w:before="240" w:line="360" w:lineRule="auto"/>
              <w:jc w:val="center"/>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 xml:space="preserve">As of </w:t>
            </w:r>
            <w:proofErr w:type="gramStart"/>
            <w:r w:rsidRPr="00170191">
              <w:rPr>
                <w:rFonts w:ascii="Times New Roman" w:eastAsia="Times New Roman" w:hAnsi="Times New Roman" w:cs="Times New Roman"/>
                <w:b/>
                <w:sz w:val="24"/>
                <w:szCs w:val="24"/>
                <w:lang w:val="en-GB"/>
              </w:rPr>
              <w:t>31st Dec 2022</w:t>
            </w:r>
            <w:proofErr w:type="gramEnd"/>
          </w:p>
        </w:tc>
      </w:tr>
      <w:tr w:rsidR="00EE4612" w:rsidRPr="00170191" w14:paraId="3EAB9B04"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08E843A"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6735865" w14:textId="77777777" w:rsidR="00EE4612" w:rsidRPr="00170191" w:rsidRDefault="005D7182">
            <w:pPr>
              <w:pStyle w:val="Normal1"/>
              <w:spacing w:before="240" w:line="360" w:lineRule="auto"/>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Amount</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21304CA" w14:textId="77777777" w:rsidR="00EE4612" w:rsidRPr="00170191" w:rsidRDefault="005D7182">
            <w:pPr>
              <w:pStyle w:val="Normal1"/>
              <w:spacing w:before="240" w:line="360" w:lineRule="auto"/>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Amount</w:t>
            </w:r>
          </w:p>
        </w:tc>
      </w:tr>
      <w:tr w:rsidR="00EE4612" w:rsidRPr="00170191" w14:paraId="5F9AED9B"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866B5EE" w14:textId="77777777" w:rsidR="00EE4612" w:rsidRPr="00170191" w:rsidRDefault="005D7182">
            <w:pPr>
              <w:pStyle w:val="Normal1"/>
              <w:spacing w:before="240" w:line="360" w:lineRule="auto"/>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Non-current assets</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75E3E41"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58738CC"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1B051E74"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59A4B1E"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Plant and equipment</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B40A8C0"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1250000</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A9681FA"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6502CCC3" w14:textId="77777777" w:rsidTr="00170191">
        <w:trPr>
          <w:cantSplit/>
          <w:trHeight w:val="51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2E6DF852"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BDC33C3"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9BA8EBD"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4FE9DAC0"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37764874" w14:textId="77777777" w:rsidR="00EE4612" w:rsidRPr="00170191" w:rsidRDefault="005D7182">
            <w:pPr>
              <w:pStyle w:val="Normal1"/>
              <w:spacing w:before="240" w:line="360" w:lineRule="auto"/>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Current assets</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FC66E65"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A85F3E2"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711A1139"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979D3B0"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Stock</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1BADBE8"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510850</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8932C5E"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67194B87"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013BA4F"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Trade receivable</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FDF3340"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170125</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0BE1431"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63D9885C"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0736EEE"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Cash and bank</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7738815"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96000</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63895DA"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13A554ED"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2B512C28"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Accrued receivable</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417C23C"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980</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E83717A"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01BDA05A"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8B7C876" w14:textId="77777777" w:rsidR="00EE4612" w:rsidRPr="00170191" w:rsidRDefault="005D7182">
            <w:pPr>
              <w:pStyle w:val="Normal1"/>
              <w:spacing w:before="240" w:line="360" w:lineRule="auto"/>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Total assets</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D9231D4"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C8E7F7C"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2027955</w:t>
            </w:r>
          </w:p>
        </w:tc>
      </w:tr>
      <w:tr w:rsidR="00EE4612" w:rsidRPr="00170191" w14:paraId="4A5F9489"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62BD4A2D" w14:textId="77777777" w:rsidR="00EE4612" w:rsidRPr="00170191" w:rsidRDefault="005D7182">
            <w:pPr>
              <w:pStyle w:val="Normal1"/>
              <w:spacing w:before="240" w:line="360" w:lineRule="auto"/>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Current liabilities</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2D38402"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77BFB2B"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5EF18771"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FD22588"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Trade payable</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BF6C379"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188625</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4B5D677"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3EBB9A3A"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2E5EFAF"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lastRenderedPageBreak/>
              <w:t>Outstanding commission</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A291384"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3000</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4DEB467"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3FEC9FDB"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3E186F7F"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Corporation tax</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A7A3F77"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100000</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EE19A63"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4A0B4A27"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3BD70DE" w14:textId="77777777" w:rsidR="00EE4612" w:rsidRPr="00170191" w:rsidRDefault="005D7182">
            <w:pPr>
              <w:pStyle w:val="Normal1"/>
              <w:spacing w:before="240" w:line="360" w:lineRule="auto"/>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Non-current liabilities</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59FEC75"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33F2F6E"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4BF74324"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2E28A70A"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4% Debentures</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89D018C"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200000</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A514CAC"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757E8209"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67D7A20E" w14:textId="77777777" w:rsidR="00EE4612" w:rsidRPr="00170191" w:rsidRDefault="005D7182">
            <w:pPr>
              <w:pStyle w:val="Normal1"/>
              <w:spacing w:before="240" w:line="360" w:lineRule="auto"/>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Net assets</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670D517"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1ABC3AC"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u w:val="single"/>
                <w:lang w:val="en-GB"/>
              </w:rPr>
            </w:pPr>
            <w:r w:rsidRPr="00170191">
              <w:rPr>
                <w:rFonts w:ascii="Times New Roman" w:eastAsia="Times New Roman" w:hAnsi="Times New Roman" w:cs="Times New Roman"/>
                <w:b/>
                <w:sz w:val="24"/>
                <w:szCs w:val="24"/>
                <w:u w:val="single"/>
                <w:lang w:val="en-GB"/>
              </w:rPr>
              <w:t>1536330</w:t>
            </w:r>
          </w:p>
        </w:tc>
      </w:tr>
      <w:tr w:rsidR="00EE4612" w:rsidRPr="00170191" w14:paraId="6C94D61D" w14:textId="77777777" w:rsidTr="00170191">
        <w:trPr>
          <w:cantSplit/>
          <w:trHeight w:val="51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14F8A55"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37AAA7C"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3EB1517"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03A2C8A7"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24E710AC" w14:textId="77777777" w:rsidR="00EE4612" w:rsidRPr="00170191" w:rsidRDefault="005D7182">
            <w:pPr>
              <w:pStyle w:val="Normal1"/>
              <w:spacing w:before="240" w:line="360" w:lineRule="auto"/>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Equity</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F774CF5"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ED02EDE"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0A9D2773"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6F86585"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Ordinary shares</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25B514B"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900000</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44A8A02"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13DB0AFC"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9FF2D82"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preference shares</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D81C00C"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500000</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5B174CF"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0933FCFB"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5411A98" w14:textId="77777777" w:rsidR="00EE4612" w:rsidRPr="00170191" w:rsidRDefault="005D7182">
            <w:pPr>
              <w:pStyle w:val="Normal1"/>
              <w:spacing w:before="240" w:line="360" w:lineRule="auto"/>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Retained profits</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DA62A23"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136330</w:t>
            </w: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AAB504A" w14:textId="77777777" w:rsidR="00EE4612" w:rsidRPr="00170191" w:rsidRDefault="00EE4612">
            <w:pPr>
              <w:pStyle w:val="Normal1"/>
              <w:spacing w:line="360" w:lineRule="auto"/>
              <w:rPr>
                <w:rFonts w:ascii="Times New Roman" w:eastAsia="Times New Roman" w:hAnsi="Times New Roman" w:cs="Times New Roman"/>
                <w:sz w:val="24"/>
                <w:szCs w:val="24"/>
                <w:lang w:val="en-GB"/>
              </w:rPr>
            </w:pPr>
          </w:p>
        </w:tc>
      </w:tr>
      <w:tr w:rsidR="00EE4612" w:rsidRPr="00170191" w14:paraId="10494449" w14:textId="77777777" w:rsidTr="00170191">
        <w:trPr>
          <w:cantSplit/>
          <w:trHeight w:val="575"/>
          <w:tblHeader/>
        </w:trPr>
        <w:tc>
          <w:tcPr>
            <w:tcW w:w="2932"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2A7CD159"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1780499"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1034"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4551D13"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u w:val="single"/>
                <w:lang w:val="en-GB"/>
              </w:rPr>
            </w:pPr>
            <w:r w:rsidRPr="00170191">
              <w:rPr>
                <w:rFonts w:ascii="Times New Roman" w:eastAsia="Times New Roman" w:hAnsi="Times New Roman" w:cs="Times New Roman"/>
                <w:b/>
                <w:sz w:val="24"/>
                <w:szCs w:val="24"/>
                <w:u w:val="single"/>
                <w:lang w:val="en-GB"/>
              </w:rPr>
              <w:t>1536330</w:t>
            </w:r>
          </w:p>
        </w:tc>
      </w:tr>
    </w:tbl>
    <w:p w14:paraId="65CD6AF3" w14:textId="77777777" w:rsidR="00EE4612" w:rsidRPr="00170191" w:rsidRDefault="005D7182">
      <w:pPr>
        <w:pStyle w:val="Normal1"/>
        <w:spacing w:line="360" w:lineRule="auto"/>
        <w:jc w:val="center"/>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Table 2: Financial position statement</w:t>
      </w:r>
    </w:p>
    <w:p w14:paraId="148CE298" w14:textId="77777777"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The above table highlighted the preparation of the financial statement position of Wales PLC for the financial year 2022. The non-current assets of the company include plant and equipment and the value of this item was 1250000. In the current asset section, the amounts regarding stock, trade receivable, cash and Bank items were recorded. The current liability section includes trade payable, Corporation tax and outstanding Commission. </w:t>
      </w:r>
      <w:r w:rsidR="00170191" w:rsidRPr="00170191">
        <w:rPr>
          <w:rFonts w:ascii="Times New Roman" w:eastAsia="Times New Roman" w:hAnsi="Times New Roman" w:cs="Times New Roman"/>
          <w:sz w:val="24"/>
          <w:szCs w:val="24"/>
          <w:lang w:val="en-GB"/>
        </w:rPr>
        <w:t>In</w:t>
      </w:r>
      <w:r w:rsidRPr="00170191">
        <w:rPr>
          <w:rFonts w:ascii="Times New Roman" w:eastAsia="Times New Roman" w:hAnsi="Times New Roman" w:cs="Times New Roman"/>
          <w:sz w:val="24"/>
          <w:szCs w:val="24"/>
          <w:lang w:val="en-GB"/>
        </w:rPr>
        <w:t xml:space="preserve"> the non-current liability section of the balance sheet 4% debenture value was recorded. The equity </w:t>
      </w:r>
      <w:r w:rsidR="00EF1527" w:rsidRPr="00170191">
        <w:rPr>
          <w:rFonts w:ascii="Times New Roman" w:eastAsia="Times New Roman" w:hAnsi="Times New Roman" w:cs="Times New Roman"/>
          <w:sz w:val="24"/>
          <w:szCs w:val="24"/>
          <w:lang w:val="en-GB"/>
        </w:rPr>
        <w:t>part</w:t>
      </w:r>
      <w:r w:rsidRPr="00170191">
        <w:rPr>
          <w:rFonts w:ascii="Times New Roman" w:eastAsia="Times New Roman" w:hAnsi="Times New Roman" w:cs="Times New Roman"/>
          <w:sz w:val="24"/>
          <w:szCs w:val="24"/>
          <w:lang w:val="en-GB"/>
        </w:rPr>
        <w:t xml:space="preserve"> of the </w:t>
      </w:r>
      <w:r w:rsidR="00EF1527" w:rsidRPr="00170191">
        <w:rPr>
          <w:rFonts w:ascii="Times New Roman" w:eastAsia="Times New Roman" w:hAnsi="Times New Roman" w:cs="Times New Roman"/>
          <w:sz w:val="24"/>
          <w:szCs w:val="24"/>
          <w:lang w:val="en-GB"/>
        </w:rPr>
        <w:t>above statement</w:t>
      </w:r>
      <w:r w:rsidRPr="00170191">
        <w:rPr>
          <w:rFonts w:ascii="Times New Roman" w:eastAsia="Times New Roman" w:hAnsi="Times New Roman" w:cs="Times New Roman"/>
          <w:sz w:val="24"/>
          <w:szCs w:val="24"/>
          <w:lang w:val="en-GB"/>
        </w:rPr>
        <w:t xml:space="preserve"> holds information regarding ordinary shares, preference shares and retained profit (</w:t>
      </w:r>
      <w:r w:rsidRPr="00170191">
        <w:rPr>
          <w:rFonts w:ascii="Times New Roman" w:eastAsia="Times New Roman" w:hAnsi="Times New Roman" w:cs="Times New Roman"/>
          <w:color w:val="222222"/>
          <w:sz w:val="24"/>
          <w:szCs w:val="24"/>
          <w:highlight w:val="white"/>
          <w:lang w:val="en-GB"/>
        </w:rPr>
        <w:t>Robinson, 2020).</w:t>
      </w:r>
    </w:p>
    <w:p w14:paraId="7BDD8D6C" w14:textId="77777777" w:rsidR="00EE4612" w:rsidRPr="00170191" w:rsidRDefault="005D7182">
      <w:pPr>
        <w:pStyle w:val="Normal1"/>
        <w:numPr>
          <w:ilvl w:val="0"/>
          <w:numId w:val="1"/>
        </w:numPr>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Reasons the statement of financial position balance</w:t>
      </w:r>
    </w:p>
    <w:p w14:paraId="7D876EE1" w14:textId="77777777" w:rsidR="00EE4612" w:rsidRPr="00170191" w:rsidRDefault="00170191">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lastRenderedPageBreak/>
        <w:t>A balance sheet needs</w:t>
      </w:r>
      <w:r w:rsidR="00EF1527" w:rsidRPr="00170191">
        <w:rPr>
          <w:rFonts w:ascii="Times New Roman" w:eastAsia="Times New Roman" w:hAnsi="Times New Roman" w:cs="Times New Roman"/>
          <w:sz w:val="24"/>
          <w:szCs w:val="24"/>
          <w:lang w:val="en-GB"/>
        </w:rPr>
        <w:t xml:space="preserve"> to </w:t>
      </w:r>
      <w:r w:rsidR="005D7182" w:rsidRPr="00170191">
        <w:rPr>
          <w:rFonts w:ascii="Times New Roman" w:eastAsia="Times New Roman" w:hAnsi="Times New Roman" w:cs="Times New Roman"/>
          <w:sz w:val="24"/>
          <w:szCs w:val="24"/>
          <w:lang w:val="en-GB"/>
        </w:rPr>
        <w:t xml:space="preserve">always balance. The term balance sheet is </w:t>
      </w:r>
      <w:r w:rsidR="00EF1527" w:rsidRPr="00170191">
        <w:rPr>
          <w:rFonts w:ascii="Times New Roman" w:eastAsia="Times New Roman" w:hAnsi="Times New Roman" w:cs="Times New Roman"/>
          <w:sz w:val="24"/>
          <w:szCs w:val="24"/>
          <w:lang w:val="en-GB"/>
        </w:rPr>
        <w:t>dependent</w:t>
      </w:r>
      <w:r w:rsidR="005D7182" w:rsidRPr="00170191">
        <w:rPr>
          <w:rFonts w:ascii="Times New Roman" w:eastAsia="Times New Roman" w:hAnsi="Times New Roman" w:cs="Times New Roman"/>
          <w:sz w:val="24"/>
          <w:szCs w:val="24"/>
          <w:lang w:val="en-GB"/>
        </w:rPr>
        <w:t xml:space="preserve"> on the fact that the value of the assets will be equal to the </w:t>
      </w:r>
      <w:r w:rsidR="00EF1527" w:rsidRPr="00170191">
        <w:rPr>
          <w:rFonts w:ascii="Times New Roman" w:eastAsia="Times New Roman" w:hAnsi="Times New Roman" w:cs="Times New Roman"/>
          <w:sz w:val="24"/>
          <w:szCs w:val="24"/>
          <w:lang w:val="en-GB"/>
        </w:rPr>
        <w:t>liability value</w:t>
      </w:r>
      <w:r w:rsidR="005D7182" w:rsidRPr="00170191">
        <w:rPr>
          <w:rFonts w:ascii="Times New Roman" w:eastAsia="Times New Roman" w:hAnsi="Times New Roman" w:cs="Times New Roman"/>
          <w:sz w:val="24"/>
          <w:szCs w:val="24"/>
          <w:lang w:val="en-GB"/>
        </w:rPr>
        <w:t xml:space="preserve"> every time. </w:t>
      </w:r>
      <w:r w:rsidRPr="00170191">
        <w:rPr>
          <w:rFonts w:ascii="Times New Roman" w:eastAsia="Times New Roman" w:hAnsi="Times New Roman" w:cs="Times New Roman"/>
          <w:sz w:val="24"/>
          <w:szCs w:val="24"/>
          <w:lang w:val="en-GB"/>
        </w:rPr>
        <w:t>The</w:t>
      </w:r>
      <w:r w:rsidR="005D7182" w:rsidRPr="00170191">
        <w:rPr>
          <w:rFonts w:ascii="Times New Roman" w:eastAsia="Times New Roman" w:hAnsi="Times New Roman" w:cs="Times New Roman"/>
          <w:sz w:val="24"/>
          <w:szCs w:val="24"/>
          <w:lang w:val="en-GB"/>
        </w:rPr>
        <w:t xml:space="preserve"> Asset of the balance sheet consists of Organisations owned or will receive in the future. </w:t>
      </w:r>
      <w:r w:rsidRPr="00170191">
        <w:rPr>
          <w:rFonts w:ascii="Times New Roman" w:eastAsia="Times New Roman" w:hAnsi="Times New Roman" w:cs="Times New Roman"/>
          <w:sz w:val="24"/>
          <w:szCs w:val="24"/>
          <w:lang w:val="en-GB"/>
        </w:rPr>
        <w:t>The</w:t>
      </w:r>
      <w:r w:rsidR="005D7182" w:rsidRPr="00170191">
        <w:rPr>
          <w:rFonts w:ascii="Times New Roman" w:eastAsia="Times New Roman" w:hAnsi="Times New Roman" w:cs="Times New Roman"/>
          <w:sz w:val="24"/>
          <w:szCs w:val="24"/>
          <w:lang w:val="en-GB"/>
        </w:rPr>
        <w:t xml:space="preserve"> </w:t>
      </w:r>
      <w:r w:rsidR="003966AC">
        <w:rPr>
          <w:rFonts w:ascii="Times New Roman" w:eastAsia="Times New Roman" w:hAnsi="Times New Roman" w:cs="Times New Roman"/>
          <w:sz w:val="24"/>
          <w:szCs w:val="24"/>
          <w:lang w:val="en-GB"/>
        </w:rPr>
        <w:t>amount</w:t>
      </w:r>
      <w:r w:rsidR="003966AC" w:rsidRPr="00170191">
        <w:rPr>
          <w:rFonts w:ascii="Times New Roman" w:eastAsia="Times New Roman" w:hAnsi="Times New Roman" w:cs="Times New Roman"/>
          <w:sz w:val="24"/>
          <w:szCs w:val="24"/>
          <w:lang w:val="en-GB"/>
        </w:rPr>
        <w:t>s of assets are</w:t>
      </w:r>
      <w:r w:rsidR="003966AC">
        <w:rPr>
          <w:rFonts w:ascii="Times New Roman" w:eastAsia="Times New Roman" w:hAnsi="Times New Roman" w:cs="Times New Roman"/>
          <w:sz w:val="24"/>
          <w:szCs w:val="24"/>
          <w:lang w:val="en-GB"/>
        </w:rPr>
        <w:t xml:space="preserve"> </w:t>
      </w:r>
      <w:r w:rsidR="005D7182" w:rsidRPr="00170191">
        <w:rPr>
          <w:rFonts w:ascii="Times New Roman" w:eastAsia="Times New Roman" w:hAnsi="Times New Roman" w:cs="Times New Roman"/>
          <w:sz w:val="24"/>
          <w:szCs w:val="24"/>
          <w:lang w:val="en-GB"/>
        </w:rPr>
        <w:t xml:space="preserve">measurable. </w:t>
      </w:r>
      <w:r w:rsidRPr="00170191">
        <w:rPr>
          <w:rFonts w:ascii="Times New Roman" w:eastAsia="Times New Roman" w:hAnsi="Times New Roman" w:cs="Times New Roman"/>
          <w:sz w:val="24"/>
          <w:szCs w:val="24"/>
          <w:lang w:val="en-GB"/>
        </w:rPr>
        <w:t>Liability</w:t>
      </w:r>
      <w:r w:rsidR="005D7182" w:rsidRPr="00170191">
        <w:rPr>
          <w:rFonts w:ascii="Times New Roman" w:eastAsia="Times New Roman" w:hAnsi="Times New Roman" w:cs="Times New Roman"/>
          <w:sz w:val="24"/>
          <w:szCs w:val="24"/>
          <w:lang w:val="en-GB"/>
        </w:rPr>
        <w:t xml:space="preserve"> is the total amount accompanied by owed salary, </w:t>
      </w:r>
      <w:proofErr w:type="gramStart"/>
      <w:r w:rsidR="005D7182" w:rsidRPr="00170191">
        <w:rPr>
          <w:rFonts w:ascii="Times New Roman" w:eastAsia="Times New Roman" w:hAnsi="Times New Roman" w:cs="Times New Roman"/>
          <w:sz w:val="24"/>
          <w:szCs w:val="24"/>
          <w:lang w:val="en-GB"/>
        </w:rPr>
        <w:t>payables</w:t>
      </w:r>
      <w:proofErr w:type="gramEnd"/>
      <w:r w:rsidR="005D7182" w:rsidRPr="00170191">
        <w:rPr>
          <w:rFonts w:ascii="Times New Roman" w:eastAsia="Times New Roman" w:hAnsi="Times New Roman" w:cs="Times New Roman"/>
          <w:sz w:val="24"/>
          <w:szCs w:val="24"/>
          <w:lang w:val="en-GB"/>
        </w:rPr>
        <w:t xml:space="preserve"> and debt. </w:t>
      </w:r>
      <w:r w:rsidR="00EF1527" w:rsidRPr="00170191">
        <w:rPr>
          <w:rFonts w:ascii="Times New Roman" w:eastAsia="Times New Roman" w:hAnsi="Times New Roman" w:cs="Times New Roman"/>
          <w:sz w:val="24"/>
          <w:szCs w:val="24"/>
          <w:lang w:val="en-GB"/>
        </w:rPr>
        <w:t>In the equity segment</w:t>
      </w:r>
      <w:r w:rsidR="005D7182" w:rsidRPr="00170191">
        <w:rPr>
          <w:rFonts w:ascii="Times New Roman" w:eastAsia="Times New Roman" w:hAnsi="Times New Roman" w:cs="Times New Roman"/>
          <w:sz w:val="24"/>
          <w:szCs w:val="24"/>
          <w:lang w:val="en-GB"/>
        </w:rPr>
        <w:t xml:space="preserve"> of the balance sheet represents the retained </w:t>
      </w:r>
      <w:r w:rsidRPr="00170191">
        <w:rPr>
          <w:rFonts w:ascii="Times New Roman" w:eastAsia="Times New Roman" w:hAnsi="Times New Roman" w:cs="Times New Roman"/>
          <w:sz w:val="24"/>
          <w:szCs w:val="24"/>
          <w:lang w:val="en-GB"/>
        </w:rPr>
        <w:t>earnings</w:t>
      </w:r>
      <w:r w:rsidR="005D7182" w:rsidRPr="00170191">
        <w:rPr>
          <w:rFonts w:ascii="Times New Roman" w:eastAsia="Times New Roman" w:hAnsi="Times New Roman" w:cs="Times New Roman"/>
          <w:sz w:val="24"/>
          <w:szCs w:val="24"/>
          <w:lang w:val="en-GB"/>
        </w:rPr>
        <w:t xml:space="preserve"> and the equity capital contributed by the equity shareholders. </w:t>
      </w:r>
      <w:r w:rsidRPr="00170191">
        <w:rPr>
          <w:rFonts w:ascii="Times New Roman" w:eastAsia="Times New Roman" w:hAnsi="Times New Roman" w:cs="Times New Roman"/>
          <w:sz w:val="24"/>
          <w:szCs w:val="24"/>
          <w:lang w:val="en-GB"/>
        </w:rPr>
        <w:t>For balancing</w:t>
      </w:r>
      <w:r w:rsidR="005D7182" w:rsidRPr="00170191">
        <w:rPr>
          <w:rFonts w:ascii="Times New Roman" w:eastAsia="Times New Roman" w:hAnsi="Times New Roman" w:cs="Times New Roman"/>
          <w:sz w:val="24"/>
          <w:szCs w:val="24"/>
          <w:lang w:val="en-GB"/>
        </w:rPr>
        <w:t xml:space="preserve"> the balance sheet</w:t>
      </w:r>
      <w:r w:rsidR="003966AC">
        <w:rPr>
          <w:rFonts w:ascii="Times New Roman" w:eastAsia="Times New Roman" w:hAnsi="Times New Roman" w:cs="Times New Roman"/>
          <w:sz w:val="24"/>
          <w:szCs w:val="24"/>
          <w:lang w:val="en-GB"/>
        </w:rPr>
        <w:t>,</w:t>
      </w:r>
      <w:r w:rsidR="005D7182" w:rsidRPr="00170191">
        <w:rPr>
          <w:rFonts w:ascii="Times New Roman" w:eastAsia="Times New Roman" w:hAnsi="Times New Roman" w:cs="Times New Roman"/>
          <w:sz w:val="24"/>
          <w:szCs w:val="24"/>
          <w:lang w:val="en-GB"/>
        </w:rPr>
        <w:t xml:space="preserve"> the total liabilities </w:t>
      </w:r>
      <w:r w:rsidR="003966AC">
        <w:rPr>
          <w:rFonts w:ascii="Times New Roman" w:eastAsia="Times New Roman" w:hAnsi="Times New Roman" w:cs="Times New Roman"/>
          <w:sz w:val="24"/>
          <w:szCs w:val="24"/>
          <w:lang w:val="en-GB"/>
        </w:rPr>
        <w:t xml:space="preserve">and </w:t>
      </w:r>
      <w:r w:rsidR="005D7182" w:rsidRPr="00170191">
        <w:rPr>
          <w:rFonts w:ascii="Times New Roman" w:eastAsia="Times New Roman" w:hAnsi="Times New Roman" w:cs="Times New Roman"/>
          <w:sz w:val="24"/>
          <w:szCs w:val="24"/>
          <w:lang w:val="en-GB"/>
        </w:rPr>
        <w:t xml:space="preserve">equity value and the total asset </w:t>
      </w:r>
      <w:r w:rsidR="003966AC">
        <w:rPr>
          <w:rFonts w:ascii="Times New Roman" w:eastAsia="Times New Roman" w:hAnsi="Times New Roman" w:cs="Times New Roman"/>
          <w:sz w:val="24"/>
          <w:szCs w:val="24"/>
          <w:lang w:val="en-GB"/>
        </w:rPr>
        <w:t>need to</w:t>
      </w:r>
      <w:r w:rsidR="005D7182" w:rsidRPr="00170191">
        <w:rPr>
          <w:rFonts w:ascii="Times New Roman" w:eastAsia="Times New Roman" w:hAnsi="Times New Roman" w:cs="Times New Roman"/>
          <w:sz w:val="24"/>
          <w:szCs w:val="24"/>
          <w:lang w:val="en-GB"/>
        </w:rPr>
        <w:t xml:space="preserve"> be equal (</w:t>
      </w:r>
      <w:proofErr w:type="spellStart"/>
      <w:r w:rsidR="005D7182" w:rsidRPr="00170191">
        <w:rPr>
          <w:rFonts w:ascii="Times New Roman" w:eastAsia="Times New Roman" w:hAnsi="Times New Roman" w:cs="Times New Roman"/>
          <w:color w:val="222222"/>
          <w:sz w:val="24"/>
          <w:szCs w:val="24"/>
          <w:highlight w:val="white"/>
          <w:lang w:val="en-GB"/>
        </w:rPr>
        <w:t>Benrqya</w:t>
      </w:r>
      <w:proofErr w:type="spellEnd"/>
      <w:r w:rsidR="005D7182" w:rsidRPr="00170191">
        <w:rPr>
          <w:rFonts w:ascii="Times New Roman" w:eastAsia="Times New Roman" w:hAnsi="Times New Roman" w:cs="Times New Roman"/>
          <w:color w:val="222222"/>
          <w:sz w:val="24"/>
          <w:szCs w:val="24"/>
          <w:highlight w:val="white"/>
          <w:lang w:val="en-GB"/>
        </w:rPr>
        <w:t xml:space="preserve"> and </w:t>
      </w:r>
      <w:proofErr w:type="spellStart"/>
      <w:r w:rsidR="005D7182" w:rsidRPr="00170191">
        <w:rPr>
          <w:rFonts w:ascii="Times New Roman" w:eastAsia="Times New Roman" w:hAnsi="Times New Roman" w:cs="Times New Roman"/>
          <w:color w:val="222222"/>
          <w:sz w:val="24"/>
          <w:szCs w:val="24"/>
          <w:highlight w:val="white"/>
          <w:lang w:val="en-GB"/>
        </w:rPr>
        <w:t>Jabbouri</w:t>
      </w:r>
      <w:proofErr w:type="spellEnd"/>
      <w:r w:rsidR="005D7182" w:rsidRPr="00170191">
        <w:rPr>
          <w:rFonts w:ascii="Times New Roman" w:eastAsia="Times New Roman" w:hAnsi="Times New Roman" w:cs="Times New Roman"/>
          <w:color w:val="222222"/>
          <w:sz w:val="24"/>
          <w:szCs w:val="24"/>
          <w:highlight w:val="white"/>
          <w:lang w:val="en-GB"/>
        </w:rPr>
        <w:t>, 2021)</w:t>
      </w:r>
      <w:r w:rsidR="005D7182" w:rsidRPr="00170191">
        <w:rPr>
          <w:rFonts w:ascii="Times New Roman" w:eastAsia="Times New Roman" w:hAnsi="Times New Roman" w:cs="Times New Roman"/>
          <w:sz w:val="24"/>
          <w:szCs w:val="24"/>
          <w:lang w:val="en-GB"/>
        </w:rPr>
        <w:t xml:space="preserve">. One of the major reasons that the balance sheet </w:t>
      </w:r>
      <w:r w:rsidR="003966AC">
        <w:rPr>
          <w:rFonts w:ascii="Times New Roman" w:eastAsia="Times New Roman" w:hAnsi="Times New Roman" w:cs="Times New Roman"/>
          <w:sz w:val="24"/>
          <w:szCs w:val="24"/>
          <w:lang w:val="en-GB"/>
        </w:rPr>
        <w:t xml:space="preserve">is </w:t>
      </w:r>
      <w:r w:rsidR="005D7182" w:rsidRPr="00170191">
        <w:rPr>
          <w:rFonts w:ascii="Times New Roman" w:eastAsia="Times New Roman" w:hAnsi="Times New Roman" w:cs="Times New Roman"/>
          <w:sz w:val="24"/>
          <w:szCs w:val="24"/>
          <w:lang w:val="en-GB"/>
        </w:rPr>
        <w:t>balance</w:t>
      </w:r>
      <w:r w:rsidR="003966AC">
        <w:rPr>
          <w:rFonts w:ascii="Times New Roman" w:eastAsia="Times New Roman" w:hAnsi="Times New Roman" w:cs="Times New Roman"/>
          <w:sz w:val="24"/>
          <w:szCs w:val="24"/>
          <w:lang w:val="en-GB"/>
        </w:rPr>
        <w:t>d</w:t>
      </w:r>
      <w:r w:rsidR="005D7182" w:rsidRPr="00170191">
        <w:rPr>
          <w:rFonts w:ascii="Times New Roman" w:eastAsia="Times New Roman" w:hAnsi="Times New Roman" w:cs="Times New Roman"/>
          <w:sz w:val="24"/>
          <w:szCs w:val="24"/>
          <w:lang w:val="en-GB"/>
        </w:rPr>
        <w:t xml:space="preserve"> is because of the most important accounting principle such as </w:t>
      </w:r>
      <w:r w:rsidR="005D7182" w:rsidRPr="00170191">
        <w:rPr>
          <w:rFonts w:ascii="Times New Roman" w:eastAsia="Times New Roman" w:hAnsi="Times New Roman" w:cs="Times New Roman"/>
          <w:b/>
          <w:i/>
          <w:sz w:val="24"/>
          <w:szCs w:val="24"/>
          <w:lang w:val="en-GB"/>
        </w:rPr>
        <w:t xml:space="preserve">double entry. </w:t>
      </w:r>
      <w:r w:rsidR="005D7182" w:rsidRPr="00170191">
        <w:rPr>
          <w:rFonts w:ascii="Times New Roman" w:eastAsia="Times New Roman" w:hAnsi="Times New Roman" w:cs="Times New Roman"/>
          <w:sz w:val="24"/>
          <w:szCs w:val="24"/>
          <w:lang w:val="en-GB"/>
        </w:rPr>
        <w:t xml:space="preserve">In this accounting principle, the impact of a single accounting transaction is reflected in two different accounts. For example, when a company purchases an asset, the asset account will increase and </w:t>
      </w:r>
      <w:r w:rsidR="003966AC" w:rsidRPr="00170191">
        <w:rPr>
          <w:rFonts w:ascii="Times New Roman" w:eastAsia="Times New Roman" w:hAnsi="Times New Roman" w:cs="Times New Roman"/>
          <w:sz w:val="24"/>
          <w:szCs w:val="24"/>
          <w:lang w:val="en-GB"/>
        </w:rPr>
        <w:t>similarly</w:t>
      </w:r>
      <w:r w:rsidR="005D7182" w:rsidRPr="00170191">
        <w:rPr>
          <w:rFonts w:ascii="Times New Roman" w:eastAsia="Times New Roman" w:hAnsi="Times New Roman" w:cs="Times New Roman"/>
          <w:sz w:val="24"/>
          <w:szCs w:val="24"/>
          <w:lang w:val="en-GB"/>
        </w:rPr>
        <w:t xml:space="preserve"> the liability account will decrease to show where the money is coming from. For this double-entry impact, the assets and the liability side of the balance sheet must be equal. it also ensures that financial transactions are recorded in the statement accurately. In case of imbalances in the Asset and liability value there are maybe several errors such as typing errors, the placing of entry in the wrong section etc.</w:t>
      </w:r>
    </w:p>
    <w:p w14:paraId="4FB59750" w14:textId="77777777" w:rsidR="00EE4612" w:rsidRPr="00170191" w:rsidRDefault="005D7182" w:rsidP="00170191">
      <w:pPr>
        <w:pStyle w:val="Heading1"/>
      </w:pPr>
      <w:bookmarkStart w:id="1" w:name="_Toc129687883"/>
      <w:r w:rsidRPr="00170191">
        <w:t>Question 2</w:t>
      </w:r>
      <w:bookmarkEnd w:id="1"/>
    </w:p>
    <w:p w14:paraId="047AAF5C" w14:textId="77777777" w:rsidR="00EE4612" w:rsidRPr="00170191" w:rsidRDefault="005D7182">
      <w:pPr>
        <w:pStyle w:val="Normal1"/>
        <w:numPr>
          <w:ilvl w:val="0"/>
          <w:numId w:val="2"/>
        </w:numPr>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Ratio calculation</w:t>
      </w:r>
    </w:p>
    <w:tbl>
      <w:tblPr>
        <w:tblStyle w:val="Table3"/>
        <w:tblW w:w="5000" w:type="pct"/>
        <w:tblInd w:w="0" w:type="dxa"/>
        <w:tblBorders>
          <w:top w:val="nil"/>
          <w:left w:val="nil"/>
          <w:bottom w:val="nil"/>
          <w:right w:val="nil"/>
          <w:insideH w:val="nil"/>
          <w:insideV w:val="nil"/>
        </w:tblBorders>
        <w:tblLook w:val="0600" w:firstRow="0" w:lastRow="0" w:firstColumn="0" w:lastColumn="0" w:noHBand="1" w:noVBand="1"/>
      </w:tblPr>
      <w:tblGrid>
        <w:gridCol w:w="3579"/>
        <w:gridCol w:w="3136"/>
        <w:gridCol w:w="1314"/>
        <w:gridCol w:w="1313"/>
      </w:tblGrid>
      <w:tr w:rsidR="00EE4612" w:rsidRPr="00170191" w14:paraId="004BD2F0" w14:textId="77777777" w:rsidTr="00170191">
        <w:trPr>
          <w:cantSplit/>
          <w:trHeight w:val="575"/>
          <w:tblHeader/>
        </w:trPr>
        <w:tc>
          <w:tcPr>
            <w:tcW w:w="1915" w:type="pct"/>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vAlign w:val="bottom"/>
          </w:tcPr>
          <w:p w14:paraId="71A600FC"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lastRenderedPageBreak/>
              <w:t>1. ROCE</w:t>
            </w:r>
          </w:p>
        </w:tc>
        <w:tc>
          <w:tcPr>
            <w:tcW w:w="1678" w:type="pct"/>
            <w:tcBorders>
              <w:top w:val="single" w:sz="7" w:space="0" w:color="000000"/>
              <w:left w:val="nil"/>
              <w:bottom w:val="single" w:sz="7" w:space="0" w:color="000000"/>
              <w:right w:val="single" w:sz="7" w:space="0" w:color="000000"/>
            </w:tcBorders>
            <w:tcMar>
              <w:top w:w="100" w:type="dxa"/>
              <w:left w:w="100" w:type="dxa"/>
              <w:bottom w:w="100" w:type="dxa"/>
              <w:right w:w="100" w:type="dxa"/>
            </w:tcMar>
            <w:vAlign w:val="bottom"/>
          </w:tcPr>
          <w:p w14:paraId="0880B5F7"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Formula</w:t>
            </w:r>
          </w:p>
        </w:tc>
        <w:tc>
          <w:tcPr>
            <w:tcW w:w="703" w:type="pct"/>
            <w:tcBorders>
              <w:top w:val="single" w:sz="7" w:space="0" w:color="000000"/>
              <w:left w:val="nil"/>
              <w:bottom w:val="single" w:sz="7" w:space="0" w:color="000000"/>
              <w:right w:val="single" w:sz="7" w:space="0" w:color="000000"/>
            </w:tcBorders>
            <w:tcMar>
              <w:top w:w="100" w:type="dxa"/>
              <w:left w:w="100" w:type="dxa"/>
              <w:bottom w:w="100" w:type="dxa"/>
              <w:right w:w="100" w:type="dxa"/>
            </w:tcMar>
            <w:vAlign w:val="bottom"/>
          </w:tcPr>
          <w:p w14:paraId="4CD1864B"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2021</w:t>
            </w:r>
          </w:p>
        </w:tc>
        <w:tc>
          <w:tcPr>
            <w:tcW w:w="703" w:type="pct"/>
            <w:tcBorders>
              <w:top w:val="single" w:sz="7" w:space="0" w:color="000000"/>
              <w:left w:val="nil"/>
              <w:bottom w:val="single" w:sz="7" w:space="0" w:color="000000"/>
              <w:right w:val="single" w:sz="7" w:space="0" w:color="000000"/>
            </w:tcBorders>
            <w:tcMar>
              <w:top w:w="100" w:type="dxa"/>
              <w:left w:w="100" w:type="dxa"/>
              <w:bottom w:w="100" w:type="dxa"/>
              <w:right w:w="100" w:type="dxa"/>
            </w:tcMar>
            <w:vAlign w:val="bottom"/>
          </w:tcPr>
          <w:p w14:paraId="1D19C29D"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2020</w:t>
            </w:r>
          </w:p>
        </w:tc>
      </w:tr>
      <w:tr w:rsidR="00EE4612" w:rsidRPr="00170191" w14:paraId="25503732"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tcMar>
              <w:top w:w="100" w:type="dxa"/>
              <w:left w:w="100" w:type="dxa"/>
              <w:bottom w:w="100" w:type="dxa"/>
              <w:right w:w="100" w:type="dxa"/>
            </w:tcMar>
            <w:vAlign w:val="bottom"/>
          </w:tcPr>
          <w:p w14:paraId="77E7E2C1"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EBIT</w:t>
            </w:r>
          </w:p>
        </w:tc>
        <w:tc>
          <w:tcPr>
            <w:tcW w:w="1678" w:type="pct"/>
            <w:vMerge w:val="restart"/>
            <w:tcBorders>
              <w:top w:val="nil"/>
              <w:left w:val="nil"/>
              <w:bottom w:val="single" w:sz="7" w:space="0" w:color="000000"/>
              <w:right w:val="single" w:sz="7" w:space="0" w:color="000000"/>
            </w:tcBorders>
            <w:tcMar>
              <w:top w:w="100" w:type="dxa"/>
              <w:left w:w="100" w:type="dxa"/>
              <w:bottom w:w="100" w:type="dxa"/>
              <w:right w:w="100" w:type="dxa"/>
            </w:tcMar>
            <w:vAlign w:val="bottom"/>
          </w:tcPr>
          <w:p w14:paraId="15F2EE58" w14:textId="77777777" w:rsidR="00EE4612" w:rsidRPr="00170191" w:rsidRDefault="005D7182">
            <w:pPr>
              <w:pStyle w:val="Normal1"/>
              <w:spacing w:before="240" w:line="360" w:lineRule="auto"/>
              <w:jc w:val="cente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EBIT / Capital employed</w:t>
            </w:r>
          </w:p>
        </w:tc>
        <w:tc>
          <w:tcPr>
            <w:tcW w:w="703" w:type="pct"/>
            <w:tcBorders>
              <w:top w:val="nil"/>
              <w:left w:val="nil"/>
              <w:bottom w:val="single" w:sz="7" w:space="0" w:color="000000"/>
              <w:right w:val="single" w:sz="7" w:space="0" w:color="000000"/>
            </w:tcBorders>
            <w:tcMar>
              <w:top w:w="100" w:type="dxa"/>
              <w:left w:w="100" w:type="dxa"/>
              <w:bottom w:w="100" w:type="dxa"/>
              <w:right w:w="100" w:type="dxa"/>
            </w:tcMar>
            <w:vAlign w:val="bottom"/>
          </w:tcPr>
          <w:p w14:paraId="23AE5AF2"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805</w:t>
            </w:r>
          </w:p>
        </w:tc>
        <w:tc>
          <w:tcPr>
            <w:tcW w:w="703" w:type="pct"/>
            <w:tcBorders>
              <w:top w:val="nil"/>
              <w:left w:val="nil"/>
              <w:bottom w:val="single" w:sz="7" w:space="0" w:color="000000"/>
              <w:right w:val="single" w:sz="7" w:space="0" w:color="000000"/>
            </w:tcBorders>
            <w:tcMar>
              <w:top w:w="100" w:type="dxa"/>
              <w:left w:w="100" w:type="dxa"/>
              <w:bottom w:w="100" w:type="dxa"/>
              <w:right w:w="100" w:type="dxa"/>
            </w:tcMar>
            <w:vAlign w:val="bottom"/>
          </w:tcPr>
          <w:p w14:paraId="72E3B97F"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699</w:t>
            </w:r>
          </w:p>
        </w:tc>
      </w:tr>
      <w:tr w:rsidR="00EE4612" w:rsidRPr="00170191" w14:paraId="73B20B96"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tcMar>
              <w:top w:w="100" w:type="dxa"/>
              <w:left w:w="100" w:type="dxa"/>
              <w:bottom w:w="100" w:type="dxa"/>
              <w:right w:w="100" w:type="dxa"/>
            </w:tcMar>
            <w:vAlign w:val="bottom"/>
          </w:tcPr>
          <w:p w14:paraId="11624EF6"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Capital employed</w:t>
            </w:r>
          </w:p>
        </w:tc>
        <w:tc>
          <w:tcPr>
            <w:tcW w:w="1678" w:type="pct"/>
            <w:vMerge/>
            <w:tcBorders>
              <w:bottom w:val="single" w:sz="7" w:space="0" w:color="000000"/>
              <w:right w:val="single" w:sz="7" w:space="0" w:color="000000"/>
            </w:tcBorders>
            <w:shd w:val="clear" w:color="auto" w:fill="auto"/>
            <w:tcMar>
              <w:top w:w="100" w:type="dxa"/>
              <w:left w:w="100" w:type="dxa"/>
              <w:bottom w:w="100" w:type="dxa"/>
              <w:right w:w="100" w:type="dxa"/>
            </w:tcMar>
          </w:tcPr>
          <w:p w14:paraId="037BE606"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3341F90"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7225</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1ABB7AC"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7217</w:t>
            </w:r>
          </w:p>
        </w:tc>
      </w:tr>
      <w:tr w:rsidR="00EE4612" w:rsidRPr="00170191" w14:paraId="06D75292"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0736BFC"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Answer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7026B01"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2CFD1A3"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11.1%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9AA56F9"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9.7%</w:t>
            </w:r>
          </w:p>
        </w:tc>
      </w:tr>
      <w:tr w:rsidR="00EE4612" w:rsidRPr="00170191" w14:paraId="0F2F8880" w14:textId="77777777" w:rsidTr="00170191">
        <w:trPr>
          <w:cantSplit/>
          <w:trHeight w:val="51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0D8762CA"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DE59841"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C0ECA49"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E730FBD"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7BF26239"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2D944AE0"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 ROE</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D094BF1"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Formula</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8B32ADA"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C7FBFEA"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2020</w:t>
            </w:r>
          </w:p>
        </w:tc>
      </w:tr>
      <w:tr w:rsidR="00EE4612" w:rsidRPr="00170191" w14:paraId="06EBA107"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CAF2C68"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Net income</w:t>
            </w:r>
          </w:p>
        </w:tc>
        <w:tc>
          <w:tcPr>
            <w:tcW w:w="1678" w:type="pct"/>
            <w:vMerge w:val="restar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7474376" w14:textId="77777777" w:rsidR="00EE4612" w:rsidRPr="00170191" w:rsidRDefault="005D7182">
            <w:pPr>
              <w:pStyle w:val="Normal1"/>
              <w:spacing w:before="240" w:line="360" w:lineRule="auto"/>
              <w:jc w:val="cente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Net income / Shareholders' equity</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3F3C9C0"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431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A8FBA51"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366</w:t>
            </w:r>
          </w:p>
        </w:tc>
      </w:tr>
      <w:tr w:rsidR="00EE4612" w:rsidRPr="00170191" w14:paraId="6D8C57A7"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88D36BA"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shareholders’ equity</w:t>
            </w:r>
          </w:p>
        </w:tc>
        <w:tc>
          <w:tcPr>
            <w:tcW w:w="1678" w:type="pct"/>
            <w:vMerge/>
            <w:tcBorders>
              <w:bottom w:val="single" w:sz="7" w:space="0" w:color="000000"/>
              <w:right w:val="single" w:sz="7" w:space="0" w:color="000000"/>
            </w:tcBorders>
            <w:shd w:val="clear" w:color="auto" w:fill="auto"/>
            <w:tcMar>
              <w:top w:w="100" w:type="dxa"/>
              <w:left w:w="100" w:type="dxa"/>
              <w:bottom w:w="100" w:type="dxa"/>
              <w:right w:w="100" w:type="dxa"/>
            </w:tcMar>
          </w:tcPr>
          <w:p w14:paraId="7C794559"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36667FC"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3088</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AB003BE"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2912</w:t>
            </w:r>
          </w:p>
        </w:tc>
      </w:tr>
      <w:tr w:rsidR="00EE4612" w:rsidRPr="00170191" w14:paraId="4189108A"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3C0B9462"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Answer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348510A"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859B384"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14.0%</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448A25A"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12.6%</w:t>
            </w:r>
          </w:p>
        </w:tc>
      </w:tr>
      <w:tr w:rsidR="00EE4612" w:rsidRPr="00170191" w14:paraId="4C8EE6C9" w14:textId="77777777" w:rsidTr="00170191">
        <w:trPr>
          <w:cantSplit/>
          <w:trHeight w:val="51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24C60AA"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7252E22"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8676FB2"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334D2FB"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5B4D9FC6"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213893C0"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3. Earnings per share</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288E15A"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Formula</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83A00CE"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43DA0C6"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2020</w:t>
            </w:r>
          </w:p>
        </w:tc>
      </w:tr>
      <w:tr w:rsidR="00EE4612" w:rsidRPr="00170191" w14:paraId="7AEC2FDD"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BF75295"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Net income</w:t>
            </w:r>
          </w:p>
        </w:tc>
        <w:tc>
          <w:tcPr>
            <w:tcW w:w="1678" w:type="pct"/>
            <w:vMerge w:val="restar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A280E4B" w14:textId="77777777" w:rsidR="00EE4612" w:rsidRPr="00170191" w:rsidRDefault="005D7182">
            <w:pPr>
              <w:pStyle w:val="Normal1"/>
              <w:spacing w:before="240" w:line="360" w:lineRule="auto"/>
              <w:jc w:val="cente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Net income / Outstanding shares</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DB9503B"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431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9479A02"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366</w:t>
            </w:r>
          </w:p>
        </w:tc>
      </w:tr>
      <w:tr w:rsidR="00EE4612" w:rsidRPr="00170191" w14:paraId="070EC75A"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1F53C20"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Outstanding shares</w:t>
            </w:r>
          </w:p>
        </w:tc>
        <w:tc>
          <w:tcPr>
            <w:tcW w:w="1678" w:type="pct"/>
            <w:vMerge/>
            <w:tcBorders>
              <w:bottom w:val="single" w:sz="7" w:space="0" w:color="000000"/>
              <w:right w:val="single" w:sz="7" w:space="0" w:color="000000"/>
            </w:tcBorders>
            <w:shd w:val="clear" w:color="auto" w:fill="auto"/>
            <w:tcMar>
              <w:top w:w="100" w:type="dxa"/>
              <w:left w:w="100" w:type="dxa"/>
              <w:bottom w:w="100" w:type="dxa"/>
              <w:right w:w="100" w:type="dxa"/>
            </w:tcMar>
          </w:tcPr>
          <w:p w14:paraId="481087CB"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D364D5D"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600</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742C1B9"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600</w:t>
            </w:r>
          </w:p>
        </w:tc>
      </w:tr>
      <w:tr w:rsidR="00EE4612" w:rsidRPr="00170191" w14:paraId="57A10804"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D0285CF"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Answer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4D4464B"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E997AE6"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0.71833</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10C8042"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0.61</w:t>
            </w:r>
          </w:p>
        </w:tc>
      </w:tr>
      <w:tr w:rsidR="00EE4612" w:rsidRPr="00170191" w14:paraId="65E1F3B1" w14:textId="77777777" w:rsidTr="00170191">
        <w:trPr>
          <w:cantSplit/>
          <w:trHeight w:val="51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7BD6974"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88370F1"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5909350"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6701BAA"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14127CF6"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284EAA37"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lastRenderedPageBreak/>
              <w:t>4. Net profit margin</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CE4BC72"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Formula</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E1E51A9"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C2F77C5"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2020</w:t>
            </w:r>
          </w:p>
        </w:tc>
      </w:tr>
      <w:tr w:rsidR="00EE4612" w:rsidRPr="00170191" w14:paraId="51AC910E"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2450AC48"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Net profit</w:t>
            </w:r>
          </w:p>
        </w:tc>
        <w:tc>
          <w:tcPr>
            <w:tcW w:w="1678" w:type="pct"/>
            <w:vMerge w:val="restar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5EE0180" w14:textId="77777777" w:rsidR="00EE4612" w:rsidRPr="00170191" w:rsidRDefault="005D7182">
            <w:pPr>
              <w:pStyle w:val="Normal1"/>
              <w:spacing w:before="240" w:line="360" w:lineRule="auto"/>
              <w:jc w:val="cente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Net income / Revenue</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6BC5FF1"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431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3B99598"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366</w:t>
            </w:r>
          </w:p>
        </w:tc>
      </w:tr>
      <w:tr w:rsidR="00EE4612" w:rsidRPr="00170191" w14:paraId="18C1B415"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64459FB3"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Revenue</w:t>
            </w:r>
          </w:p>
        </w:tc>
        <w:tc>
          <w:tcPr>
            <w:tcW w:w="1678" w:type="pct"/>
            <w:vMerge/>
            <w:tcBorders>
              <w:bottom w:val="single" w:sz="7" w:space="0" w:color="000000"/>
              <w:right w:val="single" w:sz="7" w:space="0" w:color="000000"/>
            </w:tcBorders>
            <w:shd w:val="clear" w:color="auto" w:fill="auto"/>
            <w:tcMar>
              <w:top w:w="100" w:type="dxa"/>
              <w:left w:w="100" w:type="dxa"/>
              <w:bottom w:w="100" w:type="dxa"/>
              <w:right w:w="100" w:type="dxa"/>
            </w:tcMar>
          </w:tcPr>
          <w:p w14:paraId="5E0C7928"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F90D949"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6738</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2EC92A0"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6441</w:t>
            </w:r>
          </w:p>
        </w:tc>
      </w:tr>
      <w:tr w:rsidR="00EE4612" w:rsidRPr="00170191" w14:paraId="256DBDF9"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A2646B2"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Answer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972F5EE"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A516815" w14:textId="77777777" w:rsidR="00EE4612" w:rsidRPr="00170191" w:rsidRDefault="005D718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6.4%</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0129F15" w14:textId="77777777" w:rsidR="00EE4612" w:rsidRPr="00170191" w:rsidRDefault="005D718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5.7%</w:t>
            </w:r>
          </w:p>
        </w:tc>
      </w:tr>
      <w:tr w:rsidR="00EE4612" w:rsidRPr="00170191" w14:paraId="3AA7D99A" w14:textId="77777777" w:rsidTr="00170191">
        <w:trPr>
          <w:cantSplit/>
          <w:trHeight w:val="51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E1DCF06"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89C03A7"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444FBDA"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57EC067"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4086C69C"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453CCE6"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5. Asset turnover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DE8793C"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Formula</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A7FB8EE"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0E65CE7"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2020</w:t>
            </w:r>
          </w:p>
        </w:tc>
      </w:tr>
      <w:tr w:rsidR="00EE4612" w:rsidRPr="00170191" w14:paraId="35F79D00"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0D7E2D76"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Net sales</w:t>
            </w:r>
          </w:p>
        </w:tc>
        <w:tc>
          <w:tcPr>
            <w:tcW w:w="1678" w:type="pct"/>
            <w:vMerge w:val="restar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CA2B2BA" w14:textId="77777777" w:rsidR="00EE4612" w:rsidRPr="00170191" w:rsidRDefault="005D7182">
            <w:pPr>
              <w:pStyle w:val="Normal1"/>
              <w:spacing w:before="240" w:line="360" w:lineRule="auto"/>
              <w:jc w:val="cente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Net sales/ Total assets</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8AF5F83"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6738</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AF00B8B"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6441</w:t>
            </w:r>
          </w:p>
        </w:tc>
      </w:tr>
      <w:tr w:rsidR="00EE4612" w:rsidRPr="00170191" w14:paraId="2498060F"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74EEA1B"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Total assets</w:t>
            </w:r>
          </w:p>
        </w:tc>
        <w:tc>
          <w:tcPr>
            <w:tcW w:w="1678" w:type="pct"/>
            <w:vMerge/>
            <w:tcBorders>
              <w:bottom w:val="single" w:sz="7" w:space="0" w:color="000000"/>
              <w:right w:val="single" w:sz="7" w:space="0" w:color="000000"/>
            </w:tcBorders>
            <w:shd w:val="clear" w:color="auto" w:fill="auto"/>
            <w:tcMar>
              <w:top w:w="100" w:type="dxa"/>
              <w:left w:w="100" w:type="dxa"/>
              <w:bottom w:w="100" w:type="dxa"/>
              <w:right w:w="100" w:type="dxa"/>
            </w:tcMar>
          </w:tcPr>
          <w:p w14:paraId="2977F73C"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A548226"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9736</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711E557"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10087</w:t>
            </w:r>
          </w:p>
        </w:tc>
      </w:tr>
      <w:tr w:rsidR="00EE4612" w:rsidRPr="00170191" w14:paraId="663AD665"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72D43EA"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Answer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E935960"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5D88AF9"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0.69207</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F5836CB"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0.63854</w:t>
            </w:r>
          </w:p>
        </w:tc>
      </w:tr>
      <w:tr w:rsidR="00EE4612" w:rsidRPr="00170191" w14:paraId="2EF2191A" w14:textId="77777777" w:rsidTr="00170191">
        <w:trPr>
          <w:cantSplit/>
          <w:trHeight w:val="51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A3FD9EC"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E982EE3"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F4BB9EB"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728452A"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5EB9415B"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8B9C0CE"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6. Stock holding days</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92667D1"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Formula</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169939E"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A50F44F"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2020</w:t>
            </w:r>
          </w:p>
        </w:tc>
      </w:tr>
      <w:tr w:rsidR="00EE4612" w:rsidRPr="00170191" w14:paraId="428DA8B7"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040D24EB"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Inventory cost</w:t>
            </w:r>
          </w:p>
        </w:tc>
        <w:tc>
          <w:tcPr>
            <w:tcW w:w="1678" w:type="pct"/>
            <w:vMerge w:val="restar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74DEB38" w14:textId="77777777" w:rsidR="00EE4612" w:rsidRPr="00170191" w:rsidRDefault="005D7182">
            <w:pPr>
              <w:pStyle w:val="Normal1"/>
              <w:spacing w:before="240" w:line="360" w:lineRule="auto"/>
              <w:jc w:val="cente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(Inventory cost/ </w:t>
            </w:r>
            <w:proofErr w:type="gramStart"/>
            <w:r w:rsidRPr="00170191">
              <w:rPr>
                <w:rFonts w:ascii="Times New Roman" w:eastAsia="Times New Roman" w:hAnsi="Times New Roman" w:cs="Times New Roman"/>
                <w:sz w:val="24"/>
                <w:szCs w:val="24"/>
                <w:lang w:val="en-GB"/>
              </w:rPr>
              <w:t>COGS)*</w:t>
            </w:r>
            <w:proofErr w:type="gramEnd"/>
            <w:r w:rsidRPr="00170191">
              <w:rPr>
                <w:rFonts w:ascii="Times New Roman" w:eastAsia="Times New Roman" w:hAnsi="Times New Roman" w:cs="Times New Roman"/>
                <w:sz w:val="24"/>
                <w:szCs w:val="24"/>
                <w:lang w:val="en-GB"/>
              </w:rPr>
              <w:t>365</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3457E63"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708</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C0E7AE7"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659</w:t>
            </w:r>
          </w:p>
        </w:tc>
      </w:tr>
      <w:tr w:rsidR="00EE4612" w:rsidRPr="00170191" w14:paraId="467CF3DE"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F8E422E"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Cost of goods sold</w:t>
            </w:r>
          </w:p>
        </w:tc>
        <w:tc>
          <w:tcPr>
            <w:tcW w:w="1678" w:type="pct"/>
            <w:vMerge/>
            <w:tcBorders>
              <w:bottom w:val="single" w:sz="7" w:space="0" w:color="000000"/>
              <w:right w:val="single" w:sz="7" w:space="0" w:color="000000"/>
            </w:tcBorders>
            <w:shd w:val="clear" w:color="auto" w:fill="auto"/>
            <w:tcMar>
              <w:top w:w="100" w:type="dxa"/>
              <w:left w:w="100" w:type="dxa"/>
              <w:bottom w:w="100" w:type="dxa"/>
              <w:right w:w="100" w:type="dxa"/>
            </w:tcMar>
          </w:tcPr>
          <w:p w14:paraId="1F8DC66A"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D0192F9"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3235</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070125A"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3096</w:t>
            </w:r>
          </w:p>
        </w:tc>
      </w:tr>
      <w:tr w:rsidR="00EE4612" w:rsidRPr="00170191" w14:paraId="3109DDB3"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2A45813"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Answer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5D3B53B"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5DC7A98"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79.8825</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657CABF"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77.6922</w:t>
            </w:r>
          </w:p>
        </w:tc>
      </w:tr>
      <w:tr w:rsidR="00EE4612" w:rsidRPr="00170191" w14:paraId="1115219E" w14:textId="77777777" w:rsidTr="00170191">
        <w:trPr>
          <w:cantSplit/>
          <w:trHeight w:val="51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628AED79"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6C525CF"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4482A6C"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F906239"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660547D9"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2B75614"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lastRenderedPageBreak/>
              <w:t>7. Debtors collection period</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E6E397E"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Formula</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5A09D45"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DBE3BB4"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2020</w:t>
            </w:r>
          </w:p>
        </w:tc>
      </w:tr>
      <w:tr w:rsidR="00EE4612" w:rsidRPr="00170191" w14:paraId="61ED339B"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3A23967"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Debtors value</w:t>
            </w:r>
          </w:p>
        </w:tc>
        <w:tc>
          <w:tcPr>
            <w:tcW w:w="1678" w:type="pct"/>
            <w:vMerge w:val="restar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1812200" w14:textId="77777777" w:rsidR="00EE4612" w:rsidRPr="00170191" w:rsidRDefault="005D7182">
            <w:pPr>
              <w:pStyle w:val="Normal1"/>
              <w:spacing w:before="240" w:line="360" w:lineRule="auto"/>
              <w:jc w:val="cente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(Debtors value/ Annual credit </w:t>
            </w:r>
            <w:proofErr w:type="gramStart"/>
            <w:r w:rsidRPr="00170191">
              <w:rPr>
                <w:rFonts w:ascii="Times New Roman" w:eastAsia="Times New Roman" w:hAnsi="Times New Roman" w:cs="Times New Roman"/>
                <w:sz w:val="24"/>
                <w:szCs w:val="24"/>
                <w:lang w:val="en-GB"/>
              </w:rPr>
              <w:t>sales)*</w:t>
            </w:r>
            <w:proofErr w:type="gramEnd"/>
            <w:r w:rsidRPr="00170191">
              <w:rPr>
                <w:rFonts w:ascii="Times New Roman" w:eastAsia="Times New Roman" w:hAnsi="Times New Roman" w:cs="Times New Roman"/>
                <w:sz w:val="24"/>
                <w:szCs w:val="24"/>
                <w:lang w:val="en-GB"/>
              </w:rPr>
              <w:t>365</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2021DF6"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1249</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644368A"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1287</w:t>
            </w:r>
          </w:p>
        </w:tc>
      </w:tr>
      <w:tr w:rsidR="00EE4612" w:rsidRPr="00170191" w14:paraId="2EBC897F"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63E1BB97"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Annual credit sales</w:t>
            </w:r>
          </w:p>
        </w:tc>
        <w:tc>
          <w:tcPr>
            <w:tcW w:w="1678" w:type="pct"/>
            <w:vMerge/>
            <w:tcBorders>
              <w:bottom w:val="single" w:sz="7" w:space="0" w:color="000000"/>
              <w:right w:val="single" w:sz="7" w:space="0" w:color="000000"/>
            </w:tcBorders>
            <w:shd w:val="clear" w:color="auto" w:fill="auto"/>
            <w:tcMar>
              <w:top w:w="100" w:type="dxa"/>
              <w:left w:w="100" w:type="dxa"/>
              <w:bottom w:w="100" w:type="dxa"/>
              <w:right w:w="100" w:type="dxa"/>
            </w:tcMar>
          </w:tcPr>
          <w:p w14:paraId="65E67A7A"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5F5865E"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6738</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7309B24"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6441</w:t>
            </w:r>
          </w:p>
        </w:tc>
      </w:tr>
      <w:tr w:rsidR="00EE4612" w:rsidRPr="00170191" w14:paraId="0B4C8016"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1F3A9AD"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Answer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BC111D6"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8D61D3A"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67.6588</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92C15C8"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72.932</w:t>
            </w:r>
          </w:p>
        </w:tc>
      </w:tr>
      <w:tr w:rsidR="00EE4612" w:rsidRPr="00170191" w14:paraId="3A620DDD" w14:textId="77777777" w:rsidTr="00170191">
        <w:trPr>
          <w:cantSplit/>
          <w:trHeight w:val="51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10DA8B16"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B167C39"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8A85726"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D240860"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26BA9FF6"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5EBA9998"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8. Current ratio</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7A352E8"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Formula</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FB05D55"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BF9518E"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2020</w:t>
            </w:r>
          </w:p>
        </w:tc>
      </w:tr>
      <w:tr w:rsidR="00EE4612" w:rsidRPr="00170191" w14:paraId="67D9DB64"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60975F15"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Current assets</w:t>
            </w:r>
          </w:p>
        </w:tc>
        <w:tc>
          <w:tcPr>
            <w:tcW w:w="1678" w:type="pct"/>
            <w:vMerge w:val="restar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A2783BE" w14:textId="77777777" w:rsidR="00EE4612" w:rsidRPr="00170191" w:rsidRDefault="005D7182">
            <w:pPr>
              <w:pStyle w:val="Normal1"/>
              <w:spacing w:before="240" w:line="360" w:lineRule="auto"/>
              <w:jc w:val="cente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Current assets / Current liabilities</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8F5E511"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2303</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C619D3D"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2355</w:t>
            </w:r>
          </w:p>
        </w:tc>
      </w:tr>
      <w:tr w:rsidR="00EE4612" w:rsidRPr="00170191" w14:paraId="48DC5488"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2BC267F1"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Current Liability</w:t>
            </w:r>
          </w:p>
        </w:tc>
        <w:tc>
          <w:tcPr>
            <w:tcW w:w="1678" w:type="pct"/>
            <w:vMerge/>
            <w:tcBorders>
              <w:bottom w:val="single" w:sz="7" w:space="0" w:color="000000"/>
              <w:right w:val="single" w:sz="7" w:space="0" w:color="000000"/>
            </w:tcBorders>
            <w:shd w:val="clear" w:color="auto" w:fill="auto"/>
            <w:tcMar>
              <w:top w:w="100" w:type="dxa"/>
              <w:left w:w="100" w:type="dxa"/>
              <w:bottom w:w="100" w:type="dxa"/>
              <w:right w:w="100" w:type="dxa"/>
            </w:tcMar>
          </w:tcPr>
          <w:p w14:paraId="5C1A4F82"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8690896"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2511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07B64F1"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3046</w:t>
            </w:r>
          </w:p>
        </w:tc>
      </w:tr>
      <w:tr w:rsidR="00EE4612" w:rsidRPr="00170191" w14:paraId="4202CA69"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7A3BD4C"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Answer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FA1E8EB"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171772F"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0.91716</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8F60AA2"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0.77315</w:t>
            </w:r>
          </w:p>
        </w:tc>
      </w:tr>
      <w:tr w:rsidR="00EE4612" w:rsidRPr="00170191" w14:paraId="697F0166" w14:textId="77777777" w:rsidTr="00170191">
        <w:trPr>
          <w:cantSplit/>
          <w:trHeight w:val="51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001BE4A8"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91FB196"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FEC95F1"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2412D99"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43E9D577"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8659672"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9. Gearing ratio</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C497EEF"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Formula</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A9789C4"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28CF042"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2020</w:t>
            </w:r>
          </w:p>
        </w:tc>
      </w:tr>
      <w:tr w:rsidR="00EE4612" w:rsidRPr="00170191" w14:paraId="52CDAAE6"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CAF06A0"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Total debt</w:t>
            </w:r>
          </w:p>
        </w:tc>
        <w:tc>
          <w:tcPr>
            <w:tcW w:w="1678" w:type="pct"/>
            <w:vMerge w:val="restar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619E2481" w14:textId="77777777" w:rsidR="00EE4612" w:rsidRPr="00170191" w:rsidRDefault="005D7182">
            <w:pPr>
              <w:pStyle w:val="Normal1"/>
              <w:spacing w:before="240" w:line="360" w:lineRule="auto"/>
              <w:jc w:val="cente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Total debt/ Total shareholders’ equity</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AEB56C9"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4137</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16D2268"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4129</w:t>
            </w:r>
          </w:p>
        </w:tc>
      </w:tr>
      <w:tr w:rsidR="00EE4612" w:rsidRPr="00170191" w14:paraId="13D72897"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37221F76"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Total shareholders’ equity</w:t>
            </w:r>
          </w:p>
        </w:tc>
        <w:tc>
          <w:tcPr>
            <w:tcW w:w="1678" w:type="pct"/>
            <w:vMerge/>
            <w:tcBorders>
              <w:bottom w:val="single" w:sz="7" w:space="0" w:color="000000"/>
              <w:right w:val="single" w:sz="7" w:space="0" w:color="000000"/>
            </w:tcBorders>
            <w:shd w:val="clear" w:color="auto" w:fill="auto"/>
            <w:tcMar>
              <w:top w:w="100" w:type="dxa"/>
              <w:left w:w="100" w:type="dxa"/>
              <w:bottom w:w="100" w:type="dxa"/>
              <w:right w:w="100" w:type="dxa"/>
            </w:tcMar>
          </w:tcPr>
          <w:p w14:paraId="331DB202"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542BCCA"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3088</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C513E7D"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2912</w:t>
            </w:r>
          </w:p>
        </w:tc>
      </w:tr>
      <w:tr w:rsidR="00EE4612" w:rsidRPr="00170191" w14:paraId="50237457"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403CE0E7"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Answer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A8CD2A9"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77A87F2"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1.3397</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2BE0DC8"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1.41793</w:t>
            </w:r>
          </w:p>
        </w:tc>
      </w:tr>
      <w:tr w:rsidR="00EE4612" w:rsidRPr="00170191" w14:paraId="37661380" w14:textId="77777777" w:rsidTr="00170191">
        <w:trPr>
          <w:cantSplit/>
          <w:trHeight w:val="51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7B3320C5"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737D1D60"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1DCD6CD"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02931BE" w14:textId="77777777" w:rsidR="00EE4612" w:rsidRPr="00170191" w:rsidRDefault="00EE4612">
            <w:pPr>
              <w:pStyle w:val="Normal1"/>
              <w:widowControl w:val="0"/>
              <w:pBdr>
                <w:top w:val="nil"/>
                <w:left w:val="nil"/>
                <w:bottom w:val="nil"/>
                <w:right w:val="nil"/>
                <w:between w:val="nil"/>
              </w:pBdr>
              <w:rPr>
                <w:rFonts w:ascii="Times New Roman" w:eastAsia="Times New Roman" w:hAnsi="Times New Roman" w:cs="Times New Roman"/>
                <w:sz w:val="24"/>
                <w:szCs w:val="24"/>
                <w:lang w:val="en-GB"/>
              </w:rPr>
            </w:pPr>
          </w:p>
        </w:tc>
      </w:tr>
      <w:tr w:rsidR="00EE4612" w:rsidRPr="00170191" w14:paraId="419AA10A"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6206E84B"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lastRenderedPageBreak/>
              <w:t>10. Interest cover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E0A7A6F" w14:textId="77777777" w:rsidR="00EE4612" w:rsidRPr="00170191" w:rsidRDefault="005D7182">
            <w:pPr>
              <w:pStyle w:val="Normal1"/>
              <w:spacing w:before="240"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Formula</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307D176"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2021</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DFB6D3D" w14:textId="77777777" w:rsidR="00EE4612" w:rsidRPr="00170191" w:rsidRDefault="005D7182">
            <w:pPr>
              <w:pStyle w:val="Normal1"/>
              <w:spacing w:before="240" w:line="360" w:lineRule="auto"/>
              <w:jc w:val="right"/>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2020</w:t>
            </w:r>
          </w:p>
        </w:tc>
      </w:tr>
      <w:tr w:rsidR="00EE4612" w:rsidRPr="00170191" w14:paraId="27E4C578"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6420DB57"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EBIT</w:t>
            </w:r>
          </w:p>
        </w:tc>
        <w:tc>
          <w:tcPr>
            <w:tcW w:w="1678" w:type="pct"/>
            <w:vMerge w:val="restar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B8B8939" w14:textId="77777777" w:rsidR="00EE4612" w:rsidRPr="00170191" w:rsidRDefault="005D7182">
            <w:pPr>
              <w:pStyle w:val="Normal1"/>
              <w:spacing w:before="240" w:line="360" w:lineRule="auto"/>
              <w:jc w:val="center"/>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EBIT/ Interest exp</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31C29C6"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805</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3A7B5125"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699</w:t>
            </w:r>
          </w:p>
        </w:tc>
      </w:tr>
      <w:tr w:rsidR="00EE4612" w:rsidRPr="00170191" w14:paraId="2F40D0A9"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0E785BF2"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Interest expenses</w:t>
            </w:r>
          </w:p>
        </w:tc>
        <w:tc>
          <w:tcPr>
            <w:tcW w:w="1678" w:type="pct"/>
            <w:vMerge/>
            <w:tcBorders>
              <w:bottom w:val="single" w:sz="7" w:space="0" w:color="000000"/>
              <w:right w:val="single" w:sz="7" w:space="0" w:color="000000"/>
            </w:tcBorders>
            <w:shd w:val="clear" w:color="auto" w:fill="auto"/>
            <w:tcMar>
              <w:top w:w="100" w:type="dxa"/>
              <w:left w:w="100" w:type="dxa"/>
              <w:bottom w:w="100" w:type="dxa"/>
              <w:right w:w="100" w:type="dxa"/>
            </w:tcMar>
          </w:tcPr>
          <w:p w14:paraId="3A6C141A"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5F4C0455"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226</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024F1763"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181</w:t>
            </w:r>
          </w:p>
        </w:tc>
      </w:tr>
      <w:tr w:rsidR="00EE4612" w:rsidRPr="00170191" w14:paraId="050F9C92" w14:textId="77777777" w:rsidTr="00170191">
        <w:trPr>
          <w:cantSplit/>
          <w:trHeight w:val="575"/>
          <w:tblHeader/>
        </w:trPr>
        <w:tc>
          <w:tcPr>
            <w:tcW w:w="1915" w:type="pct"/>
            <w:tcBorders>
              <w:top w:val="nil"/>
              <w:left w:val="single" w:sz="7" w:space="0" w:color="000000"/>
              <w:bottom w:val="single" w:sz="7" w:space="0" w:color="000000"/>
              <w:right w:val="single" w:sz="7" w:space="0" w:color="000000"/>
            </w:tcBorders>
            <w:shd w:val="clear" w:color="auto" w:fill="auto"/>
            <w:tcMar>
              <w:top w:w="100" w:type="dxa"/>
              <w:left w:w="100" w:type="dxa"/>
              <w:bottom w:w="100" w:type="dxa"/>
              <w:right w:w="100" w:type="dxa"/>
            </w:tcMar>
            <w:vAlign w:val="bottom"/>
          </w:tcPr>
          <w:p w14:paraId="6491B6DD" w14:textId="77777777" w:rsidR="00EE4612" w:rsidRPr="00170191" w:rsidRDefault="005D7182">
            <w:pPr>
              <w:pStyle w:val="Normal1"/>
              <w:spacing w:before="240"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Answer</w:t>
            </w:r>
          </w:p>
        </w:tc>
        <w:tc>
          <w:tcPr>
            <w:tcW w:w="1678"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45213A77"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26CCBC93"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3.56195</w:t>
            </w:r>
          </w:p>
        </w:tc>
        <w:tc>
          <w:tcPr>
            <w:tcW w:w="703" w:type="pct"/>
            <w:tcBorders>
              <w:top w:val="nil"/>
              <w:left w:val="nil"/>
              <w:bottom w:val="single" w:sz="7" w:space="0" w:color="000000"/>
              <w:right w:val="single" w:sz="7" w:space="0" w:color="000000"/>
            </w:tcBorders>
            <w:shd w:val="clear" w:color="auto" w:fill="auto"/>
            <w:tcMar>
              <w:top w:w="100" w:type="dxa"/>
              <w:left w:w="100" w:type="dxa"/>
              <w:bottom w:w="100" w:type="dxa"/>
              <w:right w:w="100" w:type="dxa"/>
            </w:tcMar>
            <w:vAlign w:val="bottom"/>
          </w:tcPr>
          <w:p w14:paraId="176B28F9" w14:textId="77777777" w:rsidR="00EE4612" w:rsidRPr="00170191" w:rsidRDefault="005D7182">
            <w:pPr>
              <w:pStyle w:val="Normal1"/>
              <w:spacing w:before="240" w:line="360" w:lineRule="auto"/>
              <w:jc w:val="right"/>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3.86188</w:t>
            </w:r>
          </w:p>
        </w:tc>
      </w:tr>
    </w:tbl>
    <w:p w14:paraId="42F644C9" w14:textId="77777777" w:rsidR="00EE4612" w:rsidRPr="00170191" w:rsidRDefault="00EE4612">
      <w:pPr>
        <w:pStyle w:val="Normal1"/>
        <w:spacing w:line="360" w:lineRule="auto"/>
        <w:jc w:val="both"/>
        <w:rPr>
          <w:rFonts w:ascii="Times New Roman" w:eastAsia="Times New Roman" w:hAnsi="Times New Roman" w:cs="Times New Roman"/>
          <w:sz w:val="24"/>
          <w:szCs w:val="24"/>
          <w:lang w:val="en-GB"/>
        </w:rPr>
      </w:pPr>
    </w:p>
    <w:p w14:paraId="7CB9B240" w14:textId="77777777" w:rsidR="00EE4612" w:rsidRPr="00170191" w:rsidRDefault="005D7182">
      <w:pPr>
        <w:pStyle w:val="Normal1"/>
        <w:numPr>
          <w:ilvl w:val="0"/>
          <w:numId w:val="2"/>
        </w:numPr>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Comment on the financial performance</w:t>
      </w:r>
    </w:p>
    <w:p w14:paraId="7AF83C47" w14:textId="77777777" w:rsidR="00EE4612" w:rsidRPr="00170191" w:rsidRDefault="005D7182">
      <w:pPr>
        <w:pStyle w:val="Normal1"/>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Return on capital employed (ROCE)</w:t>
      </w:r>
    </w:p>
    <w:p w14:paraId="202D79E3" w14:textId="77777777"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ROCE is </w:t>
      </w:r>
      <w:r w:rsidR="00170191" w:rsidRPr="00170191">
        <w:rPr>
          <w:rFonts w:ascii="Times New Roman" w:eastAsia="Times New Roman" w:hAnsi="Times New Roman" w:cs="Times New Roman"/>
          <w:sz w:val="24"/>
          <w:szCs w:val="24"/>
          <w:lang w:val="en-GB"/>
        </w:rPr>
        <w:t>calculated</w:t>
      </w:r>
      <w:r w:rsidRPr="00170191">
        <w:rPr>
          <w:rFonts w:ascii="Times New Roman" w:eastAsia="Times New Roman" w:hAnsi="Times New Roman" w:cs="Times New Roman"/>
          <w:sz w:val="24"/>
          <w:szCs w:val="24"/>
          <w:lang w:val="en-GB"/>
        </w:rPr>
        <w:t xml:space="preserve"> to interpret the return made by Sweet PLC </w:t>
      </w:r>
      <w:r w:rsidR="000B586B" w:rsidRPr="00170191">
        <w:rPr>
          <w:rFonts w:ascii="Times New Roman" w:eastAsia="Times New Roman" w:hAnsi="Times New Roman" w:cs="Times New Roman"/>
          <w:sz w:val="24"/>
          <w:szCs w:val="24"/>
          <w:lang w:val="en-GB"/>
        </w:rPr>
        <w:t>against</w:t>
      </w:r>
      <w:r w:rsidRPr="00170191">
        <w:rPr>
          <w:rFonts w:ascii="Times New Roman" w:eastAsia="Times New Roman" w:hAnsi="Times New Roman" w:cs="Times New Roman"/>
          <w:sz w:val="24"/>
          <w:szCs w:val="24"/>
          <w:lang w:val="en-GB"/>
        </w:rPr>
        <w:t xml:space="preserve"> the total capital. In the calculation of total capital both the debt capital and equity capital were considered (</w:t>
      </w:r>
      <w:proofErr w:type="spellStart"/>
      <w:r w:rsidRPr="00170191">
        <w:rPr>
          <w:rFonts w:ascii="Times New Roman" w:eastAsia="Times New Roman" w:hAnsi="Times New Roman" w:cs="Times New Roman"/>
          <w:color w:val="222222"/>
          <w:sz w:val="24"/>
          <w:szCs w:val="24"/>
          <w:highlight w:val="white"/>
          <w:lang w:val="en-GB"/>
        </w:rPr>
        <w:t>Nießner</w:t>
      </w:r>
      <w:proofErr w:type="spellEnd"/>
      <w:r w:rsidRPr="00170191">
        <w:rPr>
          <w:rFonts w:ascii="Times New Roman" w:eastAsia="Times New Roman" w:hAnsi="Times New Roman" w:cs="Times New Roman"/>
          <w:color w:val="222222"/>
          <w:sz w:val="24"/>
          <w:szCs w:val="24"/>
          <w:highlight w:val="white"/>
          <w:lang w:val="en-GB"/>
        </w:rPr>
        <w:t xml:space="preserve"> et al., 2021)</w:t>
      </w:r>
      <w:r w:rsidR="00170191">
        <w:rPr>
          <w:rFonts w:ascii="Times New Roman" w:eastAsia="Times New Roman" w:hAnsi="Times New Roman" w:cs="Times New Roman"/>
          <w:color w:val="222222"/>
          <w:sz w:val="24"/>
          <w:szCs w:val="24"/>
          <w:lang w:val="en-GB"/>
        </w:rPr>
        <w:t>.</w:t>
      </w:r>
      <w:r w:rsidRPr="00170191">
        <w:rPr>
          <w:rFonts w:ascii="Times New Roman" w:eastAsia="Times New Roman" w:hAnsi="Times New Roman" w:cs="Times New Roman"/>
          <w:sz w:val="24"/>
          <w:szCs w:val="24"/>
          <w:lang w:val="en-GB"/>
        </w:rPr>
        <w:t xml:space="preserve"> </w:t>
      </w:r>
      <w:r w:rsidR="00170191">
        <w:rPr>
          <w:rFonts w:ascii="Times New Roman" w:eastAsia="Times New Roman" w:hAnsi="Times New Roman" w:cs="Times New Roman"/>
          <w:sz w:val="24"/>
          <w:szCs w:val="24"/>
          <w:lang w:val="en-GB"/>
        </w:rPr>
        <w:t>F</w:t>
      </w:r>
      <w:r w:rsidR="00170191" w:rsidRPr="00170191">
        <w:rPr>
          <w:rFonts w:ascii="Times New Roman" w:eastAsia="Times New Roman" w:hAnsi="Times New Roman" w:cs="Times New Roman"/>
          <w:sz w:val="24"/>
          <w:szCs w:val="24"/>
          <w:lang w:val="en-GB"/>
        </w:rPr>
        <w:t>rom</w:t>
      </w:r>
      <w:r w:rsidRPr="00170191">
        <w:rPr>
          <w:rFonts w:ascii="Times New Roman" w:eastAsia="Times New Roman" w:hAnsi="Times New Roman" w:cs="Times New Roman"/>
          <w:sz w:val="24"/>
          <w:szCs w:val="24"/>
          <w:lang w:val="en-GB"/>
        </w:rPr>
        <w:t xml:space="preserve"> the above table it can be observed that in 2020 </w:t>
      </w:r>
      <w:r w:rsidR="004358DC" w:rsidRPr="00170191">
        <w:rPr>
          <w:rFonts w:ascii="Times New Roman" w:eastAsia="Times New Roman" w:hAnsi="Times New Roman" w:cs="Times New Roman"/>
          <w:sz w:val="24"/>
          <w:szCs w:val="24"/>
          <w:lang w:val="en-GB"/>
        </w:rPr>
        <w:t>ROCE</w:t>
      </w:r>
      <w:r w:rsidRPr="00170191">
        <w:rPr>
          <w:rFonts w:ascii="Times New Roman" w:eastAsia="Times New Roman" w:hAnsi="Times New Roman" w:cs="Times New Roman"/>
          <w:sz w:val="24"/>
          <w:szCs w:val="24"/>
          <w:lang w:val="en-GB"/>
        </w:rPr>
        <w:t xml:space="preserve"> ratio was 9.7% and in 2021 </w:t>
      </w:r>
      <w:r w:rsidR="004358DC" w:rsidRPr="00170191">
        <w:rPr>
          <w:rFonts w:ascii="Times New Roman" w:eastAsia="Times New Roman" w:hAnsi="Times New Roman" w:cs="Times New Roman"/>
          <w:sz w:val="24"/>
          <w:szCs w:val="24"/>
          <w:lang w:val="en-GB"/>
        </w:rPr>
        <w:t>ROCE</w:t>
      </w:r>
      <w:r w:rsidRPr="00170191">
        <w:rPr>
          <w:rFonts w:ascii="Times New Roman" w:eastAsia="Times New Roman" w:hAnsi="Times New Roman" w:cs="Times New Roman"/>
          <w:sz w:val="24"/>
          <w:szCs w:val="24"/>
          <w:lang w:val="en-GB"/>
        </w:rPr>
        <w:t xml:space="preserve"> improved to 11.1%. The improvement in </w:t>
      </w:r>
      <w:r w:rsidR="004358DC" w:rsidRPr="00170191">
        <w:rPr>
          <w:rFonts w:ascii="Times New Roman" w:eastAsia="Times New Roman" w:hAnsi="Times New Roman" w:cs="Times New Roman"/>
          <w:sz w:val="24"/>
          <w:szCs w:val="24"/>
          <w:lang w:val="en-GB"/>
        </w:rPr>
        <w:t>ROCE</w:t>
      </w:r>
      <w:r w:rsidRPr="00170191">
        <w:rPr>
          <w:rFonts w:ascii="Times New Roman" w:eastAsia="Times New Roman" w:hAnsi="Times New Roman" w:cs="Times New Roman"/>
          <w:sz w:val="24"/>
          <w:szCs w:val="24"/>
          <w:lang w:val="en-GB"/>
        </w:rPr>
        <w:t xml:space="preserve"> was mainly because of an increase in EBIT. The Organisation was successful in managing the operation of activities and improving the </w:t>
      </w:r>
      <w:r w:rsidR="00170191" w:rsidRPr="00170191">
        <w:rPr>
          <w:rFonts w:ascii="Times New Roman" w:eastAsia="Times New Roman" w:hAnsi="Times New Roman" w:cs="Times New Roman"/>
          <w:sz w:val="24"/>
          <w:szCs w:val="24"/>
          <w:lang w:val="en-GB"/>
        </w:rPr>
        <w:t>earnings</w:t>
      </w:r>
      <w:r w:rsidRPr="00170191">
        <w:rPr>
          <w:rFonts w:ascii="Times New Roman" w:eastAsia="Times New Roman" w:hAnsi="Times New Roman" w:cs="Times New Roman"/>
          <w:sz w:val="24"/>
          <w:szCs w:val="24"/>
          <w:lang w:val="en-GB"/>
        </w:rPr>
        <w:t xml:space="preserve"> before interest and Taxes. Because of internal confirmation, Sweet PLC was successful in providing better returns.</w:t>
      </w:r>
    </w:p>
    <w:p w14:paraId="0BA9CA51" w14:textId="77777777" w:rsidR="00EE4612" w:rsidRPr="00170191" w:rsidRDefault="005D7182">
      <w:pPr>
        <w:pStyle w:val="Normal1"/>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 xml:space="preserve">Return on </w:t>
      </w:r>
      <w:proofErr w:type="gramStart"/>
      <w:r w:rsidRPr="00170191">
        <w:rPr>
          <w:rFonts w:ascii="Times New Roman" w:eastAsia="Times New Roman" w:hAnsi="Times New Roman" w:cs="Times New Roman"/>
          <w:b/>
          <w:sz w:val="24"/>
          <w:szCs w:val="24"/>
          <w:lang w:val="en-GB"/>
        </w:rPr>
        <w:t>equity</w:t>
      </w:r>
      <w:proofErr w:type="gramEnd"/>
    </w:p>
    <w:p w14:paraId="0BC33888" w14:textId="77777777"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Return on equity is another form of profitability ratio. This ratio is quite important to the equity shareholders because it is used to calculate the return made by a company by using the equity share capital (</w:t>
      </w:r>
      <w:r w:rsidRPr="00170191">
        <w:rPr>
          <w:rFonts w:ascii="Times New Roman" w:eastAsia="Times New Roman" w:hAnsi="Times New Roman" w:cs="Times New Roman"/>
          <w:color w:val="222222"/>
          <w:sz w:val="24"/>
          <w:szCs w:val="24"/>
          <w:highlight w:val="white"/>
          <w:lang w:val="en-GB"/>
        </w:rPr>
        <w:t>Kulkarni, 2020).</w:t>
      </w:r>
      <w:r w:rsidRPr="00170191">
        <w:rPr>
          <w:rFonts w:ascii="Times New Roman" w:eastAsia="Times New Roman" w:hAnsi="Times New Roman" w:cs="Times New Roman"/>
          <w:sz w:val="24"/>
          <w:szCs w:val="24"/>
          <w:lang w:val="en-GB"/>
        </w:rPr>
        <w:t xml:space="preserve"> In 2020, the value of return on equity of Sweet PLC was 12.6% and in 2021 this ratio increased to 14%. The main reason for such an increase in this ratio was mainly because the net income of the company increased. In this scenario, it can be said that this organisation was proficient in improving the net profit and it interpreted that the management of the company implemented </w:t>
      </w:r>
      <w:r w:rsidR="000B586B" w:rsidRPr="00170191">
        <w:rPr>
          <w:rFonts w:ascii="Times New Roman" w:eastAsia="Times New Roman" w:hAnsi="Times New Roman" w:cs="Times New Roman"/>
          <w:sz w:val="24"/>
          <w:szCs w:val="24"/>
          <w:lang w:val="en-GB"/>
        </w:rPr>
        <w:t>various</w:t>
      </w:r>
      <w:r w:rsidRPr="00170191">
        <w:rPr>
          <w:rFonts w:ascii="Times New Roman" w:eastAsia="Times New Roman" w:hAnsi="Times New Roman" w:cs="Times New Roman"/>
          <w:sz w:val="24"/>
          <w:szCs w:val="24"/>
          <w:lang w:val="en-GB"/>
        </w:rPr>
        <w:t xml:space="preserve"> measures to improve net profit compared to the previous year.</w:t>
      </w:r>
    </w:p>
    <w:p w14:paraId="5B5C683C" w14:textId="77777777" w:rsidR="00EE4612" w:rsidRPr="00170191" w:rsidRDefault="00170191">
      <w:pPr>
        <w:pStyle w:val="Normal1"/>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Earnings</w:t>
      </w:r>
      <w:r w:rsidR="005D7182" w:rsidRPr="00170191">
        <w:rPr>
          <w:rFonts w:ascii="Times New Roman" w:eastAsia="Times New Roman" w:hAnsi="Times New Roman" w:cs="Times New Roman"/>
          <w:b/>
          <w:sz w:val="24"/>
          <w:szCs w:val="24"/>
          <w:lang w:val="en-GB"/>
        </w:rPr>
        <w:t xml:space="preserve"> per share</w:t>
      </w:r>
    </w:p>
    <w:p w14:paraId="0317B3CC" w14:textId="77777777"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Earning for share is another profitability ratio that is used to calculate the total earnings of every share. </w:t>
      </w:r>
      <w:r w:rsidR="000B586B" w:rsidRPr="00170191">
        <w:rPr>
          <w:rFonts w:ascii="Times New Roman" w:eastAsia="Times New Roman" w:hAnsi="Times New Roman" w:cs="Times New Roman"/>
          <w:sz w:val="24"/>
          <w:szCs w:val="24"/>
          <w:lang w:val="en-GB"/>
        </w:rPr>
        <w:t>Earnings per share depend</w:t>
      </w:r>
      <w:r w:rsidRPr="00170191">
        <w:rPr>
          <w:rFonts w:ascii="Times New Roman" w:eastAsia="Times New Roman" w:hAnsi="Times New Roman" w:cs="Times New Roman"/>
          <w:sz w:val="24"/>
          <w:szCs w:val="24"/>
          <w:lang w:val="en-GB"/>
        </w:rPr>
        <w:t xml:space="preserve"> on the number of outstanding shares of the </w:t>
      </w:r>
      <w:r w:rsidR="004358DC" w:rsidRPr="00170191">
        <w:rPr>
          <w:rFonts w:ascii="Times New Roman" w:eastAsia="Times New Roman" w:hAnsi="Times New Roman" w:cs="Times New Roman"/>
          <w:sz w:val="24"/>
          <w:szCs w:val="24"/>
          <w:lang w:val="en-GB"/>
        </w:rPr>
        <w:t>Sweet PLC</w:t>
      </w:r>
      <w:r w:rsidRPr="00170191">
        <w:rPr>
          <w:rFonts w:ascii="Times New Roman" w:eastAsia="Times New Roman" w:hAnsi="Times New Roman" w:cs="Times New Roman"/>
          <w:sz w:val="24"/>
          <w:szCs w:val="24"/>
          <w:lang w:val="en-GB"/>
        </w:rPr>
        <w:t xml:space="preserve">. From the balance sheet of Sweet PLC, it can be observed that the number of outstanding shares of this organisation was the same in 2020 and 2021. However, in 2020, it was 0.61 and in 2021 it increased </w:t>
      </w:r>
      <w:r w:rsidRPr="00170191">
        <w:rPr>
          <w:rFonts w:ascii="Times New Roman" w:eastAsia="Times New Roman" w:hAnsi="Times New Roman" w:cs="Times New Roman"/>
          <w:sz w:val="24"/>
          <w:szCs w:val="24"/>
          <w:lang w:val="en-GB"/>
        </w:rPr>
        <w:lastRenderedPageBreak/>
        <w:t xml:space="preserve">to 0.718. The main reason for such an improvement in EPS was mainly because of an increment in the net income. In this context, it can be said that Sweet PLC was efficient in 2021 to suitable using the economic resources to earn more profit. </w:t>
      </w:r>
    </w:p>
    <w:p w14:paraId="3F593F19" w14:textId="77777777" w:rsidR="00EE4612" w:rsidRPr="00170191" w:rsidRDefault="005D7182">
      <w:pPr>
        <w:pStyle w:val="Normal1"/>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Net profit margin</w:t>
      </w:r>
    </w:p>
    <w:p w14:paraId="5DD67F72" w14:textId="77777777"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Net profit margin is also used to determine the profitability of a business organisation. This ratio is calculated by dividing net profit by the total revenue earned in a particular financial year. This ratio interprets the capability of the company to earn net profit by using resources. In 2020 this ratio was 5.7% and in 2021 this ratio increased to 6.4%. The main reasons for the improvement in the net profit margin of this company were mainly because of an increase in the efficiency of Management and leadership, better marketing and advertisement and control over operational expenses (</w:t>
      </w:r>
      <w:proofErr w:type="spellStart"/>
      <w:r w:rsidRPr="00170191">
        <w:rPr>
          <w:rFonts w:ascii="Times New Roman" w:eastAsia="Times New Roman" w:hAnsi="Times New Roman" w:cs="Times New Roman"/>
          <w:color w:val="222222"/>
          <w:sz w:val="24"/>
          <w:szCs w:val="24"/>
          <w:highlight w:val="white"/>
          <w:lang w:val="en-GB"/>
        </w:rPr>
        <w:t>Zdanovskis</w:t>
      </w:r>
      <w:proofErr w:type="spellEnd"/>
      <w:r w:rsidRPr="00170191">
        <w:rPr>
          <w:rFonts w:ascii="Times New Roman" w:eastAsia="Times New Roman" w:hAnsi="Times New Roman" w:cs="Times New Roman"/>
          <w:color w:val="222222"/>
          <w:sz w:val="24"/>
          <w:szCs w:val="24"/>
          <w:highlight w:val="white"/>
          <w:lang w:val="en-GB"/>
        </w:rPr>
        <w:t xml:space="preserve"> and </w:t>
      </w:r>
      <w:proofErr w:type="spellStart"/>
      <w:r w:rsidRPr="00170191">
        <w:rPr>
          <w:rFonts w:ascii="Times New Roman" w:eastAsia="Times New Roman" w:hAnsi="Times New Roman" w:cs="Times New Roman"/>
          <w:color w:val="222222"/>
          <w:sz w:val="24"/>
          <w:szCs w:val="24"/>
          <w:highlight w:val="white"/>
          <w:lang w:val="en-GB"/>
        </w:rPr>
        <w:t>Pilvere</w:t>
      </w:r>
      <w:proofErr w:type="spellEnd"/>
      <w:r w:rsidRPr="00170191">
        <w:rPr>
          <w:rFonts w:ascii="Times New Roman" w:eastAsia="Times New Roman" w:hAnsi="Times New Roman" w:cs="Times New Roman"/>
          <w:color w:val="222222"/>
          <w:sz w:val="24"/>
          <w:szCs w:val="24"/>
          <w:highlight w:val="white"/>
          <w:lang w:val="en-GB"/>
        </w:rPr>
        <w:t>, 2019)</w:t>
      </w:r>
      <w:r w:rsidRPr="00170191">
        <w:rPr>
          <w:rFonts w:ascii="Times New Roman" w:eastAsia="Times New Roman" w:hAnsi="Times New Roman" w:cs="Times New Roman"/>
          <w:sz w:val="24"/>
          <w:szCs w:val="24"/>
          <w:lang w:val="en-GB"/>
        </w:rPr>
        <w:t>.</w:t>
      </w:r>
    </w:p>
    <w:p w14:paraId="08E40F56" w14:textId="77777777" w:rsidR="00EE4612" w:rsidRPr="00170191" w:rsidRDefault="005D7182">
      <w:pPr>
        <w:pStyle w:val="Normal1"/>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Asset turnover</w:t>
      </w:r>
    </w:p>
    <w:p w14:paraId="302CFE55" w14:textId="77777777"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Asset turnover ratio is the efficiency ratio that helps in determining the efficiency of Sweet PLC in managing the assets to generate more revenue. In 2020 the value of the asset turnover ratio of this company was 0.63 and in 2021 it increased to 0.69. The improvement in the Asset turnover ratio denotes that Sweet PLC was able to manage its assets better in 2021 compared to the previous accounting year. In order to improve the asset turnover </w:t>
      </w:r>
      <w:proofErr w:type="gramStart"/>
      <w:r w:rsidRPr="00170191">
        <w:rPr>
          <w:rFonts w:ascii="Times New Roman" w:eastAsia="Times New Roman" w:hAnsi="Times New Roman" w:cs="Times New Roman"/>
          <w:sz w:val="24"/>
          <w:szCs w:val="24"/>
          <w:lang w:val="en-GB"/>
        </w:rPr>
        <w:t>ratio</w:t>
      </w:r>
      <w:proofErr w:type="gramEnd"/>
      <w:r w:rsidRPr="00170191">
        <w:rPr>
          <w:rFonts w:ascii="Times New Roman" w:eastAsia="Times New Roman" w:hAnsi="Times New Roman" w:cs="Times New Roman"/>
          <w:sz w:val="24"/>
          <w:szCs w:val="24"/>
          <w:lang w:val="en-GB"/>
        </w:rPr>
        <w:t xml:space="preserve"> the company successfully implemented the inventory management process.</w:t>
      </w:r>
    </w:p>
    <w:p w14:paraId="4925BD2C" w14:textId="77777777" w:rsidR="00EE4612" w:rsidRPr="00170191" w:rsidRDefault="005D7182">
      <w:pPr>
        <w:pStyle w:val="Normal1"/>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 xml:space="preserve">Stock holding </w:t>
      </w:r>
      <w:proofErr w:type="gramStart"/>
      <w:r w:rsidRPr="00170191">
        <w:rPr>
          <w:rFonts w:ascii="Times New Roman" w:eastAsia="Times New Roman" w:hAnsi="Times New Roman" w:cs="Times New Roman"/>
          <w:b/>
          <w:sz w:val="24"/>
          <w:szCs w:val="24"/>
          <w:lang w:val="en-GB"/>
        </w:rPr>
        <w:t>period</w:t>
      </w:r>
      <w:proofErr w:type="gramEnd"/>
    </w:p>
    <w:p w14:paraId="47D726F6" w14:textId="77777777"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The stock holding period represents the ownership of the stock by an organisation. This ratio is important to calculate to determine the return and taxation amount. The stock holding period also represents the efficiency of a company to sell the inventory to the end consumers. In 2020 stock holding period of Sweet PLC was 77.69 days and in 2021 it increased to 79.8825 days. As the stock holding period of this company increases it is a warning sign for the business because it indicates that the growth of sales is slowing down (</w:t>
      </w:r>
      <w:r w:rsidRPr="00170191">
        <w:rPr>
          <w:rFonts w:ascii="Times New Roman" w:eastAsia="Times New Roman" w:hAnsi="Times New Roman" w:cs="Times New Roman"/>
          <w:color w:val="222222"/>
          <w:sz w:val="24"/>
          <w:szCs w:val="24"/>
          <w:highlight w:val="white"/>
          <w:lang w:val="en-GB"/>
        </w:rPr>
        <w:t>Raju, 2022).</w:t>
      </w:r>
      <w:r w:rsidRPr="00170191">
        <w:rPr>
          <w:rFonts w:ascii="Times New Roman" w:eastAsia="Times New Roman" w:hAnsi="Times New Roman" w:cs="Times New Roman"/>
          <w:sz w:val="24"/>
          <w:szCs w:val="24"/>
          <w:lang w:val="en-GB"/>
        </w:rPr>
        <w:t xml:space="preserve"> The management of the company needs to consider the competitors' motives and the overall business environment to increase sales. It is also recommended to the management of the company to give importance to Innovation and creativity to increase the brand awareness among consumers.</w:t>
      </w:r>
    </w:p>
    <w:p w14:paraId="23FE8D60" w14:textId="77777777" w:rsidR="00EE4612" w:rsidRPr="00170191" w:rsidRDefault="00170191">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b/>
          <w:sz w:val="24"/>
          <w:szCs w:val="24"/>
          <w:lang w:val="en-GB"/>
        </w:rPr>
        <w:t>Debtor’s</w:t>
      </w:r>
      <w:r w:rsidR="005D7182" w:rsidRPr="00170191">
        <w:rPr>
          <w:rFonts w:ascii="Times New Roman" w:eastAsia="Times New Roman" w:hAnsi="Times New Roman" w:cs="Times New Roman"/>
          <w:b/>
          <w:sz w:val="24"/>
          <w:szCs w:val="24"/>
          <w:lang w:val="en-GB"/>
        </w:rPr>
        <w:t xml:space="preserve"> collection period</w:t>
      </w:r>
    </w:p>
    <w:p w14:paraId="778265D3" w14:textId="77777777"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The debtor's collection period refers to the total time required for a business organisation to collect the payment from the deters in terms of account receivable (</w:t>
      </w:r>
      <w:proofErr w:type="spellStart"/>
      <w:r w:rsidRPr="00170191">
        <w:rPr>
          <w:rFonts w:ascii="Times New Roman" w:eastAsia="Times New Roman" w:hAnsi="Times New Roman" w:cs="Times New Roman"/>
          <w:color w:val="222222"/>
          <w:sz w:val="24"/>
          <w:szCs w:val="24"/>
          <w:highlight w:val="white"/>
          <w:lang w:val="en-GB"/>
        </w:rPr>
        <w:t>Hasanaj</w:t>
      </w:r>
      <w:proofErr w:type="spellEnd"/>
      <w:r w:rsidRPr="00170191">
        <w:rPr>
          <w:rFonts w:ascii="Times New Roman" w:eastAsia="Times New Roman" w:hAnsi="Times New Roman" w:cs="Times New Roman"/>
          <w:color w:val="222222"/>
          <w:sz w:val="24"/>
          <w:szCs w:val="24"/>
          <w:highlight w:val="white"/>
          <w:lang w:val="en-GB"/>
        </w:rPr>
        <w:t xml:space="preserve">, and </w:t>
      </w:r>
      <w:proofErr w:type="spellStart"/>
      <w:r w:rsidRPr="00170191">
        <w:rPr>
          <w:rFonts w:ascii="Times New Roman" w:eastAsia="Times New Roman" w:hAnsi="Times New Roman" w:cs="Times New Roman"/>
          <w:color w:val="222222"/>
          <w:sz w:val="24"/>
          <w:szCs w:val="24"/>
          <w:highlight w:val="white"/>
          <w:lang w:val="en-GB"/>
        </w:rPr>
        <w:t>Kuqi</w:t>
      </w:r>
      <w:proofErr w:type="spellEnd"/>
      <w:r w:rsidRPr="00170191">
        <w:rPr>
          <w:rFonts w:ascii="Times New Roman" w:eastAsia="Times New Roman" w:hAnsi="Times New Roman" w:cs="Times New Roman"/>
          <w:color w:val="222222"/>
          <w:sz w:val="24"/>
          <w:szCs w:val="24"/>
          <w:highlight w:val="white"/>
          <w:lang w:val="en-GB"/>
        </w:rPr>
        <w:t>, 2019)</w:t>
      </w:r>
      <w:r w:rsidRPr="00170191">
        <w:rPr>
          <w:rFonts w:ascii="Times New Roman" w:eastAsia="Times New Roman" w:hAnsi="Times New Roman" w:cs="Times New Roman"/>
          <w:sz w:val="24"/>
          <w:szCs w:val="24"/>
          <w:lang w:val="en-GB"/>
        </w:rPr>
        <w:t xml:space="preserve">. It also </w:t>
      </w:r>
      <w:r w:rsidRPr="00170191">
        <w:rPr>
          <w:rFonts w:ascii="Times New Roman" w:eastAsia="Times New Roman" w:hAnsi="Times New Roman" w:cs="Times New Roman"/>
          <w:sz w:val="24"/>
          <w:szCs w:val="24"/>
          <w:lang w:val="en-GB"/>
        </w:rPr>
        <w:lastRenderedPageBreak/>
        <w:t>represents the efficiency and the effectiveness of organisations' practices regarding account receivable management. In 2020 the value of the Data Collection period for Sweet PLC was 72.93 days and in 2021 this ratio was 67.65 days. The huge improvement in this ratio indicated that Sweet PLC has adopted several measures to improve the Debtor Collection policies and it has been reflected in the ratio value. Improvement in this ratio also represents that the company will have a better liquidity position shortly.</w:t>
      </w:r>
    </w:p>
    <w:p w14:paraId="60895A91" w14:textId="77777777" w:rsidR="00EE4612" w:rsidRPr="00170191" w:rsidRDefault="005D7182">
      <w:pPr>
        <w:pStyle w:val="Normal1"/>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Current ratio</w:t>
      </w:r>
    </w:p>
    <w:p w14:paraId="106463E4" w14:textId="77777777"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The current ratio is one of the most widely used liquidity ratios. This financial metric is used by the investor to determine whether the </w:t>
      </w:r>
      <w:r w:rsidR="00814D1F" w:rsidRPr="00170191">
        <w:rPr>
          <w:rFonts w:ascii="Times New Roman" w:eastAsia="Times New Roman" w:hAnsi="Times New Roman" w:cs="Times New Roman"/>
          <w:sz w:val="24"/>
          <w:szCs w:val="24"/>
          <w:lang w:val="en-GB"/>
        </w:rPr>
        <w:t>Sweet PLC</w:t>
      </w:r>
      <w:r w:rsidRPr="00170191">
        <w:rPr>
          <w:rFonts w:ascii="Times New Roman" w:eastAsia="Times New Roman" w:hAnsi="Times New Roman" w:cs="Times New Roman"/>
          <w:sz w:val="24"/>
          <w:szCs w:val="24"/>
          <w:lang w:val="en-GB"/>
        </w:rPr>
        <w:t xml:space="preserve"> has enough liquid assets to cover short-term obligations. </w:t>
      </w:r>
      <w:r w:rsidR="00BE2266" w:rsidRPr="00170191">
        <w:rPr>
          <w:rFonts w:ascii="Times New Roman" w:eastAsia="Times New Roman" w:hAnsi="Times New Roman" w:cs="Times New Roman"/>
          <w:sz w:val="24"/>
          <w:szCs w:val="24"/>
          <w:lang w:val="en-GB"/>
        </w:rPr>
        <w:t>For</w:t>
      </w:r>
      <w:r w:rsidRPr="00170191">
        <w:rPr>
          <w:rFonts w:ascii="Times New Roman" w:eastAsia="Times New Roman" w:hAnsi="Times New Roman" w:cs="Times New Roman"/>
          <w:sz w:val="24"/>
          <w:szCs w:val="24"/>
          <w:lang w:val="en-GB"/>
        </w:rPr>
        <w:t xml:space="preserve"> every industry, the average value of the current ratio was one or greater than one. </w:t>
      </w:r>
      <w:r w:rsidR="00BE2266" w:rsidRPr="00170191">
        <w:rPr>
          <w:rFonts w:ascii="Times New Roman" w:eastAsia="Times New Roman" w:hAnsi="Times New Roman" w:cs="Times New Roman"/>
          <w:sz w:val="24"/>
          <w:szCs w:val="24"/>
          <w:lang w:val="en-GB"/>
        </w:rPr>
        <w:t>From</w:t>
      </w:r>
      <w:r w:rsidRPr="00170191">
        <w:rPr>
          <w:rFonts w:ascii="Times New Roman" w:eastAsia="Times New Roman" w:hAnsi="Times New Roman" w:cs="Times New Roman"/>
          <w:sz w:val="24"/>
          <w:szCs w:val="24"/>
          <w:lang w:val="en-GB"/>
        </w:rPr>
        <w:t xml:space="preserve"> the above, it can be observed that in 2020 this ratio was 0.77 and in 2021 this ratio was 0.91. The huge improvement in the ratio was mainly because the current liability of the company was reduced in 2021 to a great extent. Even though the value of the current ratio is 2021 is lower than one, the huge improvement from the previous year represents that the company has adopted adequate measures to improve the current ratio. In this context, it can be said that to improve the current ratio and to reach the desert level of one this organisation improves in current assets (</w:t>
      </w:r>
      <w:proofErr w:type="spellStart"/>
      <w:r w:rsidRPr="00170191">
        <w:rPr>
          <w:rFonts w:ascii="Times New Roman" w:eastAsia="Times New Roman" w:hAnsi="Times New Roman" w:cs="Times New Roman"/>
          <w:color w:val="222222"/>
          <w:sz w:val="24"/>
          <w:szCs w:val="24"/>
          <w:highlight w:val="white"/>
          <w:lang w:val="en-GB"/>
        </w:rPr>
        <w:t>Jofre-Campuzano</w:t>
      </w:r>
      <w:proofErr w:type="spellEnd"/>
      <w:r w:rsidRPr="00170191">
        <w:rPr>
          <w:rFonts w:ascii="Times New Roman" w:eastAsia="Times New Roman" w:hAnsi="Times New Roman" w:cs="Times New Roman"/>
          <w:color w:val="222222"/>
          <w:sz w:val="24"/>
          <w:szCs w:val="24"/>
          <w:highlight w:val="white"/>
          <w:lang w:val="en-GB"/>
        </w:rPr>
        <w:t xml:space="preserve"> and </w:t>
      </w:r>
      <w:proofErr w:type="spellStart"/>
      <w:r w:rsidRPr="00170191">
        <w:rPr>
          <w:rFonts w:ascii="Times New Roman" w:eastAsia="Times New Roman" w:hAnsi="Times New Roman" w:cs="Times New Roman"/>
          <w:color w:val="222222"/>
          <w:sz w:val="24"/>
          <w:szCs w:val="24"/>
          <w:highlight w:val="white"/>
          <w:lang w:val="en-GB"/>
        </w:rPr>
        <w:t>Coenders</w:t>
      </w:r>
      <w:proofErr w:type="spellEnd"/>
      <w:r w:rsidRPr="00170191">
        <w:rPr>
          <w:rFonts w:ascii="Times New Roman" w:eastAsia="Times New Roman" w:hAnsi="Times New Roman" w:cs="Times New Roman"/>
          <w:color w:val="222222"/>
          <w:sz w:val="24"/>
          <w:szCs w:val="24"/>
          <w:highlight w:val="white"/>
          <w:lang w:val="en-GB"/>
        </w:rPr>
        <w:t>, 2022)</w:t>
      </w:r>
      <w:r w:rsidRPr="00170191">
        <w:rPr>
          <w:rFonts w:ascii="Times New Roman" w:eastAsia="Times New Roman" w:hAnsi="Times New Roman" w:cs="Times New Roman"/>
          <w:sz w:val="24"/>
          <w:szCs w:val="24"/>
          <w:lang w:val="en-GB"/>
        </w:rPr>
        <w:t>.</w:t>
      </w:r>
    </w:p>
    <w:p w14:paraId="7658D4ED" w14:textId="77777777" w:rsidR="00EE4612" w:rsidRPr="00170191" w:rsidRDefault="005D7182">
      <w:pPr>
        <w:pStyle w:val="Normal1"/>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Gearing ratio</w:t>
      </w:r>
    </w:p>
    <w:p w14:paraId="48ED83A7" w14:textId="6B3D63E5" w:rsidR="00EE4612" w:rsidRPr="00170191"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The gearing ratio </w:t>
      </w:r>
      <w:r w:rsidR="00814D1F" w:rsidRPr="00170191">
        <w:rPr>
          <w:rFonts w:ascii="Times New Roman" w:eastAsia="Times New Roman" w:hAnsi="Times New Roman" w:cs="Times New Roman"/>
          <w:sz w:val="24"/>
          <w:szCs w:val="24"/>
          <w:lang w:val="en-GB"/>
        </w:rPr>
        <w:t>calculates</w:t>
      </w:r>
      <w:r w:rsidRPr="00170191">
        <w:rPr>
          <w:rFonts w:ascii="Times New Roman" w:eastAsia="Times New Roman" w:hAnsi="Times New Roman" w:cs="Times New Roman"/>
          <w:sz w:val="24"/>
          <w:szCs w:val="24"/>
          <w:lang w:val="en-GB"/>
        </w:rPr>
        <w:t xml:space="preserve"> financial leverage </w:t>
      </w:r>
      <w:r w:rsidR="00814D1F" w:rsidRPr="00170191">
        <w:rPr>
          <w:rFonts w:ascii="Times New Roman" w:eastAsia="Times New Roman" w:hAnsi="Times New Roman" w:cs="Times New Roman"/>
          <w:sz w:val="24"/>
          <w:szCs w:val="24"/>
          <w:lang w:val="en-GB"/>
        </w:rPr>
        <w:t>position</w:t>
      </w:r>
      <w:r w:rsidRPr="00170191">
        <w:rPr>
          <w:rFonts w:ascii="Times New Roman" w:eastAsia="Times New Roman" w:hAnsi="Times New Roman" w:cs="Times New Roman"/>
          <w:sz w:val="24"/>
          <w:szCs w:val="24"/>
          <w:lang w:val="en-GB"/>
        </w:rPr>
        <w:t xml:space="preserve"> that is used to calculate the value of total debt capital in respect of total equity. for the long-run sustainability of the organisation, it is always desirable to have a gearing ratio lower than one. In 2020 this ratio was 1.41 and in 2021 this ratio decreased to 1.33. </w:t>
      </w:r>
      <w:r w:rsidR="00A92666" w:rsidRPr="00170191">
        <w:rPr>
          <w:rFonts w:ascii="Times New Roman" w:eastAsia="Times New Roman" w:hAnsi="Times New Roman" w:cs="Times New Roman"/>
          <w:sz w:val="24"/>
          <w:szCs w:val="24"/>
          <w:lang w:val="en-GB"/>
        </w:rPr>
        <w:t>So,</w:t>
      </w:r>
      <w:r w:rsidRPr="00170191">
        <w:rPr>
          <w:rFonts w:ascii="Times New Roman" w:eastAsia="Times New Roman" w:hAnsi="Times New Roman" w:cs="Times New Roman"/>
          <w:sz w:val="24"/>
          <w:szCs w:val="24"/>
          <w:lang w:val="en-GB"/>
        </w:rPr>
        <w:t xml:space="preserve"> it can be interpreted that Sweet PLC had more debt Capital compared to equity capital in both financial years. Even though the value of the gearing ratio in 2021 was lower than in 2020 it is still higher than one. In this context, it is recommended to the company to reduce the debt capital and source the required amount of capital from equity sources (</w:t>
      </w:r>
      <w:r w:rsidRPr="00170191">
        <w:rPr>
          <w:rFonts w:ascii="Times New Roman" w:eastAsia="Times New Roman" w:hAnsi="Times New Roman" w:cs="Times New Roman"/>
          <w:color w:val="222222"/>
          <w:sz w:val="24"/>
          <w:szCs w:val="24"/>
          <w:highlight w:val="white"/>
          <w:lang w:val="en-GB"/>
        </w:rPr>
        <w:t>Palepu et al., 2020)</w:t>
      </w:r>
      <w:r w:rsidRPr="00170191">
        <w:rPr>
          <w:rFonts w:ascii="Times New Roman" w:eastAsia="Times New Roman" w:hAnsi="Times New Roman" w:cs="Times New Roman"/>
          <w:sz w:val="24"/>
          <w:szCs w:val="24"/>
          <w:lang w:val="en-GB"/>
        </w:rPr>
        <w:t>.</w:t>
      </w:r>
    </w:p>
    <w:p w14:paraId="5AE08BBC" w14:textId="77777777" w:rsidR="00EE4612" w:rsidRPr="00170191" w:rsidRDefault="005D7182">
      <w:pPr>
        <w:pStyle w:val="Normal1"/>
        <w:spacing w:line="360" w:lineRule="auto"/>
        <w:jc w:val="both"/>
        <w:rPr>
          <w:rFonts w:ascii="Times New Roman" w:eastAsia="Times New Roman" w:hAnsi="Times New Roman" w:cs="Times New Roman"/>
          <w:b/>
          <w:sz w:val="24"/>
          <w:szCs w:val="24"/>
          <w:lang w:val="en-GB"/>
        </w:rPr>
      </w:pPr>
      <w:r w:rsidRPr="00170191">
        <w:rPr>
          <w:rFonts w:ascii="Times New Roman" w:eastAsia="Times New Roman" w:hAnsi="Times New Roman" w:cs="Times New Roman"/>
          <w:b/>
          <w:sz w:val="24"/>
          <w:szCs w:val="24"/>
          <w:lang w:val="en-GB"/>
        </w:rPr>
        <w:t>Interest coverage ratio</w:t>
      </w:r>
    </w:p>
    <w:p w14:paraId="735DA4FA" w14:textId="77777777" w:rsidR="00811C8C" w:rsidRDefault="005D7182">
      <w:pPr>
        <w:pStyle w:val="Normal1"/>
        <w:spacing w:line="360" w:lineRule="auto"/>
        <w:jc w:val="both"/>
        <w:rPr>
          <w:rFonts w:ascii="Times New Roman" w:eastAsia="Times New Roman" w:hAnsi="Times New Roman" w:cs="Times New Roman"/>
          <w:sz w:val="24"/>
          <w:szCs w:val="24"/>
          <w:lang w:val="en-GB"/>
        </w:rPr>
      </w:pPr>
      <w:r w:rsidRPr="00170191">
        <w:rPr>
          <w:rFonts w:ascii="Times New Roman" w:eastAsia="Times New Roman" w:hAnsi="Times New Roman" w:cs="Times New Roman"/>
          <w:sz w:val="24"/>
          <w:szCs w:val="24"/>
          <w:lang w:val="en-GB"/>
        </w:rPr>
        <w:t xml:space="preserve">The interest coverage ratio is used to determine whether an organisation has the capability to recover all the intersections from the operating profit. The interest expenses of the company have increased in 2021 along with the increment in the EBIT. </w:t>
      </w:r>
      <w:r w:rsidR="00170191" w:rsidRPr="00170191">
        <w:rPr>
          <w:rFonts w:ascii="Times New Roman" w:eastAsia="Times New Roman" w:hAnsi="Times New Roman" w:cs="Times New Roman"/>
          <w:sz w:val="24"/>
          <w:szCs w:val="24"/>
          <w:lang w:val="en-GB"/>
        </w:rPr>
        <w:t>In</w:t>
      </w:r>
      <w:r w:rsidRPr="00170191">
        <w:rPr>
          <w:rFonts w:ascii="Times New Roman" w:eastAsia="Times New Roman" w:hAnsi="Times New Roman" w:cs="Times New Roman"/>
          <w:sz w:val="24"/>
          <w:szCs w:val="24"/>
          <w:lang w:val="en-GB"/>
        </w:rPr>
        <w:t xml:space="preserve"> 2020 this ratio was 3.86 and in 2021 this ratio was 3.561. Even though the value of this ratio decreased in 2021 the company has earned an operating profit to recover interest expenses (</w:t>
      </w:r>
      <w:r w:rsidRPr="00170191">
        <w:rPr>
          <w:rFonts w:ascii="Times New Roman" w:eastAsia="Times New Roman" w:hAnsi="Times New Roman" w:cs="Times New Roman"/>
          <w:color w:val="222222"/>
          <w:sz w:val="24"/>
          <w:szCs w:val="24"/>
          <w:highlight w:val="white"/>
          <w:lang w:val="en-GB"/>
        </w:rPr>
        <w:t>Gupta and Mehta, 2021)</w:t>
      </w:r>
      <w:r w:rsidRPr="00170191">
        <w:rPr>
          <w:rFonts w:ascii="Times New Roman" w:eastAsia="Times New Roman" w:hAnsi="Times New Roman" w:cs="Times New Roman"/>
          <w:sz w:val="24"/>
          <w:szCs w:val="24"/>
          <w:lang w:val="en-GB"/>
        </w:rPr>
        <w:t>.</w:t>
      </w:r>
    </w:p>
    <w:p w14:paraId="6A8F0A6C" w14:textId="77777777" w:rsidR="00EE4612" w:rsidRPr="00170191" w:rsidRDefault="00811C8C">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In the end it is concluded that the financial performance of Sweet PLC has improved in 2021 compared to 2021.</w:t>
      </w:r>
      <w:r w:rsidR="005D7182" w:rsidRPr="00170191">
        <w:rPr>
          <w:lang w:val="en-GB"/>
        </w:rPr>
        <w:br w:type="page"/>
      </w:r>
    </w:p>
    <w:p w14:paraId="0C8FB7F7" w14:textId="77777777" w:rsidR="00170191" w:rsidRPr="00170191" w:rsidRDefault="005D7182" w:rsidP="00170191">
      <w:pPr>
        <w:pStyle w:val="Heading1"/>
      </w:pPr>
      <w:bookmarkStart w:id="2" w:name="_Toc129687884"/>
      <w:r w:rsidRPr="00170191">
        <w:lastRenderedPageBreak/>
        <w:t>Reference list</w:t>
      </w:r>
      <w:bookmarkEnd w:id="2"/>
    </w:p>
    <w:p w14:paraId="00913356"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70191">
        <w:rPr>
          <w:rFonts w:ascii="Times New Roman" w:eastAsia="Times New Roman" w:hAnsi="Times New Roman" w:cs="Times New Roman"/>
          <w:color w:val="222222"/>
          <w:sz w:val="24"/>
          <w:szCs w:val="24"/>
          <w:highlight w:val="white"/>
          <w:lang w:val="en-GB"/>
        </w:rPr>
        <w:t>Benrqya</w:t>
      </w:r>
      <w:proofErr w:type="spellEnd"/>
      <w:r w:rsidRPr="00170191">
        <w:rPr>
          <w:rFonts w:ascii="Times New Roman" w:eastAsia="Times New Roman" w:hAnsi="Times New Roman" w:cs="Times New Roman"/>
          <w:color w:val="222222"/>
          <w:sz w:val="24"/>
          <w:szCs w:val="24"/>
          <w:highlight w:val="white"/>
          <w:lang w:val="en-GB"/>
        </w:rPr>
        <w:t xml:space="preserve">, Y. and </w:t>
      </w:r>
      <w:proofErr w:type="spellStart"/>
      <w:r w:rsidRPr="00170191">
        <w:rPr>
          <w:rFonts w:ascii="Times New Roman" w:eastAsia="Times New Roman" w:hAnsi="Times New Roman" w:cs="Times New Roman"/>
          <w:color w:val="222222"/>
          <w:sz w:val="24"/>
          <w:szCs w:val="24"/>
          <w:highlight w:val="white"/>
          <w:lang w:val="en-GB"/>
        </w:rPr>
        <w:t>Jabbouri</w:t>
      </w:r>
      <w:proofErr w:type="spellEnd"/>
      <w:r w:rsidRPr="00170191">
        <w:rPr>
          <w:rFonts w:ascii="Times New Roman" w:eastAsia="Times New Roman" w:hAnsi="Times New Roman" w:cs="Times New Roman"/>
          <w:color w:val="222222"/>
          <w:sz w:val="24"/>
          <w:szCs w:val="24"/>
          <w:highlight w:val="white"/>
          <w:lang w:val="en-GB"/>
        </w:rPr>
        <w:t xml:space="preserve">, I., (2021). Performance evaluation of European grocery retailers: a financial statement analysis. </w:t>
      </w:r>
      <w:r w:rsidRPr="00170191">
        <w:rPr>
          <w:rFonts w:ascii="Times New Roman" w:eastAsia="Times New Roman" w:hAnsi="Times New Roman" w:cs="Times New Roman"/>
          <w:i/>
          <w:color w:val="222222"/>
          <w:sz w:val="24"/>
          <w:szCs w:val="24"/>
          <w:highlight w:val="white"/>
          <w:lang w:val="en-GB"/>
        </w:rPr>
        <w:t>International Journal of Logistics Economics and Globalisation</w:t>
      </w:r>
      <w:r w:rsidRPr="00170191">
        <w:rPr>
          <w:rFonts w:ascii="Times New Roman" w:eastAsia="Times New Roman" w:hAnsi="Times New Roman" w:cs="Times New Roman"/>
          <w:color w:val="222222"/>
          <w:sz w:val="24"/>
          <w:szCs w:val="24"/>
          <w:highlight w:val="white"/>
          <w:lang w:val="en-GB"/>
        </w:rPr>
        <w:t xml:space="preserve">, </w:t>
      </w:r>
      <w:r w:rsidRPr="00170191">
        <w:rPr>
          <w:rFonts w:ascii="Times New Roman" w:eastAsia="Times New Roman" w:hAnsi="Times New Roman" w:cs="Times New Roman"/>
          <w:i/>
          <w:color w:val="222222"/>
          <w:sz w:val="24"/>
          <w:szCs w:val="24"/>
          <w:highlight w:val="white"/>
          <w:lang w:val="en-GB"/>
        </w:rPr>
        <w:t>9</w:t>
      </w:r>
      <w:r w:rsidRPr="00170191">
        <w:rPr>
          <w:rFonts w:ascii="Times New Roman" w:eastAsia="Times New Roman" w:hAnsi="Times New Roman" w:cs="Times New Roman"/>
          <w:color w:val="222222"/>
          <w:sz w:val="24"/>
          <w:szCs w:val="24"/>
          <w:highlight w:val="white"/>
          <w:lang w:val="en-GB"/>
        </w:rPr>
        <w:t>(1), pp.24-39.</w:t>
      </w:r>
    </w:p>
    <w:p w14:paraId="5D6B0AFC"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70191">
        <w:rPr>
          <w:rFonts w:ascii="Times New Roman" w:eastAsia="Times New Roman" w:hAnsi="Times New Roman" w:cs="Times New Roman"/>
          <w:color w:val="222222"/>
          <w:sz w:val="24"/>
          <w:szCs w:val="24"/>
          <w:highlight w:val="white"/>
          <w:lang w:val="en-GB"/>
        </w:rPr>
        <w:t>Fridson</w:t>
      </w:r>
      <w:proofErr w:type="spellEnd"/>
      <w:r w:rsidRPr="00170191">
        <w:rPr>
          <w:rFonts w:ascii="Times New Roman" w:eastAsia="Times New Roman" w:hAnsi="Times New Roman" w:cs="Times New Roman"/>
          <w:color w:val="222222"/>
          <w:sz w:val="24"/>
          <w:szCs w:val="24"/>
          <w:highlight w:val="white"/>
          <w:lang w:val="en-GB"/>
        </w:rPr>
        <w:t xml:space="preserve">, M.S. and Alvarez, F., (2022). </w:t>
      </w:r>
      <w:r w:rsidRPr="00170191">
        <w:rPr>
          <w:rFonts w:ascii="Times New Roman" w:eastAsia="Times New Roman" w:hAnsi="Times New Roman" w:cs="Times New Roman"/>
          <w:i/>
          <w:color w:val="222222"/>
          <w:sz w:val="24"/>
          <w:szCs w:val="24"/>
          <w:highlight w:val="white"/>
          <w:lang w:val="en-GB"/>
        </w:rPr>
        <w:t>Financial statement analysis: a practitioner's guide</w:t>
      </w:r>
      <w:r w:rsidRPr="00170191">
        <w:rPr>
          <w:rFonts w:ascii="Times New Roman" w:eastAsia="Times New Roman" w:hAnsi="Times New Roman" w:cs="Times New Roman"/>
          <w:color w:val="222222"/>
          <w:sz w:val="24"/>
          <w:szCs w:val="24"/>
          <w:highlight w:val="white"/>
          <w:lang w:val="en-GB"/>
        </w:rPr>
        <w:t>. John Wiley &amp; Sons.</w:t>
      </w:r>
    </w:p>
    <w:p w14:paraId="6E914DD9"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170191">
        <w:rPr>
          <w:rFonts w:ascii="Times New Roman" w:eastAsia="Times New Roman" w:hAnsi="Times New Roman" w:cs="Times New Roman"/>
          <w:color w:val="222222"/>
          <w:sz w:val="24"/>
          <w:szCs w:val="24"/>
          <w:highlight w:val="white"/>
          <w:lang w:val="en-GB"/>
        </w:rPr>
        <w:t xml:space="preserve">Gupta, </w:t>
      </w:r>
      <w:proofErr w:type="gramStart"/>
      <w:r w:rsidRPr="00170191">
        <w:rPr>
          <w:rFonts w:ascii="Times New Roman" w:eastAsia="Times New Roman" w:hAnsi="Times New Roman" w:cs="Times New Roman"/>
          <w:color w:val="222222"/>
          <w:sz w:val="24"/>
          <w:szCs w:val="24"/>
          <w:highlight w:val="white"/>
          <w:lang w:val="en-GB"/>
        </w:rPr>
        <w:t>S.</w:t>
      </w:r>
      <w:proofErr w:type="gramEnd"/>
      <w:r w:rsidRPr="00170191">
        <w:rPr>
          <w:rFonts w:ascii="Times New Roman" w:eastAsia="Times New Roman" w:hAnsi="Times New Roman" w:cs="Times New Roman"/>
          <w:color w:val="222222"/>
          <w:sz w:val="24"/>
          <w:szCs w:val="24"/>
          <w:highlight w:val="white"/>
          <w:lang w:val="en-GB"/>
        </w:rPr>
        <w:t xml:space="preserve"> and Mehta, S.K., (2021). Data mining-based financial statement fraud detection: Systematic literature review and meta-analysis to estimate data sample mapping of fraudulent companies against non-fraudulent companies. </w:t>
      </w:r>
      <w:r w:rsidRPr="00170191">
        <w:rPr>
          <w:rFonts w:ascii="Times New Roman" w:eastAsia="Times New Roman" w:hAnsi="Times New Roman" w:cs="Times New Roman"/>
          <w:i/>
          <w:color w:val="222222"/>
          <w:sz w:val="24"/>
          <w:szCs w:val="24"/>
          <w:highlight w:val="white"/>
          <w:lang w:val="en-GB"/>
        </w:rPr>
        <w:t>Global Business Review</w:t>
      </w:r>
      <w:r w:rsidRPr="00170191">
        <w:rPr>
          <w:rFonts w:ascii="Times New Roman" w:eastAsia="Times New Roman" w:hAnsi="Times New Roman" w:cs="Times New Roman"/>
          <w:color w:val="222222"/>
          <w:sz w:val="24"/>
          <w:szCs w:val="24"/>
          <w:highlight w:val="white"/>
          <w:lang w:val="en-GB"/>
        </w:rPr>
        <w:t>, p.0972150920984857.</w:t>
      </w:r>
    </w:p>
    <w:p w14:paraId="57645D24"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70191">
        <w:rPr>
          <w:rFonts w:ascii="Times New Roman" w:eastAsia="Times New Roman" w:hAnsi="Times New Roman" w:cs="Times New Roman"/>
          <w:color w:val="222222"/>
          <w:sz w:val="24"/>
          <w:szCs w:val="24"/>
          <w:highlight w:val="white"/>
          <w:lang w:val="en-GB"/>
        </w:rPr>
        <w:t>Hasanaj</w:t>
      </w:r>
      <w:proofErr w:type="spellEnd"/>
      <w:r w:rsidRPr="00170191">
        <w:rPr>
          <w:rFonts w:ascii="Times New Roman" w:eastAsia="Times New Roman" w:hAnsi="Times New Roman" w:cs="Times New Roman"/>
          <w:color w:val="222222"/>
          <w:sz w:val="24"/>
          <w:szCs w:val="24"/>
          <w:highlight w:val="white"/>
          <w:lang w:val="en-GB"/>
        </w:rPr>
        <w:t xml:space="preserve">, P. and </w:t>
      </w:r>
      <w:proofErr w:type="spellStart"/>
      <w:r w:rsidRPr="00170191">
        <w:rPr>
          <w:rFonts w:ascii="Times New Roman" w:eastAsia="Times New Roman" w:hAnsi="Times New Roman" w:cs="Times New Roman"/>
          <w:color w:val="222222"/>
          <w:sz w:val="24"/>
          <w:szCs w:val="24"/>
          <w:highlight w:val="white"/>
          <w:lang w:val="en-GB"/>
        </w:rPr>
        <w:t>Kuqi</w:t>
      </w:r>
      <w:proofErr w:type="spellEnd"/>
      <w:r w:rsidRPr="00170191">
        <w:rPr>
          <w:rFonts w:ascii="Times New Roman" w:eastAsia="Times New Roman" w:hAnsi="Times New Roman" w:cs="Times New Roman"/>
          <w:color w:val="222222"/>
          <w:sz w:val="24"/>
          <w:szCs w:val="24"/>
          <w:highlight w:val="white"/>
          <w:lang w:val="en-GB"/>
        </w:rPr>
        <w:t xml:space="preserve">, B., (2019). Analysis of financial statements. </w:t>
      </w:r>
      <w:r w:rsidRPr="00170191">
        <w:rPr>
          <w:rFonts w:ascii="Times New Roman" w:eastAsia="Times New Roman" w:hAnsi="Times New Roman" w:cs="Times New Roman"/>
          <w:i/>
          <w:color w:val="222222"/>
          <w:sz w:val="24"/>
          <w:szCs w:val="24"/>
          <w:highlight w:val="white"/>
          <w:lang w:val="en-GB"/>
        </w:rPr>
        <w:t>Humanities and Social Science Research</w:t>
      </w:r>
      <w:r w:rsidRPr="00170191">
        <w:rPr>
          <w:rFonts w:ascii="Times New Roman" w:eastAsia="Times New Roman" w:hAnsi="Times New Roman" w:cs="Times New Roman"/>
          <w:color w:val="222222"/>
          <w:sz w:val="24"/>
          <w:szCs w:val="24"/>
          <w:highlight w:val="white"/>
          <w:lang w:val="en-GB"/>
        </w:rPr>
        <w:t xml:space="preserve">, </w:t>
      </w:r>
      <w:r w:rsidRPr="00170191">
        <w:rPr>
          <w:rFonts w:ascii="Times New Roman" w:eastAsia="Times New Roman" w:hAnsi="Times New Roman" w:cs="Times New Roman"/>
          <w:i/>
          <w:color w:val="222222"/>
          <w:sz w:val="24"/>
          <w:szCs w:val="24"/>
          <w:highlight w:val="white"/>
          <w:lang w:val="en-GB"/>
        </w:rPr>
        <w:t>2</w:t>
      </w:r>
      <w:r w:rsidRPr="00170191">
        <w:rPr>
          <w:rFonts w:ascii="Times New Roman" w:eastAsia="Times New Roman" w:hAnsi="Times New Roman" w:cs="Times New Roman"/>
          <w:color w:val="222222"/>
          <w:sz w:val="24"/>
          <w:szCs w:val="24"/>
          <w:highlight w:val="white"/>
          <w:lang w:val="en-GB"/>
        </w:rPr>
        <w:t xml:space="preserve">(2), </w:t>
      </w:r>
      <w:proofErr w:type="gramStart"/>
      <w:r w:rsidRPr="00170191">
        <w:rPr>
          <w:rFonts w:ascii="Times New Roman" w:eastAsia="Times New Roman" w:hAnsi="Times New Roman" w:cs="Times New Roman"/>
          <w:color w:val="222222"/>
          <w:sz w:val="24"/>
          <w:szCs w:val="24"/>
          <w:highlight w:val="white"/>
          <w:lang w:val="en-GB"/>
        </w:rPr>
        <w:t>pp.p</w:t>
      </w:r>
      <w:proofErr w:type="gramEnd"/>
      <w:r w:rsidRPr="00170191">
        <w:rPr>
          <w:rFonts w:ascii="Times New Roman" w:eastAsia="Times New Roman" w:hAnsi="Times New Roman" w:cs="Times New Roman"/>
          <w:color w:val="222222"/>
          <w:sz w:val="24"/>
          <w:szCs w:val="24"/>
          <w:highlight w:val="white"/>
          <w:lang w:val="en-GB"/>
        </w:rPr>
        <w:t>17-p17.</w:t>
      </w:r>
    </w:p>
    <w:p w14:paraId="405609B7"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70191">
        <w:rPr>
          <w:rFonts w:ascii="Times New Roman" w:eastAsia="Times New Roman" w:hAnsi="Times New Roman" w:cs="Times New Roman"/>
          <w:color w:val="222222"/>
          <w:sz w:val="24"/>
          <w:szCs w:val="24"/>
          <w:highlight w:val="white"/>
          <w:lang w:val="en-GB"/>
        </w:rPr>
        <w:t>Jofre-Campuzano</w:t>
      </w:r>
      <w:proofErr w:type="spellEnd"/>
      <w:r w:rsidRPr="00170191">
        <w:rPr>
          <w:rFonts w:ascii="Times New Roman" w:eastAsia="Times New Roman" w:hAnsi="Times New Roman" w:cs="Times New Roman"/>
          <w:color w:val="222222"/>
          <w:sz w:val="24"/>
          <w:szCs w:val="24"/>
          <w:highlight w:val="white"/>
          <w:lang w:val="en-GB"/>
        </w:rPr>
        <w:t xml:space="preserve">, P. and </w:t>
      </w:r>
      <w:proofErr w:type="spellStart"/>
      <w:r w:rsidRPr="00170191">
        <w:rPr>
          <w:rFonts w:ascii="Times New Roman" w:eastAsia="Times New Roman" w:hAnsi="Times New Roman" w:cs="Times New Roman"/>
          <w:color w:val="222222"/>
          <w:sz w:val="24"/>
          <w:szCs w:val="24"/>
          <w:highlight w:val="white"/>
          <w:lang w:val="en-GB"/>
        </w:rPr>
        <w:t>Coenders</w:t>
      </w:r>
      <w:proofErr w:type="spellEnd"/>
      <w:r w:rsidRPr="00170191">
        <w:rPr>
          <w:rFonts w:ascii="Times New Roman" w:eastAsia="Times New Roman" w:hAnsi="Times New Roman" w:cs="Times New Roman"/>
          <w:color w:val="222222"/>
          <w:sz w:val="24"/>
          <w:szCs w:val="24"/>
          <w:highlight w:val="white"/>
          <w:lang w:val="en-GB"/>
        </w:rPr>
        <w:t xml:space="preserve">, G., (2022). Compositional classification of financial statement profiles: The weighted case. </w:t>
      </w:r>
      <w:r w:rsidRPr="00170191">
        <w:rPr>
          <w:rFonts w:ascii="Times New Roman" w:eastAsia="Times New Roman" w:hAnsi="Times New Roman" w:cs="Times New Roman"/>
          <w:i/>
          <w:color w:val="222222"/>
          <w:sz w:val="24"/>
          <w:szCs w:val="24"/>
          <w:highlight w:val="white"/>
          <w:lang w:val="en-GB"/>
        </w:rPr>
        <w:t>Journal of Risk and Financial Management</w:t>
      </w:r>
      <w:r w:rsidRPr="00170191">
        <w:rPr>
          <w:rFonts w:ascii="Times New Roman" w:eastAsia="Times New Roman" w:hAnsi="Times New Roman" w:cs="Times New Roman"/>
          <w:color w:val="222222"/>
          <w:sz w:val="24"/>
          <w:szCs w:val="24"/>
          <w:highlight w:val="white"/>
          <w:lang w:val="en-GB"/>
        </w:rPr>
        <w:t xml:space="preserve">, </w:t>
      </w:r>
      <w:r w:rsidRPr="00170191">
        <w:rPr>
          <w:rFonts w:ascii="Times New Roman" w:eastAsia="Times New Roman" w:hAnsi="Times New Roman" w:cs="Times New Roman"/>
          <w:i/>
          <w:color w:val="222222"/>
          <w:sz w:val="24"/>
          <w:szCs w:val="24"/>
          <w:highlight w:val="white"/>
          <w:lang w:val="en-GB"/>
        </w:rPr>
        <w:t>15</w:t>
      </w:r>
      <w:r w:rsidRPr="00170191">
        <w:rPr>
          <w:rFonts w:ascii="Times New Roman" w:eastAsia="Times New Roman" w:hAnsi="Times New Roman" w:cs="Times New Roman"/>
          <w:color w:val="222222"/>
          <w:sz w:val="24"/>
          <w:szCs w:val="24"/>
          <w:highlight w:val="white"/>
          <w:lang w:val="en-GB"/>
        </w:rPr>
        <w:t>(12), p.546.</w:t>
      </w:r>
    </w:p>
    <w:p w14:paraId="3FBF90F1"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170191">
        <w:rPr>
          <w:rFonts w:ascii="Times New Roman" w:eastAsia="Times New Roman" w:hAnsi="Times New Roman" w:cs="Times New Roman"/>
          <w:color w:val="222222"/>
          <w:sz w:val="24"/>
          <w:szCs w:val="24"/>
          <w:highlight w:val="white"/>
          <w:lang w:val="en-GB"/>
        </w:rPr>
        <w:t xml:space="preserve">Kulkarni, M.S., (2020). Competition in monopoly: teaching-learning process of financial statement analysis to information technology management students. </w:t>
      </w:r>
      <w:r w:rsidRPr="00170191">
        <w:rPr>
          <w:rFonts w:ascii="Times New Roman" w:eastAsia="Times New Roman" w:hAnsi="Times New Roman" w:cs="Times New Roman"/>
          <w:i/>
          <w:color w:val="222222"/>
          <w:sz w:val="24"/>
          <w:szCs w:val="24"/>
          <w:highlight w:val="white"/>
          <w:lang w:val="en-GB"/>
        </w:rPr>
        <w:t>International Journal of Information and Communication Technology Education (IJICTE)</w:t>
      </w:r>
      <w:r w:rsidRPr="00170191">
        <w:rPr>
          <w:rFonts w:ascii="Times New Roman" w:eastAsia="Times New Roman" w:hAnsi="Times New Roman" w:cs="Times New Roman"/>
          <w:color w:val="222222"/>
          <w:sz w:val="24"/>
          <w:szCs w:val="24"/>
          <w:highlight w:val="white"/>
          <w:lang w:val="en-GB"/>
        </w:rPr>
        <w:t xml:space="preserve">, </w:t>
      </w:r>
      <w:r w:rsidRPr="00170191">
        <w:rPr>
          <w:rFonts w:ascii="Times New Roman" w:eastAsia="Times New Roman" w:hAnsi="Times New Roman" w:cs="Times New Roman"/>
          <w:i/>
          <w:color w:val="222222"/>
          <w:sz w:val="24"/>
          <w:szCs w:val="24"/>
          <w:highlight w:val="white"/>
          <w:lang w:val="en-GB"/>
        </w:rPr>
        <w:t>16</w:t>
      </w:r>
      <w:r w:rsidRPr="00170191">
        <w:rPr>
          <w:rFonts w:ascii="Times New Roman" w:eastAsia="Times New Roman" w:hAnsi="Times New Roman" w:cs="Times New Roman"/>
          <w:color w:val="222222"/>
          <w:sz w:val="24"/>
          <w:szCs w:val="24"/>
          <w:highlight w:val="white"/>
          <w:lang w:val="en-GB"/>
        </w:rPr>
        <w:t>(3), pp.70-91.</w:t>
      </w:r>
    </w:p>
    <w:p w14:paraId="332830C3"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70191">
        <w:rPr>
          <w:rFonts w:ascii="Times New Roman" w:eastAsia="Times New Roman" w:hAnsi="Times New Roman" w:cs="Times New Roman"/>
          <w:color w:val="222222"/>
          <w:sz w:val="24"/>
          <w:szCs w:val="24"/>
          <w:highlight w:val="white"/>
          <w:lang w:val="en-GB"/>
        </w:rPr>
        <w:t>Nießner</w:t>
      </w:r>
      <w:proofErr w:type="spellEnd"/>
      <w:r w:rsidRPr="00170191">
        <w:rPr>
          <w:rFonts w:ascii="Times New Roman" w:eastAsia="Times New Roman" w:hAnsi="Times New Roman" w:cs="Times New Roman"/>
          <w:color w:val="222222"/>
          <w:sz w:val="24"/>
          <w:szCs w:val="24"/>
          <w:highlight w:val="white"/>
          <w:lang w:val="en-GB"/>
        </w:rPr>
        <w:t xml:space="preserve">, T., Nickerson, R.C. and Schumann, M., (2021). Towards a taxonomy of AI-based methods in Financial Statement Analysis. In </w:t>
      </w:r>
      <w:r w:rsidRPr="00170191">
        <w:rPr>
          <w:rFonts w:ascii="Times New Roman" w:eastAsia="Times New Roman" w:hAnsi="Times New Roman" w:cs="Times New Roman"/>
          <w:i/>
          <w:color w:val="222222"/>
          <w:sz w:val="24"/>
          <w:szCs w:val="24"/>
          <w:highlight w:val="white"/>
          <w:lang w:val="en-GB"/>
        </w:rPr>
        <w:t>AMCIS</w:t>
      </w:r>
      <w:r w:rsidRPr="00170191">
        <w:rPr>
          <w:rFonts w:ascii="Times New Roman" w:eastAsia="Times New Roman" w:hAnsi="Times New Roman" w:cs="Times New Roman"/>
          <w:color w:val="222222"/>
          <w:sz w:val="24"/>
          <w:szCs w:val="24"/>
          <w:highlight w:val="white"/>
          <w:lang w:val="en-GB"/>
        </w:rPr>
        <w:t>.</w:t>
      </w:r>
    </w:p>
    <w:p w14:paraId="27E3800F"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170191">
        <w:rPr>
          <w:rFonts w:ascii="Times New Roman" w:eastAsia="Times New Roman" w:hAnsi="Times New Roman" w:cs="Times New Roman"/>
          <w:color w:val="222222"/>
          <w:sz w:val="24"/>
          <w:szCs w:val="24"/>
          <w:highlight w:val="white"/>
          <w:lang w:val="en-GB"/>
        </w:rPr>
        <w:t xml:space="preserve">Palepu, K.G., Healy, P.M., Wright, S., Bradbury, M. and </w:t>
      </w:r>
      <w:proofErr w:type="spellStart"/>
      <w:r w:rsidRPr="00170191">
        <w:rPr>
          <w:rFonts w:ascii="Times New Roman" w:eastAsia="Times New Roman" w:hAnsi="Times New Roman" w:cs="Times New Roman"/>
          <w:color w:val="222222"/>
          <w:sz w:val="24"/>
          <w:szCs w:val="24"/>
          <w:highlight w:val="white"/>
          <w:lang w:val="en-GB"/>
        </w:rPr>
        <w:t>Coulton</w:t>
      </w:r>
      <w:proofErr w:type="spellEnd"/>
      <w:r w:rsidRPr="00170191">
        <w:rPr>
          <w:rFonts w:ascii="Times New Roman" w:eastAsia="Times New Roman" w:hAnsi="Times New Roman" w:cs="Times New Roman"/>
          <w:color w:val="222222"/>
          <w:sz w:val="24"/>
          <w:szCs w:val="24"/>
          <w:highlight w:val="white"/>
          <w:lang w:val="en-GB"/>
        </w:rPr>
        <w:t xml:space="preserve">, J., (2020). </w:t>
      </w:r>
      <w:r w:rsidRPr="00170191">
        <w:rPr>
          <w:rFonts w:ascii="Times New Roman" w:eastAsia="Times New Roman" w:hAnsi="Times New Roman" w:cs="Times New Roman"/>
          <w:i/>
          <w:color w:val="222222"/>
          <w:sz w:val="24"/>
          <w:szCs w:val="24"/>
          <w:highlight w:val="white"/>
          <w:lang w:val="en-GB"/>
        </w:rPr>
        <w:t>Business analysis and valuation: Using financial statements</w:t>
      </w:r>
      <w:r w:rsidRPr="00170191">
        <w:rPr>
          <w:rFonts w:ascii="Times New Roman" w:eastAsia="Times New Roman" w:hAnsi="Times New Roman" w:cs="Times New Roman"/>
          <w:color w:val="222222"/>
          <w:sz w:val="24"/>
          <w:szCs w:val="24"/>
          <w:highlight w:val="white"/>
          <w:lang w:val="en-GB"/>
        </w:rPr>
        <w:t>. Cengage AU.</w:t>
      </w:r>
    </w:p>
    <w:p w14:paraId="5DB48368"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170191">
        <w:rPr>
          <w:rFonts w:ascii="Times New Roman" w:eastAsia="Times New Roman" w:hAnsi="Times New Roman" w:cs="Times New Roman"/>
          <w:color w:val="222222"/>
          <w:sz w:val="24"/>
          <w:szCs w:val="24"/>
          <w:highlight w:val="white"/>
          <w:lang w:val="en-GB"/>
        </w:rPr>
        <w:t>Raju, K.P., (2022). FINANCIAL STATEMENT ANALYSIS-AN OVERVIEW.</w:t>
      </w:r>
    </w:p>
    <w:p w14:paraId="71222351"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170191">
        <w:rPr>
          <w:rFonts w:ascii="Times New Roman" w:eastAsia="Times New Roman" w:hAnsi="Times New Roman" w:cs="Times New Roman"/>
          <w:color w:val="222222"/>
          <w:sz w:val="24"/>
          <w:szCs w:val="24"/>
          <w:highlight w:val="white"/>
          <w:lang w:val="en-GB"/>
        </w:rPr>
        <w:t xml:space="preserve">Robinson, T.R., (2020). </w:t>
      </w:r>
      <w:r w:rsidRPr="00170191">
        <w:rPr>
          <w:rFonts w:ascii="Times New Roman" w:eastAsia="Times New Roman" w:hAnsi="Times New Roman" w:cs="Times New Roman"/>
          <w:i/>
          <w:color w:val="222222"/>
          <w:sz w:val="24"/>
          <w:szCs w:val="24"/>
          <w:highlight w:val="white"/>
          <w:lang w:val="en-GB"/>
        </w:rPr>
        <w:t>International financial statement analysis</w:t>
      </w:r>
      <w:r w:rsidRPr="00170191">
        <w:rPr>
          <w:rFonts w:ascii="Times New Roman" w:eastAsia="Times New Roman" w:hAnsi="Times New Roman" w:cs="Times New Roman"/>
          <w:color w:val="222222"/>
          <w:sz w:val="24"/>
          <w:szCs w:val="24"/>
          <w:highlight w:val="white"/>
          <w:lang w:val="en-GB"/>
        </w:rPr>
        <w:t>. John Wiley &amp; Sons.</w:t>
      </w:r>
    </w:p>
    <w:p w14:paraId="45B1C1E7"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70191">
        <w:rPr>
          <w:rFonts w:ascii="Times New Roman" w:eastAsia="Times New Roman" w:hAnsi="Times New Roman" w:cs="Times New Roman"/>
          <w:color w:val="222222"/>
          <w:sz w:val="24"/>
          <w:szCs w:val="24"/>
          <w:highlight w:val="white"/>
          <w:lang w:val="en-GB"/>
        </w:rPr>
        <w:t>Vuković</w:t>
      </w:r>
      <w:proofErr w:type="spellEnd"/>
      <w:r w:rsidRPr="00170191">
        <w:rPr>
          <w:rFonts w:ascii="Times New Roman" w:eastAsia="Times New Roman" w:hAnsi="Times New Roman" w:cs="Times New Roman"/>
          <w:color w:val="222222"/>
          <w:sz w:val="24"/>
          <w:szCs w:val="24"/>
          <w:highlight w:val="white"/>
          <w:lang w:val="en-GB"/>
        </w:rPr>
        <w:t xml:space="preserve">, B., </w:t>
      </w:r>
      <w:proofErr w:type="spellStart"/>
      <w:r w:rsidRPr="00170191">
        <w:rPr>
          <w:rFonts w:ascii="Times New Roman" w:eastAsia="Times New Roman" w:hAnsi="Times New Roman" w:cs="Times New Roman"/>
          <w:color w:val="222222"/>
          <w:sz w:val="24"/>
          <w:szCs w:val="24"/>
          <w:highlight w:val="white"/>
          <w:lang w:val="en-GB"/>
        </w:rPr>
        <w:t>Peštović</w:t>
      </w:r>
      <w:proofErr w:type="spellEnd"/>
      <w:r w:rsidRPr="00170191">
        <w:rPr>
          <w:rFonts w:ascii="Times New Roman" w:eastAsia="Times New Roman" w:hAnsi="Times New Roman" w:cs="Times New Roman"/>
          <w:color w:val="222222"/>
          <w:sz w:val="24"/>
          <w:szCs w:val="24"/>
          <w:highlight w:val="white"/>
          <w:lang w:val="en-GB"/>
        </w:rPr>
        <w:t xml:space="preserve">, K., </w:t>
      </w:r>
      <w:proofErr w:type="spellStart"/>
      <w:r w:rsidRPr="00170191">
        <w:rPr>
          <w:rFonts w:ascii="Times New Roman" w:eastAsia="Times New Roman" w:hAnsi="Times New Roman" w:cs="Times New Roman"/>
          <w:color w:val="222222"/>
          <w:sz w:val="24"/>
          <w:szCs w:val="24"/>
          <w:highlight w:val="white"/>
          <w:lang w:val="en-GB"/>
        </w:rPr>
        <w:t>Mirović</w:t>
      </w:r>
      <w:proofErr w:type="spellEnd"/>
      <w:r w:rsidRPr="00170191">
        <w:rPr>
          <w:rFonts w:ascii="Times New Roman" w:eastAsia="Times New Roman" w:hAnsi="Times New Roman" w:cs="Times New Roman"/>
          <w:color w:val="222222"/>
          <w:sz w:val="24"/>
          <w:szCs w:val="24"/>
          <w:highlight w:val="white"/>
          <w:lang w:val="en-GB"/>
        </w:rPr>
        <w:t xml:space="preserve">, V., </w:t>
      </w:r>
      <w:proofErr w:type="spellStart"/>
      <w:r w:rsidRPr="00170191">
        <w:rPr>
          <w:rFonts w:ascii="Times New Roman" w:eastAsia="Times New Roman" w:hAnsi="Times New Roman" w:cs="Times New Roman"/>
          <w:color w:val="222222"/>
          <w:sz w:val="24"/>
          <w:szCs w:val="24"/>
          <w:highlight w:val="white"/>
          <w:lang w:val="en-GB"/>
        </w:rPr>
        <w:t>Jakšić</w:t>
      </w:r>
      <w:proofErr w:type="spellEnd"/>
      <w:r w:rsidRPr="00170191">
        <w:rPr>
          <w:rFonts w:ascii="Times New Roman" w:eastAsia="Times New Roman" w:hAnsi="Times New Roman" w:cs="Times New Roman"/>
          <w:color w:val="222222"/>
          <w:sz w:val="24"/>
          <w:szCs w:val="24"/>
          <w:highlight w:val="white"/>
          <w:lang w:val="en-GB"/>
        </w:rPr>
        <w:t xml:space="preserve">, D. and </w:t>
      </w:r>
      <w:proofErr w:type="spellStart"/>
      <w:r w:rsidRPr="00170191">
        <w:rPr>
          <w:rFonts w:ascii="Times New Roman" w:eastAsia="Times New Roman" w:hAnsi="Times New Roman" w:cs="Times New Roman"/>
          <w:color w:val="222222"/>
          <w:sz w:val="24"/>
          <w:szCs w:val="24"/>
          <w:highlight w:val="white"/>
          <w:lang w:val="en-GB"/>
        </w:rPr>
        <w:t>Milutinović</w:t>
      </w:r>
      <w:proofErr w:type="spellEnd"/>
      <w:r w:rsidRPr="00170191">
        <w:rPr>
          <w:rFonts w:ascii="Times New Roman" w:eastAsia="Times New Roman" w:hAnsi="Times New Roman" w:cs="Times New Roman"/>
          <w:color w:val="222222"/>
          <w:sz w:val="24"/>
          <w:szCs w:val="24"/>
          <w:highlight w:val="white"/>
          <w:lang w:val="en-GB"/>
        </w:rPr>
        <w:t xml:space="preserve">, S., (2022). The Analysis of Company Growth Determinants Based on Financial Statements of the European Companies. </w:t>
      </w:r>
      <w:r w:rsidRPr="00170191">
        <w:rPr>
          <w:rFonts w:ascii="Times New Roman" w:eastAsia="Times New Roman" w:hAnsi="Times New Roman" w:cs="Times New Roman"/>
          <w:i/>
          <w:color w:val="222222"/>
          <w:sz w:val="24"/>
          <w:szCs w:val="24"/>
          <w:highlight w:val="white"/>
          <w:lang w:val="en-GB"/>
        </w:rPr>
        <w:t>Sustainability</w:t>
      </w:r>
      <w:r w:rsidRPr="00170191">
        <w:rPr>
          <w:rFonts w:ascii="Times New Roman" w:eastAsia="Times New Roman" w:hAnsi="Times New Roman" w:cs="Times New Roman"/>
          <w:color w:val="222222"/>
          <w:sz w:val="24"/>
          <w:szCs w:val="24"/>
          <w:highlight w:val="white"/>
          <w:lang w:val="en-GB"/>
        </w:rPr>
        <w:t xml:space="preserve">, </w:t>
      </w:r>
      <w:r w:rsidRPr="00170191">
        <w:rPr>
          <w:rFonts w:ascii="Times New Roman" w:eastAsia="Times New Roman" w:hAnsi="Times New Roman" w:cs="Times New Roman"/>
          <w:i/>
          <w:color w:val="222222"/>
          <w:sz w:val="24"/>
          <w:szCs w:val="24"/>
          <w:highlight w:val="white"/>
          <w:lang w:val="en-GB"/>
        </w:rPr>
        <w:t>14</w:t>
      </w:r>
      <w:r w:rsidRPr="00170191">
        <w:rPr>
          <w:rFonts w:ascii="Times New Roman" w:eastAsia="Times New Roman" w:hAnsi="Times New Roman" w:cs="Times New Roman"/>
          <w:color w:val="222222"/>
          <w:sz w:val="24"/>
          <w:szCs w:val="24"/>
          <w:highlight w:val="white"/>
          <w:lang w:val="en-GB"/>
        </w:rPr>
        <w:t>(2), p.770.</w:t>
      </w:r>
    </w:p>
    <w:p w14:paraId="4F688EE9" w14:textId="77777777" w:rsidR="00170191" w:rsidRPr="00170191" w:rsidRDefault="00170191">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170191">
        <w:rPr>
          <w:rFonts w:ascii="Times New Roman" w:eastAsia="Times New Roman" w:hAnsi="Times New Roman" w:cs="Times New Roman"/>
          <w:color w:val="222222"/>
          <w:sz w:val="24"/>
          <w:szCs w:val="24"/>
          <w:highlight w:val="white"/>
          <w:lang w:val="en-GB"/>
        </w:rPr>
        <w:lastRenderedPageBreak/>
        <w:t>Zdanovskis</w:t>
      </w:r>
      <w:proofErr w:type="spellEnd"/>
      <w:r w:rsidRPr="00170191">
        <w:rPr>
          <w:rFonts w:ascii="Times New Roman" w:eastAsia="Times New Roman" w:hAnsi="Times New Roman" w:cs="Times New Roman"/>
          <w:color w:val="222222"/>
          <w:sz w:val="24"/>
          <w:szCs w:val="24"/>
          <w:highlight w:val="white"/>
          <w:lang w:val="en-GB"/>
        </w:rPr>
        <w:t xml:space="preserve">, K. and </w:t>
      </w:r>
      <w:proofErr w:type="spellStart"/>
      <w:r w:rsidRPr="00170191">
        <w:rPr>
          <w:rFonts w:ascii="Times New Roman" w:eastAsia="Times New Roman" w:hAnsi="Times New Roman" w:cs="Times New Roman"/>
          <w:color w:val="222222"/>
          <w:sz w:val="24"/>
          <w:szCs w:val="24"/>
          <w:highlight w:val="white"/>
          <w:lang w:val="en-GB"/>
        </w:rPr>
        <w:t>Pilvere</w:t>
      </w:r>
      <w:proofErr w:type="spellEnd"/>
      <w:r w:rsidRPr="00170191">
        <w:rPr>
          <w:rFonts w:ascii="Times New Roman" w:eastAsia="Times New Roman" w:hAnsi="Times New Roman" w:cs="Times New Roman"/>
          <w:color w:val="222222"/>
          <w:sz w:val="24"/>
          <w:szCs w:val="24"/>
          <w:highlight w:val="white"/>
          <w:lang w:val="en-GB"/>
        </w:rPr>
        <w:t xml:space="preserve">, I., (2019). Methods of financial statement analysis for non-governmental organisations. </w:t>
      </w:r>
      <w:r w:rsidRPr="00170191">
        <w:rPr>
          <w:rFonts w:ascii="Times New Roman" w:eastAsia="Times New Roman" w:hAnsi="Times New Roman" w:cs="Times New Roman"/>
          <w:i/>
          <w:color w:val="222222"/>
          <w:sz w:val="24"/>
          <w:szCs w:val="24"/>
          <w:highlight w:val="white"/>
          <w:lang w:val="en-GB"/>
        </w:rPr>
        <w:t>Research for Rural Development</w:t>
      </w:r>
      <w:r w:rsidRPr="00170191">
        <w:rPr>
          <w:rFonts w:ascii="Times New Roman" w:eastAsia="Times New Roman" w:hAnsi="Times New Roman" w:cs="Times New Roman"/>
          <w:color w:val="222222"/>
          <w:sz w:val="24"/>
          <w:szCs w:val="24"/>
          <w:highlight w:val="white"/>
          <w:lang w:val="en-GB"/>
        </w:rPr>
        <w:t xml:space="preserve">, </w:t>
      </w:r>
      <w:r w:rsidRPr="00170191">
        <w:rPr>
          <w:rFonts w:ascii="Times New Roman" w:eastAsia="Times New Roman" w:hAnsi="Times New Roman" w:cs="Times New Roman"/>
          <w:i/>
          <w:color w:val="222222"/>
          <w:sz w:val="24"/>
          <w:szCs w:val="24"/>
          <w:highlight w:val="white"/>
          <w:lang w:val="en-GB"/>
        </w:rPr>
        <w:t>2</w:t>
      </w:r>
      <w:r w:rsidRPr="00170191">
        <w:rPr>
          <w:rFonts w:ascii="Times New Roman" w:eastAsia="Times New Roman" w:hAnsi="Times New Roman" w:cs="Times New Roman"/>
          <w:color w:val="222222"/>
          <w:sz w:val="24"/>
          <w:szCs w:val="24"/>
          <w:highlight w:val="white"/>
          <w:lang w:val="en-GB"/>
        </w:rPr>
        <w:t>.</w:t>
      </w:r>
    </w:p>
    <w:sectPr w:rsidR="00170191" w:rsidRPr="00170191" w:rsidSect="00EE4612">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FEDA7" w14:textId="77777777" w:rsidR="00A26915" w:rsidRDefault="00A26915" w:rsidP="00EF1527">
      <w:pPr>
        <w:spacing w:line="240" w:lineRule="auto"/>
      </w:pPr>
      <w:r>
        <w:separator/>
      </w:r>
    </w:p>
  </w:endnote>
  <w:endnote w:type="continuationSeparator" w:id="0">
    <w:p w14:paraId="0BDC5A67" w14:textId="77777777" w:rsidR="00A26915" w:rsidRDefault="00A26915" w:rsidP="00EF15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F4990" w14:textId="77777777" w:rsidR="00B90F54" w:rsidRDefault="00B90F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09212"/>
      <w:docPartObj>
        <w:docPartGallery w:val="Page Numbers (Bottom of Page)"/>
        <w:docPartUnique/>
      </w:docPartObj>
    </w:sdtPr>
    <w:sdtContent>
      <w:p w14:paraId="5F5F5B93" w14:textId="77777777" w:rsidR="00EF1527" w:rsidRDefault="00A63B44">
        <w:pPr>
          <w:pStyle w:val="Footer"/>
          <w:jc w:val="right"/>
        </w:pPr>
        <w:r>
          <w:fldChar w:fldCharType="begin"/>
        </w:r>
        <w:r>
          <w:instrText xml:space="preserve"> PAGE   \* MERGEFORMAT </w:instrText>
        </w:r>
        <w:r>
          <w:fldChar w:fldCharType="separate"/>
        </w:r>
        <w:r w:rsidR="000B586B">
          <w:rPr>
            <w:noProof/>
          </w:rPr>
          <w:t>5</w:t>
        </w:r>
        <w:r>
          <w:rPr>
            <w:noProof/>
          </w:rPr>
          <w:fldChar w:fldCharType="end"/>
        </w:r>
      </w:p>
    </w:sdtContent>
  </w:sdt>
  <w:p w14:paraId="6848EC91" w14:textId="77777777" w:rsidR="00EF1527" w:rsidRDefault="00EF15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02A3C" w14:textId="77777777" w:rsidR="00B90F54" w:rsidRDefault="00B90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94F11" w14:textId="77777777" w:rsidR="00A26915" w:rsidRDefault="00A26915" w:rsidP="00EF1527">
      <w:pPr>
        <w:spacing w:line="240" w:lineRule="auto"/>
      </w:pPr>
      <w:r>
        <w:separator/>
      </w:r>
    </w:p>
  </w:footnote>
  <w:footnote w:type="continuationSeparator" w:id="0">
    <w:p w14:paraId="3A93EFFA" w14:textId="77777777" w:rsidR="00A26915" w:rsidRDefault="00A26915" w:rsidP="00EF15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49A7A" w14:textId="77777777" w:rsidR="00B90F54" w:rsidRDefault="00B90F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53871" w14:textId="77777777" w:rsidR="00B90F54" w:rsidRDefault="00B90F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EAEE9" w14:textId="77777777" w:rsidR="00B90F54" w:rsidRDefault="00B90F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05D82"/>
    <w:multiLevelType w:val="hybridMultilevel"/>
    <w:tmpl w:val="00000000"/>
    <w:lvl w:ilvl="0" w:tplc="E4DECA82">
      <w:start w:val="1"/>
      <w:numFmt w:val="lowerLetter"/>
      <w:lvlText w:val="%1)"/>
      <w:lvlJc w:val="left"/>
      <w:pPr>
        <w:ind w:left="720" w:hanging="360"/>
      </w:pPr>
      <w:rPr>
        <w:u w:val="none"/>
      </w:rPr>
    </w:lvl>
    <w:lvl w:ilvl="1" w:tplc="99222588">
      <w:start w:val="1"/>
      <w:numFmt w:val="lowerRoman"/>
      <w:lvlText w:val="%2)"/>
      <w:lvlJc w:val="right"/>
      <w:pPr>
        <w:ind w:left="1440" w:hanging="360"/>
      </w:pPr>
      <w:rPr>
        <w:u w:val="none"/>
      </w:rPr>
    </w:lvl>
    <w:lvl w:ilvl="2" w:tplc="1C0A0E3C">
      <w:start w:val="1"/>
      <w:numFmt w:val="decimal"/>
      <w:lvlText w:val="%3)"/>
      <w:lvlJc w:val="left"/>
      <w:pPr>
        <w:ind w:left="2160" w:hanging="360"/>
      </w:pPr>
      <w:rPr>
        <w:u w:val="none"/>
      </w:rPr>
    </w:lvl>
    <w:lvl w:ilvl="3" w:tplc="79BA4F24">
      <w:start w:val="1"/>
      <w:numFmt w:val="lowerLetter"/>
      <w:lvlText w:val="(%4)"/>
      <w:lvlJc w:val="left"/>
      <w:pPr>
        <w:ind w:left="2880" w:hanging="360"/>
      </w:pPr>
      <w:rPr>
        <w:u w:val="none"/>
      </w:rPr>
    </w:lvl>
    <w:lvl w:ilvl="4" w:tplc="B0507BF2">
      <w:start w:val="1"/>
      <w:numFmt w:val="lowerRoman"/>
      <w:lvlText w:val="(%5)"/>
      <w:lvlJc w:val="right"/>
      <w:pPr>
        <w:ind w:left="3600" w:hanging="360"/>
      </w:pPr>
      <w:rPr>
        <w:u w:val="none"/>
      </w:rPr>
    </w:lvl>
    <w:lvl w:ilvl="5" w:tplc="6D2CB352">
      <w:start w:val="1"/>
      <w:numFmt w:val="decimal"/>
      <w:lvlText w:val="(%6)"/>
      <w:lvlJc w:val="left"/>
      <w:pPr>
        <w:ind w:left="4320" w:hanging="360"/>
      </w:pPr>
      <w:rPr>
        <w:u w:val="none"/>
      </w:rPr>
    </w:lvl>
    <w:lvl w:ilvl="6" w:tplc="FEEC4EDA">
      <w:start w:val="1"/>
      <w:numFmt w:val="lowerLetter"/>
      <w:lvlText w:val="%7."/>
      <w:lvlJc w:val="left"/>
      <w:pPr>
        <w:ind w:left="5040" w:hanging="360"/>
      </w:pPr>
      <w:rPr>
        <w:u w:val="none"/>
      </w:rPr>
    </w:lvl>
    <w:lvl w:ilvl="7" w:tplc="73C83C54">
      <w:start w:val="1"/>
      <w:numFmt w:val="lowerRoman"/>
      <w:lvlText w:val="%8."/>
      <w:lvlJc w:val="right"/>
      <w:pPr>
        <w:ind w:left="5760" w:hanging="360"/>
      </w:pPr>
      <w:rPr>
        <w:u w:val="none"/>
      </w:rPr>
    </w:lvl>
    <w:lvl w:ilvl="8" w:tplc="DB527446">
      <w:start w:val="1"/>
      <w:numFmt w:val="decimal"/>
      <w:lvlText w:val="%9."/>
      <w:lvlJc w:val="left"/>
      <w:pPr>
        <w:ind w:left="6480" w:hanging="360"/>
      </w:pPr>
      <w:rPr>
        <w:u w:val="none"/>
      </w:rPr>
    </w:lvl>
  </w:abstractNum>
  <w:abstractNum w:abstractNumId="1" w15:restartNumberingAfterBreak="0">
    <w:nsid w:val="079B6C47"/>
    <w:multiLevelType w:val="hybridMultilevel"/>
    <w:tmpl w:val="00000000"/>
    <w:lvl w:ilvl="0" w:tplc="BD18EE96">
      <w:start w:val="1"/>
      <w:numFmt w:val="lowerLetter"/>
      <w:lvlText w:val="%1)"/>
      <w:lvlJc w:val="left"/>
      <w:pPr>
        <w:ind w:left="720" w:hanging="360"/>
      </w:pPr>
      <w:rPr>
        <w:u w:val="none"/>
      </w:rPr>
    </w:lvl>
    <w:lvl w:ilvl="1" w:tplc="70469D08">
      <w:start w:val="1"/>
      <w:numFmt w:val="lowerRoman"/>
      <w:lvlText w:val="%2)"/>
      <w:lvlJc w:val="right"/>
      <w:pPr>
        <w:ind w:left="1440" w:hanging="360"/>
      </w:pPr>
      <w:rPr>
        <w:u w:val="none"/>
      </w:rPr>
    </w:lvl>
    <w:lvl w:ilvl="2" w:tplc="BB7AEAD0">
      <w:start w:val="1"/>
      <w:numFmt w:val="decimal"/>
      <w:lvlText w:val="%3)"/>
      <w:lvlJc w:val="left"/>
      <w:pPr>
        <w:ind w:left="2160" w:hanging="360"/>
      </w:pPr>
      <w:rPr>
        <w:u w:val="none"/>
      </w:rPr>
    </w:lvl>
    <w:lvl w:ilvl="3" w:tplc="BC6E559A">
      <w:start w:val="1"/>
      <w:numFmt w:val="lowerLetter"/>
      <w:lvlText w:val="(%4)"/>
      <w:lvlJc w:val="left"/>
      <w:pPr>
        <w:ind w:left="2880" w:hanging="360"/>
      </w:pPr>
      <w:rPr>
        <w:u w:val="none"/>
      </w:rPr>
    </w:lvl>
    <w:lvl w:ilvl="4" w:tplc="8BB06E20">
      <w:start w:val="1"/>
      <w:numFmt w:val="lowerRoman"/>
      <w:lvlText w:val="(%5)"/>
      <w:lvlJc w:val="right"/>
      <w:pPr>
        <w:ind w:left="3600" w:hanging="360"/>
      </w:pPr>
      <w:rPr>
        <w:u w:val="none"/>
      </w:rPr>
    </w:lvl>
    <w:lvl w:ilvl="5" w:tplc="519C68C0">
      <w:start w:val="1"/>
      <w:numFmt w:val="decimal"/>
      <w:lvlText w:val="(%6)"/>
      <w:lvlJc w:val="left"/>
      <w:pPr>
        <w:ind w:left="4320" w:hanging="360"/>
      </w:pPr>
      <w:rPr>
        <w:u w:val="none"/>
      </w:rPr>
    </w:lvl>
    <w:lvl w:ilvl="6" w:tplc="F4F6059C">
      <w:start w:val="1"/>
      <w:numFmt w:val="lowerLetter"/>
      <w:lvlText w:val="%7."/>
      <w:lvlJc w:val="left"/>
      <w:pPr>
        <w:ind w:left="5040" w:hanging="360"/>
      </w:pPr>
      <w:rPr>
        <w:u w:val="none"/>
      </w:rPr>
    </w:lvl>
    <w:lvl w:ilvl="7" w:tplc="AAC61354">
      <w:start w:val="1"/>
      <w:numFmt w:val="lowerRoman"/>
      <w:lvlText w:val="%8."/>
      <w:lvlJc w:val="right"/>
      <w:pPr>
        <w:ind w:left="5760" w:hanging="360"/>
      </w:pPr>
      <w:rPr>
        <w:u w:val="none"/>
      </w:rPr>
    </w:lvl>
    <w:lvl w:ilvl="8" w:tplc="C4BE62B6">
      <w:start w:val="1"/>
      <w:numFmt w:val="decimal"/>
      <w:lvlText w:val="%9."/>
      <w:lvlJc w:val="left"/>
      <w:pPr>
        <w:ind w:left="6480" w:hanging="360"/>
      </w:pPr>
      <w:rPr>
        <w:u w:val="none"/>
      </w:rPr>
    </w:lvl>
  </w:abstractNum>
  <w:num w:numId="1" w16cid:durableId="730150996">
    <w:abstractNumId w:val="0"/>
  </w:num>
  <w:num w:numId="2" w16cid:durableId="15669152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612"/>
    <w:rsid w:val="00054D86"/>
    <w:rsid w:val="000B586B"/>
    <w:rsid w:val="0010173D"/>
    <w:rsid w:val="0013066B"/>
    <w:rsid w:val="00170191"/>
    <w:rsid w:val="003966AC"/>
    <w:rsid w:val="004358DC"/>
    <w:rsid w:val="005D7182"/>
    <w:rsid w:val="00611197"/>
    <w:rsid w:val="00811C8C"/>
    <w:rsid w:val="00814D1F"/>
    <w:rsid w:val="00A26915"/>
    <w:rsid w:val="00A63B44"/>
    <w:rsid w:val="00A92666"/>
    <w:rsid w:val="00AD6F0C"/>
    <w:rsid w:val="00B116F9"/>
    <w:rsid w:val="00B34D60"/>
    <w:rsid w:val="00B47D92"/>
    <w:rsid w:val="00B64871"/>
    <w:rsid w:val="00B90F54"/>
    <w:rsid w:val="00BE2266"/>
    <w:rsid w:val="00D47201"/>
    <w:rsid w:val="00E2282B"/>
    <w:rsid w:val="00E24CCE"/>
    <w:rsid w:val="00EE4612"/>
    <w:rsid w:val="00EF1527"/>
    <w:rsid w:val="00FC20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642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170191"/>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EE4612"/>
    <w:pPr>
      <w:keepNext/>
      <w:keepLines/>
      <w:spacing w:before="360" w:after="120"/>
      <w:outlineLvl w:val="1"/>
    </w:pPr>
    <w:rPr>
      <w:sz w:val="32"/>
      <w:szCs w:val="32"/>
    </w:rPr>
  </w:style>
  <w:style w:type="paragraph" w:styleId="Heading3">
    <w:name w:val="heading 3"/>
    <w:basedOn w:val="Normal1"/>
    <w:next w:val="Normal1"/>
    <w:rsid w:val="00EE4612"/>
    <w:pPr>
      <w:keepNext/>
      <w:keepLines/>
      <w:spacing w:before="320" w:after="80"/>
      <w:outlineLvl w:val="2"/>
    </w:pPr>
    <w:rPr>
      <w:color w:val="434343"/>
      <w:sz w:val="28"/>
      <w:szCs w:val="28"/>
    </w:rPr>
  </w:style>
  <w:style w:type="paragraph" w:styleId="Heading4">
    <w:name w:val="heading 4"/>
    <w:basedOn w:val="Normal1"/>
    <w:next w:val="Normal1"/>
    <w:rsid w:val="00EE4612"/>
    <w:pPr>
      <w:keepNext/>
      <w:keepLines/>
      <w:spacing w:before="280" w:after="80"/>
      <w:outlineLvl w:val="3"/>
    </w:pPr>
    <w:rPr>
      <w:color w:val="666666"/>
      <w:sz w:val="24"/>
      <w:szCs w:val="24"/>
    </w:rPr>
  </w:style>
  <w:style w:type="paragraph" w:styleId="Heading5">
    <w:name w:val="heading 5"/>
    <w:basedOn w:val="Normal1"/>
    <w:next w:val="Normal1"/>
    <w:rsid w:val="00EE4612"/>
    <w:pPr>
      <w:keepNext/>
      <w:keepLines/>
      <w:spacing w:before="240" w:after="80"/>
      <w:outlineLvl w:val="4"/>
    </w:pPr>
    <w:rPr>
      <w:color w:val="666666"/>
    </w:rPr>
  </w:style>
  <w:style w:type="paragraph" w:styleId="Heading6">
    <w:name w:val="heading 6"/>
    <w:basedOn w:val="Normal1"/>
    <w:next w:val="Normal1"/>
    <w:rsid w:val="00EE461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E4612"/>
  </w:style>
  <w:style w:type="table" w:customStyle="1" w:styleId="TableNormal1">
    <w:name w:val="Table Normal1"/>
    <w:rsid w:val="00EE4612"/>
    <w:tblPr>
      <w:tblCellMar>
        <w:top w:w="0" w:type="dxa"/>
        <w:left w:w="0" w:type="dxa"/>
        <w:bottom w:w="0" w:type="dxa"/>
        <w:right w:w="0" w:type="dxa"/>
      </w:tblCellMar>
    </w:tblPr>
  </w:style>
  <w:style w:type="paragraph" w:styleId="Title">
    <w:name w:val="Title"/>
    <w:basedOn w:val="Normal1"/>
    <w:next w:val="Normal1"/>
    <w:rsid w:val="00EE4612"/>
    <w:pPr>
      <w:keepNext/>
      <w:keepLines/>
      <w:spacing w:after="60"/>
    </w:pPr>
    <w:rPr>
      <w:sz w:val="52"/>
      <w:szCs w:val="52"/>
    </w:rPr>
  </w:style>
  <w:style w:type="paragraph" w:styleId="Subtitle">
    <w:name w:val="Subtitle"/>
    <w:basedOn w:val="Normal1"/>
    <w:next w:val="Normal1"/>
    <w:rsid w:val="00EE4612"/>
    <w:pPr>
      <w:keepNext/>
      <w:keepLines/>
      <w:spacing w:after="320"/>
    </w:pPr>
    <w:rPr>
      <w:color w:val="666666"/>
      <w:sz w:val="30"/>
      <w:szCs w:val="30"/>
    </w:rPr>
  </w:style>
  <w:style w:type="table" w:customStyle="1" w:styleId="Table1">
    <w:name w:val="Table1"/>
    <w:basedOn w:val="TableNormal1"/>
    <w:rsid w:val="00EE4612"/>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EE4612"/>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EE4612"/>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EF152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F1527"/>
  </w:style>
  <w:style w:type="paragraph" w:styleId="Footer">
    <w:name w:val="footer"/>
    <w:basedOn w:val="Normal"/>
    <w:link w:val="FooterChar"/>
    <w:uiPriority w:val="99"/>
    <w:unhideWhenUsed/>
    <w:rsid w:val="00EF1527"/>
    <w:pPr>
      <w:tabs>
        <w:tab w:val="center" w:pos="4680"/>
        <w:tab w:val="right" w:pos="9360"/>
      </w:tabs>
      <w:spacing w:line="240" w:lineRule="auto"/>
    </w:pPr>
  </w:style>
  <w:style w:type="character" w:customStyle="1" w:styleId="FooterChar">
    <w:name w:val="Footer Char"/>
    <w:basedOn w:val="DefaultParagraphFont"/>
    <w:link w:val="Footer"/>
    <w:uiPriority w:val="99"/>
    <w:rsid w:val="00EF1527"/>
  </w:style>
  <w:style w:type="paragraph" w:styleId="TOCHeading">
    <w:name w:val="TOC Heading"/>
    <w:basedOn w:val="Heading1"/>
    <w:next w:val="Normal"/>
    <w:uiPriority w:val="39"/>
    <w:semiHidden/>
    <w:unhideWhenUsed/>
    <w:qFormat/>
    <w:rsid w:val="00170191"/>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170191"/>
    <w:pPr>
      <w:spacing w:after="100"/>
    </w:pPr>
  </w:style>
  <w:style w:type="character" w:styleId="Hyperlink">
    <w:name w:val="Hyperlink"/>
    <w:basedOn w:val="DefaultParagraphFont"/>
    <w:uiPriority w:val="99"/>
    <w:unhideWhenUsed/>
    <w:rsid w:val="00170191"/>
    <w:rPr>
      <w:color w:val="0000FF" w:themeColor="hyperlink"/>
      <w:u w:val="single"/>
    </w:rPr>
  </w:style>
  <w:style w:type="paragraph" w:styleId="BalloonText">
    <w:name w:val="Balloon Text"/>
    <w:basedOn w:val="Normal"/>
    <w:link w:val="BalloonTextChar"/>
    <w:uiPriority w:val="99"/>
    <w:semiHidden/>
    <w:unhideWhenUsed/>
    <w:rsid w:val="0017019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19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E5EA3666-6386-4D5D-96EE-7F6C7AAF3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2250</Words>
  <Characters>12825</Characters>
  <Application>Microsoft Office Word</Application>
  <DocSecurity>0</DocSecurity>
  <Lines>106</Lines>
  <Paragraphs>30</Paragraphs>
  <ScaleCrop>false</ScaleCrop>
  <Company/>
  <LinksUpToDate>false</LinksUpToDate>
  <CharactersWithSpaces>15045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2023-04-23T13:00:00Z</dcterms:created>
  <dcterms:modified xsi:type="dcterms:W3CDTF">2023-04-23T13:04:00Z</dcterms:modified>
</cp:coreProperties>
</file>