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14C6" w:rsidRDefault="00DA2AD6">
      <w:pPr>
        <w:pStyle w:val="Title"/>
        <w:jc w:val="center"/>
      </w:pPr>
      <w:bookmarkStart w:id="0" w:name="_GoBack"/>
      <w:bookmarkEnd w:id="0"/>
      <w:r>
        <w:t>Comprehensive Financial Summary</w:t>
      </w:r>
    </w:p>
    <w:p w:rsidR="00FE14C6" w:rsidRDefault="00DA2AD6">
      <w:pPr>
        <w:jc w:val="center"/>
      </w:pPr>
      <w:r>
        <w:t>Analysis of Performance &amp; Trends (2020 – 2024)</w:t>
      </w:r>
    </w:p>
    <w:p w:rsidR="00FE14C6" w:rsidRDefault="00FE14C6"/>
    <w:p w:rsidR="00FE14C6" w:rsidRDefault="00DA2AD6">
      <w:pPr>
        <w:pStyle w:val="Heading1"/>
      </w:pPr>
      <w:r>
        <w:t>1. Executive Summary</w:t>
      </w:r>
    </w:p>
    <w:p w:rsidR="00FE14C6" w:rsidRDefault="00DA2AD6">
      <w:r>
        <w:t>This comprehensive report evaluates the company's financial trajectory over a critical five-year period spanning from 2020 to 2024. The fundamental objective of this analysis is to provide stakeholders with a clear, data-driven perspective on revenue gener</w:t>
      </w:r>
      <w:r>
        <w:t>ation, profitability metrics, liquidity health, and overall capital structure.</w:t>
      </w:r>
    </w:p>
    <w:p w:rsidR="00FE14C6" w:rsidRDefault="00DA2AD6">
      <w:r>
        <w:t>The overarching narrative of this period is one of an exceptional operational turnaround. In 2020, the company faced significant headwinds, characterized by a net loss of $260 m</w:t>
      </w:r>
      <w:r>
        <w:t>illion. By implementing stringent cost controls, expanding gross margins, and driving top-line sales, the organization has achieved a highly profitable profile, culminating in a robust net profit of $650 million by the end of 2024. Revenue has more than do</w:t>
      </w:r>
      <w:r>
        <w:t>ubled, and all major profitability ratios point to sustained, highly efficient operations.</w:t>
      </w:r>
    </w:p>
    <w:p w:rsidR="00FE14C6" w:rsidRDefault="00DA2AD6">
      <w:pPr>
        <w:pStyle w:val="Heading1"/>
      </w:pPr>
      <w:r>
        <w:t>2. Growth and Profitability Analysis</w:t>
      </w:r>
    </w:p>
    <w:p w:rsidR="00FE14C6" w:rsidRDefault="00DA2AD6">
      <w:pPr>
        <w:pStyle w:val="Heading2"/>
      </w:pPr>
      <w:r>
        <w:t>2.1 Revenue and Income Generation</w:t>
      </w:r>
    </w:p>
    <w:p w:rsidR="00FE14C6" w:rsidRDefault="00DA2AD6">
      <w:r>
        <w:t>Top-line growth has demonstrated remarkable resilience and consistency. Annual revenue increas</w:t>
      </w:r>
      <w:r>
        <w:t>ed from $992 million in 2020 to $2.3 billion in 2024, representing an aggregate growth rate of approximately 132%. Correspondingly, Gross Profit surged from $270 million to $1.2 billion. This outsized growth in gross profit relative to revenue growth stron</w:t>
      </w:r>
      <w:r>
        <w:t>gly indicates substantial improvements in the cost of goods sold (COGS) and enhanced pricing power in the market.</w:t>
      </w:r>
    </w:p>
    <w:p w:rsidR="00FE14C6" w:rsidRDefault="00DA2AD6">
      <w:r>
        <w:t>Operating Income experienced a dramatic reversal. Starting from an operational deficit of -$153 million in 2020, the company achieved positive</w:t>
      </w:r>
      <w:r>
        <w:t xml:space="preserve"> operating income by 2021 ($494 million) and steadily climbed to $950 million by 2024. This consistent upward trajectory reflects strict operational cost controls and the realization of significant economies of scale as the company expanded.</w:t>
      </w:r>
    </w:p>
    <w:p w:rsidR="00FE14C6" w:rsidRDefault="00DA2AD6">
      <w:pPr>
        <w:pStyle w:val="Heading2"/>
      </w:pPr>
      <w:r>
        <w:t>2.2 Margin Exp</w:t>
      </w:r>
      <w:r>
        <w:t>ansion</w:t>
      </w:r>
    </w:p>
    <w:p w:rsidR="00FE14C6" w:rsidRDefault="00DA2AD6">
      <w:r>
        <w:t>The evolution of the company's profitability ratios illustrates the underlying strength of its current financial health. Across the five-year period, margins have expanded exponentially:</w:t>
      </w:r>
    </w:p>
    <w:p w:rsidR="00FE14C6" w:rsidRDefault="00DA2AD6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b/>
          <w:bCs/>
          <w:color w:val="000000"/>
        </w:rPr>
        <w:t xml:space="preserve">Gross Margin: </w:t>
      </w:r>
      <w:r>
        <w:rPr>
          <w:color w:val="000000"/>
        </w:rPr>
        <w:t>Expanded continuously from 27.2% in 2020 to an i</w:t>
      </w:r>
      <w:r>
        <w:rPr>
          <w:color w:val="000000"/>
        </w:rPr>
        <w:t>mpressive 52.2% in 2024.</w:t>
      </w:r>
    </w:p>
    <w:p w:rsidR="00FE14C6" w:rsidRDefault="00DA2AD6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b/>
          <w:bCs/>
          <w:color w:val="000000"/>
        </w:rPr>
        <w:lastRenderedPageBreak/>
        <w:t xml:space="preserve">Operating Margin: </w:t>
      </w:r>
      <w:r>
        <w:rPr>
          <w:color w:val="000000"/>
        </w:rPr>
        <w:t>Rebounded from a negative -15.4% in 2020 to reach 41.3% by 2024, showing that operational expenses have been heavily optimized.</w:t>
      </w:r>
    </w:p>
    <w:p w:rsidR="00FE14C6" w:rsidRDefault="00DA2AD6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</w:pPr>
      <w:r>
        <w:rPr>
          <w:b/>
          <w:bCs/>
          <w:color w:val="000000"/>
        </w:rPr>
        <w:t xml:space="preserve">Net Margin: </w:t>
      </w:r>
      <w:r>
        <w:rPr>
          <w:color w:val="000000"/>
        </w:rPr>
        <w:t>Recovered from a bleak -26.2% to a highly lucrative 28.3%.</w:t>
      </w:r>
    </w:p>
    <w:p w:rsidR="00FE14C6" w:rsidRDefault="00DA2AD6">
      <w:r>
        <w:t>This continuou</w:t>
      </w:r>
      <w:r>
        <w:t>s year-over-year expansion suggests that the organization is not only selling higher volumes but is executing those sales with substantially greater efficiency.</w:t>
      </w:r>
    </w:p>
    <w:p w:rsidR="00FE14C6" w:rsidRDefault="00DA2AD6">
      <w:r>
        <w:br w:type="page"/>
      </w:r>
    </w:p>
    <w:p w:rsidR="00FE14C6" w:rsidRDefault="00DA2AD6">
      <w:pPr>
        <w:pStyle w:val="Heading1"/>
      </w:pPr>
      <w:r>
        <w:lastRenderedPageBreak/>
        <w:t>3. Liquidity and Asset Management</w:t>
      </w:r>
    </w:p>
    <w:p w:rsidR="00FE14C6" w:rsidRDefault="00DA2AD6">
      <w:r>
        <w:t>While profitability has soared, the organization's liquidity position presents a slightly more nuanced picture that requires management's attention. The company's Current Ratio has steadily declined over the reporting period, moving from 0.93 in 2020 to 0.</w:t>
      </w:r>
      <w:r>
        <w:t>77 in 2024. A current ratio consistently below 1.0 implies that current liabilities ($1.95 billion in 2024) exceed current assets ($1.5 billion).</w:t>
      </w:r>
    </w:p>
    <w:p w:rsidR="00FE14C6" w:rsidRDefault="00DA2AD6">
      <w:r>
        <w:t>However, cash reserves have remained relatively stable and healthy, ending 2024 at $1.0 billion. Accounts Rece</w:t>
      </w:r>
      <w:r>
        <w:t>ivable grew from $150 million to $475 million, which aligns reasonably well with the overall revenue growth curve, suggesting that collection cycles and credit policies have remained effective despite the heavily increased sales volume.</w:t>
      </w:r>
    </w:p>
    <w:p w:rsidR="00FE14C6" w:rsidRDefault="00DA2AD6">
      <w:pPr>
        <w:pStyle w:val="Heading1"/>
      </w:pPr>
      <w:r>
        <w:t>4. Solvency and Cap</w:t>
      </w:r>
      <w:r>
        <w:t>ital Structure</w:t>
      </w:r>
    </w:p>
    <w:p w:rsidR="00FE14C6" w:rsidRDefault="00DA2AD6">
      <w:r>
        <w:t>Total Assets grew marginally during the five years, increasing from $3.8 billion in 2020 to $4.15 billion in 2024. In contrast, the company has actively managed its Total Debt downwards, decreasing obligations from $2.5 billion to $2.0 billi</w:t>
      </w:r>
      <w:r>
        <w:t>on. This deleveraging effort is a highly positive indicator that the company is utilizing its free cash flows to steadily reduce debt burdens, which is also reflected in the declining annual interest expense (down to $125 million in 2024).</w:t>
      </w:r>
    </w:p>
    <w:p w:rsidR="00FE14C6" w:rsidRDefault="00DA2AD6">
      <w:r>
        <w:t>An interesting f</w:t>
      </w:r>
      <w:r>
        <w:t>acet of the balance sheet is Total Equity, which remains negative and has trended further downwards (from -$900 million to -$1.2 billion). Given the massive net income generated during the latter years, this expanding negative equity likely points to signi</w:t>
      </w:r>
      <w:r>
        <w:t>ficant shareholder distributions—such as aggressive share buybacks or large dividend payouts—rather than operational deficits.</w:t>
      </w:r>
    </w:p>
    <w:p w:rsidR="00FE14C6" w:rsidRDefault="00DA2AD6">
      <w:pPr>
        <w:pStyle w:val="Heading1"/>
      </w:pPr>
      <w:r>
        <w:t>5. Financial Data Reference tables</w:t>
      </w:r>
    </w:p>
    <w:p w:rsidR="00FE14C6" w:rsidRDefault="00DA2AD6">
      <w:r>
        <w:t>Table 1: Key Raw Financial Data (USD Millions)</w:t>
      </w:r>
    </w:p>
    <w:tbl>
      <w:tblPr>
        <w:tblStyle w:val="a"/>
        <w:tblW w:w="8640" w:type="dxa"/>
        <w:tblInd w:w="-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440"/>
        <w:gridCol w:w="1440"/>
        <w:gridCol w:w="1440"/>
        <w:gridCol w:w="1440"/>
        <w:gridCol w:w="1440"/>
        <w:gridCol w:w="1440"/>
      </w:tblGrid>
      <w:tr w:rsidR="00FE14C6"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Metric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2020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2021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2022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2023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2024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Revenue</w:t>
            </w:r>
          </w:p>
        </w:tc>
        <w:tc>
          <w:tcPr>
            <w:tcW w:w="1440" w:type="dxa"/>
          </w:tcPr>
          <w:p w:rsidR="00FE14C6" w:rsidRDefault="00DA2AD6">
            <w:r>
              <w:t>992</w:t>
            </w:r>
          </w:p>
        </w:tc>
        <w:tc>
          <w:tcPr>
            <w:tcW w:w="1440" w:type="dxa"/>
          </w:tcPr>
          <w:p w:rsidR="00FE14C6" w:rsidRDefault="00DA2AD6">
            <w:r>
              <w:t>1390</w:t>
            </w:r>
          </w:p>
        </w:tc>
        <w:tc>
          <w:tcPr>
            <w:tcW w:w="1440" w:type="dxa"/>
          </w:tcPr>
          <w:p w:rsidR="00FE14C6" w:rsidRDefault="00DA2AD6">
            <w:r>
              <w:t>1843</w:t>
            </w:r>
          </w:p>
        </w:tc>
        <w:tc>
          <w:tcPr>
            <w:tcW w:w="1440" w:type="dxa"/>
          </w:tcPr>
          <w:p w:rsidR="00FE14C6" w:rsidRDefault="00DA2AD6">
            <w:r>
              <w:t>2164</w:t>
            </w:r>
          </w:p>
        </w:tc>
        <w:tc>
          <w:tcPr>
            <w:tcW w:w="1440" w:type="dxa"/>
          </w:tcPr>
          <w:p w:rsidR="00FE14C6" w:rsidRDefault="00DA2AD6">
            <w:r>
              <w:t>2300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Gross Profit</w:t>
            </w:r>
          </w:p>
        </w:tc>
        <w:tc>
          <w:tcPr>
            <w:tcW w:w="1440" w:type="dxa"/>
          </w:tcPr>
          <w:p w:rsidR="00FE14C6" w:rsidRDefault="00DA2AD6">
            <w:r>
              <w:t>270</w:t>
            </w:r>
          </w:p>
        </w:tc>
        <w:tc>
          <w:tcPr>
            <w:tcW w:w="1440" w:type="dxa"/>
          </w:tcPr>
          <w:p w:rsidR="00FE14C6" w:rsidRDefault="00DA2AD6">
            <w:r>
              <w:t>550</w:t>
            </w:r>
          </w:p>
        </w:tc>
        <w:tc>
          <w:tcPr>
            <w:tcW w:w="1440" w:type="dxa"/>
          </w:tcPr>
          <w:p w:rsidR="00FE14C6" w:rsidRDefault="00DA2AD6">
            <w:r>
              <w:t>850</w:t>
            </w:r>
          </w:p>
        </w:tc>
        <w:tc>
          <w:tcPr>
            <w:tcW w:w="1440" w:type="dxa"/>
          </w:tcPr>
          <w:p w:rsidR="00FE14C6" w:rsidRDefault="00DA2AD6">
            <w:r>
              <w:t>1100</w:t>
            </w:r>
          </w:p>
        </w:tc>
        <w:tc>
          <w:tcPr>
            <w:tcW w:w="1440" w:type="dxa"/>
          </w:tcPr>
          <w:p w:rsidR="00FE14C6" w:rsidRDefault="00DA2AD6">
            <w:r>
              <w:t>1200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Operating Income</w:t>
            </w:r>
          </w:p>
        </w:tc>
        <w:tc>
          <w:tcPr>
            <w:tcW w:w="1440" w:type="dxa"/>
          </w:tcPr>
          <w:p w:rsidR="00FE14C6" w:rsidRDefault="00DA2AD6">
            <w:r>
              <w:t>-153</w:t>
            </w:r>
          </w:p>
        </w:tc>
        <w:tc>
          <w:tcPr>
            <w:tcW w:w="1440" w:type="dxa"/>
          </w:tcPr>
          <w:p w:rsidR="00FE14C6" w:rsidRDefault="00DA2AD6">
            <w:r>
              <w:t>494</w:t>
            </w:r>
          </w:p>
        </w:tc>
        <w:tc>
          <w:tcPr>
            <w:tcW w:w="1440" w:type="dxa"/>
          </w:tcPr>
          <w:p w:rsidR="00FE14C6" w:rsidRDefault="00DA2AD6">
            <w:r>
              <w:t>628</w:t>
            </w:r>
          </w:p>
        </w:tc>
        <w:tc>
          <w:tcPr>
            <w:tcW w:w="1440" w:type="dxa"/>
          </w:tcPr>
          <w:p w:rsidR="00FE14C6" w:rsidRDefault="00DA2AD6">
            <w:r>
              <w:t>866</w:t>
            </w:r>
          </w:p>
        </w:tc>
        <w:tc>
          <w:tcPr>
            <w:tcW w:w="1440" w:type="dxa"/>
          </w:tcPr>
          <w:p w:rsidR="00FE14C6" w:rsidRDefault="00DA2AD6">
            <w:r>
              <w:t>950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Net Income</w:t>
            </w:r>
          </w:p>
        </w:tc>
        <w:tc>
          <w:tcPr>
            <w:tcW w:w="1440" w:type="dxa"/>
          </w:tcPr>
          <w:p w:rsidR="00FE14C6" w:rsidRDefault="00DA2AD6">
            <w:r>
              <w:t>-260</w:t>
            </w:r>
          </w:p>
        </w:tc>
        <w:tc>
          <w:tcPr>
            <w:tcW w:w="1440" w:type="dxa"/>
          </w:tcPr>
          <w:p w:rsidR="00FE14C6" w:rsidRDefault="00DA2AD6">
            <w:r>
              <w:t>266</w:t>
            </w:r>
          </w:p>
        </w:tc>
        <w:tc>
          <w:tcPr>
            <w:tcW w:w="1440" w:type="dxa"/>
          </w:tcPr>
          <w:p w:rsidR="00FE14C6" w:rsidRDefault="00DA2AD6">
            <w:r>
              <w:t>376</w:t>
            </w:r>
          </w:p>
        </w:tc>
        <w:tc>
          <w:tcPr>
            <w:tcW w:w="1440" w:type="dxa"/>
          </w:tcPr>
          <w:p w:rsidR="00FE14C6" w:rsidRDefault="00DA2AD6">
            <w:r>
              <w:t>591</w:t>
            </w:r>
          </w:p>
        </w:tc>
        <w:tc>
          <w:tcPr>
            <w:tcW w:w="1440" w:type="dxa"/>
          </w:tcPr>
          <w:p w:rsidR="00FE14C6" w:rsidRDefault="00DA2AD6">
            <w:r>
              <w:t>650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Total Debt</w:t>
            </w:r>
          </w:p>
        </w:tc>
        <w:tc>
          <w:tcPr>
            <w:tcW w:w="1440" w:type="dxa"/>
          </w:tcPr>
          <w:p w:rsidR="00FE14C6" w:rsidRDefault="00DA2AD6">
            <w:r>
              <w:t>2500</w:t>
            </w:r>
          </w:p>
        </w:tc>
        <w:tc>
          <w:tcPr>
            <w:tcW w:w="1440" w:type="dxa"/>
          </w:tcPr>
          <w:p w:rsidR="00FE14C6" w:rsidRDefault="00DA2AD6">
            <w:r>
              <w:t>2300</w:t>
            </w:r>
          </w:p>
        </w:tc>
        <w:tc>
          <w:tcPr>
            <w:tcW w:w="1440" w:type="dxa"/>
          </w:tcPr>
          <w:p w:rsidR="00FE14C6" w:rsidRDefault="00DA2AD6">
            <w:r>
              <w:t>2200</w:t>
            </w:r>
          </w:p>
        </w:tc>
        <w:tc>
          <w:tcPr>
            <w:tcW w:w="1440" w:type="dxa"/>
          </w:tcPr>
          <w:p w:rsidR="00FE14C6" w:rsidRDefault="00DA2AD6">
            <w:r>
              <w:t>2100</w:t>
            </w:r>
          </w:p>
        </w:tc>
        <w:tc>
          <w:tcPr>
            <w:tcW w:w="1440" w:type="dxa"/>
          </w:tcPr>
          <w:p w:rsidR="00FE14C6" w:rsidRDefault="00DA2AD6">
            <w:r>
              <w:t>2000</w:t>
            </w:r>
          </w:p>
        </w:tc>
      </w:tr>
    </w:tbl>
    <w:p w:rsidR="00FE14C6" w:rsidRDefault="00DA2AD6">
      <w:r>
        <w:br/>
        <w:t>Table 2: Key Financial Ratios</w:t>
      </w:r>
    </w:p>
    <w:tbl>
      <w:tblPr>
        <w:tblStyle w:val="a0"/>
        <w:tblW w:w="8640" w:type="dxa"/>
        <w:tblInd w:w="-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440"/>
        <w:gridCol w:w="1440"/>
        <w:gridCol w:w="1440"/>
        <w:gridCol w:w="1440"/>
        <w:gridCol w:w="1440"/>
        <w:gridCol w:w="1440"/>
      </w:tblGrid>
      <w:tr w:rsidR="00FE14C6"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Metric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2020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2021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2022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2023</w:t>
            </w:r>
          </w:p>
        </w:tc>
        <w:tc>
          <w:tcPr>
            <w:tcW w:w="1440" w:type="dxa"/>
          </w:tcPr>
          <w:p w:rsidR="00FE14C6" w:rsidRDefault="00DA2AD6">
            <w:r>
              <w:rPr>
                <w:b/>
                <w:bCs/>
              </w:rPr>
              <w:t>2024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Gross Margin</w:t>
            </w:r>
          </w:p>
        </w:tc>
        <w:tc>
          <w:tcPr>
            <w:tcW w:w="1440" w:type="dxa"/>
          </w:tcPr>
          <w:p w:rsidR="00FE14C6" w:rsidRDefault="00DA2AD6">
            <w:r>
              <w:t>27.2%</w:t>
            </w:r>
          </w:p>
        </w:tc>
        <w:tc>
          <w:tcPr>
            <w:tcW w:w="1440" w:type="dxa"/>
          </w:tcPr>
          <w:p w:rsidR="00FE14C6" w:rsidRDefault="00DA2AD6">
            <w:r>
              <w:t>39.6%</w:t>
            </w:r>
          </w:p>
        </w:tc>
        <w:tc>
          <w:tcPr>
            <w:tcW w:w="1440" w:type="dxa"/>
          </w:tcPr>
          <w:p w:rsidR="00FE14C6" w:rsidRDefault="00DA2AD6">
            <w:r>
              <w:t>46.1%</w:t>
            </w:r>
          </w:p>
        </w:tc>
        <w:tc>
          <w:tcPr>
            <w:tcW w:w="1440" w:type="dxa"/>
          </w:tcPr>
          <w:p w:rsidR="00FE14C6" w:rsidRDefault="00DA2AD6">
            <w:r>
              <w:t>50.8%</w:t>
            </w:r>
          </w:p>
        </w:tc>
        <w:tc>
          <w:tcPr>
            <w:tcW w:w="1440" w:type="dxa"/>
          </w:tcPr>
          <w:p w:rsidR="00FE14C6" w:rsidRDefault="00DA2AD6">
            <w:r>
              <w:t>52.2%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lastRenderedPageBreak/>
              <w:t>Operating Margin</w:t>
            </w:r>
          </w:p>
        </w:tc>
        <w:tc>
          <w:tcPr>
            <w:tcW w:w="1440" w:type="dxa"/>
          </w:tcPr>
          <w:p w:rsidR="00FE14C6" w:rsidRDefault="00DA2AD6">
            <w:r>
              <w:t>-15.4%</w:t>
            </w:r>
          </w:p>
        </w:tc>
        <w:tc>
          <w:tcPr>
            <w:tcW w:w="1440" w:type="dxa"/>
          </w:tcPr>
          <w:p w:rsidR="00FE14C6" w:rsidRDefault="00DA2AD6">
            <w:r>
              <w:t>35.5%</w:t>
            </w:r>
          </w:p>
        </w:tc>
        <w:tc>
          <w:tcPr>
            <w:tcW w:w="1440" w:type="dxa"/>
          </w:tcPr>
          <w:p w:rsidR="00FE14C6" w:rsidRDefault="00DA2AD6">
            <w:r>
              <w:t>34.1%</w:t>
            </w:r>
          </w:p>
        </w:tc>
        <w:tc>
          <w:tcPr>
            <w:tcW w:w="1440" w:type="dxa"/>
          </w:tcPr>
          <w:p w:rsidR="00FE14C6" w:rsidRDefault="00DA2AD6">
            <w:r>
              <w:t>40.0%</w:t>
            </w:r>
          </w:p>
        </w:tc>
        <w:tc>
          <w:tcPr>
            <w:tcW w:w="1440" w:type="dxa"/>
          </w:tcPr>
          <w:p w:rsidR="00FE14C6" w:rsidRDefault="00DA2AD6">
            <w:r>
              <w:t>41.3%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Net Margin</w:t>
            </w:r>
          </w:p>
        </w:tc>
        <w:tc>
          <w:tcPr>
            <w:tcW w:w="1440" w:type="dxa"/>
          </w:tcPr>
          <w:p w:rsidR="00FE14C6" w:rsidRDefault="00DA2AD6">
            <w:r>
              <w:t>-26.2%</w:t>
            </w:r>
          </w:p>
        </w:tc>
        <w:tc>
          <w:tcPr>
            <w:tcW w:w="1440" w:type="dxa"/>
          </w:tcPr>
          <w:p w:rsidR="00FE14C6" w:rsidRDefault="00DA2AD6">
            <w:r>
              <w:t>19.1%</w:t>
            </w:r>
          </w:p>
        </w:tc>
        <w:tc>
          <w:tcPr>
            <w:tcW w:w="1440" w:type="dxa"/>
          </w:tcPr>
          <w:p w:rsidR="00FE14C6" w:rsidRDefault="00DA2AD6">
            <w:r>
              <w:t>20.4%</w:t>
            </w:r>
          </w:p>
        </w:tc>
        <w:tc>
          <w:tcPr>
            <w:tcW w:w="1440" w:type="dxa"/>
          </w:tcPr>
          <w:p w:rsidR="00FE14C6" w:rsidRDefault="00DA2AD6">
            <w:r>
              <w:t>27.3%</w:t>
            </w:r>
          </w:p>
        </w:tc>
        <w:tc>
          <w:tcPr>
            <w:tcW w:w="1440" w:type="dxa"/>
          </w:tcPr>
          <w:p w:rsidR="00FE14C6" w:rsidRDefault="00DA2AD6">
            <w:r>
              <w:t>28.3%</w:t>
            </w:r>
          </w:p>
        </w:tc>
      </w:tr>
      <w:tr w:rsidR="00FE14C6">
        <w:tc>
          <w:tcPr>
            <w:tcW w:w="1440" w:type="dxa"/>
          </w:tcPr>
          <w:p w:rsidR="00FE14C6" w:rsidRDefault="00DA2AD6">
            <w:r>
              <w:t>Current Ratio</w:t>
            </w:r>
          </w:p>
        </w:tc>
        <w:tc>
          <w:tcPr>
            <w:tcW w:w="1440" w:type="dxa"/>
          </w:tcPr>
          <w:p w:rsidR="00FE14C6" w:rsidRDefault="00DA2AD6">
            <w:r>
              <w:t>0.93</w:t>
            </w:r>
          </w:p>
        </w:tc>
        <w:tc>
          <w:tcPr>
            <w:tcW w:w="1440" w:type="dxa"/>
          </w:tcPr>
          <w:p w:rsidR="00FE14C6" w:rsidRDefault="00DA2AD6">
            <w:r>
              <w:t>0.94</w:t>
            </w:r>
          </w:p>
        </w:tc>
        <w:tc>
          <w:tcPr>
            <w:tcW w:w="1440" w:type="dxa"/>
          </w:tcPr>
          <w:p w:rsidR="00FE14C6" w:rsidRDefault="00DA2AD6">
            <w:r>
              <w:t>0.73</w:t>
            </w:r>
          </w:p>
        </w:tc>
        <w:tc>
          <w:tcPr>
            <w:tcW w:w="1440" w:type="dxa"/>
          </w:tcPr>
          <w:p w:rsidR="00FE14C6" w:rsidRDefault="00DA2AD6">
            <w:r>
              <w:t>0.76</w:t>
            </w:r>
          </w:p>
        </w:tc>
        <w:tc>
          <w:tcPr>
            <w:tcW w:w="1440" w:type="dxa"/>
          </w:tcPr>
          <w:p w:rsidR="00FE14C6" w:rsidRDefault="00DA2AD6">
            <w:r>
              <w:t>0.77</w:t>
            </w:r>
          </w:p>
        </w:tc>
      </w:tr>
    </w:tbl>
    <w:p w:rsidR="00FE14C6" w:rsidRDefault="00DA2AD6">
      <w:pPr>
        <w:pStyle w:val="Heading1"/>
      </w:pPr>
      <w:r>
        <w:t>6. Conclusion</w:t>
      </w:r>
    </w:p>
    <w:p w:rsidR="00FE14C6" w:rsidRDefault="00DA2AD6">
      <w:r>
        <w:t>The five-year period closing in 2024 stands as a testament to successful strategic execution and operational efficiency. The firm has successfully scaled its revenues while simultaneously driving unprecedented efficiency and margin expansion. Moving forwar</w:t>
      </w:r>
      <w:r>
        <w:t>d, strategic focus should be subtly shifted toward optimizing working capital to bolster the current ratio, ensuring that the company maintains strong short-term liquidity to match its outstanding long-term solvency and robust profitability.</w:t>
      </w:r>
    </w:p>
    <w:sectPr w:rsidR="00FE14C6">
      <w:pgSz w:w="12240" w:h="15840"/>
      <w:pgMar w:top="1440" w:right="1800" w:bottom="1440" w:left="180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Noto Sans Symbols">
    <w:altName w:val="Times New Roman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1" w:fontKey="{7E1A5C79-928A-4EE5-8251-1FCDDECB5FF2}"/>
    <w:embedBold r:id="rId2" w:fontKey="{BC11D047-18AA-4B3A-BBCA-39997EA40BC4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3" w:fontKey="{7EEF2EBC-2689-45BA-BE31-359287247F7B}"/>
    <w:embedBold r:id="rId4" w:fontKey="{0581EF38-13F0-42B5-91CF-7943AA8976E1}"/>
    <w:embedItalic r:id="rId5" w:fontKey="{11312444-80D5-4FA9-8959-9ED8790C5AF2}"/>
    <w:embedBoldItalic r:id="rId6" w:fontKey="{E591A0C0-071A-4DF8-97A0-31BE535DA389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7D2932"/>
    <w:multiLevelType w:val="multilevel"/>
    <w:tmpl w:val="55C002EE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"/>
      <w:lvlJc w:val="left"/>
      <w:pPr>
        <w:ind w:left="0" w:firstLine="0"/>
      </w:pPr>
    </w:lvl>
    <w:lvl w:ilvl="2">
      <w:start w:val="1"/>
      <w:numFmt w:val="bullet"/>
      <w:lvlText w:val=""/>
      <w:lvlJc w:val="left"/>
      <w:pPr>
        <w:ind w:left="0" w:firstLine="0"/>
      </w:pPr>
    </w:lvl>
    <w:lvl w:ilvl="3">
      <w:start w:val="1"/>
      <w:numFmt w:val="bullet"/>
      <w:lvlText w:val=""/>
      <w:lvlJc w:val="left"/>
      <w:pPr>
        <w:ind w:left="0" w:firstLine="0"/>
      </w:pPr>
    </w:lvl>
    <w:lvl w:ilvl="4">
      <w:start w:val="1"/>
      <w:numFmt w:val="bullet"/>
      <w:lvlText w:val=""/>
      <w:lvlJc w:val="left"/>
      <w:pPr>
        <w:ind w:left="0" w:firstLine="0"/>
      </w:pPr>
    </w:lvl>
    <w:lvl w:ilvl="5">
      <w:start w:val="1"/>
      <w:numFmt w:val="bullet"/>
      <w:lvlText w:val=""/>
      <w:lvlJc w:val="left"/>
      <w:pPr>
        <w:ind w:left="0" w:firstLine="0"/>
      </w:pPr>
    </w:lvl>
    <w:lvl w:ilvl="6">
      <w:start w:val="1"/>
      <w:numFmt w:val="bullet"/>
      <w:lvlText w:val=""/>
      <w:lvlJc w:val="left"/>
      <w:pPr>
        <w:ind w:left="0" w:firstLine="0"/>
      </w:pPr>
    </w:lvl>
    <w:lvl w:ilvl="7">
      <w:start w:val="1"/>
      <w:numFmt w:val="bullet"/>
      <w:lvlText w:val=""/>
      <w:lvlJc w:val="left"/>
      <w:pPr>
        <w:ind w:left="0" w:firstLine="0"/>
      </w:pPr>
    </w:lvl>
    <w:lvl w:ilvl="8">
      <w:start w:val="1"/>
      <w:numFmt w:val="bullet"/>
      <w:lvlText w:val=""/>
      <w:lvlJc w:val="left"/>
      <w:pPr>
        <w:ind w:left="0" w:firstLine="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14C6"/>
    <w:rsid w:val="00C1390E"/>
    <w:rsid w:val="00DA2AD6"/>
    <w:rsid w:val="00FE1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BB4FE7D-BF66-41F5-8B9A-8AFB5148D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="Cambria" w:hAnsi="Cambria" w:cs="Cambria"/>
        <w:sz w:val="22"/>
        <w:szCs w:val="22"/>
        <w:lang w:val="en" w:eastAsia="en-I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0"/>
      <w:outlineLvl w:val="0"/>
    </w:pPr>
    <w:rPr>
      <w:rFonts w:ascii="Calibri" w:eastAsia="Calibri" w:hAnsi="Calibri" w:cs="Calibri"/>
      <w:b/>
      <w:bCs/>
      <w:color w:val="366091"/>
      <w:sz w:val="28"/>
      <w:szCs w:val="28"/>
    </w:rPr>
  </w:style>
  <w:style w:type="paragraph" w:styleId="Heading2">
    <w:name w:val="heading 2"/>
    <w:basedOn w:val="Normal"/>
    <w:next w:val="Normal"/>
    <w:pPr>
      <w:keepNext/>
      <w:keepLines/>
      <w:spacing w:before="200" w:after="0"/>
      <w:outlineLvl w:val="1"/>
    </w:pPr>
    <w:rPr>
      <w:rFonts w:ascii="Calibri" w:eastAsia="Calibri" w:hAnsi="Calibri" w:cs="Calibr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pPr>
      <w:keepNext/>
      <w:keepLines/>
      <w:spacing w:before="200" w:after="0"/>
      <w:outlineLvl w:val="2"/>
    </w:pPr>
    <w:rPr>
      <w:rFonts w:ascii="Calibri" w:eastAsia="Calibri" w:hAnsi="Calibri" w:cs="Calibri"/>
      <w:b/>
      <w:bCs/>
      <w:color w:val="4F81BD"/>
    </w:rPr>
  </w:style>
  <w:style w:type="paragraph" w:styleId="Heading4">
    <w:name w:val="heading 4"/>
    <w:basedOn w:val="Normal"/>
    <w:next w:val="Normal"/>
    <w:pPr>
      <w:keepNext/>
      <w:keepLines/>
      <w:spacing w:before="200" w:after="0"/>
      <w:outlineLvl w:val="3"/>
    </w:pPr>
    <w:rPr>
      <w:rFonts w:ascii="Calibri" w:eastAsia="Calibri" w:hAnsi="Calibri" w:cs="Calibri"/>
      <w:b/>
      <w:bCs/>
      <w:i/>
      <w:iCs/>
      <w:color w:val="4F81BD"/>
    </w:rPr>
  </w:style>
  <w:style w:type="paragraph" w:styleId="Heading5">
    <w:name w:val="heading 5"/>
    <w:basedOn w:val="Normal"/>
    <w:next w:val="Normal"/>
    <w:pPr>
      <w:keepNext/>
      <w:keepLines/>
      <w:spacing w:before="200" w:after="0"/>
      <w:outlineLvl w:val="4"/>
    </w:pPr>
    <w:rPr>
      <w:rFonts w:ascii="Calibri" w:eastAsia="Calibri" w:hAnsi="Calibri" w:cs="Calibri"/>
      <w:color w:val="243F61"/>
    </w:rPr>
  </w:style>
  <w:style w:type="paragraph" w:styleId="Heading6">
    <w:name w:val="heading 6"/>
    <w:basedOn w:val="Normal"/>
    <w:next w:val="Normal"/>
    <w:pPr>
      <w:keepNext/>
      <w:keepLines/>
      <w:spacing w:before="200" w:after="0"/>
      <w:outlineLvl w:val="5"/>
    </w:pPr>
    <w:rPr>
      <w:rFonts w:ascii="Calibri" w:eastAsia="Calibri" w:hAnsi="Calibri" w:cs="Calibri"/>
      <w:i/>
      <w:iCs/>
      <w:color w:val="243F6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pBdr>
        <w:bottom w:val="single" w:sz="8" w:space="4" w:color="4F81BD"/>
      </w:pBdr>
      <w:spacing w:after="300" w:line="240" w:lineRule="auto"/>
    </w:pPr>
    <w:rPr>
      <w:rFonts w:ascii="Calibri" w:eastAsia="Calibri" w:hAnsi="Calibri" w:cs="Calibri"/>
      <w:color w:val="17365D"/>
      <w:sz w:val="52"/>
      <w:szCs w:val="52"/>
    </w:rPr>
  </w:style>
  <w:style w:type="paragraph" w:styleId="Subtitle">
    <w:name w:val="Subtitle"/>
    <w:basedOn w:val="Normal"/>
    <w:next w:val="Normal"/>
    <w:rPr>
      <w:rFonts w:ascii="Calibri" w:eastAsia="Calibri" w:hAnsi="Calibri" w:cs="Calibri"/>
      <w:i/>
      <w:iCs/>
      <w:color w:val="4F81BD"/>
      <w:sz w:val="24"/>
      <w:szCs w:val="24"/>
    </w:rPr>
  </w:style>
  <w:style w:type="table" w:customStyle="1" w:styleId="a">
    <w:basedOn w:val="TableNormal0"/>
    <w:pPr>
      <w:spacing w:after="0" w:line="240" w:lineRule="auto"/>
    </w:pPr>
    <w:tblPr>
      <w:tblStyleRowBandSize w:val="1"/>
      <w:tblStyleColBandSize w:val="1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a0">
    <w:basedOn w:val="TableNormal0"/>
    <w:pPr>
      <w:spacing w:after="0" w:line="240" w:lineRule="auto"/>
    </w:pPr>
    <w:tblPr>
      <w:tblStyleRowBandSize w:val="1"/>
      <w:tblStyleColBandSize w:val="1"/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792</Words>
  <Characters>4518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Sainil Parekh (2532294)</cp:lastModifiedBy>
  <cp:revision>2</cp:revision>
  <dcterms:created xsi:type="dcterms:W3CDTF">2026-07-22T15:22:00Z</dcterms:created>
  <dcterms:modified xsi:type="dcterms:W3CDTF">2026-07-22T15:22:00Z</dcterms:modified>
</cp:coreProperties>
</file>