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8634C" w14:textId="50267D86" w:rsidR="00FC553E" w:rsidRDefault="00FB6E73">
      <w:pPr>
        <w:rPr>
          <w:u w:val="single"/>
        </w:rPr>
      </w:pPr>
      <w:r>
        <w:rPr>
          <w:u w:val="single"/>
        </w:rPr>
        <w:t>An exploration into t</w:t>
      </w:r>
      <w:r w:rsidR="00321642" w:rsidRPr="0022489D">
        <w:rPr>
          <w:u w:val="single"/>
        </w:rPr>
        <w:t xml:space="preserve">he </w:t>
      </w:r>
      <w:r w:rsidR="00321642">
        <w:rPr>
          <w:u w:val="single"/>
        </w:rPr>
        <w:t xml:space="preserve">impact of trauma and ACEs on children in their early </w:t>
      </w:r>
      <w:r>
        <w:rPr>
          <w:u w:val="single"/>
        </w:rPr>
        <w:t>childhood</w:t>
      </w:r>
      <w:r w:rsidR="00321642">
        <w:rPr>
          <w:u w:val="single"/>
        </w:rPr>
        <w:t xml:space="preserve"> and families and support th</w:t>
      </w:r>
      <w:r w:rsidR="00D97B94">
        <w:rPr>
          <w:u w:val="single"/>
        </w:rPr>
        <w:t xml:space="preserve">ey have </w:t>
      </w:r>
      <w:r w:rsidR="00321642">
        <w:rPr>
          <w:u w:val="single"/>
        </w:rPr>
        <w:t>be</w:t>
      </w:r>
      <w:r w:rsidR="00D97B94">
        <w:rPr>
          <w:u w:val="single"/>
        </w:rPr>
        <w:t>en</w:t>
      </w:r>
      <w:r w:rsidR="00321642">
        <w:rPr>
          <w:u w:val="single"/>
        </w:rPr>
        <w:t xml:space="preserve"> provided.</w:t>
      </w:r>
    </w:p>
    <w:p w14:paraId="3724A891" w14:textId="1EA28A44" w:rsidR="0045227F" w:rsidRDefault="0045227F">
      <w:pPr>
        <w:rPr>
          <w:rStyle w:val="normaltextrun"/>
          <w:rFonts w:ascii="Arial" w:hAnsi="Arial" w:cs="Arial"/>
        </w:rPr>
      </w:pPr>
      <w:r>
        <w:rPr>
          <w:rStyle w:val="normaltextrun"/>
          <w:rFonts w:ascii="Arial" w:hAnsi="Arial" w:cs="Arial"/>
          <w:b/>
          <w:bCs/>
        </w:rPr>
        <w:t xml:space="preserve">Abstract </w:t>
      </w:r>
    </w:p>
    <w:p w14:paraId="2E517ABA" w14:textId="3CB87C32" w:rsidR="00685DB7" w:rsidRDefault="00685DB7">
      <w:r>
        <w:t xml:space="preserve">There has been a rise in the exploration of the impact of Trauma and Adverse Childhood Experiences (ACEs) on children in their early childhood. </w:t>
      </w:r>
      <w:r w:rsidR="00BC6A3B">
        <w:t xml:space="preserve">There </w:t>
      </w:r>
      <w:r>
        <w:t>have</w:t>
      </w:r>
      <w:r w:rsidR="00BC6A3B">
        <w:t xml:space="preserve"> been </w:t>
      </w:r>
      <w:r>
        <w:t>multiple research projects</w:t>
      </w:r>
      <w:r w:rsidR="00BC6A3B">
        <w:t xml:space="preserve"> into understanding the impacts opposed to children socially and emotional following experiencing ACEs. </w:t>
      </w:r>
      <w:r>
        <w:t>However, there has been a few studies identifying the impact on the child and the family and the support they have been provided.</w:t>
      </w:r>
    </w:p>
    <w:p w14:paraId="38F3DC96" w14:textId="1BAA005A" w:rsidR="00BC6A3B" w:rsidRDefault="00BC6A3B">
      <w:r>
        <w:t xml:space="preserve">This study will explore the levels of impact obtained on the child following their early childhood experiences. </w:t>
      </w:r>
      <w:r w:rsidR="006D77BD">
        <w:t xml:space="preserve">This research will be undertaking the use of mixed methods approach, through use of qualitive and quantitate data. </w:t>
      </w:r>
      <w:r>
        <w:t>T</w:t>
      </w:r>
      <w:r w:rsidR="006D77BD">
        <w:t xml:space="preserve">he research will rely on an analysis </w:t>
      </w:r>
      <w:r>
        <w:t xml:space="preserve">of semi-formal interviews </w:t>
      </w:r>
      <w:r w:rsidR="006D77BD">
        <w:t>that will be held with the participating</w:t>
      </w:r>
      <w:r>
        <w:t xml:space="preserve"> children’s families</w:t>
      </w:r>
      <w:r w:rsidR="006D77BD">
        <w:t xml:space="preserve">. </w:t>
      </w:r>
      <w:r w:rsidR="004955BE">
        <w:t xml:space="preserve">This will enhance the understanding of the experiences taken by the child and families, and the family's interpretation of the support offered. </w:t>
      </w:r>
      <w:r>
        <w:t xml:space="preserve">Furthermore, </w:t>
      </w:r>
      <w:r w:rsidR="006D77BD">
        <w:t xml:space="preserve">the research will </w:t>
      </w:r>
      <w:r>
        <w:t>gather further data from professionals</w:t>
      </w:r>
      <w:r w:rsidR="006D77BD">
        <w:t xml:space="preserve"> that have worked alongside the families and children</w:t>
      </w:r>
      <w:r>
        <w:t xml:space="preserve"> through use of open and closed </w:t>
      </w:r>
      <w:r w:rsidR="006D77BD">
        <w:t xml:space="preserve">questions within </w:t>
      </w:r>
      <w:r>
        <w:t xml:space="preserve">questionnaires. </w:t>
      </w:r>
      <w:r w:rsidR="004955BE">
        <w:t xml:space="preserve">This data will enhance the understanding of the support that has been provided to the participants from multi-agency professionals. </w:t>
      </w:r>
      <w:r w:rsidR="00685DB7">
        <w:t>Following with conducting observations of the participating child within a social setting</w:t>
      </w:r>
      <w:r w:rsidR="006D77BD">
        <w:t xml:space="preserve">. </w:t>
      </w:r>
      <w:r w:rsidR="004955BE">
        <w:t xml:space="preserve">This will enable researchers </w:t>
      </w:r>
      <w:r w:rsidR="006D77BD">
        <w:t>in</w:t>
      </w:r>
      <w:r w:rsidR="00685DB7">
        <w:t xml:space="preserve"> identifying the impact ACEs and Trauma on the child</w:t>
      </w:r>
      <w:r w:rsidR="006D77BD">
        <w:t xml:space="preserve"> emotionally and socially</w:t>
      </w:r>
      <w:r w:rsidR="00685DB7">
        <w:t xml:space="preserve">. </w:t>
      </w:r>
    </w:p>
    <w:p w14:paraId="12CEC709" w14:textId="77777777" w:rsidR="004955BE" w:rsidRPr="009260B7" w:rsidRDefault="004955BE"/>
    <w:p w14:paraId="647FB44B" w14:textId="5E63D5FD" w:rsidR="00EA65C2" w:rsidRDefault="00EA65C2" w:rsidP="00EA65C2">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 xml:space="preserve">A </w:t>
      </w:r>
      <w:r w:rsidR="004955BE">
        <w:rPr>
          <w:rStyle w:val="normaltextrun"/>
          <w:rFonts w:ascii="Arial" w:hAnsi="Arial" w:cs="Arial"/>
          <w:b/>
          <w:bCs/>
        </w:rPr>
        <w:t>Li</w:t>
      </w:r>
      <w:r>
        <w:rPr>
          <w:rStyle w:val="normaltextrun"/>
          <w:rFonts w:ascii="Arial" w:hAnsi="Arial" w:cs="Arial"/>
          <w:b/>
          <w:bCs/>
        </w:rPr>
        <w:t xml:space="preserve">terature </w:t>
      </w:r>
      <w:r w:rsidR="004955BE">
        <w:rPr>
          <w:rStyle w:val="normaltextrun"/>
          <w:rFonts w:ascii="Arial" w:hAnsi="Arial" w:cs="Arial"/>
          <w:b/>
          <w:bCs/>
        </w:rPr>
        <w:t>R</w:t>
      </w:r>
      <w:r>
        <w:rPr>
          <w:rStyle w:val="normaltextrun"/>
          <w:rFonts w:ascii="Arial" w:hAnsi="Arial" w:cs="Arial"/>
          <w:b/>
          <w:bCs/>
        </w:rPr>
        <w:t>eview</w:t>
      </w:r>
      <w:r>
        <w:rPr>
          <w:rStyle w:val="normaltextrun"/>
          <w:rFonts w:ascii="Arial" w:hAnsi="Arial" w:cs="Arial"/>
        </w:rPr>
        <w:t xml:space="preserve"> </w:t>
      </w:r>
      <w:r>
        <w:rPr>
          <w:rStyle w:val="eop"/>
          <w:rFonts w:ascii="Arial" w:hAnsi="Arial" w:cs="Arial"/>
        </w:rPr>
        <w:t> </w:t>
      </w:r>
    </w:p>
    <w:p w14:paraId="6E4DA9A8" w14:textId="77777777" w:rsidR="004955BE" w:rsidRPr="00EA65C2" w:rsidRDefault="004955BE" w:rsidP="00EA65C2">
      <w:pPr>
        <w:pStyle w:val="paragraph"/>
        <w:spacing w:before="0" w:beforeAutospacing="0" w:after="0" w:afterAutospacing="0"/>
        <w:textAlignment w:val="baseline"/>
        <w:rPr>
          <w:rFonts w:ascii="Segoe UI" w:hAnsi="Segoe UI" w:cs="Segoe UI"/>
          <w:sz w:val="18"/>
          <w:szCs w:val="18"/>
        </w:rPr>
      </w:pPr>
    </w:p>
    <w:p w14:paraId="6CBD6713" w14:textId="2EEFB052" w:rsidR="001F7F54" w:rsidRDefault="00274B2F" w:rsidP="001F7F54">
      <w:r w:rsidRPr="00447CD5">
        <w:t>Woods-Jaeger</w:t>
      </w:r>
      <w:r>
        <w:t xml:space="preserve"> </w:t>
      </w:r>
      <w:r w:rsidR="00F973AF">
        <w:t xml:space="preserve">(2018) </w:t>
      </w:r>
      <w:r w:rsidR="00E21575">
        <w:t xml:space="preserve">believe </w:t>
      </w:r>
      <w:r w:rsidR="00F973AF">
        <w:t xml:space="preserve">that </w:t>
      </w:r>
      <w:r>
        <w:t>ACEs including exposure to traumatic events and family dysfunctions can be disruptive on a child’s brain development.</w:t>
      </w:r>
      <w:r w:rsidR="001F7F54">
        <w:t xml:space="preserve"> </w:t>
      </w:r>
      <w:r w:rsidR="00E21575" w:rsidRPr="006D7C79">
        <w:t>Daines</w:t>
      </w:r>
      <w:r w:rsidR="00E21575">
        <w:t xml:space="preserve"> </w:t>
      </w:r>
      <w:r w:rsidR="00E21575" w:rsidRPr="00E97432">
        <w:rPr>
          <w:i/>
          <w:iCs/>
        </w:rPr>
        <w:t>et</w:t>
      </w:r>
      <w:r w:rsidR="00E21575">
        <w:rPr>
          <w:i/>
          <w:iCs/>
        </w:rPr>
        <w:t xml:space="preserve"> </w:t>
      </w:r>
      <w:r w:rsidR="00E21575" w:rsidRPr="00E97432">
        <w:rPr>
          <w:i/>
          <w:iCs/>
        </w:rPr>
        <w:t>al.</w:t>
      </w:r>
      <w:r w:rsidR="00E21575">
        <w:rPr>
          <w:i/>
          <w:iCs/>
        </w:rPr>
        <w:t>,</w:t>
      </w:r>
      <w:r w:rsidR="00E21575">
        <w:t xml:space="preserve"> (2021) support the above and state that families have unique functions where the cycles are fed through several generation</w:t>
      </w:r>
      <w:r w:rsidR="00E21575" w:rsidRPr="00DA77A0">
        <w:t>s. Therefore, family function</w:t>
      </w:r>
      <w:r w:rsidR="00E21575">
        <w:t xml:space="preserve">s </w:t>
      </w:r>
      <w:r w:rsidR="00E21575" w:rsidRPr="00DA77A0">
        <w:t>within child</w:t>
      </w:r>
      <w:r w:rsidR="00E21575">
        <w:t>ren’s</w:t>
      </w:r>
      <w:r w:rsidR="00E21575" w:rsidRPr="00DA77A0">
        <w:t xml:space="preserve"> li</w:t>
      </w:r>
      <w:r w:rsidR="00E21575">
        <w:t xml:space="preserve">ves </w:t>
      </w:r>
      <w:r w:rsidR="00E21575" w:rsidRPr="00DA77A0">
        <w:t xml:space="preserve">may lead to health issues being passed through generations </w:t>
      </w:r>
      <w:r w:rsidR="00E21575">
        <w:t xml:space="preserve">experiencing </w:t>
      </w:r>
      <w:r w:rsidR="00E21575" w:rsidRPr="00DA77A0">
        <w:t>negative</w:t>
      </w:r>
      <w:r w:rsidR="00E21575">
        <w:t xml:space="preserve"> cycles</w:t>
      </w:r>
      <w:r w:rsidR="00E21575" w:rsidRPr="00DA77A0">
        <w:t>.</w:t>
      </w:r>
      <w:r w:rsidR="00E21575">
        <w:t xml:space="preserve"> </w:t>
      </w:r>
      <w:r w:rsidR="001F7F54">
        <w:t xml:space="preserve">However, </w:t>
      </w:r>
      <w:r w:rsidR="00E21575">
        <w:t xml:space="preserve">state </w:t>
      </w:r>
      <w:r w:rsidR="001F7F54">
        <w:t xml:space="preserve">that there is limited information measuring family’s healthy functions as this is relatively new to researchers. </w:t>
      </w:r>
      <w:r w:rsidR="00BC62EA">
        <w:t xml:space="preserve">NHS Wales (No Date) support </w:t>
      </w:r>
      <w:r w:rsidR="00BC62EA" w:rsidRPr="006D7C79">
        <w:t>Daines</w:t>
      </w:r>
      <w:r w:rsidR="00BC62EA">
        <w:t xml:space="preserve"> </w:t>
      </w:r>
      <w:r w:rsidR="00BC62EA" w:rsidRPr="00E97432">
        <w:rPr>
          <w:i/>
          <w:iCs/>
        </w:rPr>
        <w:t>et</w:t>
      </w:r>
      <w:r w:rsidR="00BC62EA">
        <w:rPr>
          <w:i/>
          <w:iCs/>
        </w:rPr>
        <w:t xml:space="preserve"> </w:t>
      </w:r>
      <w:r w:rsidR="00BC62EA" w:rsidRPr="00E97432">
        <w:rPr>
          <w:i/>
          <w:iCs/>
        </w:rPr>
        <w:t>al.</w:t>
      </w:r>
      <w:r w:rsidR="00BC62EA">
        <w:rPr>
          <w:i/>
          <w:iCs/>
        </w:rPr>
        <w:t>,</w:t>
      </w:r>
      <w:r w:rsidR="00BC62EA">
        <w:t xml:space="preserve"> (2021) stating that The Early Action Together programme has been created in to support collaborative working between multi-agencies to identify venerable individuals to support breaking the negative generational cycle. </w:t>
      </w:r>
    </w:p>
    <w:p w14:paraId="5DB0E759" w14:textId="4EC4BEDB" w:rsidR="00910617" w:rsidRDefault="00627EBD">
      <w:proofErr w:type="spellStart"/>
      <w:r w:rsidRPr="00ED40E6">
        <w:t>Boullier</w:t>
      </w:r>
      <w:proofErr w:type="spellEnd"/>
      <w:r w:rsidRPr="00ED40E6">
        <w:t xml:space="preserve"> and Blair</w:t>
      </w:r>
      <w:r>
        <w:t xml:space="preserve"> (2018) </w:t>
      </w:r>
      <w:r w:rsidR="00FF1813">
        <w:t>synthesizes</w:t>
      </w:r>
      <w:r w:rsidR="00FF1813">
        <w:t xml:space="preserve"> </w:t>
      </w:r>
      <w:r>
        <w:t xml:space="preserve">CDC-Kaiser Study </w:t>
      </w:r>
      <w:r w:rsidR="00FF1813">
        <w:t>asserts</w:t>
      </w:r>
      <w:r w:rsidR="00FF1813">
        <w:t xml:space="preserve"> </w:t>
      </w:r>
      <w:r>
        <w:t>that Adverse Childhood Experiences</w:t>
      </w:r>
      <w:r w:rsidR="00CA42A4">
        <w:t xml:space="preserve"> (ACE</w:t>
      </w:r>
      <w:r w:rsidR="00A5469C">
        <w:t>s</w:t>
      </w:r>
      <w:r w:rsidR="00CA42A4">
        <w:t>)</w:t>
      </w:r>
      <w:r>
        <w:t xml:space="preserve"> can lead to </w:t>
      </w:r>
      <w:r w:rsidR="00DC38C3">
        <w:t>prolonged</w:t>
      </w:r>
      <w:r>
        <w:t xml:space="preserve"> impact on </w:t>
      </w:r>
      <w:r w:rsidR="00CA42A4">
        <w:t>individuals’</w:t>
      </w:r>
      <w:r>
        <w:t xml:space="preserve"> health. </w:t>
      </w:r>
      <w:r w:rsidR="00CA42A4">
        <w:t xml:space="preserve">Furthermore, when an individual is exposed to four or </w:t>
      </w:r>
      <w:r w:rsidR="00DC38C3">
        <w:t>grater</w:t>
      </w:r>
      <w:r w:rsidR="00CA42A4">
        <w:t xml:space="preserve"> ACEs there is an </w:t>
      </w:r>
      <w:r w:rsidR="00DC38C3">
        <w:t>amplified</w:t>
      </w:r>
      <w:r w:rsidR="00CA42A4">
        <w:t xml:space="preserve"> risk of chronic disease, such as cancer, heart disease, </w:t>
      </w:r>
      <w:r w:rsidR="009767A5">
        <w:t>diabetes,</w:t>
      </w:r>
      <w:r w:rsidR="00CA42A4">
        <w:t xml:space="preserve"> and mental health. </w:t>
      </w:r>
      <w:r w:rsidR="001B45CC" w:rsidRPr="001B45CC">
        <w:t>Monnat and Chandler</w:t>
      </w:r>
      <w:r w:rsidR="001B45CC">
        <w:t xml:space="preserve"> </w:t>
      </w:r>
      <w:r w:rsidR="001B45CC" w:rsidRPr="001B45CC">
        <w:t xml:space="preserve">(2015) </w:t>
      </w:r>
      <w:r w:rsidR="001B45CC">
        <w:t>support</w:t>
      </w:r>
      <w:r w:rsidR="007D27D5">
        <w:t xml:space="preserve"> the above </w:t>
      </w:r>
      <w:r w:rsidR="00FF1813">
        <w:t>claim</w:t>
      </w:r>
      <w:r w:rsidR="00FF1813">
        <w:t xml:space="preserve">ing </w:t>
      </w:r>
      <w:r w:rsidR="007D27D5">
        <w:t>that ACE</w:t>
      </w:r>
      <w:r w:rsidR="00A5469C">
        <w:t>s</w:t>
      </w:r>
      <w:r w:rsidR="007D27D5">
        <w:t xml:space="preserve"> are </w:t>
      </w:r>
      <w:r w:rsidR="001B45CC">
        <w:t xml:space="preserve">when children </w:t>
      </w:r>
      <w:r w:rsidR="007D27D5">
        <w:t>experience</w:t>
      </w:r>
      <w:r w:rsidR="001B45CC">
        <w:t xml:space="preserve"> abuse</w:t>
      </w:r>
      <w:r w:rsidR="007D27D5">
        <w:t xml:space="preserve"> </w:t>
      </w:r>
      <w:r w:rsidR="001B45CC">
        <w:t xml:space="preserve">such as physical, </w:t>
      </w:r>
      <w:r w:rsidR="00E15E12">
        <w:t>verbal,</w:t>
      </w:r>
      <w:r w:rsidR="001B45CC">
        <w:t xml:space="preserve"> or sexual, observing domestic violence, separation, parents suffering with mental health or witness to substance misuse </w:t>
      </w:r>
      <w:r w:rsidR="007D27D5">
        <w:t>during childhood</w:t>
      </w:r>
      <w:r w:rsidR="001B45CC">
        <w:t>.</w:t>
      </w:r>
      <w:r w:rsidR="007D27D5">
        <w:t xml:space="preserve"> </w:t>
      </w:r>
      <w:r w:rsidR="00BB3026">
        <w:t xml:space="preserve">Jones </w:t>
      </w:r>
      <w:r w:rsidR="00BB3026">
        <w:rPr>
          <w:i/>
          <w:iCs/>
        </w:rPr>
        <w:t xml:space="preserve">et.al. </w:t>
      </w:r>
      <w:r w:rsidR="00BB3026">
        <w:t xml:space="preserve">(2020) support the above further stating that ACEs are traumatic incidents in childhood and </w:t>
      </w:r>
      <w:r w:rsidR="00C76A91">
        <w:t>young adulthood</w:t>
      </w:r>
      <w:r w:rsidR="00BB3026">
        <w:t>.</w:t>
      </w:r>
      <w:r w:rsidR="0065113C">
        <w:t xml:space="preserve"> </w:t>
      </w:r>
      <w:r w:rsidR="0065113C" w:rsidRPr="0036346F">
        <w:t>Osofsky</w:t>
      </w:r>
      <w:r w:rsidR="0065113C">
        <w:t xml:space="preserve"> </w:t>
      </w:r>
      <w:r w:rsidR="0065113C">
        <w:rPr>
          <w:i/>
          <w:iCs/>
        </w:rPr>
        <w:t>et.al.</w:t>
      </w:r>
      <w:r w:rsidR="00BB3026">
        <w:t xml:space="preserve"> </w:t>
      </w:r>
      <w:r w:rsidR="0065113C">
        <w:t>(2021) supports</w:t>
      </w:r>
      <w:r w:rsidR="00C76A91">
        <w:t xml:space="preserve"> </w:t>
      </w:r>
      <w:r w:rsidR="0065113C">
        <w:t>above</w:t>
      </w:r>
      <w:r w:rsidR="00C76A91">
        <w:t xml:space="preserve"> </w:t>
      </w:r>
      <w:proofErr w:type="spellStart"/>
      <w:r w:rsidR="00C76A91">
        <w:t>statments</w:t>
      </w:r>
      <w:proofErr w:type="spellEnd"/>
      <w:r w:rsidR="0065113C">
        <w:t xml:space="preserve"> further stating that ACEs can impact children as early as in the womb</w:t>
      </w:r>
      <w:r w:rsidR="00D83EC5">
        <w:t>.</w:t>
      </w:r>
      <w:r w:rsidR="0065113C">
        <w:t xml:space="preserve"> </w:t>
      </w:r>
      <w:r w:rsidR="00D83EC5">
        <w:t>Smith</w:t>
      </w:r>
      <w:r w:rsidR="0065113C">
        <w:t xml:space="preserve"> </w:t>
      </w:r>
      <w:r w:rsidR="00452E8E">
        <w:t>(</w:t>
      </w:r>
      <w:r w:rsidR="00D83EC5">
        <w:t>2016</w:t>
      </w:r>
      <w:r w:rsidR="00452E8E">
        <w:t xml:space="preserve">) support Osofsky (2021) further stating that ACEs </w:t>
      </w:r>
      <w:r w:rsidR="00D83EC5">
        <w:t>can</w:t>
      </w:r>
      <w:r w:rsidR="00452E8E">
        <w:t xml:space="preserve"> </w:t>
      </w:r>
      <w:r w:rsidR="00D83EC5">
        <w:t>reduce an</w:t>
      </w:r>
      <w:r w:rsidR="00452E8E">
        <w:t xml:space="preserve"> </w:t>
      </w:r>
      <w:r w:rsidR="00D83EC5">
        <w:t>infants’ birth weight and reducing the unborn babies time to developing within the womb.</w:t>
      </w:r>
      <w:r w:rsidR="00E97432">
        <w:t xml:space="preserve"> </w:t>
      </w:r>
      <w:proofErr w:type="spellStart"/>
      <w:r w:rsidR="00E97432" w:rsidRPr="00861B0C">
        <w:t>Özşahin</w:t>
      </w:r>
      <w:proofErr w:type="spellEnd"/>
      <w:r w:rsidR="00E97432">
        <w:t xml:space="preserve"> (</w:t>
      </w:r>
      <w:r w:rsidR="00E97432" w:rsidRPr="00861B0C">
        <w:t>2020</w:t>
      </w:r>
      <w:r w:rsidR="00E97432">
        <w:t xml:space="preserve">) support the above, </w:t>
      </w:r>
      <w:r w:rsidR="00FF1813">
        <w:t>explains</w:t>
      </w:r>
      <w:r w:rsidR="00FF1813">
        <w:t xml:space="preserve"> </w:t>
      </w:r>
      <w:r w:rsidR="00E97432">
        <w:t xml:space="preserve">that expecting mothers who experience two or more ACEs are at a </w:t>
      </w:r>
      <w:r w:rsidR="00C76A91">
        <w:t>greater</w:t>
      </w:r>
      <w:r w:rsidR="00E97432">
        <w:t xml:space="preserve"> risk of 20% of early labour. </w:t>
      </w:r>
    </w:p>
    <w:p w14:paraId="057685B6" w14:textId="52E9FA8F" w:rsidR="0065113C" w:rsidRDefault="0065113C">
      <w:r>
        <w:lastRenderedPageBreak/>
        <w:t xml:space="preserve">Morse (2018) </w:t>
      </w:r>
      <w:r w:rsidR="00FF1813">
        <w:t>identifies</w:t>
      </w:r>
      <w:r w:rsidR="00FF1813">
        <w:t xml:space="preserve"> </w:t>
      </w:r>
      <w:r>
        <w:t xml:space="preserve">that </w:t>
      </w:r>
      <w:proofErr w:type="spellStart"/>
      <w:r>
        <w:t>Dr.</w:t>
      </w:r>
      <w:proofErr w:type="spellEnd"/>
      <w:r>
        <w:t xml:space="preserve"> </w:t>
      </w:r>
      <w:proofErr w:type="spellStart"/>
      <w:proofErr w:type="gramStart"/>
      <w:r w:rsidR="0045227F">
        <w:t>V.</w:t>
      </w:r>
      <w:r>
        <w:t>Felitti</w:t>
      </w:r>
      <w:proofErr w:type="spellEnd"/>
      <w:proofErr w:type="gramEnd"/>
      <w:r>
        <w:t xml:space="preserve"> and </w:t>
      </w:r>
      <w:proofErr w:type="spellStart"/>
      <w:r>
        <w:t>Dr.</w:t>
      </w:r>
      <w:proofErr w:type="spellEnd"/>
      <w:r>
        <w:t xml:space="preserve"> </w:t>
      </w:r>
      <w:proofErr w:type="spellStart"/>
      <w:r w:rsidR="0045227F">
        <w:t>R.</w:t>
      </w:r>
      <w:r>
        <w:t>Anda</w:t>
      </w:r>
      <w:proofErr w:type="spellEnd"/>
      <w:r>
        <w:t xml:space="preserve"> (1980) conducted a study due to recognising connections between negative experiences during childhood and ill health later in life. </w:t>
      </w:r>
      <w:r w:rsidRPr="00F80536">
        <w:t xml:space="preserve">Pinetree Institute </w:t>
      </w:r>
      <w:r>
        <w:t>(2024) support the above further stating that there were connections between negative experiences and ill health. For example, effects on wellbeing, substance misuse, social difficulties, obesity that increases</w:t>
      </w:r>
      <w:r w:rsidR="001925A2">
        <w:t xml:space="preserve"> children’s</w:t>
      </w:r>
      <w:r>
        <w:t xml:space="preserve"> risk of early death. Further stating that 10 in 100 people who have suffered 3 ACEs attempt suicide, and this is increased to 20 in 100 people who have suffered 7 ACEs attempting suicide. </w:t>
      </w:r>
    </w:p>
    <w:p w14:paraId="505B3FE6" w14:textId="4FECB578" w:rsidR="00CE4BC2" w:rsidRDefault="00CD1F6B">
      <w:r>
        <w:t xml:space="preserve">Cavanaugh (2016) </w:t>
      </w:r>
      <w:r w:rsidR="00FF1813">
        <w:t>believe</w:t>
      </w:r>
      <w:r>
        <w:t xml:space="preserve"> that around 64% of individuals experience one ACE </w:t>
      </w:r>
      <w:r w:rsidR="00E15E12">
        <w:t>however</w:t>
      </w:r>
      <w:r>
        <w:t xml:space="preserve"> 22% of individuals experiencing three or more. </w:t>
      </w:r>
      <w:r w:rsidR="00FF1813">
        <w:t xml:space="preserve">CDC (2021) </w:t>
      </w:r>
      <w:r>
        <w:t xml:space="preserve">support the above and </w:t>
      </w:r>
      <w:r w:rsidR="00FF1813">
        <w:t>highlights</w:t>
      </w:r>
      <w:r w:rsidR="00FF1813">
        <w:t xml:space="preserve"> </w:t>
      </w:r>
      <w:r w:rsidR="00CE4BC2">
        <w:t xml:space="preserve">that 1 in 6 adults experience four or more ACEs, </w:t>
      </w:r>
      <w:r w:rsidR="00E15E12">
        <w:t xml:space="preserve">further stating that </w:t>
      </w:r>
      <w:r w:rsidR="00CE4BC2">
        <w:t xml:space="preserve">experiencing ACEs can alter </w:t>
      </w:r>
      <w:r w:rsidR="00E15E12">
        <w:t xml:space="preserve">children’s </w:t>
      </w:r>
      <w:r w:rsidR="00CE4BC2">
        <w:t>brain development and impact responses to stress.</w:t>
      </w:r>
      <w:r w:rsidR="00707978">
        <w:t xml:space="preserve"> Shonkoff </w:t>
      </w:r>
      <w:r w:rsidR="00707978">
        <w:rPr>
          <w:i/>
          <w:iCs/>
        </w:rPr>
        <w:t>et</w:t>
      </w:r>
      <w:r w:rsidR="00E97432">
        <w:rPr>
          <w:i/>
          <w:iCs/>
        </w:rPr>
        <w:t xml:space="preserve"> </w:t>
      </w:r>
      <w:r w:rsidR="00707978">
        <w:rPr>
          <w:i/>
          <w:iCs/>
        </w:rPr>
        <w:t>al.</w:t>
      </w:r>
      <w:r w:rsidR="00E97432">
        <w:rPr>
          <w:i/>
          <w:iCs/>
        </w:rPr>
        <w:t>,</w:t>
      </w:r>
      <w:r w:rsidR="00CE4BC2">
        <w:t xml:space="preserve"> </w:t>
      </w:r>
      <w:r w:rsidR="00A5469C">
        <w:t>(</w:t>
      </w:r>
      <w:r w:rsidR="00707978">
        <w:t>2012</w:t>
      </w:r>
      <w:r w:rsidR="00A5469C">
        <w:t>)</w:t>
      </w:r>
      <w:r w:rsidR="00CE4BC2">
        <w:t xml:space="preserve"> support the above and</w:t>
      </w:r>
      <w:r w:rsidR="00A5469C">
        <w:t xml:space="preserve"> </w:t>
      </w:r>
      <w:r w:rsidR="00D22F95">
        <w:t>believe</w:t>
      </w:r>
      <w:r w:rsidR="00A5469C">
        <w:t xml:space="preserve"> that</w:t>
      </w:r>
      <w:r w:rsidR="00910617">
        <w:t xml:space="preserve"> </w:t>
      </w:r>
      <w:r w:rsidR="00A5469C">
        <w:t xml:space="preserve">when an individual has increased or decreased </w:t>
      </w:r>
      <w:r w:rsidR="00C76A91">
        <w:t>amounts</w:t>
      </w:r>
      <w:r w:rsidR="00A5469C">
        <w:t xml:space="preserve"> of stress hormones such as cortisol </w:t>
      </w:r>
      <w:r w:rsidR="00CE4BC2">
        <w:t xml:space="preserve">this </w:t>
      </w:r>
      <w:r w:rsidR="00A5469C">
        <w:t>can be harmful to the body and the brain</w:t>
      </w:r>
      <w:r w:rsidR="00CE4BC2">
        <w:t xml:space="preserve"> development and functions</w:t>
      </w:r>
      <w:r w:rsidR="00E97432">
        <w:t xml:space="preserve"> resulting in toxic stress</w:t>
      </w:r>
      <w:r w:rsidR="00CE4BC2">
        <w:t xml:space="preserve">. </w:t>
      </w:r>
      <w:r w:rsidR="00E97432">
        <w:t>Therefore, when children experience early years experiences this can impact children’s well-being, learning and behaviours.</w:t>
      </w:r>
      <w:r w:rsidR="00A333BC">
        <w:t xml:space="preserve"> </w:t>
      </w:r>
      <w:r w:rsidR="00707978">
        <w:t xml:space="preserve">Herzog </w:t>
      </w:r>
      <w:r w:rsidR="00995DD2">
        <w:rPr>
          <w:i/>
          <w:iCs/>
        </w:rPr>
        <w:t>et</w:t>
      </w:r>
      <w:r w:rsidR="00E97432">
        <w:rPr>
          <w:i/>
          <w:iCs/>
        </w:rPr>
        <w:t xml:space="preserve"> </w:t>
      </w:r>
      <w:r w:rsidR="00995DD2">
        <w:rPr>
          <w:i/>
          <w:iCs/>
        </w:rPr>
        <w:t>al.</w:t>
      </w:r>
      <w:r w:rsidR="00E97432">
        <w:rPr>
          <w:i/>
          <w:iCs/>
        </w:rPr>
        <w:t>,</w:t>
      </w:r>
      <w:r w:rsidR="00995DD2">
        <w:t xml:space="preserve"> (</w:t>
      </w:r>
      <w:r w:rsidR="00707978">
        <w:t>2020</w:t>
      </w:r>
      <w:r w:rsidR="001E48DF">
        <w:t xml:space="preserve">) </w:t>
      </w:r>
      <w:r w:rsidR="00FF1813">
        <w:t>synthesizes</w:t>
      </w:r>
      <w:r w:rsidR="00FF1813">
        <w:t xml:space="preserve"> </w:t>
      </w:r>
      <w:r w:rsidR="001E48DF">
        <w:t>the above stat</w:t>
      </w:r>
      <w:r w:rsidR="00C76A91">
        <w:t xml:space="preserve">ing </w:t>
      </w:r>
      <w:r w:rsidR="001E48DF">
        <w:t xml:space="preserve">that the brain creates stronger neuropathways within the amygdala </w:t>
      </w:r>
      <w:r w:rsidR="00D22F95">
        <w:t>resulting in</w:t>
      </w:r>
      <w:r w:rsidR="001E48DF">
        <w:t xml:space="preserve"> the child remain</w:t>
      </w:r>
      <w:r w:rsidR="00D22F95">
        <w:t>ing</w:t>
      </w:r>
      <w:r w:rsidR="001E48DF">
        <w:t xml:space="preserve"> in a hypervigilant state.</w:t>
      </w:r>
      <w:r w:rsidR="00E97432">
        <w:t xml:space="preserve"> </w:t>
      </w:r>
      <w:r w:rsidR="00DA77A0">
        <w:t>For example, when a child is in a hypervigilant state, this can impact attachments with caregivers, play out traumatic experiences through play and can be withdrawn (</w:t>
      </w:r>
      <w:r w:rsidR="00DA77A0" w:rsidRPr="00DA77A0">
        <w:t>Bartlett</w:t>
      </w:r>
      <w:r w:rsidR="00DA77A0">
        <w:t xml:space="preserve"> </w:t>
      </w:r>
      <w:r w:rsidR="00DA77A0" w:rsidRPr="00DA77A0">
        <w:t>and Steber</w:t>
      </w:r>
      <w:r w:rsidR="00DA77A0">
        <w:t>,</w:t>
      </w:r>
      <w:r w:rsidR="00DA77A0" w:rsidRPr="00DA77A0">
        <w:t xml:space="preserve"> 2019</w:t>
      </w:r>
      <w:r w:rsidR="00474953">
        <w:t>a</w:t>
      </w:r>
      <w:r w:rsidR="00DA77A0">
        <w:t>)</w:t>
      </w:r>
      <w:r w:rsidR="00344A2D">
        <w:t>.</w:t>
      </w:r>
    </w:p>
    <w:p w14:paraId="6C285119" w14:textId="0E5DF67B" w:rsidR="00E97432" w:rsidRDefault="00E75078" w:rsidP="00E75078">
      <w:r>
        <w:t xml:space="preserve">Cavanaugh (2016) state that children who experience trauma and ACEs go on to have emotional regulation </w:t>
      </w:r>
      <w:r w:rsidR="00541C32">
        <w:t>troubles</w:t>
      </w:r>
      <w:r>
        <w:t>, further stating that practitioners should have the knowledge and understanding of how to best support the individual’s needs</w:t>
      </w:r>
      <w:r w:rsidR="00A23B24">
        <w:t>.</w:t>
      </w:r>
      <w:r w:rsidR="00CD32BD">
        <w:t xml:space="preserve"> </w:t>
      </w:r>
      <w:r w:rsidR="00CD32BD" w:rsidRPr="00361454">
        <w:t>Balistreri</w:t>
      </w:r>
      <w:r w:rsidR="00A23B24">
        <w:t xml:space="preserve"> (</w:t>
      </w:r>
      <w:r w:rsidR="00CD32BD">
        <w:t>2016</w:t>
      </w:r>
      <w:r w:rsidR="00A23B24">
        <w:t xml:space="preserve">) </w:t>
      </w:r>
      <w:r w:rsidR="00FF1813">
        <w:t>synthesizes</w:t>
      </w:r>
      <w:r w:rsidR="00FF1813">
        <w:t xml:space="preserve"> </w:t>
      </w:r>
      <w:r w:rsidR="00A23B24">
        <w:t xml:space="preserve">the above stating that experiencing an accumulation of ACEs can increase the probability of having emotional difficulties by 33%. </w:t>
      </w:r>
      <w:r>
        <w:t xml:space="preserve">Oral </w:t>
      </w:r>
      <w:r>
        <w:rPr>
          <w:i/>
          <w:iCs/>
        </w:rPr>
        <w:t xml:space="preserve">et.al. </w:t>
      </w:r>
      <w:r>
        <w:t xml:space="preserve">(2016) support the above further stating that settings are developing a better </w:t>
      </w:r>
      <w:r w:rsidR="00541C32">
        <w:t>insight</w:t>
      </w:r>
      <w:r>
        <w:t xml:space="preserve"> of the impact of trauma on individuals. For example, providing appropriate training opportunities to develop practitioners’ knowledge on how best to support individuals. </w:t>
      </w:r>
    </w:p>
    <w:p w14:paraId="20E377D6" w14:textId="1738E8B0" w:rsidR="0045227F" w:rsidRDefault="00E75078" w:rsidP="00E75078">
      <w:r>
        <w:t xml:space="preserve">Pataky </w:t>
      </w:r>
      <w:r>
        <w:rPr>
          <w:i/>
          <w:iCs/>
        </w:rPr>
        <w:t>et.al.</w:t>
      </w:r>
      <w:r>
        <w:t xml:space="preserve"> (2019) </w:t>
      </w:r>
      <w:r w:rsidR="00E97432">
        <w:t xml:space="preserve">also </w:t>
      </w:r>
      <w:r w:rsidR="00FF1813">
        <w:t>believe</w:t>
      </w:r>
      <w:r w:rsidR="00E97432">
        <w:t xml:space="preserve"> that ACEs can impact children later in life</w:t>
      </w:r>
      <w:r>
        <w:t xml:space="preserve">, however further </w:t>
      </w:r>
      <w:r w:rsidR="00E97432">
        <w:t>state</w:t>
      </w:r>
      <w:r>
        <w:t xml:space="preserve"> that although children may experience trauma or ACEs this may not </w:t>
      </w:r>
      <w:r w:rsidR="00E97432">
        <w:t xml:space="preserve">go on to </w:t>
      </w:r>
      <w:r>
        <w:t>impact them later in life. For example, when children are supported appropriately, they can develop resilience enabling them to overcome the negative experiences.</w:t>
      </w:r>
      <w:r w:rsidR="00E97432">
        <w:t xml:space="preserve"> </w:t>
      </w:r>
      <w:r w:rsidR="0045227F">
        <w:t xml:space="preserve">Welsh </w:t>
      </w:r>
      <w:r w:rsidR="00D92BB9">
        <w:t>Government</w:t>
      </w:r>
      <w:r w:rsidR="0045227F">
        <w:t xml:space="preserve"> (2020) supports the above stating that there are recommendations that professionals should follow to support children who have experienced ACEs. Firstly, working as part of a multi-agency approach sharing information to appropriate professionals and understanding the impact ACEs apposes to children. Secondly that families feel able to build positive and trusting relationships with professionals enabling families to feel able to share information. Thirdly offer a nurturing and encouraging environment for pupils. Lastly to ensure professionals have training opportunities to </w:t>
      </w:r>
      <w:r w:rsidR="00C76A91">
        <w:t>expand</w:t>
      </w:r>
      <w:r w:rsidR="0045227F">
        <w:t xml:space="preserve"> their understanding of ACEs and the impact on children and for other agencies to support with strategies to support children with ACEs.  </w:t>
      </w:r>
    </w:p>
    <w:p w14:paraId="0B6DE936" w14:textId="73C64AAE" w:rsidR="00E97432" w:rsidRDefault="007137B6" w:rsidP="00E75078">
      <w:r>
        <w:t>Choi e</w:t>
      </w:r>
      <w:r>
        <w:rPr>
          <w:i/>
          <w:iCs/>
        </w:rPr>
        <w:t>t al.,</w:t>
      </w:r>
      <w:r w:rsidR="00B645FE" w:rsidRPr="00B645FE">
        <w:t xml:space="preserve"> </w:t>
      </w:r>
      <w:r w:rsidR="00E97432">
        <w:t>(</w:t>
      </w:r>
      <w:r w:rsidR="00B645FE">
        <w:t>2019</w:t>
      </w:r>
      <w:r w:rsidR="00E97432">
        <w:t xml:space="preserve">) support the above </w:t>
      </w:r>
      <w:r w:rsidR="00B645FE">
        <w:t xml:space="preserve">believing that </w:t>
      </w:r>
      <w:r w:rsidR="00E97432">
        <w:t xml:space="preserve">poverty is a common theme when supporting families and children who have experienced ACEs. </w:t>
      </w:r>
      <w:r w:rsidR="00B645FE">
        <w:t xml:space="preserve">Furthermore, stating that children </w:t>
      </w:r>
      <w:r w:rsidR="00C76A91">
        <w:t>that</w:t>
      </w:r>
      <w:r w:rsidR="00B645FE">
        <w:t xml:space="preserve"> </w:t>
      </w:r>
      <w:r w:rsidR="00C76A91">
        <w:t>are subjective to</w:t>
      </w:r>
      <w:r w:rsidR="00B645FE">
        <w:t xml:space="preserve"> poverty are </w:t>
      </w:r>
      <w:r w:rsidR="00024DC2">
        <w:t>twice as probable to</w:t>
      </w:r>
      <w:r w:rsidR="00B645FE">
        <w:t xml:space="preserve"> be exposed to three or more ACEs, increasing the child's likelihood of having behaviour difficulties.</w:t>
      </w:r>
      <w:r w:rsidR="00A333BC">
        <w:t xml:space="preserve"> </w:t>
      </w:r>
      <w:r w:rsidR="00A333BC" w:rsidRPr="007139F1">
        <w:t>D’Andrea</w:t>
      </w:r>
      <w:r w:rsidR="00A333BC">
        <w:t xml:space="preserve"> </w:t>
      </w:r>
      <w:r w:rsidR="00A333BC" w:rsidRPr="007139F1">
        <w:rPr>
          <w:i/>
          <w:iCs/>
        </w:rPr>
        <w:t>et al.</w:t>
      </w:r>
      <w:r w:rsidR="00A333BC" w:rsidRPr="007139F1">
        <w:t xml:space="preserve"> (2012)</w:t>
      </w:r>
      <w:r w:rsidR="00A333BC">
        <w:t xml:space="preserve"> support </w:t>
      </w:r>
      <w:r w:rsidR="00FF1813">
        <w:t xml:space="preserve">Choi </w:t>
      </w:r>
      <w:r w:rsidR="00FF1813">
        <w:t>e</w:t>
      </w:r>
      <w:r w:rsidR="00FF1813">
        <w:rPr>
          <w:i/>
          <w:iCs/>
        </w:rPr>
        <w:t>t al.,</w:t>
      </w:r>
      <w:r w:rsidR="00FF1813" w:rsidRPr="00B645FE">
        <w:t xml:space="preserve"> </w:t>
      </w:r>
      <w:r w:rsidR="00FF1813">
        <w:t>(2019)</w:t>
      </w:r>
      <w:r w:rsidR="00A333BC">
        <w:t xml:space="preserve"> </w:t>
      </w:r>
      <w:r w:rsidR="00FF1813">
        <w:t>claiming</w:t>
      </w:r>
      <w:r w:rsidR="00A333BC">
        <w:t xml:space="preserve"> that traumatic experiences during early years can appear with similarities to children who have an Attention-Deficit-Hyperactivity-Disorder (ADHD). </w:t>
      </w:r>
      <w:r w:rsidR="00A333BC" w:rsidRPr="007139F1">
        <w:t xml:space="preserve">Boodoo </w:t>
      </w:r>
      <w:r w:rsidR="00A333BC" w:rsidRPr="00DA77A0">
        <w:rPr>
          <w:i/>
          <w:iCs/>
        </w:rPr>
        <w:t>et al.</w:t>
      </w:r>
      <w:r w:rsidR="00A333BC" w:rsidRPr="007139F1">
        <w:t xml:space="preserve"> (2022) </w:t>
      </w:r>
      <w:r w:rsidR="00A333BC">
        <w:t xml:space="preserve">support </w:t>
      </w:r>
      <w:r w:rsidR="00A333BC" w:rsidRPr="007139F1">
        <w:t>D’Andrea</w:t>
      </w:r>
      <w:r w:rsidR="00A333BC">
        <w:t xml:space="preserve"> </w:t>
      </w:r>
      <w:r w:rsidR="00A333BC" w:rsidRPr="007139F1">
        <w:rPr>
          <w:i/>
          <w:iCs/>
        </w:rPr>
        <w:t>et al.</w:t>
      </w:r>
      <w:r w:rsidR="00A333BC" w:rsidRPr="007139F1">
        <w:t xml:space="preserve"> (2012)</w:t>
      </w:r>
      <w:r w:rsidR="00A333BC">
        <w:t xml:space="preserve"> believing there are similarities between ADHD and childhood trauma stating that both impact a child’s emotional regulation, difficulties to concentrate and focus.  </w:t>
      </w:r>
    </w:p>
    <w:p w14:paraId="6FC09486" w14:textId="0161E8FB" w:rsidR="00DE6FC1" w:rsidRDefault="00DE6FC1"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r w:rsidRPr="00DE6FC1">
        <w:rPr>
          <w:rFonts w:asciiTheme="minorHAnsi" w:eastAsiaTheme="minorHAnsi" w:hAnsiTheme="minorHAnsi" w:cstheme="minorBidi"/>
          <w:kern w:val="2"/>
          <w:sz w:val="22"/>
          <w:szCs w:val="22"/>
          <w:lang w:eastAsia="en-US"/>
          <w14:ligatures w14:val="standardContextual"/>
        </w:rPr>
        <w:lastRenderedPageBreak/>
        <w:t>This study will conduct research using multiple research methods to present an overview of how children and families are impacted by trauma and ACEs. This will be collected through the voice of the families, practitioners</w:t>
      </w:r>
      <w:r w:rsidR="00AA0947">
        <w:rPr>
          <w:rFonts w:asciiTheme="minorHAnsi" w:eastAsiaTheme="minorHAnsi" w:hAnsiTheme="minorHAnsi" w:cstheme="minorBidi"/>
          <w:kern w:val="2"/>
          <w:sz w:val="22"/>
          <w:szCs w:val="22"/>
          <w:lang w:eastAsia="en-US"/>
          <w14:ligatures w14:val="standardContextual"/>
        </w:rPr>
        <w:t xml:space="preserve"> and </w:t>
      </w:r>
      <w:r w:rsidR="00AA0947" w:rsidRPr="00DE6FC1">
        <w:rPr>
          <w:rFonts w:asciiTheme="minorHAnsi" w:eastAsiaTheme="minorHAnsi" w:hAnsiTheme="minorHAnsi" w:cstheme="minorBidi"/>
          <w:kern w:val="2"/>
          <w:sz w:val="22"/>
          <w:szCs w:val="22"/>
          <w:lang w:eastAsia="en-US"/>
          <w14:ligatures w14:val="standardContextual"/>
        </w:rPr>
        <w:t>professionals</w:t>
      </w:r>
      <w:r w:rsidR="00AA0947">
        <w:rPr>
          <w:rFonts w:asciiTheme="minorHAnsi" w:eastAsiaTheme="minorHAnsi" w:hAnsiTheme="minorHAnsi" w:cstheme="minorBidi"/>
          <w:kern w:val="2"/>
          <w:sz w:val="22"/>
          <w:szCs w:val="22"/>
          <w:lang w:eastAsia="en-US"/>
          <w14:ligatures w14:val="standardContextual"/>
        </w:rPr>
        <w:t xml:space="preserve"> working with children within the early years</w:t>
      </w:r>
      <w:r w:rsidRPr="00DE6FC1">
        <w:rPr>
          <w:rFonts w:asciiTheme="minorHAnsi" w:eastAsiaTheme="minorHAnsi" w:hAnsiTheme="minorHAnsi" w:cstheme="minorBidi"/>
          <w:kern w:val="2"/>
          <w:sz w:val="22"/>
          <w:szCs w:val="22"/>
          <w:lang w:eastAsia="en-US"/>
          <w14:ligatures w14:val="standardContextual"/>
        </w:rPr>
        <w:t xml:space="preserve">. Herzog </w:t>
      </w:r>
      <w:r w:rsidRPr="00DE6FC1">
        <w:rPr>
          <w:rFonts w:asciiTheme="minorHAnsi" w:eastAsiaTheme="minorHAnsi" w:hAnsiTheme="minorHAnsi" w:cstheme="minorBidi"/>
          <w:i/>
          <w:iCs/>
          <w:kern w:val="2"/>
          <w:sz w:val="22"/>
          <w:szCs w:val="22"/>
          <w:lang w:eastAsia="en-US"/>
          <w14:ligatures w14:val="standardContextual"/>
        </w:rPr>
        <w:t>et al.</w:t>
      </w:r>
      <w:r w:rsidRPr="00DE6FC1">
        <w:rPr>
          <w:rFonts w:asciiTheme="minorHAnsi" w:eastAsiaTheme="minorHAnsi" w:hAnsiTheme="minorHAnsi" w:cstheme="minorBidi"/>
          <w:kern w:val="2"/>
          <w:sz w:val="22"/>
          <w:szCs w:val="22"/>
          <w:lang w:eastAsia="en-US"/>
          <w14:ligatures w14:val="standardContextual"/>
        </w:rPr>
        <w:t xml:space="preserve"> (2020) state that ACEs and trauma are related to effects on the pathways within the brain, that can impact on the brain development. There has been many studies researching the impact of Trauma and ACEs on children, but not how this effects wider family members and the support practitioners and professionals put in place to support the child. This is why the study will research into the impact and the support offered. </w:t>
      </w:r>
    </w:p>
    <w:p w14:paraId="28E23811" w14:textId="77777777" w:rsidR="004955BE" w:rsidRDefault="004955BE"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p>
    <w:p w14:paraId="33C06929" w14:textId="77777777" w:rsidR="00DE6FC1" w:rsidRDefault="00DE6FC1"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p>
    <w:p w14:paraId="1925A2BF" w14:textId="02F10CF1" w:rsidR="00BC62EA" w:rsidRDefault="00BC62EA" w:rsidP="00BC62E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 xml:space="preserve">Methodological </w:t>
      </w:r>
      <w:r w:rsidR="004955BE">
        <w:rPr>
          <w:rStyle w:val="normaltextrun"/>
          <w:rFonts w:ascii="Arial" w:hAnsi="Arial" w:cs="Arial"/>
          <w:b/>
          <w:bCs/>
        </w:rPr>
        <w:t>C</w:t>
      </w:r>
      <w:r>
        <w:rPr>
          <w:rStyle w:val="normaltextrun"/>
          <w:rFonts w:ascii="Arial" w:hAnsi="Arial" w:cs="Arial"/>
          <w:b/>
          <w:bCs/>
        </w:rPr>
        <w:t xml:space="preserve">onsiderations  </w:t>
      </w:r>
    </w:p>
    <w:p w14:paraId="5116E227" w14:textId="77777777" w:rsidR="00E45024" w:rsidRDefault="00E45024" w:rsidP="00E45024"/>
    <w:p w14:paraId="58B9E232" w14:textId="43F36016" w:rsidR="00E45024" w:rsidRDefault="00E45024" w:rsidP="00E45024">
      <w:r>
        <w:t>Bell</w:t>
      </w:r>
      <w:r w:rsidR="00D92BB9">
        <w:t xml:space="preserve"> and Waters</w:t>
      </w:r>
      <w:r>
        <w:t xml:space="preserve"> (2018) believes that research can be divided into two separate groups, large sample, and small sample. Firstly, a large sample can be used when data is collected from a wider source to represent the whole population. For example, through wider research a generalisation can be made from the research collected. Secondly, small samples are stated that researchers must conduct research as reliable as they can. This sample will look at a small sample of professionals such as health care practitioners, teachers, early years settings and social workers who work closely with children and families within South Wales. UK Government (2015</w:t>
      </w:r>
      <w:r w:rsidR="00D5504F">
        <w:t>a</w:t>
      </w:r>
      <w:r>
        <w:t xml:space="preserve">) </w:t>
      </w:r>
      <w:r w:rsidR="00FF1813">
        <w:t>claim</w:t>
      </w:r>
      <w:r>
        <w:t xml:space="preserve"> that the statutory guidance for multi-agency working states that ensuring children’s welfare is a responsibility for all. NSPCC (2023) </w:t>
      </w:r>
      <w:r w:rsidR="00FF1813">
        <w:t xml:space="preserve">synthesize </w:t>
      </w:r>
      <w:r>
        <w:t xml:space="preserve">the above stating that families and children will access multiple services in their lifetime. Therefore, practitioners collaborating supports identifying appropriate support that should be provided. UNICEF (2024) state that early childhood is up to when the child is 8 years old. Furthermore, during the first 8 years of a child’s life their brain is </w:t>
      </w:r>
      <w:r w:rsidR="00142E0B">
        <w:t>progressing in</w:t>
      </w:r>
      <w:r>
        <w:t xml:space="preserve"> develop</w:t>
      </w:r>
      <w:r w:rsidR="00142E0B">
        <w:t>ment</w:t>
      </w:r>
      <w:r>
        <w:t xml:space="preserve">. Considering this information this study will use families with children within early childhood, that are currently receiving support from multi-agencies around Trauma and ACEs. </w:t>
      </w:r>
    </w:p>
    <w:p w14:paraId="6E2788DB" w14:textId="77777777" w:rsidR="00E45024" w:rsidRDefault="00E45024" w:rsidP="00E45024">
      <w:r w:rsidRPr="00EB729B">
        <w:t>Triangulation</w:t>
      </w:r>
      <w:r>
        <w:t xml:space="preserve"> (2014) state that triangulation is when multiple qualitative research methods are used, to develop a better understanding of the focus topic. </w:t>
      </w:r>
      <w:r w:rsidRPr="00F65A62">
        <w:t>Nobl</w:t>
      </w:r>
      <w:r>
        <w:t>e (</w:t>
      </w:r>
      <w:r w:rsidRPr="00F65A62">
        <w:t>2019)</w:t>
      </w:r>
      <w:r>
        <w:t xml:space="preserve"> support the above stating that t</w:t>
      </w:r>
      <w:r w:rsidRPr="00F65A62">
        <w:t>riangulation</w:t>
      </w:r>
      <w:r>
        <w:t xml:space="preserve"> is three or more</w:t>
      </w:r>
      <w:r w:rsidRPr="00F65A62">
        <w:t xml:space="preserve"> </w:t>
      </w:r>
      <w:r>
        <w:t xml:space="preserve">different </w:t>
      </w:r>
      <w:r w:rsidRPr="00F65A62">
        <w:t>method</w:t>
      </w:r>
      <w:r>
        <w:t>s</w:t>
      </w:r>
      <w:r w:rsidRPr="00F65A62">
        <w:t xml:space="preserve"> uses to support each other's conclusions</w:t>
      </w:r>
      <w:r>
        <w:t xml:space="preserve">. Furthermore, </w:t>
      </w:r>
      <w:r w:rsidRPr="00F65A62">
        <w:t>result</w:t>
      </w:r>
      <w:r>
        <w:t>ing in</w:t>
      </w:r>
      <w:r w:rsidRPr="00F65A62">
        <w:t xml:space="preserve"> the researchers collect</w:t>
      </w:r>
      <w:r>
        <w:t>ing</w:t>
      </w:r>
      <w:r w:rsidRPr="00F65A62">
        <w:t xml:space="preserve"> reliable information</w:t>
      </w:r>
      <w:r>
        <w:t xml:space="preserve"> </w:t>
      </w:r>
      <w:r w:rsidRPr="00F65A62">
        <w:t>increas</w:t>
      </w:r>
      <w:r>
        <w:t>ing data</w:t>
      </w:r>
      <w:r w:rsidRPr="00F65A62">
        <w:t xml:space="preserve"> credibility</w:t>
      </w:r>
      <w:r>
        <w:t>. For example, when r</w:t>
      </w:r>
      <w:r w:rsidRPr="00F65A62">
        <w:t xml:space="preserve">esearch is credible </w:t>
      </w:r>
      <w:r>
        <w:t>this</w:t>
      </w:r>
      <w:r w:rsidRPr="00F65A62">
        <w:t xml:space="preserve"> increase</w:t>
      </w:r>
      <w:r>
        <w:t>s levels of</w:t>
      </w:r>
      <w:r w:rsidRPr="00F65A62">
        <w:t xml:space="preserve"> trust</w:t>
      </w:r>
      <w:r>
        <w:t xml:space="preserve"> within</w:t>
      </w:r>
      <w:r w:rsidRPr="00F65A62">
        <w:t xml:space="preserve"> the data</w:t>
      </w:r>
      <w:r>
        <w:t>.</w:t>
      </w:r>
      <w:r w:rsidRPr="00F65A62">
        <w:t xml:space="preserve"> </w:t>
      </w:r>
      <w:r>
        <w:t>Through use of</w:t>
      </w:r>
      <w:r w:rsidRPr="00F65A62">
        <w:t xml:space="preserve"> a more reliable method </w:t>
      </w:r>
      <w:r>
        <w:t xml:space="preserve">this </w:t>
      </w:r>
      <w:r w:rsidRPr="00F65A62">
        <w:t>indicates</w:t>
      </w:r>
      <w:r>
        <w:t xml:space="preserve"> that</w:t>
      </w:r>
      <w:r w:rsidRPr="00F65A62">
        <w:t xml:space="preserve"> research has been carefully measured and evaluated (Moon, 2019). </w:t>
      </w:r>
      <w:r>
        <w:t xml:space="preserve">This research will rely on use of mixed research reviews and use of triangulation, through use of interview, questionaries, and observations to gather information. For example, mixed methods research merges both </w:t>
      </w:r>
      <w:r w:rsidRPr="006659D6">
        <w:t xml:space="preserve">qualitative </w:t>
      </w:r>
      <w:r>
        <w:t>and</w:t>
      </w:r>
      <w:r w:rsidRPr="006659D6">
        <w:t xml:space="preserve"> quantitative</w:t>
      </w:r>
      <w:r>
        <w:t xml:space="preserve"> research methods within the research (Robert-Holmes, 2018).</w:t>
      </w:r>
    </w:p>
    <w:p w14:paraId="7DBA1A96" w14:textId="1DB74369" w:rsidR="00E45024" w:rsidRDefault="00E45024" w:rsidP="00E45024">
      <w:proofErr w:type="spellStart"/>
      <w:r w:rsidRPr="00F65A62">
        <w:t>Hennink</w:t>
      </w:r>
      <w:proofErr w:type="spellEnd"/>
      <w:r w:rsidRPr="00F65A62">
        <w:t xml:space="preserve"> et al. (2020) </w:t>
      </w:r>
      <w:r>
        <w:t>believe that</w:t>
      </w:r>
      <w:r w:rsidRPr="00F65A62">
        <w:t xml:space="preserve"> qualitative data </w:t>
      </w:r>
      <w:r>
        <w:t>is difficult to define</w:t>
      </w:r>
      <w:r w:rsidRPr="00F65A62">
        <w:t xml:space="preserve">. </w:t>
      </w:r>
      <w:r>
        <w:t xml:space="preserve">Furthermore, </w:t>
      </w:r>
      <w:r w:rsidRPr="00F65A62">
        <w:t xml:space="preserve">research methods such as observations, detailed interviews, focus group discussions </w:t>
      </w:r>
      <w:r>
        <w:t>should be used to achieve qualitive data</w:t>
      </w:r>
      <w:r w:rsidRPr="00F65A62">
        <w:t xml:space="preserve">. </w:t>
      </w:r>
      <w:r>
        <w:t>Through use of</w:t>
      </w:r>
      <w:r w:rsidRPr="00F65A62">
        <w:t xml:space="preserve"> these methods, researchers can analyse the information they collect more effectively and clearly. </w:t>
      </w:r>
      <w:proofErr w:type="spellStart"/>
      <w:r w:rsidRPr="00F65A62">
        <w:t>Busetto</w:t>
      </w:r>
      <w:proofErr w:type="spellEnd"/>
      <w:r w:rsidRPr="00F65A62">
        <w:t xml:space="preserve"> et al. (2020) </w:t>
      </w:r>
      <w:r>
        <w:t xml:space="preserve">support the above believing that </w:t>
      </w:r>
      <w:r w:rsidRPr="00F65A62">
        <w:t xml:space="preserve">qualitative data </w:t>
      </w:r>
      <w:r>
        <w:t>is</w:t>
      </w:r>
      <w:r w:rsidRPr="00F65A62">
        <w:t xml:space="preserve"> measured using words and not numbers</w:t>
      </w:r>
      <w:r>
        <w:t>.</w:t>
      </w:r>
      <w:r w:rsidRPr="006659D6">
        <w:t xml:space="preserve"> </w:t>
      </w:r>
      <w:r>
        <w:t xml:space="preserve">For example, </w:t>
      </w:r>
      <w:r w:rsidRPr="00F65A62">
        <w:t xml:space="preserve">data collection is used in to </w:t>
      </w:r>
      <w:r>
        <w:t>understand</w:t>
      </w:r>
      <w:r w:rsidRPr="00F65A62">
        <w:t xml:space="preserve"> reasons for behaviour patterns that </w:t>
      </w:r>
      <w:r>
        <w:t>are observed by the</w:t>
      </w:r>
      <w:r w:rsidRPr="00F65A62">
        <w:t xml:space="preserve"> researchers</w:t>
      </w:r>
      <w:r>
        <w:t>.</w:t>
      </w:r>
      <w:r w:rsidRPr="00F65A62">
        <w:t xml:space="preserve"> </w:t>
      </w:r>
      <w:r w:rsidRPr="00C97460">
        <w:t xml:space="preserve">Aspers and Corte (2019) </w:t>
      </w:r>
      <w:r>
        <w:t xml:space="preserve">support </w:t>
      </w:r>
      <w:proofErr w:type="spellStart"/>
      <w:r w:rsidRPr="00F65A62">
        <w:t>Busetto</w:t>
      </w:r>
      <w:proofErr w:type="spellEnd"/>
      <w:r w:rsidRPr="00F65A62">
        <w:t xml:space="preserve"> et al. (2020) </w:t>
      </w:r>
      <w:r>
        <w:t xml:space="preserve">believing that qualitative research is an interpretation of the findings of the researcher to the focus research. </w:t>
      </w:r>
      <w:r w:rsidRPr="00C97460">
        <w:t xml:space="preserve">For example, researchers will gather information in a natural setting to understand what the individual has experienced and how this has been an impact. </w:t>
      </w:r>
      <w:r w:rsidRPr="00C97460">
        <w:lastRenderedPageBreak/>
        <w:t>Furthermore,</w:t>
      </w:r>
      <w:r w:rsidR="00667BDF">
        <w:t xml:space="preserve"> through</w:t>
      </w:r>
      <w:r w:rsidRPr="00C97460">
        <w:t xml:space="preserve"> us</w:t>
      </w:r>
      <w:r w:rsidR="00667BDF">
        <w:t xml:space="preserve">e of </w:t>
      </w:r>
      <w:r w:rsidRPr="00C97460">
        <w:t xml:space="preserve">case studies, </w:t>
      </w:r>
      <w:proofErr w:type="gramStart"/>
      <w:r w:rsidR="00667BDF" w:rsidRPr="00C97460">
        <w:t>individual</w:t>
      </w:r>
      <w:r w:rsidR="00667BDF">
        <w:t>s</w:t>
      </w:r>
      <w:proofErr w:type="gramEnd"/>
      <w:r w:rsidRPr="00C97460">
        <w:t xml:space="preserve"> experiences, life stories, interviews, and observations, to identify problematic cycles experienced by the individuals.</w:t>
      </w:r>
      <w:r>
        <w:t xml:space="preserve"> </w:t>
      </w:r>
    </w:p>
    <w:p w14:paraId="1F8CA2D6" w14:textId="14AAF16A" w:rsidR="00B60E81" w:rsidRDefault="00E45024" w:rsidP="00E45024">
      <w:r w:rsidRPr="00C04338">
        <w:t>Goertzen</w:t>
      </w:r>
      <w:r>
        <w:t xml:space="preserve"> (2017) state that q</w:t>
      </w:r>
      <w:r w:rsidRPr="00D90F03">
        <w:t xml:space="preserve">uantitative </w:t>
      </w:r>
      <w:r>
        <w:t>r</w:t>
      </w:r>
      <w:r w:rsidRPr="00D90F03">
        <w:t>esearch</w:t>
      </w:r>
      <w:r>
        <w:t xml:space="preserve"> is where a researcher collects and analyses data that has been collected. For example, the data collected is structured and can be categorized into numbers enabling statistical analysis. Nolan </w:t>
      </w:r>
      <w:proofErr w:type="gramStart"/>
      <w:r>
        <w:t>e</w:t>
      </w:r>
      <w:r>
        <w:rPr>
          <w:i/>
          <w:iCs/>
        </w:rPr>
        <w:t>t al.</w:t>
      </w:r>
      <w:r>
        <w:t>(</w:t>
      </w:r>
      <w:proofErr w:type="gramEnd"/>
      <w:r>
        <w:t xml:space="preserve">2013) support </w:t>
      </w:r>
      <w:r w:rsidRPr="00C04338">
        <w:t>Goertzen</w:t>
      </w:r>
      <w:r>
        <w:t xml:space="preserve"> (2017) further stating that q</w:t>
      </w:r>
      <w:r w:rsidRPr="00D90F03">
        <w:t>uantitative</w:t>
      </w:r>
      <w:r>
        <w:t xml:space="preserve"> data support a theory based approach enabling the research to be tested on factual data. This research will be collected through use of open-ended questions and closed questions within the questionnaires. </w:t>
      </w:r>
      <w:proofErr w:type="spellStart"/>
      <w:r w:rsidRPr="00D10D23">
        <w:t>Taherdoost</w:t>
      </w:r>
      <w:proofErr w:type="spellEnd"/>
      <w:r w:rsidRPr="00D10D23">
        <w:t xml:space="preserve"> (2019b</w:t>
      </w:r>
      <w:r>
        <w:t xml:space="preserve">) state that use of closed questions is when the respondent has a limited variation of possible answers. For example, this research will use closed questions </w:t>
      </w:r>
      <w:r w:rsidR="00B60E81">
        <w:t xml:space="preserve">within a questionnaire </w:t>
      </w:r>
      <w:r>
        <w:t xml:space="preserve">to identify if the social workers work with children within early childhood. However, </w:t>
      </w:r>
      <w:r w:rsidR="00FB6E73">
        <w:t>also using op</w:t>
      </w:r>
      <w:r>
        <w:t xml:space="preserve">en questions is where the individual does not need to answer the question from a choice of few answers. Furthermore, open questions give individuals options to respond in depth to a question. The use of both open and closed questions in this study will gather a range of qualitative and quantitative data identifying the number of children and families affected by Trauma and ACEs and the support provided. </w:t>
      </w:r>
      <w:r w:rsidR="00B60E81">
        <w:t xml:space="preserve">This study will also used open and closed questions also within a questionnaire to </w:t>
      </w:r>
      <w:r w:rsidR="00D5504F">
        <w:t xml:space="preserve">identify appropriate children to participate in the observations. </w:t>
      </w:r>
    </w:p>
    <w:p w14:paraId="679AF562" w14:textId="4FF89599" w:rsidR="00E45024" w:rsidRDefault="00E45024" w:rsidP="00E45024">
      <w:r>
        <w:t xml:space="preserve">However, </w:t>
      </w:r>
      <w:r w:rsidRPr="00455D93">
        <w:t xml:space="preserve">Nicolau </w:t>
      </w:r>
      <w:r>
        <w:rPr>
          <w:i/>
          <w:iCs/>
        </w:rPr>
        <w:t xml:space="preserve">et al. </w:t>
      </w:r>
      <w:r>
        <w:t xml:space="preserve">(2020) believe that people can form opinions about qualities within the study whether this is positive or negative and this will convey in other aspects of information gathered. Liao (2021) support </w:t>
      </w:r>
      <w:r w:rsidRPr="00455D93">
        <w:t xml:space="preserve">Nicolau </w:t>
      </w:r>
      <w:r>
        <w:rPr>
          <w:i/>
          <w:iCs/>
        </w:rPr>
        <w:t xml:space="preserve">et al. </w:t>
      </w:r>
      <w:r>
        <w:t xml:space="preserve">(2020) </w:t>
      </w:r>
      <w:r w:rsidR="00667BDF">
        <w:t>describing the above as a</w:t>
      </w:r>
      <w:r>
        <w:t xml:space="preserve"> ‘halo effect’, where individuals are affected by perception. For example, when an individual states whether something is positive or negative this will influence change in other individuals’ perception.  </w:t>
      </w:r>
    </w:p>
    <w:p w14:paraId="3EC4AB69" w14:textId="061DA80E" w:rsidR="00E45024" w:rsidRDefault="00E45024" w:rsidP="00E45024">
      <w:proofErr w:type="spellStart"/>
      <w:r w:rsidRPr="00FB4EAA">
        <w:t>Adhabi</w:t>
      </w:r>
      <w:proofErr w:type="spellEnd"/>
      <w:r>
        <w:t xml:space="preserve"> </w:t>
      </w:r>
      <w:r w:rsidRPr="00FB4EAA">
        <w:t>and Anozie (2017)</w:t>
      </w:r>
      <w:r>
        <w:t xml:space="preserve"> state that interview methods enable the researcher to investigate the why incidents happen in the words of the individual who has experienced them through use of </w:t>
      </w:r>
      <w:r w:rsidRPr="006659D6">
        <w:t>qualitative</w:t>
      </w:r>
      <w:r>
        <w:t xml:space="preserve"> data. </w:t>
      </w:r>
      <w:r w:rsidRPr="00937E49">
        <w:t xml:space="preserve">Swain </w:t>
      </w:r>
      <w:r>
        <w:t xml:space="preserve">and King (2022) support the above and state that when informal </w:t>
      </w:r>
      <w:r w:rsidRPr="00937E49">
        <w:t>conversational interview</w:t>
      </w:r>
      <w:r>
        <w:t xml:space="preserve">s are held this has the probability to generate more realistic representative of the data. Although there are many positives to this method, there are also disadvantages according to </w:t>
      </w:r>
      <w:r w:rsidRPr="00134206">
        <w:t>Cohen</w:t>
      </w:r>
      <w:r>
        <w:t xml:space="preserve"> (</w:t>
      </w:r>
      <w:r w:rsidRPr="00134206">
        <w:t>2018)</w:t>
      </w:r>
      <w:r>
        <w:t xml:space="preserve">. For example, through collecting information from a variety of people without set questions this can be difficult to approach data required if this is not discussed naturally. </w:t>
      </w:r>
    </w:p>
    <w:p w14:paraId="19F0A9D2" w14:textId="77777777" w:rsidR="00E45024" w:rsidRDefault="00E45024" w:rsidP="00E45024">
      <w:r>
        <w:t>Taking the above into account the research will use semi-structured interviewing, with families who are currently working with multi-agencies to express their experiences with Trauma and ACEs and its impact on their children and support that’s been offered. The interview will be managed by use of flexible prompts, where trail questions will be used alongside explanations and inquiries (</w:t>
      </w:r>
      <w:proofErr w:type="spellStart"/>
      <w:r>
        <w:t>DeJonckheere</w:t>
      </w:r>
      <w:proofErr w:type="spellEnd"/>
      <w:r>
        <w:t xml:space="preserve"> and Vaughn, 2019). Furthermore, this will support in gathering open ended information on the participants views and experiences when discussing personal experiences and how this has impacted the children. </w:t>
      </w:r>
      <w:r w:rsidRPr="00F65A62">
        <w:t xml:space="preserve">This is supported by </w:t>
      </w:r>
      <w:proofErr w:type="spellStart"/>
      <w:r w:rsidRPr="00F65A62">
        <w:t>Mashuri</w:t>
      </w:r>
      <w:proofErr w:type="spellEnd"/>
      <w:r w:rsidRPr="00F65A62">
        <w:t xml:space="preserve"> et al., (2022) </w:t>
      </w:r>
      <w:r>
        <w:t>as</w:t>
      </w:r>
      <w:r w:rsidRPr="00F65A62">
        <w:t xml:space="preserve"> the method permits </w:t>
      </w:r>
      <w:r>
        <w:t xml:space="preserve">flexibility for </w:t>
      </w:r>
      <w:r w:rsidRPr="00F65A62">
        <w:t xml:space="preserve">researchers to adapt their questioning to match the </w:t>
      </w:r>
      <w:r>
        <w:t xml:space="preserve">conversational </w:t>
      </w:r>
      <w:r w:rsidRPr="00F65A62">
        <w:t>dialogue.</w:t>
      </w:r>
      <w:r>
        <w:t xml:space="preserve"> </w:t>
      </w:r>
      <w:r w:rsidRPr="00F65A62">
        <w:t xml:space="preserve">However, Heath (2023) believed that semi-structured interviews </w:t>
      </w:r>
      <w:r>
        <w:t>could also be detrimental. For example, the u</w:t>
      </w:r>
      <w:r w:rsidRPr="00F65A62">
        <w:t xml:space="preserve">npredictability </w:t>
      </w:r>
      <w:r>
        <w:t xml:space="preserve">as </w:t>
      </w:r>
      <w:r w:rsidRPr="00F65A62">
        <w:t>there is less structure in the interviews</w:t>
      </w:r>
      <w:r>
        <w:t xml:space="preserve"> presenting challenges to the</w:t>
      </w:r>
      <w:r w:rsidRPr="00F65A62">
        <w:t xml:space="preserve"> researcher </w:t>
      </w:r>
      <w:r>
        <w:t>when</w:t>
      </w:r>
      <w:r w:rsidRPr="00F65A62">
        <w:t xml:space="preserve"> </w:t>
      </w:r>
      <w:r>
        <w:t xml:space="preserve">navigating </w:t>
      </w:r>
      <w:r w:rsidRPr="00F65A62">
        <w:t xml:space="preserve">conversations. </w:t>
      </w:r>
      <w:r>
        <w:t xml:space="preserve">For example, </w:t>
      </w:r>
      <w:r w:rsidRPr="00F65A62">
        <w:t xml:space="preserve">interviews are unique, </w:t>
      </w:r>
      <w:r>
        <w:t xml:space="preserve">and </w:t>
      </w:r>
      <w:r w:rsidRPr="00F65A62">
        <w:t xml:space="preserve">there is </w:t>
      </w:r>
      <w:r>
        <w:t>risk</w:t>
      </w:r>
      <w:r w:rsidRPr="00F65A62">
        <w:t xml:space="preserve"> for each interview</w:t>
      </w:r>
      <w:r>
        <w:t>er</w:t>
      </w:r>
      <w:r w:rsidRPr="00F65A62">
        <w:t xml:space="preserve"> to use different questions and prompts</w:t>
      </w:r>
      <w:r>
        <w:t xml:space="preserve"> creating </w:t>
      </w:r>
      <w:r w:rsidRPr="00F65A62">
        <w:t>difficult</w:t>
      </w:r>
      <w:r>
        <w:t>ies</w:t>
      </w:r>
      <w:r w:rsidRPr="00F65A62">
        <w:t xml:space="preserve"> for researchers to reach definitive conclusions.</w:t>
      </w:r>
    </w:p>
    <w:p w14:paraId="40AFAC7D" w14:textId="3DEA0B94" w:rsidR="00E45024" w:rsidRDefault="00FF1813" w:rsidP="00E45024">
      <w:r>
        <w:t xml:space="preserve">According to </w:t>
      </w:r>
      <w:r w:rsidR="00E45024" w:rsidRPr="00F65A62">
        <w:t>U.S Department of Health and Human Service</w:t>
      </w:r>
      <w:r w:rsidR="00E45024">
        <w:t>s</w:t>
      </w:r>
      <w:r w:rsidR="00E45024" w:rsidRPr="00F65A62">
        <w:t xml:space="preserve"> </w:t>
      </w:r>
      <w:r w:rsidR="00E45024">
        <w:t>(</w:t>
      </w:r>
      <w:r w:rsidR="00E45024" w:rsidRPr="00F65A62">
        <w:t>2018)</w:t>
      </w:r>
      <w:r w:rsidR="00E45024">
        <w:t xml:space="preserve"> t</w:t>
      </w:r>
      <w:r w:rsidR="00E45024" w:rsidRPr="00F65A62">
        <w:t>here</w:t>
      </w:r>
      <w:r w:rsidR="00667BDF">
        <w:t xml:space="preserve"> is</w:t>
      </w:r>
      <w:r w:rsidR="00E45024" w:rsidRPr="00F65A62">
        <w:t xml:space="preserve"> two types of observation researchers use when collecting data</w:t>
      </w:r>
      <w:r w:rsidR="00E45024">
        <w:t xml:space="preserve">, </w:t>
      </w:r>
      <w:r w:rsidR="00E45024" w:rsidRPr="00F65A62">
        <w:t>obvious observation</w:t>
      </w:r>
      <w:r w:rsidR="00E45024">
        <w:t>. For example,</w:t>
      </w:r>
      <w:r w:rsidR="00E45024" w:rsidRPr="00F65A62">
        <w:t xml:space="preserve"> where </w:t>
      </w:r>
      <w:r w:rsidR="00E45024">
        <w:t>the participants are</w:t>
      </w:r>
      <w:r w:rsidR="00E45024" w:rsidRPr="00F65A62">
        <w:t xml:space="preserve"> aware of the observation </w:t>
      </w:r>
      <w:r w:rsidR="00E45024">
        <w:t xml:space="preserve">taking place </w:t>
      </w:r>
      <w:r w:rsidR="00E45024" w:rsidRPr="00F65A62">
        <w:t xml:space="preserve">and </w:t>
      </w:r>
      <w:r w:rsidR="00E45024">
        <w:t xml:space="preserve">know the person conducting the </w:t>
      </w:r>
      <w:r w:rsidR="00E45024" w:rsidRPr="00F65A62">
        <w:t>observ</w:t>
      </w:r>
      <w:r w:rsidR="00E45024">
        <w:t>ation</w:t>
      </w:r>
      <w:r w:rsidR="00E45024" w:rsidRPr="00F65A62">
        <w:t xml:space="preserve">. </w:t>
      </w:r>
      <w:r w:rsidR="00E45024">
        <w:t xml:space="preserve">Secondly, </w:t>
      </w:r>
      <w:r w:rsidR="00E45024">
        <w:lastRenderedPageBreak/>
        <w:t>h</w:t>
      </w:r>
      <w:r w:rsidR="00E45024" w:rsidRPr="00F65A62">
        <w:t>idden observation</w:t>
      </w:r>
      <w:r w:rsidR="00E45024">
        <w:t xml:space="preserve">s this is where the participant nor the observer is </w:t>
      </w:r>
      <w:r w:rsidR="00E45024" w:rsidRPr="00F65A62">
        <w:t>not clear</w:t>
      </w:r>
      <w:r w:rsidR="00E45024">
        <w:t xml:space="preserve">. Furthermore, when this </w:t>
      </w:r>
      <w:r w:rsidR="00E45024" w:rsidRPr="00F65A62">
        <w:t xml:space="preserve">observation </w:t>
      </w:r>
      <w:r w:rsidR="00E45024">
        <w:t xml:space="preserve">method is used it </w:t>
      </w:r>
      <w:r w:rsidR="00E45024" w:rsidRPr="00F65A62">
        <w:t xml:space="preserve">allows natural behaviours </w:t>
      </w:r>
      <w:r w:rsidR="00E45024">
        <w:t>to be observed</w:t>
      </w:r>
      <w:r w:rsidR="00E45024" w:rsidRPr="00F65A62">
        <w:t>. Since the person is not aware of the observation they continue to behave and work as they normally do</w:t>
      </w:r>
      <w:r w:rsidR="00E45024">
        <w:t xml:space="preserve">. </w:t>
      </w:r>
      <w:proofErr w:type="spellStart"/>
      <w:r w:rsidR="009C1B7A" w:rsidRPr="00374169">
        <w:t>Dźwigoł</w:t>
      </w:r>
      <w:proofErr w:type="spellEnd"/>
      <w:r w:rsidR="009C1B7A">
        <w:t xml:space="preserve"> and </w:t>
      </w:r>
      <w:proofErr w:type="spellStart"/>
      <w:r w:rsidR="00E45024" w:rsidRPr="00F65A62">
        <w:t>Barosz</w:t>
      </w:r>
      <w:proofErr w:type="spellEnd"/>
      <w:r w:rsidR="00E45024" w:rsidRPr="00F65A62">
        <w:t xml:space="preserve"> (2020) </w:t>
      </w:r>
      <w:r w:rsidR="00E45024">
        <w:t xml:space="preserve">support the above </w:t>
      </w:r>
      <w:r w:rsidR="00E45024" w:rsidRPr="00F65A62">
        <w:t>belie</w:t>
      </w:r>
      <w:r w:rsidR="00E45024">
        <w:t>ving</w:t>
      </w:r>
      <w:r w:rsidR="00E45024" w:rsidRPr="00F65A62">
        <w:t xml:space="preserve"> that when using the method of observation within an investigation the researchers should carry out the observations in natural situations with the researchers communicating with the participants during the observation.</w:t>
      </w:r>
      <w:r w:rsidR="00E45024">
        <w:t xml:space="preserve"> Fix (2022) support the above that observation methods are appropriate for observing occurring behaviours, actions, or event. This </w:t>
      </w:r>
      <w:r w:rsidR="00C76A91">
        <w:t>analyse</w:t>
      </w:r>
      <w:r w:rsidR="00E45024">
        <w:t xml:space="preserve"> will observe the impact of trauma and ACEs on children within a social setting. </w:t>
      </w:r>
      <w:r w:rsidR="00B60E81">
        <w:t xml:space="preserve">This will create an understanding the impact ACEs and Trauma has on children’s emotional and social behaviours. </w:t>
      </w:r>
    </w:p>
    <w:p w14:paraId="2E791107" w14:textId="76A4704F" w:rsidR="00E45024" w:rsidRPr="002D1C45" w:rsidRDefault="00E45024" w:rsidP="00E45024">
      <w:r>
        <w:t xml:space="preserve">However, Morgan </w:t>
      </w:r>
      <w:r>
        <w:rPr>
          <w:i/>
          <w:iCs/>
        </w:rPr>
        <w:t xml:space="preserve">et al. </w:t>
      </w:r>
      <w:r>
        <w:t>(201</w:t>
      </w:r>
      <w:r w:rsidR="009C1B7A">
        <w:t>7</w:t>
      </w:r>
      <w:r>
        <w:t>) believes that the use of o</w:t>
      </w:r>
      <w:r w:rsidRPr="00F65A62">
        <w:t xml:space="preserve">bservations as a method of </w:t>
      </w:r>
      <w:r>
        <w:t>research</w:t>
      </w:r>
      <w:r w:rsidRPr="00F65A62">
        <w:t xml:space="preserve"> can </w:t>
      </w:r>
      <w:r>
        <w:t>be impacted through</w:t>
      </w:r>
      <w:r w:rsidRPr="00F65A62">
        <w:t xml:space="preserve"> the </w:t>
      </w:r>
      <w:r>
        <w:t>‘</w:t>
      </w:r>
      <w:r w:rsidRPr="00F65A62">
        <w:t>Hawthorne</w:t>
      </w:r>
      <w:r>
        <w:t>’</w:t>
      </w:r>
      <w:r w:rsidRPr="00F65A62">
        <w:t xml:space="preserve"> effect</w:t>
      </w:r>
      <w:r>
        <w:t xml:space="preserve">. For example, </w:t>
      </w:r>
      <w:r w:rsidRPr="00F65A62">
        <w:t xml:space="preserve">when the </w:t>
      </w:r>
      <w:r>
        <w:t>individual is</w:t>
      </w:r>
      <w:r w:rsidRPr="00F65A62">
        <w:t xml:space="preserve"> being observed </w:t>
      </w:r>
      <w:r>
        <w:t xml:space="preserve">there can be </w:t>
      </w:r>
      <w:r w:rsidRPr="00F65A62">
        <w:t>changes</w:t>
      </w:r>
      <w:r>
        <w:t xml:space="preserve"> in</w:t>
      </w:r>
      <w:r w:rsidRPr="00F65A62">
        <w:t xml:space="preserve"> their behaviours</w:t>
      </w:r>
      <w:r>
        <w:t xml:space="preserve">. Furthermore, </w:t>
      </w:r>
      <w:r w:rsidRPr="00F65A62">
        <w:t xml:space="preserve">researchers are unable to gather reliable or accurate information and data </w:t>
      </w:r>
      <w:r>
        <w:t>following this.  Payne and Payne (2004) support Morgan e</w:t>
      </w:r>
      <w:r>
        <w:rPr>
          <w:i/>
          <w:iCs/>
        </w:rPr>
        <w:t xml:space="preserve">t al. </w:t>
      </w:r>
      <w:r>
        <w:t>(201</w:t>
      </w:r>
      <w:r w:rsidR="009C1B7A">
        <w:t>7</w:t>
      </w:r>
      <w:r>
        <w:t>) stating that when individuals are aware of the observation their behaviours are impacted. Taking this into consideration this study will be observe children within the early childhood who has been impacted by trauma and ACEs several times enabling researchers to build a better understanding of the child through use of investigator triangulation (</w:t>
      </w:r>
      <w:r w:rsidRPr="00AE6217">
        <w:t>Triangulation</w:t>
      </w:r>
      <w:r>
        <w:t xml:space="preserve">, 2014). </w:t>
      </w:r>
      <w:r w:rsidRPr="00AE6217">
        <w:t>Triangulation</w:t>
      </w:r>
      <w:r>
        <w:t xml:space="preserve"> (2014) believe that investigator triangulation is when two or more research is conducted in the same study, resulting in depth from the observations conducted.</w:t>
      </w:r>
    </w:p>
    <w:p w14:paraId="26ED4AD9" w14:textId="2E34BF3D" w:rsidR="00FC1B40" w:rsidRDefault="00E45024">
      <w:proofErr w:type="spellStart"/>
      <w:r w:rsidRPr="00720438">
        <w:t>Lakens</w:t>
      </w:r>
      <w:proofErr w:type="spellEnd"/>
      <w:r w:rsidRPr="00720438">
        <w:t xml:space="preserve"> (2022) </w:t>
      </w:r>
      <w:r w:rsidR="00FF1813">
        <w:t>argue</w:t>
      </w:r>
      <w:r w:rsidRPr="00720438">
        <w:t xml:space="preserve"> that time, limited resources, and money can limit research. Taking the above into consideration this sample will use convenience sampling (Sedgwick, 2013). Emerson (2015) support Sedgwick (2013) further stating that convenience sampling is individuals that are identified following meet criteria for the sample. Stratton (2021) support the above believing that convenience sampling is widely used, as this way of research is simplistic, not costly and less time consuming. However, the above also state that convenience samples are at risk of poor participation. </w:t>
      </w:r>
    </w:p>
    <w:p w14:paraId="6DCF3E51" w14:textId="77777777" w:rsidR="004955BE" w:rsidRDefault="004955BE"/>
    <w:p w14:paraId="4CF54B30" w14:textId="50E64D6A" w:rsidR="00CB3373" w:rsidRDefault="00CB3373" w:rsidP="00CB3373">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 xml:space="preserve">Ethical considerations </w:t>
      </w:r>
    </w:p>
    <w:p w14:paraId="312C107E" w14:textId="77777777" w:rsidR="00FC1B40" w:rsidRDefault="00FC1B40" w:rsidP="00CB3373">
      <w:pPr>
        <w:pStyle w:val="paragraph"/>
        <w:spacing w:before="0" w:beforeAutospacing="0" w:after="0" w:afterAutospacing="0"/>
        <w:textAlignment w:val="baseline"/>
        <w:rPr>
          <w:rFonts w:ascii="Segoe UI" w:hAnsi="Segoe UI" w:cs="Segoe UI"/>
          <w:sz w:val="18"/>
          <w:szCs w:val="18"/>
        </w:rPr>
      </w:pPr>
    </w:p>
    <w:p w14:paraId="5A3FA161" w14:textId="4D3E0189" w:rsidR="004955BE" w:rsidRDefault="004955BE" w:rsidP="004955BE">
      <w:r>
        <w:t xml:space="preserve">This study will follow ethical standards, ensuring the participant's welfare while maintaining respect to the individual, this will be in </w:t>
      </w:r>
      <w:r w:rsidR="00F611F5">
        <w:t>congruity</w:t>
      </w:r>
      <w:r>
        <w:t xml:space="preserve"> with the British Educational Research Association [BERA] (2024). Whist also </w:t>
      </w:r>
      <w:r w:rsidR="00C76A91">
        <w:t>ensuring that</w:t>
      </w:r>
      <w:r>
        <w:t xml:space="preserve"> General Data Protection Regulations [GDPR] (2018) and Data Protection Act (2018) </w:t>
      </w:r>
      <w:r w:rsidR="00C76A91">
        <w:t xml:space="preserve">are followed </w:t>
      </w:r>
      <w:r>
        <w:t>when gathering data and storing this appropriately. The study will also respect and follow the UWSTD’s Ethnics and integrity Code and Date Management Policy (2022). Prior to conducting the research this study will identify potential risks that could impact on the research. The identified risks to the research that could be of a negative impact to the study, the investigator, the participants, and the university. These risks will be identified to minimize the potential impact of the risks ensuring the integrity, safety, and well-being of all participants and the university's reputation and ethical standards from the research. Additionally, UWSTS (2028) state the university strives in</w:t>
      </w:r>
      <w:r w:rsidRPr="00794588">
        <w:t xml:space="preserve"> </w:t>
      </w:r>
      <w:r w:rsidRPr="003247D1">
        <w:t>creating an environment for students and staff to take ownership of their research</w:t>
      </w:r>
      <w:r>
        <w:t xml:space="preserve"> to minimize risks. Furthermore, </w:t>
      </w:r>
      <w:r w:rsidRPr="003247D1">
        <w:t xml:space="preserve">ensure that the researchers are accountable for behaviours </w:t>
      </w:r>
      <w:r>
        <w:t xml:space="preserve">presented </w:t>
      </w:r>
      <w:r w:rsidRPr="003247D1">
        <w:t>that does not follow the guidelines</w:t>
      </w:r>
      <w:r>
        <w:t>.</w:t>
      </w:r>
    </w:p>
    <w:p w14:paraId="561EF249" w14:textId="77777777" w:rsidR="004955BE" w:rsidRDefault="004955BE" w:rsidP="004955BE">
      <w:r w:rsidRPr="00300E4B">
        <w:t xml:space="preserve">BERA (2024) state that all researchers should conduct their research within an ethical way. Furthermore, researchers remain respectful of the participants participating in the research, enabling </w:t>
      </w:r>
      <w:r w:rsidRPr="00300E4B">
        <w:lastRenderedPageBreak/>
        <w:t>that individuals are treated with respect to their circumstances. For example, “age, gender, sexuality, ethnicity, class, nationality, cultural identity, partnership status, faith, disability, political belief” to be considered throughout the study.</w:t>
      </w:r>
    </w:p>
    <w:p w14:paraId="7C41B182" w14:textId="77777777" w:rsidR="004955BE" w:rsidRDefault="004955BE" w:rsidP="004955BE">
      <w:r>
        <w:t xml:space="preserve">Resnik (2020) state that adherence to ethical standards within research to minimize fabrication, falsifying or misrepresenting research data. Alderson and Morrow (2020) and </w:t>
      </w:r>
      <w:proofErr w:type="spellStart"/>
      <w:r>
        <w:t>Casico</w:t>
      </w:r>
      <w:proofErr w:type="spellEnd"/>
      <w:r>
        <w:t xml:space="preserve"> (2018) support the above that researchers should review research methods that are being used when collecting data and information. For example, when researching individuals, the researchers should centralise the individual remaining respectful and protecting participants from harm, discrimination, and neglect towards them throughout and beyond the research. </w:t>
      </w:r>
    </w:p>
    <w:p w14:paraId="7F43C401" w14:textId="77777777" w:rsidR="004955BE" w:rsidRDefault="004955BE" w:rsidP="004955BE">
      <w:r>
        <w:t xml:space="preserve">UWTSD (2022) believes that the researcher should ensure that their research is of a high standard of integrity. Firstly, that the research conducted within the university should uphold, honesty; within all areas of research synthesising truthful interoperations. Secondly, transparency and communication; through ensuring that data collected whether negative or positive is conveyed in an appropriate way to the public through use of care and respect. Lastly, accountability; where the university creates environments where researchers are encouraged and enabled to conduct their research whilst identifying that researchers will be held accountable for the research obtained.    </w:t>
      </w:r>
    </w:p>
    <w:p w14:paraId="65C35D43" w14:textId="03E8C24F" w:rsidR="004955BE" w:rsidRDefault="004955BE" w:rsidP="004955BE">
      <w:r>
        <w:t xml:space="preserve">BERA (2024) state that researchers should obtain consent from the participating individuals, this should be conducted prior to their involvement.  Furthermore, this study will remain sensitive to the understanding that each participant can choose to </w:t>
      </w:r>
      <w:r w:rsidR="00F611F5">
        <w:t>revoke</w:t>
      </w:r>
      <w:r>
        <w:t xml:space="preserve"> from participation </w:t>
      </w:r>
      <w:r w:rsidR="00F611F5">
        <w:t>throughout the</w:t>
      </w:r>
      <w:r>
        <w:t xml:space="preserve"> research</w:t>
      </w:r>
      <w:r w:rsidR="00F611F5">
        <w:t xml:space="preserve"> process</w:t>
      </w:r>
      <w:r>
        <w:t xml:space="preserve">. University of Oxford (2021) support BERA (2024) stating that there are two stages within the consent process. Firstly, presenting the information to the individual; where the individual is given time to reflect on the research without pressure of the researcher. Secondly, obtaining </w:t>
      </w:r>
      <w:proofErr w:type="gramStart"/>
      <w:r>
        <w:t>consent;</w:t>
      </w:r>
      <w:proofErr w:type="gramEnd"/>
      <w:r>
        <w:t xml:space="preserve"> where the researcher clearly shares the research information verbally and withing writing form prior to agreement in participation. This will give participants the opportunity to evaluate if participation will be appropriate for the individual having time to possess the information and signing when in full agreement (Yip e</w:t>
      </w:r>
      <w:r>
        <w:rPr>
          <w:i/>
          <w:iCs/>
        </w:rPr>
        <w:t xml:space="preserve">t al., </w:t>
      </w:r>
      <w:r>
        <w:t>2016).</w:t>
      </w:r>
    </w:p>
    <w:p w14:paraId="12DDB9C5" w14:textId="77777777" w:rsidR="004955BE" w:rsidRDefault="004955BE" w:rsidP="004955BE">
      <w:proofErr w:type="spellStart"/>
      <w:r>
        <w:t>SaveTheChildren</w:t>
      </w:r>
      <w:proofErr w:type="spellEnd"/>
      <w:r>
        <w:t xml:space="preserve"> (No Date) highlight in </w:t>
      </w:r>
      <w:r w:rsidRPr="00D32A6C">
        <w:t>Article 12</w:t>
      </w:r>
      <w:r>
        <w:t xml:space="preserve">, </w:t>
      </w:r>
      <w:r w:rsidRPr="00D32A6C">
        <w:t xml:space="preserve">that </w:t>
      </w:r>
      <w:r>
        <w:t xml:space="preserve">if </w:t>
      </w:r>
      <w:r w:rsidRPr="00D32A6C">
        <w:t>children</w:t>
      </w:r>
      <w:r>
        <w:t xml:space="preserve"> can express their views should have the right to do so. </w:t>
      </w:r>
      <w:r w:rsidRPr="00803BC6">
        <w:t xml:space="preserve">Cheah </w:t>
      </w:r>
      <w:r>
        <w:t xml:space="preserve">and Parker (2014) support the above further stating children that can understand the study being conducted can give consent, although there is risk of the child withdrawing from the research at any stage. Furthermore, children that are unable to understand the study that is being conducted will require consent from parents or caregivers. However, the researcher may face barriers of the child unwilling to participate in the research following caregivers </w:t>
      </w:r>
      <w:proofErr w:type="gramStart"/>
      <w:r>
        <w:t>consent;</w:t>
      </w:r>
      <w:proofErr w:type="gramEnd"/>
      <w:r>
        <w:t xml:space="preserve"> assent. Cotrim </w:t>
      </w:r>
      <w:proofErr w:type="gramStart"/>
      <w:r>
        <w:t>e</w:t>
      </w:r>
      <w:r>
        <w:rPr>
          <w:i/>
          <w:iCs/>
        </w:rPr>
        <w:t>t al.</w:t>
      </w:r>
      <w:r>
        <w:t>(</w:t>
      </w:r>
      <w:proofErr w:type="gramEnd"/>
      <w:r>
        <w:t xml:space="preserve">2021) support </w:t>
      </w:r>
      <w:r w:rsidRPr="00803BC6">
        <w:t xml:space="preserve">Cheah </w:t>
      </w:r>
      <w:r>
        <w:t>and Parker (2014) stating that several children will undergo restrictions when making decisions. For example, children must give assent when participating in the research. Furthermore, assent is where the research is explained to a child at a level of their understanding.</w:t>
      </w:r>
    </w:p>
    <w:p w14:paraId="5F2C79A8" w14:textId="77777777" w:rsidR="004955BE" w:rsidRDefault="004955BE" w:rsidP="004955BE">
      <w:proofErr w:type="spellStart"/>
      <w:r>
        <w:t>SaveTheChildren</w:t>
      </w:r>
      <w:proofErr w:type="spellEnd"/>
      <w:r>
        <w:t xml:space="preserve"> (No Date) highlighting that children have the right to find out the information gathered about them. UK Government (</w:t>
      </w:r>
      <w:proofErr w:type="spellStart"/>
      <w:r>
        <w:t>NoDateB</w:t>
      </w:r>
      <w:proofErr w:type="spellEnd"/>
      <w:r>
        <w:t xml:space="preserve">) describe aspects an individual has the right to knowing when individual’s data is collected. For example, how the data is being stored, personal data, have data erased, restrict, or prevent information from being processed, reuse of data from other agencies and object to how data is processed. Furthermore, Data Protection Act (2018) was implemented to laws for individuals responsible for data when it has been collected, stored, and used. Further stating that personal data or information should be used and stored in a fair, lawful, and transparent way for no longer than needed. However, Privacy Technical Assistance </w:t>
      </w:r>
      <w:proofErr w:type="spellStart"/>
      <w:r>
        <w:t>Center</w:t>
      </w:r>
      <w:proofErr w:type="spellEnd"/>
      <w:r>
        <w:t xml:space="preserve"> </w:t>
      </w:r>
      <w:r>
        <w:lastRenderedPageBreak/>
        <w:t>(</w:t>
      </w:r>
      <w:proofErr w:type="spellStart"/>
      <w:r>
        <w:t>NoDate</w:t>
      </w:r>
      <w:proofErr w:type="spellEnd"/>
      <w:r>
        <w:t xml:space="preserve">) assert that data and information should be managed appropriately from the collected to destroyed. For example, when data is destroyed this should be unreadable or irretrievable. </w:t>
      </w:r>
    </w:p>
    <w:p w14:paraId="4843F99F" w14:textId="77777777" w:rsidR="004955BE" w:rsidRDefault="004955BE" w:rsidP="004955BE">
      <w:r>
        <w:t xml:space="preserve">BERA (2022) state that researchers should protect confidentiality through ensuring that data and methods are anonymous. Kang and Hwang (2023) support BERA (2022) stating the importance of individuals participating in the research remaining anonymous. Furthermore, stating that when trusting relationships are built with the researcher participants feel more confident in trusting the researcher in gathering data. Myers </w:t>
      </w:r>
      <w:proofErr w:type="gramStart"/>
      <w:r>
        <w:rPr>
          <w:i/>
          <w:iCs/>
        </w:rPr>
        <w:t>et al.</w:t>
      </w:r>
      <w:r>
        <w:t>(</w:t>
      </w:r>
      <w:proofErr w:type="gramEnd"/>
      <w:r>
        <w:t>2020) support the above stating that researchers should understand the processes of managing and preserving data and information confidentially. For example, use of numbers or letters to depersonalise the information that is being shared within the research.</w:t>
      </w:r>
    </w:p>
    <w:p w14:paraId="72CC2F90" w14:textId="77777777" w:rsidR="004955BE" w:rsidRDefault="004955BE" w:rsidP="004955BE">
      <w:r>
        <w:t>UK Government (</w:t>
      </w:r>
      <w:proofErr w:type="spellStart"/>
      <w:r>
        <w:t>NoDateB</w:t>
      </w:r>
      <w:proofErr w:type="spellEnd"/>
      <w:r>
        <w:t xml:space="preserve">) highlight, that there is a risk to the individual, university and researcher being subject to disclosures being made within the data collected through semi-formal interviews with individuals that have been impacted by trauma and ACEs. </w:t>
      </w:r>
      <w:proofErr w:type="spellStart"/>
      <w:r>
        <w:t>SaveTheChildren</w:t>
      </w:r>
      <w:proofErr w:type="spellEnd"/>
      <w:r>
        <w:t xml:space="preserve"> (No Date) asserts that Article 19 ensures that each child is protected from violence, abuse, and neglect. UWSTD (2022) support UK Government (</w:t>
      </w:r>
      <w:proofErr w:type="spellStart"/>
      <w:r>
        <w:t>NoDateB</w:t>
      </w:r>
      <w:proofErr w:type="spellEnd"/>
      <w:r>
        <w:t xml:space="preserve">) and </w:t>
      </w:r>
      <w:proofErr w:type="spellStart"/>
      <w:r>
        <w:t>SaveTheChildren</w:t>
      </w:r>
      <w:proofErr w:type="spellEnd"/>
      <w:r>
        <w:t xml:space="preserve"> (</w:t>
      </w:r>
      <w:proofErr w:type="spellStart"/>
      <w:r>
        <w:t>NoDate</w:t>
      </w:r>
      <w:proofErr w:type="spellEnd"/>
      <w:r>
        <w:t xml:space="preserve">), stating that following disclosures the researcher will be responsible in following appropriate safeguarding procedures that may break GDPR (2018) confidentiality. </w:t>
      </w:r>
    </w:p>
    <w:p w14:paraId="1E49893F" w14:textId="7B27950F" w:rsidR="004955BE" w:rsidRDefault="004955BE" w:rsidP="004955BE">
      <w:r>
        <w:t>Queen Mary University of London (</w:t>
      </w:r>
      <w:proofErr w:type="spellStart"/>
      <w:r>
        <w:t>NoDate</w:t>
      </w:r>
      <w:proofErr w:type="spellEnd"/>
      <w:r>
        <w:t xml:space="preserve">) state that recognising the risk within the research is important, for example when acknowledging the risk to participants, </w:t>
      </w:r>
      <w:r w:rsidR="00F611F5">
        <w:t>university,</w:t>
      </w:r>
      <w:r>
        <w:t xml:space="preserve"> and researcher. Therefore, the researcher can identify the risk </w:t>
      </w:r>
      <w:r w:rsidR="00F611F5">
        <w:t>resulting in a</w:t>
      </w:r>
      <w:r>
        <w:t xml:space="preserve"> </w:t>
      </w:r>
      <w:r w:rsidR="00F611F5">
        <w:t>decrease in</w:t>
      </w:r>
      <w:r>
        <w:t xml:space="preserve"> the likeliness of the risk </w:t>
      </w:r>
      <w:r w:rsidR="00F611F5">
        <w:t>transpiring</w:t>
      </w:r>
      <w:r>
        <w:t xml:space="preserve"> or reduce</w:t>
      </w:r>
      <w:r w:rsidR="00F611F5">
        <w:t xml:space="preserve"> on</w:t>
      </w:r>
      <w:r>
        <w:t xml:space="preserve"> the impact on the research. However, UK Research and Innovation (2024) state that despite researchers identifying several risks, it is not possible to identify all of them. </w:t>
      </w:r>
    </w:p>
    <w:p w14:paraId="0622F8F4" w14:textId="77777777" w:rsidR="004955BE" w:rsidRPr="000F57EE" w:rsidRDefault="004955BE" w:rsidP="004955BE">
      <w:pPr>
        <w:rPr>
          <w:i/>
          <w:iCs/>
          <w:u w:val="single"/>
        </w:rPr>
      </w:pPr>
      <w:r w:rsidRPr="000F57EE">
        <w:rPr>
          <w:i/>
          <w:iCs/>
          <w:u w:val="single"/>
        </w:rPr>
        <w:t>Participants</w:t>
      </w:r>
    </w:p>
    <w:p w14:paraId="06B54B90" w14:textId="77777777" w:rsidR="004955BE" w:rsidRDefault="004955BE" w:rsidP="004955BE">
      <w:r>
        <w:t>Queen Mary University of London (</w:t>
      </w:r>
      <w:proofErr w:type="spellStart"/>
      <w:r>
        <w:t>NoDate</w:t>
      </w:r>
      <w:proofErr w:type="spellEnd"/>
      <w:r>
        <w:t xml:space="preserve">) assert that participants should not be subject to harm or be impacted within the communities following research. Medical School University of Michigan (2023) support the above stating that individuals could be impacted by feelings such as embarrassment following the research being collected. </w:t>
      </w:r>
    </w:p>
    <w:p w14:paraId="74207926" w14:textId="1985C724" w:rsidR="004955BE" w:rsidRDefault="004955BE" w:rsidP="004955BE">
      <w:r>
        <w:t xml:space="preserve">UK Research and Innovation (2024) state that researchers should consider that researchers </w:t>
      </w:r>
      <w:r w:rsidR="00F611F5">
        <w:t>could</w:t>
      </w:r>
      <w:r>
        <w:t xml:space="preserve"> be at risk of psychological harm. For example, impacting communities or classifications of individuals.   Medical School University of Michigan (2023) support the above further believing that individuals may be subject to unwanted change in the way the individual thinks or feels following participation in the research. </w:t>
      </w:r>
    </w:p>
    <w:p w14:paraId="1CD49C98" w14:textId="77777777" w:rsidR="004955BE" w:rsidRPr="005160F2" w:rsidRDefault="004955BE" w:rsidP="004955BE">
      <w:pPr>
        <w:rPr>
          <w:i/>
          <w:iCs/>
          <w:u w:val="single"/>
        </w:rPr>
      </w:pPr>
      <w:r w:rsidRPr="005160F2">
        <w:rPr>
          <w:i/>
          <w:iCs/>
          <w:u w:val="single"/>
        </w:rPr>
        <w:t>Researcher</w:t>
      </w:r>
    </w:p>
    <w:p w14:paraId="232DF742" w14:textId="77777777" w:rsidR="006D3FF5" w:rsidRDefault="006D3FF5" w:rsidP="006D3FF5">
      <w:r>
        <w:t>Queen Mary University of London (</w:t>
      </w:r>
      <w:proofErr w:type="spellStart"/>
      <w:r>
        <w:t>NoDate</w:t>
      </w:r>
      <w:proofErr w:type="spellEnd"/>
      <w:r>
        <w:t xml:space="preserve">) believes that researcher should consider risks that appose to themselves whilst collecting data for the information. For example, researcher should undertake risk assessments following the health and safety guidelines when creating. HSE (2021) support the above and state that individuals subject to lone working should consider potential risks. For example, identified risks; violence, stress and mental health wellbeing, the environment that the work is taking place. UK Government (2023c) support HSE (2021) describing lone working as individuals who are intentionally employed in to implement their work without supervision without people that are near to support when needed. Furthermore, individuals should not be at higher risk due to them lone working and should follow risk assessments guided by health and safety guidelines. </w:t>
      </w:r>
    </w:p>
    <w:p w14:paraId="357373B9" w14:textId="77777777" w:rsidR="006D3FF5" w:rsidRDefault="006D3FF5" w:rsidP="006D3FF5">
      <w:r>
        <w:lastRenderedPageBreak/>
        <w:t xml:space="preserve">Torp </w:t>
      </w:r>
      <w:proofErr w:type="gramStart"/>
      <w:r>
        <w:rPr>
          <w:i/>
          <w:iCs/>
        </w:rPr>
        <w:t>et al.</w:t>
      </w:r>
      <w:r>
        <w:t>(</w:t>
      </w:r>
      <w:proofErr w:type="gramEnd"/>
      <w:r>
        <w:t xml:space="preserve">2022) state that researchers have experienced increased stress levels that could result in impacting their wellbeing. For example, competing demands in research, long working hours, research hours and the pressure of publishing papers. </w:t>
      </w:r>
      <w:r w:rsidRPr="00E471A0">
        <w:t>Dickson-Swift</w:t>
      </w:r>
      <w:r>
        <w:t xml:space="preserve"> (2008) support Torp </w:t>
      </w:r>
      <w:proofErr w:type="gramStart"/>
      <w:r>
        <w:rPr>
          <w:i/>
          <w:iCs/>
        </w:rPr>
        <w:t>et al.</w:t>
      </w:r>
      <w:r>
        <w:t>(</w:t>
      </w:r>
      <w:proofErr w:type="gramEnd"/>
      <w:r>
        <w:t xml:space="preserve">2022) stating that researchers should consider their own emotional wellbeing when conducting research, for example when researching sensitive subjects. Furthermore, stating recommendations that researchers should be provided with appropriate training, supervision and remain understanding of policy developments in minimizing the risk. </w:t>
      </w:r>
    </w:p>
    <w:p w14:paraId="6EAB9C79" w14:textId="77777777" w:rsidR="00C92C46" w:rsidRDefault="00C92C46" w:rsidP="00C92C46">
      <w:pPr>
        <w:rPr>
          <w:i/>
          <w:iCs/>
          <w:u w:val="single"/>
        </w:rPr>
      </w:pPr>
      <w:r w:rsidRPr="007303F1">
        <w:rPr>
          <w:i/>
          <w:iCs/>
          <w:u w:val="single"/>
        </w:rPr>
        <w:t xml:space="preserve">University </w:t>
      </w:r>
    </w:p>
    <w:p w14:paraId="214942BC" w14:textId="003ADFA4" w:rsidR="006A558E" w:rsidRDefault="006A558E" w:rsidP="006A558E">
      <w:r>
        <w:t>University of Essex (</w:t>
      </w:r>
      <w:proofErr w:type="spellStart"/>
      <w:r>
        <w:t>NoDate</w:t>
      </w:r>
      <w:proofErr w:type="spellEnd"/>
      <w:r>
        <w:t xml:space="preserve">) state that if the researcher does not follow the university’s ethnical guidelines correctly this </w:t>
      </w:r>
      <w:r w:rsidR="009A2643">
        <w:t>could result in</w:t>
      </w:r>
      <w:r>
        <w:t xml:space="preserve"> negative </w:t>
      </w:r>
      <w:r w:rsidR="009A2643">
        <w:t>impact</w:t>
      </w:r>
      <w:r>
        <w:t xml:space="preserve"> on the </w:t>
      </w:r>
      <w:r w:rsidR="009A2643">
        <w:t>person</w:t>
      </w:r>
      <w:r>
        <w:t xml:space="preserve"> and university. For example, this can impact the university’s funders and the name of the university to the public. UWTSD (2022) have implemented an application for ethical approval form that is presented to the ethics committee within the university. BERA (2024) support the UWSTD (2022) stating that institutional settings should allow consent of the research. For example, through use of the above guideline’s universities </w:t>
      </w:r>
      <w:r>
        <w:t>can</w:t>
      </w:r>
      <w:r>
        <w:t xml:space="preserve"> identify that researchers have considered possible risks and how these would be limited or prevented if possible. </w:t>
      </w:r>
    </w:p>
    <w:p w14:paraId="223A8E94" w14:textId="77777777" w:rsidR="00D263E9" w:rsidRDefault="00D263E9" w:rsidP="006A558E"/>
    <w:p w14:paraId="35A32166" w14:textId="69717E50" w:rsidR="00D263E9" w:rsidRPr="00D263E9" w:rsidRDefault="00D263E9" w:rsidP="006A558E">
      <w:pPr>
        <w:rPr>
          <w:i/>
          <w:iCs/>
          <w:u w:val="single"/>
        </w:rPr>
      </w:pPr>
      <w:r w:rsidRPr="00D263E9">
        <w:rPr>
          <w:i/>
          <w:iCs/>
          <w:u w:val="single"/>
        </w:rPr>
        <w:t>References</w:t>
      </w:r>
    </w:p>
    <w:p w14:paraId="3BB83B8C" w14:textId="77777777" w:rsidR="00D263E9" w:rsidRPr="00D42755" w:rsidRDefault="00D263E9" w:rsidP="00D263E9">
      <w:pPr>
        <w:pStyle w:val="ListParagraph"/>
        <w:numPr>
          <w:ilvl w:val="0"/>
          <w:numId w:val="9"/>
        </w:numPr>
      </w:pPr>
      <w:bookmarkStart w:id="0" w:name="_Hlk166833966"/>
      <w:bookmarkStart w:id="1" w:name="_Hlk166012124"/>
      <w:proofErr w:type="spellStart"/>
      <w:r w:rsidRPr="00D42755">
        <w:t>Adhabi</w:t>
      </w:r>
      <w:proofErr w:type="spellEnd"/>
      <w:r w:rsidRPr="00D42755">
        <w:t xml:space="preserve">, E. and Anozie, C.B., (2017) </w:t>
      </w:r>
      <w:r w:rsidRPr="00D42755">
        <w:rPr>
          <w:i/>
          <w:iCs/>
        </w:rPr>
        <w:t xml:space="preserve">Literature review for the type of interview in qualitative research. </w:t>
      </w:r>
      <w:r w:rsidRPr="00D42755">
        <w:t>International Journal of Education, 9(3), pp.86-97.</w:t>
      </w:r>
    </w:p>
    <w:p w14:paraId="25D14E44" w14:textId="77777777" w:rsidR="00D263E9" w:rsidRPr="0037390D" w:rsidRDefault="00D263E9" w:rsidP="00D263E9">
      <w:pPr>
        <w:pStyle w:val="ListParagraph"/>
        <w:numPr>
          <w:ilvl w:val="0"/>
          <w:numId w:val="9"/>
        </w:numPr>
      </w:pPr>
      <w:r w:rsidRPr="00D42755">
        <w:rPr>
          <w:rFonts w:ascii="Arial" w:hAnsi="Arial" w:cs="Arial"/>
          <w:color w:val="222222"/>
          <w:sz w:val="20"/>
          <w:szCs w:val="20"/>
          <w:shd w:val="clear" w:color="auto" w:fill="FFFFFF"/>
        </w:rPr>
        <w:t xml:space="preserve">Aspers, P. and Corte, U., (2019) </w:t>
      </w:r>
      <w:bookmarkEnd w:id="0"/>
      <w:r w:rsidRPr="00D42755">
        <w:rPr>
          <w:rFonts w:ascii="Arial" w:hAnsi="Arial" w:cs="Arial"/>
          <w:i/>
          <w:iCs/>
          <w:color w:val="222222"/>
          <w:sz w:val="20"/>
          <w:szCs w:val="20"/>
          <w:shd w:val="clear" w:color="auto" w:fill="FFFFFF"/>
        </w:rPr>
        <w:t>What is qualitative in qualitative research.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Qualitative sociology</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42</w:t>
      </w:r>
      <w:r w:rsidRPr="00D42755">
        <w:rPr>
          <w:rFonts w:ascii="Arial" w:hAnsi="Arial" w:cs="Arial"/>
          <w:color w:val="222222"/>
          <w:sz w:val="20"/>
          <w:szCs w:val="20"/>
          <w:shd w:val="clear" w:color="auto" w:fill="FFFFFF"/>
        </w:rPr>
        <w:t xml:space="preserve">, pp.139-160. Available at: </w:t>
      </w:r>
      <w:hyperlink r:id="rId7" w:history="1">
        <w:r w:rsidRPr="00D42755">
          <w:rPr>
            <w:rStyle w:val="Hyperlink"/>
          </w:rPr>
          <w:t>What is Qualitative in Qualitative Research | Qualitative Sociology (springer.com)</w:t>
        </w:r>
      </w:hyperlink>
      <w:r w:rsidRPr="00D42755">
        <w:rPr>
          <w:rFonts w:ascii="Arial" w:hAnsi="Arial" w:cs="Arial"/>
          <w:color w:val="222222"/>
          <w:sz w:val="20"/>
          <w:szCs w:val="20"/>
          <w:shd w:val="clear" w:color="auto" w:fill="FFFFFF"/>
        </w:rPr>
        <w:t xml:space="preserve"> (Accessed on: 17/05/2024).</w:t>
      </w:r>
    </w:p>
    <w:p w14:paraId="69B44976" w14:textId="77777777" w:rsidR="00D263E9" w:rsidRPr="00F50692" w:rsidRDefault="00D263E9" w:rsidP="00D263E9">
      <w:pPr>
        <w:pStyle w:val="ListParagraph"/>
        <w:numPr>
          <w:ilvl w:val="0"/>
          <w:numId w:val="9"/>
        </w:numPr>
      </w:pPr>
      <w:r>
        <w:rPr>
          <w:rFonts w:ascii="Arial" w:hAnsi="Arial" w:cs="Arial"/>
          <w:color w:val="222222"/>
          <w:sz w:val="20"/>
          <w:szCs w:val="20"/>
          <w:shd w:val="clear" w:color="auto" w:fill="FFFFFF"/>
        </w:rPr>
        <w:t>BirthTo5Matters (No Date)</w:t>
      </w:r>
      <w:r w:rsidRPr="0037390D">
        <w:rPr>
          <w:rFonts w:ascii="Arial" w:hAnsi="Arial" w:cs="Arial"/>
          <w:i/>
          <w:iCs/>
          <w:color w:val="222222"/>
          <w:sz w:val="20"/>
          <w:szCs w:val="20"/>
          <w:shd w:val="clear" w:color="auto" w:fill="FFFFFF"/>
        </w:rPr>
        <w:t xml:space="preserve"> Attachment and the role of the key person.</w:t>
      </w:r>
      <w:r>
        <w:rPr>
          <w:rFonts w:ascii="Arial" w:hAnsi="Arial" w:cs="Arial"/>
          <w:color w:val="222222"/>
          <w:sz w:val="20"/>
          <w:szCs w:val="20"/>
          <w:shd w:val="clear" w:color="auto" w:fill="FFFFFF"/>
        </w:rPr>
        <w:t xml:space="preserve"> Available at: </w:t>
      </w:r>
      <w:hyperlink r:id="rId8" w:history="1">
        <w:r>
          <w:rPr>
            <w:rStyle w:val="Hyperlink"/>
          </w:rPr>
          <w:t>Attachment and the role of the key person – Birth To 5 Matters</w:t>
        </w:r>
      </w:hyperlink>
      <w:r>
        <w:t xml:space="preserve"> (Accessed on: 19/05/2024).</w:t>
      </w:r>
    </w:p>
    <w:p w14:paraId="44732E00" w14:textId="77777777" w:rsidR="00D263E9" w:rsidRPr="00195025" w:rsidRDefault="00D263E9" w:rsidP="00D263E9">
      <w:pPr>
        <w:pStyle w:val="ListParagraph"/>
        <w:numPr>
          <w:ilvl w:val="0"/>
          <w:numId w:val="9"/>
        </w:numPr>
        <w:rPr>
          <w:rFonts w:ascii="Arial" w:hAnsi="Arial" w:cs="Arial"/>
          <w:i/>
          <w:iCs/>
          <w:color w:val="222222"/>
          <w:sz w:val="20"/>
          <w:szCs w:val="20"/>
          <w:shd w:val="clear" w:color="auto" w:fill="FFFFFF"/>
        </w:rPr>
      </w:pPr>
      <w:r w:rsidRPr="00F2451C">
        <w:rPr>
          <w:rFonts w:ascii="Arial" w:hAnsi="Arial" w:cs="Arial"/>
          <w:color w:val="222222"/>
          <w:sz w:val="20"/>
          <w:szCs w:val="20"/>
          <w:shd w:val="clear" w:color="auto" w:fill="FFFFFF"/>
        </w:rPr>
        <w:t xml:space="preserve">British Educational Research Association [BERA]. (2024). </w:t>
      </w:r>
      <w:r w:rsidRPr="00F2451C">
        <w:rPr>
          <w:rFonts w:ascii="Arial" w:hAnsi="Arial" w:cs="Arial"/>
          <w:i/>
          <w:iCs/>
          <w:color w:val="222222"/>
          <w:sz w:val="20"/>
          <w:szCs w:val="20"/>
          <w:shd w:val="clear" w:color="auto" w:fill="FFFFFF"/>
        </w:rPr>
        <w:t xml:space="preserve">Ethical Guidelines </w:t>
      </w:r>
      <w:r w:rsidRPr="00195025">
        <w:rPr>
          <w:rFonts w:ascii="Arial" w:hAnsi="Arial" w:cs="Arial"/>
          <w:i/>
          <w:iCs/>
          <w:color w:val="222222"/>
          <w:sz w:val="20"/>
          <w:szCs w:val="20"/>
          <w:shd w:val="clear" w:color="auto" w:fill="FFFFFF"/>
        </w:rPr>
        <w:t xml:space="preserve">for Educational Research </w:t>
      </w:r>
      <w:r w:rsidRPr="00195025">
        <w:rPr>
          <w:rFonts w:ascii="Arial" w:hAnsi="Arial" w:cs="Arial"/>
          <w:color w:val="222222"/>
          <w:sz w:val="20"/>
          <w:szCs w:val="20"/>
          <w:shd w:val="clear" w:color="auto" w:fill="FFFFFF"/>
        </w:rPr>
        <w:t xml:space="preserve">(5th ed.). Available at: </w:t>
      </w:r>
      <w:hyperlink r:id="rId9" w:history="1">
        <w:r w:rsidRPr="001743F6">
          <w:rPr>
            <w:rStyle w:val="Hyperlink"/>
            <w:rFonts w:ascii="Arial" w:hAnsi="Arial" w:cs="Arial"/>
            <w:sz w:val="20"/>
            <w:szCs w:val="20"/>
            <w:shd w:val="clear" w:color="auto" w:fill="FFFFFF"/>
          </w:rPr>
          <w:t>www.</w:t>
        </w:r>
        <w:r w:rsidRPr="001743F6">
          <w:rPr>
            <w:rStyle w:val="Hyperlink"/>
            <w:rFonts w:ascii="Arial" w:hAnsi="Arial" w:cs="Arial"/>
            <w:sz w:val="20"/>
            <w:szCs w:val="20"/>
            <w:shd w:val="clear" w:color="auto" w:fill="FFFFFF"/>
          </w:rPr>
          <w:t>b</w:t>
        </w:r>
        <w:r w:rsidRPr="001743F6">
          <w:rPr>
            <w:rStyle w:val="Hyperlink"/>
            <w:rFonts w:ascii="Arial" w:hAnsi="Arial" w:cs="Arial"/>
            <w:sz w:val="20"/>
            <w:szCs w:val="20"/>
            <w:shd w:val="clear" w:color="auto" w:fill="FFFFFF"/>
          </w:rPr>
          <w:t>era.ac.uk/publication/ethicalguidelines-for-educational-research-2</w:t>
        </w:r>
      </w:hyperlink>
      <w:r>
        <w:rPr>
          <w:rFonts w:ascii="Arial" w:hAnsi="Arial" w:cs="Arial"/>
          <w:color w:val="222222"/>
          <w:sz w:val="20"/>
          <w:szCs w:val="20"/>
          <w:shd w:val="clear" w:color="auto" w:fill="FFFFFF"/>
        </w:rPr>
        <w:t xml:space="preserve"> </w:t>
      </w:r>
      <w:r w:rsidRPr="00195025">
        <w:rPr>
          <w:rFonts w:ascii="Arial" w:hAnsi="Arial" w:cs="Arial"/>
          <w:color w:val="222222"/>
          <w:sz w:val="20"/>
          <w:szCs w:val="20"/>
          <w:shd w:val="clear" w:color="auto" w:fill="FFFFFF"/>
        </w:rPr>
        <w:t>(Accessed on: 19/05/2024).</w:t>
      </w:r>
    </w:p>
    <w:p w14:paraId="11B892B0" w14:textId="77777777" w:rsidR="00D263E9" w:rsidRPr="00D42755" w:rsidRDefault="00D263E9" w:rsidP="00D263E9">
      <w:pPr>
        <w:pStyle w:val="ListParagraph"/>
        <w:numPr>
          <w:ilvl w:val="0"/>
          <w:numId w:val="9"/>
        </w:numPr>
      </w:pPr>
      <w:r w:rsidRPr="00D42755">
        <w:t xml:space="preserve">Bell, J., Waters, S. (2018) Doing Your Research Project: A guide for first-time researchers. </w:t>
      </w:r>
      <w:proofErr w:type="spellStart"/>
      <w:r w:rsidRPr="00D42755">
        <w:t>McGraw-hill</w:t>
      </w:r>
      <w:proofErr w:type="spellEnd"/>
      <w:r w:rsidRPr="00D42755">
        <w:t xml:space="preserve"> education (UK). Available at: </w:t>
      </w:r>
      <w:hyperlink r:id="rId10" w:history="1">
        <w:r w:rsidRPr="00D42755">
          <w:rPr>
            <w:rStyle w:val="Hyperlink"/>
          </w:rPr>
          <w:t>https://r1.vlereader.com/EpubReader?ean=1780335243396#</w:t>
        </w:r>
      </w:hyperlink>
      <w:r w:rsidRPr="00D42755">
        <w:t xml:space="preserve"> (Accessed on: 18/05/2024).</w:t>
      </w:r>
    </w:p>
    <w:p w14:paraId="70E037DC" w14:textId="77777777" w:rsidR="00D263E9" w:rsidRPr="00D42755" w:rsidRDefault="00D263E9" w:rsidP="00D263E9">
      <w:pPr>
        <w:pStyle w:val="ListParagraph"/>
        <w:numPr>
          <w:ilvl w:val="0"/>
          <w:numId w:val="9"/>
        </w:numPr>
        <w:rPr>
          <w:i/>
          <w:iCs/>
        </w:rPr>
      </w:pPr>
      <w:r w:rsidRPr="00D42755">
        <w:t xml:space="preserve">BARTLETT, J. E., KOTRLIK, J. W. &amp; HIGGINS, C. C. (2001a) </w:t>
      </w:r>
      <w:r w:rsidRPr="00D42755">
        <w:rPr>
          <w:i/>
          <w:iCs/>
        </w:rPr>
        <w:t>Organizational research: determining appropriate sample size in survey research.</w:t>
      </w:r>
      <w:r w:rsidRPr="00D42755">
        <w:t xml:space="preserve"> Learning and Performance Journal, 19, 43-50.</w:t>
      </w:r>
    </w:p>
    <w:p w14:paraId="64CBEF87" w14:textId="77777777" w:rsidR="00D263E9" w:rsidRPr="00D42755" w:rsidRDefault="00D263E9" w:rsidP="00D263E9">
      <w:pPr>
        <w:pStyle w:val="ListParagraph"/>
        <w:numPr>
          <w:ilvl w:val="0"/>
          <w:numId w:val="9"/>
        </w:numPr>
      </w:pPr>
      <w:proofErr w:type="spellStart"/>
      <w:r w:rsidRPr="00D42755">
        <w:t>Boullier</w:t>
      </w:r>
      <w:proofErr w:type="spellEnd"/>
      <w:r w:rsidRPr="00D42755">
        <w:t>, M. and Blair</w:t>
      </w:r>
      <w:bookmarkEnd w:id="1"/>
      <w:r w:rsidRPr="00D42755">
        <w:t>, M. (2018)</w:t>
      </w:r>
      <w:r w:rsidRPr="00D42755">
        <w:rPr>
          <w:i/>
          <w:iCs/>
        </w:rPr>
        <w:t xml:space="preserve"> Adverse childhood experiences. Paediatrics and Child Health</w:t>
      </w:r>
      <w:r w:rsidRPr="00D42755">
        <w:t xml:space="preserve">, 28(3), pp.132-137. Available at: </w:t>
      </w:r>
      <w:hyperlink r:id="rId11" w:history="1">
        <w:r w:rsidRPr="00D42755">
          <w:rPr>
            <w:rStyle w:val="Hyperlink"/>
          </w:rPr>
          <w:t>Adverse childhood experiences - ScienceDirect</w:t>
        </w:r>
      </w:hyperlink>
      <w:r w:rsidRPr="00D42755">
        <w:t xml:space="preserve"> (Accessed on: 07/05/2024).</w:t>
      </w:r>
    </w:p>
    <w:p w14:paraId="7EB0EA93" w14:textId="77777777" w:rsidR="00D263E9" w:rsidRPr="00D42755" w:rsidRDefault="00D263E9" w:rsidP="00D263E9">
      <w:pPr>
        <w:pStyle w:val="ListParagraph"/>
        <w:numPr>
          <w:ilvl w:val="0"/>
          <w:numId w:val="9"/>
        </w:numPr>
      </w:pPr>
      <w:r w:rsidRPr="00D42755">
        <w:t xml:space="preserve">Balistreri, K.S. and Alvira-Hammond, M., (2016) </w:t>
      </w:r>
      <w:r w:rsidRPr="00D42755">
        <w:rPr>
          <w:i/>
          <w:iCs/>
        </w:rPr>
        <w:t>Adverse childhood experiences, family functioning and adolescent health and emotional well-being.</w:t>
      </w:r>
      <w:r w:rsidRPr="00D42755">
        <w:t xml:space="preserve"> Public health, 132, pp.72-78. Available at: </w:t>
      </w:r>
      <w:hyperlink r:id="rId12" w:history="1">
        <w:r w:rsidRPr="00D42755">
          <w:rPr>
            <w:rStyle w:val="Hyperlink"/>
          </w:rPr>
          <w:t>Adverse childhood experiences, family functioning and adolescent health and emotional well-being - ScienceDirect</w:t>
        </w:r>
      </w:hyperlink>
      <w:r w:rsidRPr="00D42755">
        <w:t xml:space="preserve"> (Accessed on: 13/05/2024).</w:t>
      </w:r>
    </w:p>
    <w:p w14:paraId="6424161E" w14:textId="77777777" w:rsidR="00D263E9" w:rsidRPr="00D42755" w:rsidRDefault="00D263E9" w:rsidP="00D263E9">
      <w:pPr>
        <w:pStyle w:val="ListParagraph"/>
        <w:numPr>
          <w:ilvl w:val="0"/>
          <w:numId w:val="9"/>
        </w:numPr>
      </w:pPr>
      <w:bookmarkStart w:id="2" w:name="_Hlk166614199"/>
      <w:r w:rsidRPr="00D42755">
        <w:t xml:space="preserve">Boodoo, R. </w:t>
      </w:r>
      <w:r w:rsidRPr="00D42755">
        <w:rPr>
          <w:i/>
          <w:iCs/>
        </w:rPr>
        <w:t>et al.</w:t>
      </w:r>
      <w:r w:rsidRPr="00D42755">
        <w:t xml:space="preserve"> (2022) </w:t>
      </w:r>
      <w:bookmarkEnd w:id="2"/>
      <w:r w:rsidRPr="00D42755">
        <w:rPr>
          <w:i/>
          <w:iCs/>
        </w:rPr>
        <w:t>‘A Review of ADHD and Childhood Trauma: Treatment Challenges and Clinical Guidance’,</w:t>
      </w:r>
      <w:r w:rsidRPr="00D42755">
        <w:t xml:space="preserve"> Current developmental disorders reports, 9(4), pp. 137–145. Available at: </w:t>
      </w:r>
      <w:hyperlink r:id="rId13" w:history="1">
        <w:r w:rsidRPr="00D42755">
          <w:rPr>
            <w:rStyle w:val="Hyperlink"/>
          </w:rPr>
          <w:t>https://doi.org/10.1007/s40474-022-00256-2</w:t>
        </w:r>
      </w:hyperlink>
      <w:r w:rsidRPr="00D42755">
        <w:t xml:space="preserve">. (Accessed on: 14/05/2024). </w:t>
      </w:r>
    </w:p>
    <w:p w14:paraId="57715B88" w14:textId="77777777" w:rsidR="00D263E9" w:rsidRPr="00D42755" w:rsidRDefault="00D263E9" w:rsidP="00D263E9">
      <w:pPr>
        <w:pStyle w:val="ListParagraph"/>
        <w:numPr>
          <w:ilvl w:val="0"/>
          <w:numId w:val="9"/>
        </w:numPr>
      </w:pPr>
      <w:proofErr w:type="spellStart"/>
      <w:r w:rsidRPr="00D42755">
        <w:lastRenderedPageBreak/>
        <w:t>Busetto</w:t>
      </w:r>
      <w:proofErr w:type="spellEnd"/>
      <w:r w:rsidRPr="00D42755">
        <w:t xml:space="preserve">, L., Wick, W. and Gumbinger, C., (2020) How to use and assess qualitative research methods. Neurological Research and practice, 2(1), p.14. </w:t>
      </w:r>
    </w:p>
    <w:p w14:paraId="32D15A0E" w14:textId="77777777" w:rsidR="00D263E9" w:rsidRPr="00D42755" w:rsidRDefault="00D263E9" w:rsidP="00D263E9">
      <w:pPr>
        <w:pStyle w:val="ListParagraph"/>
        <w:numPr>
          <w:ilvl w:val="0"/>
          <w:numId w:val="9"/>
        </w:numPr>
      </w:pPr>
      <w:r w:rsidRPr="00D42755">
        <w:t xml:space="preserve">Cavanaugh, B. (2016) </w:t>
      </w:r>
      <w:r w:rsidRPr="00D42755">
        <w:rPr>
          <w:i/>
          <w:iCs/>
        </w:rPr>
        <w:t xml:space="preserve">Trauma-informed classrooms and schools. Beyond </w:t>
      </w:r>
      <w:proofErr w:type="spellStart"/>
      <w:r w:rsidRPr="00D42755">
        <w:rPr>
          <w:i/>
          <w:iCs/>
        </w:rPr>
        <w:t>Behavior</w:t>
      </w:r>
      <w:proofErr w:type="spellEnd"/>
      <w:r w:rsidRPr="00D42755">
        <w:t xml:space="preserve">, 25(2), pp.41-46. Available at: </w:t>
      </w:r>
      <w:hyperlink r:id="rId14" w:history="1">
        <w:r w:rsidRPr="00D42755">
          <w:rPr>
            <w:rStyle w:val="Hyperlink"/>
          </w:rPr>
          <w:t>Trauma-Informed Classrooms and Schools - Brian Cavanaugh, 2016 (sagepub.com)</w:t>
        </w:r>
      </w:hyperlink>
      <w:r w:rsidRPr="00D42755">
        <w:t xml:space="preserve"> (Accessed on: 09/05/2024).</w:t>
      </w:r>
    </w:p>
    <w:p w14:paraId="2478A946" w14:textId="77777777" w:rsidR="00D263E9" w:rsidRDefault="00D263E9" w:rsidP="00D263E9">
      <w:pPr>
        <w:pStyle w:val="ListParagraph"/>
        <w:numPr>
          <w:ilvl w:val="0"/>
          <w:numId w:val="9"/>
        </w:numPr>
      </w:pPr>
      <w:proofErr w:type="spellStart"/>
      <w:r w:rsidRPr="00D42755">
        <w:t>Centers</w:t>
      </w:r>
      <w:proofErr w:type="spellEnd"/>
      <w:r w:rsidRPr="00D42755">
        <w:t xml:space="preserve"> For Disease Control and Prevention (CDC) (2021) </w:t>
      </w:r>
      <w:r w:rsidRPr="00D42755">
        <w:rPr>
          <w:i/>
          <w:iCs/>
        </w:rPr>
        <w:t xml:space="preserve">Adverse Childhood Experiences (ACEs): Preventing early trauma to improve adult mental health. </w:t>
      </w:r>
      <w:r w:rsidRPr="00D42755">
        <w:t xml:space="preserve">Available at: </w:t>
      </w:r>
      <w:hyperlink r:id="rId15" w:history="1">
        <w:r w:rsidRPr="00D42755">
          <w:rPr>
            <w:rStyle w:val="Hyperlink"/>
          </w:rPr>
          <w:t xml:space="preserve">Adverse Childhood Experiences (ACEs) | </w:t>
        </w:r>
        <w:proofErr w:type="spellStart"/>
        <w:r w:rsidRPr="00D42755">
          <w:rPr>
            <w:rStyle w:val="Hyperlink"/>
          </w:rPr>
          <w:t>VitalSigns</w:t>
        </w:r>
        <w:proofErr w:type="spellEnd"/>
        <w:r w:rsidRPr="00D42755">
          <w:rPr>
            <w:rStyle w:val="Hyperlink"/>
          </w:rPr>
          <w:t xml:space="preserve"> | CDC</w:t>
        </w:r>
      </w:hyperlink>
      <w:r w:rsidRPr="00D42755">
        <w:t xml:space="preserve"> (Accessed: 09/05/2024).</w:t>
      </w:r>
    </w:p>
    <w:p w14:paraId="4402A245" w14:textId="77777777" w:rsidR="00D263E9" w:rsidRPr="00D42755" w:rsidRDefault="00D263E9" w:rsidP="00D263E9">
      <w:pPr>
        <w:pStyle w:val="ListParagraph"/>
        <w:numPr>
          <w:ilvl w:val="0"/>
          <w:numId w:val="9"/>
        </w:numPr>
      </w:pPr>
      <w:r w:rsidRPr="001C2DB3">
        <w:t xml:space="preserve">Cheah, P.Y. and Parker, M., </w:t>
      </w:r>
      <w:r>
        <w:t>(</w:t>
      </w:r>
      <w:r w:rsidRPr="001C2DB3">
        <w:t>2014</w:t>
      </w:r>
      <w:r>
        <w:t>)</w:t>
      </w:r>
      <w:r w:rsidRPr="001C2DB3">
        <w:t xml:space="preserve"> </w:t>
      </w:r>
      <w:r w:rsidRPr="001C2DB3">
        <w:rPr>
          <w:i/>
          <w:iCs/>
        </w:rPr>
        <w:t>Consent and assent in paediatric research in low-income settings</w:t>
      </w:r>
      <w:r w:rsidRPr="001C2DB3">
        <w:t>. BMC Medical Ethics, 15, pp.1-10.</w:t>
      </w:r>
      <w:r>
        <w:t xml:space="preserve"> Available at: </w:t>
      </w:r>
      <w:hyperlink r:id="rId16" w:history="1">
        <w:r>
          <w:rPr>
            <w:rStyle w:val="Hyperlink"/>
          </w:rPr>
          <w:t>Consent and assent in paediatric research in low-income settings | BMC Medical Ethics (springer.com)</w:t>
        </w:r>
      </w:hyperlink>
      <w:r>
        <w:t xml:space="preserve"> (Accessed on: 19/05/2024).</w:t>
      </w:r>
    </w:p>
    <w:p w14:paraId="3418019E" w14:textId="77777777" w:rsidR="00D263E9" w:rsidRDefault="00D263E9" w:rsidP="00D263E9">
      <w:pPr>
        <w:pStyle w:val="ListParagraph"/>
        <w:numPr>
          <w:ilvl w:val="0"/>
          <w:numId w:val="9"/>
        </w:numPr>
      </w:pPr>
      <w:r w:rsidRPr="00D42755">
        <w:t xml:space="preserve">Choi, J.K., Wang, </w:t>
      </w:r>
      <w:proofErr w:type="gramStart"/>
      <w:r w:rsidRPr="00D42755">
        <w:t>D.</w:t>
      </w:r>
      <w:proofErr w:type="gramEnd"/>
      <w:r w:rsidRPr="00D42755">
        <w:t xml:space="preserve"> and Jackson, A.P., (2019) Adverse experiences in early childhood and their longitudinal impact on later behavioural problems of children living in poverty. Child abuse &amp; neglect, 98, p.104181.</w:t>
      </w:r>
    </w:p>
    <w:p w14:paraId="1802C7FE" w14:textId="77777777" w:rsidR="00D263E9" w:rsidRDefault="00D263E9" w:rsidP="00D263E9">
      <w:pPr>
        <w:pStyle w:val="ListParagraph"/>
        <w:numPr>
          <w:ilvl w:val="0"/>
          <w:numId w:val="9"/>
        </w:numPr>
      </w:pPr>
      <w:r w:rsidRPr="007B4F2C">
        <w:rPr>
          <w:rFonts w:ascii="Source Sans Pro" w:hAnsi="Source Sans Pro"/>
          <w:color w:val="3A3A3A"/>
          <w:sz w:val="23"/>
          <w:szCs w:val="23"/>
          <w:shd w:val="clear" w:color="auto" w:fill="FFFFFF"/>
        </w:rPr>
        <w:t xml:space="preserve">Cohen, L. (2018). </w:t>
      </w:r>
      <w:r w:rsidRPr="007B4F2C">
        <w:rPr>
          <w:rFonts w:ascii="Source Sans Pro" w:hAnsi="Source Sans Pro"/>
          <w:i/>
          <w:iCs/>
          <w:color w:val="3A3A3A"/>
          <w:sz w:val="23"/>
          <w:szCs w:val="23"/>
          <w:shd w:val="clear" w:color="auto" w:fill="FFFFFF"/>
        </w:rPr>
        <w:t>Research methods in education</w:t>
      </w:r>
      <w:r w:rsidRPr="007B4F2C">
        <w:rPr>
          <w:rFonts w:ascii="Source Sans Pro" w:hAnsi="Source Sans Pro"/>
          <w:color w:val="3A3A3A"/>
          <w:sz w:val="23"/>
          <w:szCs w:val="23"/>
          <w:shd w:val="clear" w:color="auto" w:fill="FFFFFF"/>
        </w:rPr>
        <w:t xml:space="preserve"> [electronic resource] (Lawrence. Manion &amp; K. R. B. Morrison, Eds.; 8th ed.). Routledge. Available at: </w:t>
      </w:r>
      <w:hyperlink r:id="rId17" w:history="1">
        <w:proofErr w:type="spellStart"/>
        <w:r w:rsidRPr="00D42755">
          <w:rPr>
            <w:rStyle w:val="Hyperlink"/>
          </w:rPr>
          <w:t>Ep</w:t>
        </w:r>
        <w:r w:rsidRPr="00D42755">
          <w:rPr>
            <w:rStyle w:val="Hyperlink"/>
          </w:rPr>
          <w:t>u</w:t>
        </w:r>
        <w:r w:rsidRPr="00D42755">
          <w:rPr>
            <w:rStyle w:val="Hyperlink"/>
          </w:rPr>
          <w:t>bReader</w:t>
        </w:r>
        <w:proofErr w:type="spellEnd"/>
        <w:r w:rsidRPr="00D42755">
          <w:rPr>
            <w:rStyle w:val="Hyperlink"/>
          </w:rPr>
          <w:t xml:space="preserve"> (vlereader.com)</w:t>
        </w:r>
      </w:hyperlink>
      <w:r w:rsidRPr="007B4F2C">
        <w:rPr>
          <w:rFonts w:ascii="Source Sans Pro" w:hAnsi="Source Sans Pro"/>
          <w:color w:val="3A3A3A"/>
          <w:sz w:val="23"/>
          <w:szCs w:val="23"/>
          <w:shd w:val="clear" w:color="auto" w:fill="FFFFFF"/>
        </w:rPr>
        <w:t xml:space="preserve"> (Accessed on: 18/05/2024).</w:t>
      </w:r>
      <w:r w:rsidRPr="007B4F2C">
        <w:t xml:space="preserve"> </w:t>
      </w:r>
    </w:p>
    <w:p w14:paraId="3DBF1A97" w14:textId="77777777" w:rsidR="00D263E9" w:rsidRPr="00D42755" w:rsidRDefault="00D263E9" w:rsidP="00D263E9">
      <w:pPr>
        <w:pStyle w:val="ListParagraph"/>
        <w:numPr>
          <w:ilvl w:val="0"/>
          <w:numId w:val="9"/>
        </w:numPr>
      </w:pPr>
      <w:r>
        <w:rPr>
          <w:rFonts w:ascii="Arial" w:hAnsi="Arial" w:cs="Arial"/>
          <w:color w:val="222222"/>
          <w:sz w:val="20"/>
          <w:szCs w:val="20"/>
          <w:shd w:val="clear" w:color="auto" w:fill="FFFFFF"/>
        </w:rPr>
        <w:t xml:space="preserve">Cotrim, H., Granja, C., Carvalho, A.S., Cotrim, C. and Martins, R., (2021) </w:t>
      </w:r>
      <w:r w:rsidRPr="007B4F2C">
        <w:rPr>
          <w:rFonts w:ascii="Arial" w:hAnsi="Arial" w:cs="Arial"/>
          <w:i/>
          <w:iCs/>
          <w:color w:val="222222"/>
          <w:sz w:val="20"/>
          <w:szCs w:val="20"/>
          <w:shd w:val="clear" w:color="auto" w:fill="FFFFFF"/>
        </w:rPr>
        <w:t>Children’s understanding of informed assents in research studies.</w:t>
      </w:r>
      <w:r>
        <w:rPr>
          <w:rFonts w:ascii="Arial" w:hAnsi="Arial" w:cs="Arial"/>
          <w:color w:val="222222"/>
          <w:sz w:val="20"/>
          <w:szCs w:val="20"/>
          <w:shd w:val="clear" w:color="auto" w:fill="FFFFFF"/>
        </w:rPr>
        <w:t xml:space="preserve"> In </w:t>
      </w:r>
      <w:r>
        <w:rPr>
          <w:rFonts w:ascii="Arial" w:hAnsi="Arial" w:cs="Arial"/>
          <w:i/>
          <w:iCs/>
          <w:color w:val="222222"/>
          <w:sz w:val="20"/>
          <w:szCs w:val="20"/>
          <w:shd w:val="clear" w:color="auto" w:fill="FFFFFF"/>
        </w:rPr>
        <w:t>Healthcare</w:t>
      </w:r>
      <w:r>
        <w:rPr>
          <w:rFonts w:ascii="Arial" w:hAnsi="Arial" w:cs="Arial"/>
          <w:color w:val="222222"/>
          <w:sz w:val="20"/>
          <w:szCs w:val="20"/>
          <w:shd w:val="clear" w:color="auto" w:fill="FFFFFF"/>
        </w:rPr>
        <w:t xml:space="preserve"> (Vol. 9, No. 7, p. 871). MDPI. </w:t>
      </w:r>
      <w:hyperlink r:id="rId18" w:history="1">
        <w:r>
          <w:rPr>
            <w:rStyle w:val="Hyperlink"/>
          </w:rPr>
          <w:t>Children’s Understanding of Informed Assents in Research Studies - PMC (nih.gov)</w:t>
        </w:r>
      </w:hyperlink>
    </w:p>
    <w:p w14:paraId="676BD8FC" w14:textId="77777777" w:rsidR="00D263E9" w:rsidRPr="00D42755" w:rsidRDefault="00D263E9" w:rsidP="00D263E9">
      <w:pPr>
        <w:pStyle w:val="ListParagraph"/>
        <w:numPr>
          <w:ilvl w:val="0"/>
          <w:numId w:val="9"/>
        </w:numPr>
      </w:pPr>
      <w:bookmarkStart w:id="3" w:name="_Hlk166537572"/>
      <w:r w:rsidRPr="00D42755">
        <w:t>Daines</w:t>
      </w:r>
      <w:bookmarkEnd w:id="3"/>
      <w:r w:rsidRPr="00D42755">
        <w:t xml:space="preserve">, C.L., Hansen, D., Novilla, M.L.B. and Crandall, A., (2021) </w:t>
      </w:r>
      <w:r w:rsidRPr="00D42755">
        <w:rPr>
          <w:i/>
          <w:iCs/>
        </w:rPr>
        <w:t>Effects of positive and negative childhood experiences on adult family health</w:t>
      </w:r>
      <w:r w:rsidRPr="00D42755">
        <w:t xml:space="preserve">. BMC public health, 21, pp.1-8. Available at: </w:t>
      </w:r>
      <w:hyperlink r:id="rId19" w:history="1">
        <w:r w:rsidRPr="00D42755">
          <w:rPr>
            <w:rStyle w:val="Hyperlink"/>
          </w:rPr>
          <w:t>Effects of positive and negative childhood experiences on adult family health | BMC Public Health (springer.com)</w:t>
        </w:r>
      </w:hyperlink>
      <w:r w:rsidRPr="00D42755">
        <w:t xml:space="preserve"> (Accessed on: 13/05/2024).</w:t>
      </w:r>
    </w:p>
    <w:p w14:paraId="2F703C5A" w14:textId="77777777" w:rsidR="00D263E9" w:rsidRPr="00D42755" w:rsidRDefault="00D263E9" w:rsidP="00D263E9">
      <w:pPr>
        <w:pStyle w:val="ListParagraph"/>
        <w:numPr>
          <w:ilvl w:val="0"/>
          <w:numId w:val="9"/>
        </w:numPr>
      </w:pPr>
      <w:bookmarkStart w:id="4" w:name="_Hlk166613191"/>
      <w:r w:rsidRPr="00D42755">
        <w:t xml:space="preserve">D’Andrea, W. </w:t>
      </w:r>
      <w:r w:rsidRPr="00D42755">
        <w:rPr>
          <w:i/>
          <w:iCs/>
        </w:rPr>
        <w:t>et al.</w:t>
      </w:r>
      <w:r w:rsidRPr="00D42755">
        <w:t xml:space="preserve"> (2012)</w:t>
      </w:r>
      <w:bookmarkEnd w:id="4"/>
      <w:r w:rsidRPr="00D42755">
        <w:t xml:space="preserve"> </w:t>
      </w:r>
      <w:r w:rsidRPr="00D42755">
        <w:rPr>
          <w:i/>
          <w:iCs/>
        </w:rPr>
        <w:t>‘Understanding Interpersonal Trauma in Children: Why We Need a Developmentally Appropriate Trauma Diagnosis’</w:t>
      </w:r>
      <w:r w:rsidRPr="00D42755">
        <w:t xml:space="preserve">, American journal of orthopsychiatry, 82(2), pp. 187–200. Available at: </w:t>
      </w:r>
      <w:hyperlink r:id="rId20" w:history="1">
        <w:r w:rsidRPr="00D42755">
          <w:rPr>
            <w:rStyle w:val="Hyperlink"/>
          </w:rPr>
          <w:t>https://doi.org/10.1111/j.1939-0025.2012.01154.x</w:t>
        </w:r>
      </w:hyperlink>
      <w:r w:rsidRPr="00D42755">
        <w:t>. (Accessed on 14/05/2024).</w:t>
      </w:r>
    </w:p>
    <w:p w14:paraId="7FC80562" w14:textId="77777777" w:rsidR="00D263E9" w:rsidRPr="00D42755" w:rsidRDefault="00D263E9" w:rsidP="00D263E9">
      <w:pPr>
        <w:pStyle w:val="ListParagraph"/>
        <w:numPr>
          <w:ilvl w:val="0"/>
          <w:numId w:val="9"/>
        </w:numPr>
      </w:pPr>
      <w:proofErr w:type="spellStart"/>
      <w:r w:rsidRPr="00D42755">
        <w:t>DeJonckheere</w:t>
      </w:r>
      <w:proofErr w:type="spellEnd"/>
      <w:r w:rsidRPr="00D42755">
        <w:t xml:space="preserve">, M. and Vaughn, L.M., (2019) </w:t>
      </w:r>
      <w:proofErr w:type="spellStart"/>
      <w:r w:rsidRPr="00D42755">
        <w:rPr>
          <w:i/>
          <w:iCs/>
        </w:rPr>
        <w:t>Semistructured</w:t>
      </w:r>
      <w:proofErr w:type="spellEnd"/>
      <w:r w:rsidRPr="00D42755">
        <w:rPr>
          <w:i/>
          <w:iCs/>
        </w:rPr>
        <w:t xml:space="preserve"> interviewing in primary care research: a balance of relationship and rigour.</w:t>
      </w:r>
      <w:r w:rsidRPr="00D42755">
        <w:t xml:space="preserve"> Family medicine and community health, 7(2). Available at: </w:t>
      </w:r>
      <w:hyperlink r:id="rId21" w:history="1">
        <w:proofErr w:type="spellStart"/>
        <w:r w:rsidRPr="00D42755">
          <w:rPr>
            <w:rStyle w:val="Hyperlink"/>
          </w:rPr>
          <w:t>Semistructured</w:t>
        </w:r>
        <w:proofErr w:type="spellEnd"/>
        <w:r w:rsidRPr="00D42755">
          <w:rPr>
            <w:rStyle w:val="Hyperlink"/>
          </w:rPr>
          <w:t xml:space="preserve"> interviewing in primary care research: a balance of relationship and rigour - PMC (nih.gov)</w:t>
        </w:r>
      </w:hyperlink>
      <w:r w:rsidRPr="00D42755">
        <w:t xml:space="preserve"> (Accessed on: 18/05/2024).</w:t>
      </w:r>
    </w:p>
    <w:p w14:paraId="378385C0" w14:textId="77777777" w:rsidR="00D263E9" w:rsidRDefault="00D263E9" w:rsidP="00D263E9">
      <w:pPr>
        <w:pStyle w:val="ListParagraph"/>
        <w:numPr>
          <w:ilvl w:val="0"/>
          <w:numId w:val="9"/>
        </w:numPr>
      </w:pPr>
      <w:proofErr w:type="spellStart"/>
      <w:r w:rsidRPr="00D42755">
        <w:t>Dźwigoł</w:t>
      </w:r>
      <w:proofErr w:type="spellEnd"/>
      <w:r w:rsidRPr="00D42755">
        <w:t xml:space="preserve">, H. and </w:t>
      </w:r>
      <w:proofErr w:type="spellStart"/>
      <w:r w:rsidRPr="00D42755">
        <w:t>Barosz</w:t>
      </w:r>
      <w:proofErr w:type="spellEnd"/>
      <w:r w:rsidRPr="00D42755">
        <w:t xml:space="preserve">, P., (2020) </w:t>
      </w:r>
      <w:r w:rsidRPr="00D42755">
        <w:rPr>
          <w:i/>
          <w:iCs/>
        </w:rPr>
        <w:t xml:space="preserve">Observation as a research method in social science. </w:t>
      </w:r>
      <w:proofErr w:type="spellStart"/>
      <w:r w:rsidRPr="00D42755">
        <w:t>Zeszyty</w:t>
      </w:r>
      <w:proofErr w:type="spellEnd"/>
      <w:r w:rsidRPr="00D42755">
        <w:t xml:space="preserve"> </w:t>
      </w:r>
      <w:proofErr w:type="spellStart"/>
      <w:r w:rsidRPr="00D42755">
        <w:t>Naukowe</w:t>
      </w:r>
      <w:proofErr w:type="spellEnd"/>
      <w:r w:rsidRPr="00D42755">
        <w:t xml:space="preserve">. </w:t>
      </w:r>
      <w:proofErr w:type="spellStart"/>
      <w:r w:rsidRPr="00D42755">
        <w:t>Organizacja</w:t>
      </w:r>
      <w:proofErr w:type="spellEnd"/>
      <w:r w:rsidRPr="00D42755">
        <w:t xml:space="preserve"> </w:t>
      </w:r>
      <w:proofErr w:type="spellStart"/>
      <w:r w:rsidRPr="00D42755">
        <w:t>i</w:t>
      </w:r>
      <w:proofErr w:type="spellEnd"/>
      <w:r w:rsidRPr="00D42755">
        <w:t xml:space="preserve"> </w:t>
      </w:r>
      <w:proofErr w:type="spellStart"/>
      <w:r w:rsidRPr="00D42755">
        <w:t>Zarządzanie</w:t>
      </w:r>
      <w:proofErr w:type="spellEnd"/>
      <w:r w:rsidRPr="00D42755">
        <w:t>/</w:t>
      </w:r>
      <w:proofErr w:type="spellStart"/>
      <w:r w:rsidRPr="00D42755">
        <w:t>Politechnika</w:t>
      </w:r>
      <w:proofErr w:type="spellEnd"/>
      <w:r w:rsidRPr="00D42755">
        <w:t xml:space="preserve"> Śląska, (148), pp.141-149.</w:t>
      </w:r>
    </w:p>
    <w:p w14:paraId="4BAEE80C" w14:textId="77777777" w:rsidR="00D263E9" w:rsidRPr="00D42755" w:rsidRDefault="00D263E9" w:rsidP="00D263E9">
      <w:pPr>
        <w:pStyle w:val="ListParagraph"/>
        <w:numPr>
          <w:ilvl w:val="0"/>
          <w:numId w:val="9"/>
        </w:numPr>
      </w:pPr>
      <w:bookmarkStart w:id="5" w:name="_Hlk167032764"/>
      <w:r w:rsidRPr="00E471A0">
        <w:t>Dickson-Swift</w:t>
      </w:r>
      <w:bookmarkEnd w:id="5"/>
      <w:r w:rsidRPr="00E471A0">
        <w:t xml:space="preserve">, V., James, E.L., Kippen, S. and Liamputtong, P., </w:t>
      </w:r>
      <w:r>
        <w:t>(</w:t>
      </w:r>
      <w:r w:rsidRPr="00E471A0">
        <w:t>200</w:t>
      </w:r>
      <w:r>
        <w:t>8)</w:t>
      </w:r>
      <w:r w:rsidRPr="00E471A0">
        <w:t xml:space="preserve"> </w:t>
      </w:r>
      <w:r w:rsidRPr="00E471A0">
        <w:rPr>
          <w:i/>
          <w:iCs/>
        </w:rPr>
        <w:t>Risk to researchers in qualitative research on sensitive topics: Issues and strategies.</w:t>
      </w:r>
      <w:r w:rsidRPr="00E471A0">
        <w:t xml:space="preserve"> Qualitative health research, 18(1), pp.133-144.</w:t>
      </w:r>
      <w:r>
        <w:t xml:space="preserve"> Available at: </w:t>
      </w:r>
      <w:hyperlink r:id="rId22" w:history="1">
        <w:r>
          <w:rPr>
            <w:rStyle w:val="Hyperlink"/>
          </w:rPr>
          <w:t>Risk to Researchers in Qualitative Research on Sensitive Topics: Issues and Strategies - Virginia Dickson-Swift, Erica L. James, Sandra Kippen, Pranee Liamputtong, 2008 (sagepub.com)</w:t>
        </w:r>
      </w:hyperlink>
      <w:r>
        <w:t xml:space="preserve">  (Accessed on: 19/05/2024).</w:t>
      </w:r>
    </w:p>
    <w:p w14:paraId="1008F146" w14:textId="77777777" w:rsidR="00D263E9" w:rsidRPr="00D42755" w:rsidRDefault="00D263E9" w:rsidP="00D263E9">
      <w:pPr>
        <w:pStyle w:val="ListParagraph"/>
        <w:numPr>
          <w:ilvl w:val="0"/>
          <w:numId w:val="9"/>
        </w:numPr>
      </w:pPr>
      <w:r w:rsidRPr="00D42755">
        <w:t xml:space="preserve"> </w:t>
      </w:r>
      <w:bookmarkStart w:id="6" w:name="_Hlk166875396"/>
      <w:r w:rsidRPr="00D42755">
        <w:t>Emerson</w:t>
      </w:r>
      <w:bookmarkEnd w:id="6"/>
      <w:r w:rsidRPr="00D42755">
        <w:t xml:space="preserve">, R.W., (2015) </w:t>
      </w:r>
      <w:r w:rsidRPr="00D42755">
        <w:rPr>
          <w:i/>
          <w:iCs/>
        </w:rPr>
        <w:t xml:space="preserve">Convenience sampling, random sampling, and snowball sampling: How does sampling affect the validity of </w:t>
      </w:r>
      <w:proofErr w:type="gramStart"/>
      <w:r w:rsidRPr="00D42755">
        <w:rPr>
          <w:i/>
          <w:iCs/>
        </w:rPr>
        <w:t>research?.</w:t>
      </w:r>
      <w:proofErr w:type="gramEnd"/>
      <w:r w:rsidRPr="00D42755">
        <w:t xml:space="preserve"> Journal of visual impairment &amp; blindness, 109(2), pp.164-168. Available at: </w:t>
      </w:r>
      <w:hyperlink r:id="rId23" w:history="1">
        <w:r w:rsidRPr="00D42755">
          <w:rPr>
            <w:rStyle w:val="Hyperlink"/>
          </w:rPr>
          <w:t>Convenience Sampling, Random Sampling, and Snowball Sampling: How Does Sampling Affect the Validity of Research? (uwtsd.ac.uk)</w:t>
        </w:r>
      </w:hyperlink>
      <w:r w:rsidRPr="00D42755">
        <w:t xml:space="preserve"> (Accessed: on 17/05/2024).</w:t>
      </w:r>
    </w:p>
    <w:p w14:paraId="421CC6E6" w14:textId="77777777" w:rsidR="00D263E9" w:rsidRPr="00D42755" w:rsidRDefault="00D263E9" w:rsidP="00D263E9">
      <w:pPr>
        <w:pStyle w:val="ListParagraph"/>
        <w:numPr>
          <w:ilvl w:val="0"/>
          <w:numId w:val="9"/>
        </w:numPr>
      </w:pPr>
      <w:r w:rsidRPr="00D42755">
        <w:lastRenderedPageBreak/>
        <w:t xml:space="preserve">Fix, G.M., Kim, B., Ruben, </w:t>
      </w:r>
      <w:proofErr w:type="gramStart"/>
      <w:r w:rsidRPr="00D42755">
        <w:t>M.A.</w:t>
      </w:r>
      <w:proofErr w:type="gramEnd"/>
      <w:r w:rsidRPr="00D42755">
        <w:t xml:space="preserve"> and McCullough, M.B., (2022) </w:t>
      </w:r>
      <w:r w:rsidRPr="00D42755">
        <w:rPr>
          <w:i/>
          <w:iCs/>
        </w:rPr>
        <w:t>Direct observation methods: a practical guide for health researchers.</w:t>
      </w:r>
      <w:r w:rsidRPr="00D42755">
        <w:t xml:space="preserve"> PEC innovation, 1, p.100036. Available at: </w:t>
      </w:r>
      <w:hyperlink r:id="rId24" w:history="1">
        <w:r w:rsidRPr="00D42755">
          <w:rPr>
            <w:rStyle w:val="Hyperlink"/>
          </w:rPr>
          <w:t>Direct observation methods: A practical guide for health researchers - PMC (nih.gov)</w:t>
        </w:r>
      </w:hyperlink>
      <w:r w:rsidRPr="00D42755">
        <w:t xml:space="preserve"> (Accessed on: 18/05/2024)</w:t>
      </w:r>
    </w:p>
    <w:p w14:paraId="65072F6F" w14:textId="77777777" w:rsidR="00D263E9" w:rsidRPr="00D42755" w:rsidRDefault="00D263E9" w:rsidP="00D263E9">
      <w:pPr>
        <w:pStyle w:val="ListParagraph"/>
        <w:numPr>
          <w:ilvl w:val="0"/>
          <w:numId w:val="9"/>
        </w:numPr>
      </w:pPr>
      <w:r w:rsidRPr="00D42755">
        <w:t xml:space="preserve">Goertzen, M.J., (2017) </w:t>
      </w:r>
      <w:r w:rsidRPr="00D42755">
        <w:rPr>
          <w:i/>
          <w:iCs/>
        </w:rPr>
        <w:t>Introduction to quantitative research and data.</w:t>
      </w:r>
      <w:r w:rsidRPr="00D42755">
        <w:t xml:space="preserve"> Library technology reports, 53(4), pp.12-18. Available at: </w:t>
      </w:r>
      <w:hyperlink r:id="rId25" w:history="1">
        <w:r w:rsidRPr="00D42755">
          <w:rPr>
            <w:rStyle w:val="Hyperlink"/>
          </w:rPr>
          <w:t>Chapter 3. Introduction to Quantitative Research and Data | Goertzen | Library Technology Reports (ala.org)</w:t>
        </w:r>
      </w:hyperlink>
      <w:r w:rsidRPr="00D42755">
        <w:t xml:space="preserve"> (Accessed on: 18/05/2024).</w:t>
      </w:r>
    </w:p>
    <w:p w14:paraId="5FB392E8" w14:textId="77777777" w:rsidR="00D263E9" w:rsidRPr="00D42755" w:rsidRDefault="00D263E9" w:rsidP="00D263E9">
      <w:pPr>
        <w:pStyle w:val="ListParagraph"/>
        <w:numPr>
          <w:ilvl w:val="0"/>
          <w:numId w:val="9"/>
        </w:numPr>
      </w:pPr>
      <w:r w:rsidRPr="00D42755">
        <w:t xml:space="preserve">Herzog, J.I., Thome, J., </w:t>
      </w:r>
      <w:proofErr w:type="spellStart"/>
      <w:r w:rsidRPr="00D42755">
        <w:t>Demirakca</w:t>
      </w:r>
      <w:proofErr w:type="spellEnd"/>
      <w:r w:rsidRPr="00D42755">
        <w:t xml:space="preserve">, T., Koppe, G., Ende, G., Lis, S., Rausch, S., Priebe, K., Müller-Engelmann, M., Steil, R. and Bohus, M. (2020) </w:t>
      </w:r>
      <w:r w:rsidRPr="00D42755">
        <w:rPr>
          <w:i/>
          <w:iCs/>
        </w:rPr>
        <w:t>Influence of severity of type and timing of retrospectively reported childhood maltreatment on female amygdala and hippocampal volume.</w:t>
      </w:r>
      <w:r w:rsidRPr="00D42755">
        <w:t xml:space="preserve"> Scientific reports, 10(1), p.1903. Available at: </w:t>
      </w:r>
      <w:hyperlink r:id="rId26" w:history="1">
        <w:r w:rsidRPr="00D42755">
          <w:rPr>
            <w:rStyle w:val="Hyperlink"/>
          </w:rPr>
          <w:t>Influence of Severity of Type and Timing of Retrospectively Reported Childhood Maltreatment on Female Amygdala and Hippocampal Volume | Scientific Reports (nature.com)</w:t>
        </w:r>
      </w:hyperlink>
      <w:r w:rsidRPr="00D42755">
        <w:t xml:space="preserve"> (Accessed on: 09/05/2024).</w:t>
      </w:r>
    </w:p>
    <w:p w14:paraId="0717C978" w14:textId="77777777" w:rsidR="00D263E9" w:rsidRPr="00D42755" w:rsidRDefault="00D263E9" w:rsidP="00D263E9">
      <w:pPr>
        <w:pStyle w:val="ListParagraph"/>
        <w:numPr>
          <w:ilvl w:val="0"/>
          <w:numId w:val="9"/>
        </w:numPr>
      </w:pPr>
      <w:proofErr w:type="spellStart"/>
      <w:r w:rsidRPr="00D42755">
        <w:t>Hennink</w:t>
      </w:r>
      <w:proofErr w:type="spellEnd"/>
      <w:r w:rsidRPr="00D42755">
        <w:t xml:space="preserve">, M., Hutter, I. and Bailey, A., (2020) </w:t>
      </w:r>
      <w:r w:rsidRPr="00D42755">
        <w:rPr>
          <w:i/>
          <w:iCs/>
        </w:rPr>
        <w:t>Qualitative research methods</w:t>
      </w:r>
      <w:r w:rsidRPr="00D42755">
        <w:t xml:space="preserve">. Sage. Available at: </w:t>
      </w:r>
      <w:hyperlink r:id="rId27" w:history="1">
        <w:r w:rsidRPr="00D42755">
          <w:rPr>
            <w:rStyle w:val="Hyperlink"/>
          </w:rPr>
          <w:t>https://books.google.co.uk/books?hl=en&amp;lr=&amp;id=_InCDwAAQBAJ&amp;oi=fnd&amp;pg=PP1&amp;dq=qualitative+data+research+methods&amp;ots=3v8PhSs0cu&amp;sig=dvP1IakRu8rhIAQaCgIlK8u1N5o#v=onepage&amp;q=qualitative%20data%20research%20methods&amp;f=false</w:t>
        </w:r>
      </w:hyperlink>
      <w:r w:rsidRPr="00D42755">
        <w:t xml:space="preserve"> (Accessed on: 18/05/2024).</w:t>
      </w:r>
    </w:p>
    <w:p w14:paraId="3698A562" w14:textId="77777777" w:rsidR="00D263E9" w:rsidRDefault="00D263E9" w:rsidP="00D263E9">
      <w:pPr>
        <w:pStyle w:val="ListParagraph"/>
        <w:numPr>
          <w:ilvl w:val="0"/>
          <w:numId w:val="9"/>
        </w:numPr>
      </w:pPr>
      <w:r w:rsidRPr="00D42755">
        <w:t xml:space="preserve">Heath, C. (2023) </w:t>
      </w:r>
      <w:r w:rsidRPr="00D42755">
        <w:rPr>
          <w:i/>
          <w:iCs/>
        </w:rPr>
        <w:t>What is a semi-structured interview?</w:t>
      </w:r>
      <w:r w:rsidRPr="00D42755">
        <w:t xml:space="preserve"> Available at: </w:t>
      </w:r>
      <w:hyperlink r:id="rId28" w:history="1">
        <w:r w:rsidRPr="00D42755">
          <w:rPr>
            <w:rStyle w:val="Hyperlink"/>
          </w:rPr>
          <w:t>https://dovetail.com/research/semi-structured-interview/</w:t>
        </w:r>
      </w:hyperlink>
      <w:r w:rsidRPr="00D42755">
        <w:t xml:space="preserve"> (Accessed on: 18/05/2024). </w:t>
      </w:r>
    </w:p>
    <w:p w14:paraId="190D8190" w14:textId="77777777" w:rsidR="00D263E9" w:rsidRDefault="00D263E9" w:rsidP="00D263E9">
      <w:pPr>
        <w:pStyle w:val="ListParagraph"/>
        <w:numPr>
          <w:ilvl w:val="0"/>
          <w:numId w:val="9"/>
        </w:numPr>
      </w:pPr>
      <w:r>
        <w:t xml:space="preserve">Health and Safety Executive [HSE] (2021) </w:t>
      </w:r>
      <w:r>
        <w:rPr>
          <w:i/>
          <w:iCs/>
        </w:rPr>
        <w:t xml:space="preserve">Lone Working: Protect Those Working Alone. </w:t>
      </w:r>
      <w:r>
        <w:t xml:space="preserve">Available at: </w:t>
      </w:r>
      <w:hyperlink r:id="rId29" w:history="1">
        <w:r>
          <w:rPr>
            <w:rStyle w:val="Hyperlink"/>
          </w:rPr>
          <w:t>Risk considerations - Joint Research Management Office (jrmo.org.uk)</w:t>
        </w:r>
      </w:hyperlink>
      <w:r>
        <w:t xml:space="preserve"> (Accessed on: 19/05/2024).</w:t>
      </w:r>
    </w:p>
    <w:p w14:paraId="36302670" w14:textId="77777777" w:rsidR="00D263E9" w:rsidRDefault="00D263E9" w:rsidP="00D263E9">
      <w:pPr>
        <w:pStyle w:val="ListParagraph"/>
        <w:numPr>
          <w:ilvl w:val="0"/>
          <w:numId w:val="9"/>
        </w:numPr>
      </w:pPr>
      <w:r>
        <w:t xml:space="preserve">Introduction to Anonymisation [ICA] (2021) </w:t>
      </w:r>
      <w:r>
        <w:rPr>
          <w:i/>
          <w:iCs/>
        </w:rPr>
        <w:t xml:space="preserve">Draft anonymisation, pseudonymisation and privacy enhancing technologies guidance. </w:t>
      </w:r>
      <w:r>
        <w:t xml:space="preserve">Available at: </w:t>
      </w:r>
      <w:hyperlink r:id="rId30" w:history="1">
        <w:r>
          <w:rPr>
            <w:rStyle w:val="Hyperlink"/>
          </w:rPr>
          <w:t>anonymisation-intro-and-first-chapter.pdf (ico.org.uk)</w:t>
        </w:r>
      </w:hyperlink>
      <w:r>
        <w:t xml:space="preserve"> (Accessed on: 19/05/2024).</w:t>
      </w:r>
    </w:p>
    <w:p w14:paraId="703F6835" w14:textId="77777777" w:rsidR="00D263E9" w:rsidRPr="00D42755" w:rsidRDefault="00D263E9" w:rsidP="00D263E9">
      <w:pPr>
        <w:pStyle w:val="ListParagraph"/>
        <w:numPr>
          <w:ilvl w:val="0"/>
          <w:numId w:val="9"/>
        </w:numPr>
      </w:pPr>
      <w:r w:rsidRPr="00DE50B8">
        <w:t xml:space="preserve">Kang, E., Hwang, H. (2023). The Importance of Anonymity and Confidentiality for Conducting Survey Research. Journal of Research and Publication Ethics, 4(1), pp.1-7. </w:t>
      </w:r>
    </w:p>
    <w:p w14:paraId="4B8DAB12" w14:textId="77777777" w:rsidR="00D263E9" w:rsidRPr="00D42755" w:rsidRDefault="00D263E9" w:rsidP="00D263E9">
      <w:pPr>
        <w:pStyle w:val="ListParagraph"/>
        <w:numPr>
          <w:ilvl w:val="0"/>
          <w:numId w:val="9"/>
        </w:numPr>
      </w:pPr>
      <w:proofErr w:type="spellStart"/>
      <w:r w:rsidRPr="00D42755">
        <w:t>Lakens</w:t>
      </w:r>
      <w:proofErr w:type="spellEnd"/>
      <w:r w:rsidRPr="00D42755">
        <w:t xml:space="preserve">, D. (2022) </w:t>
      </w:r>
      <w:r w:rsidRPr="00D42755">
        <w:rPr>
          <w:i/>
          <w:iCs/>
        </w:rPr>
        <w:t>Sample size justification.</w:t>
      </w:r>
      <w:r w:rsidRPr="00D42755">
        <w:t xml:space="preserve"> Collabra: psychology, 8(1), p.33267. Available at: (Accessed on: 17/05/2024).</w:t>
      </w:r>
    </w:p>
    <w:p w14:paraId="14E8A816" w14:textId="77777777" w:rsidR="00D263E9" w:rsidRPr="00D42755" w:rsidRDefault="00D263E9" w:rsidP="00D263E9">
      <w:pPr>
        <w:pStyle w:val="ListParagraph"/>
        <w:numPr>
          <w:ilvl w:val="0"/>
          <w:numId w:val="9"/>
        </w:numPr>
      </w:pPr>
      <w:r w:rsidRPr="00D42755">
        <w:t xml:space="preserve">Liao, C.H. (2021) </w:t>
      </w:r>
      <w:r w:rsidRPr="00D42755">
        <w:rPr>
          <w:i/>
          <w:iCs/>
        </w:rPr>
        <w:t>‘The Matthew effect and the halo effect in research funding’</w:t>
      </w:r>
      <w:r w:rsidRPr="00D42755">
        <w:t xml:space="preserve">, Journal of </w:t>
      </w:r>
      <w:proofErr w:type="spellStart"/>
      <w:r w:rsidRPr="00D42755">
        <w:t>informetrics</w:t>
      </w:r>
      <w:proofErr w:type="spellEnd"/>
      <w:r w:rsidRPr="00D42755">
        <w:t xml:space="preserve">, 15(1), pp. 101108-. Available at: </w:t>
      </w:r>
      <w:hyperlink r:id="rId31" w:history="1">
        <w:r w:rsidRPr="00D42755">
          <w:rPr>
            <w:rStyle w:val="Hyperlink"/>
          </w:rPr>
          <w:t>https://doi.org/10.1016/j.joi.2020.101108</w:t>
        </w:r>
      </w:hyperlink>
      <w:r w:rsidRPr="00D42755">
        <w:t>. (Accessed on: 18/05/2024).</w:t>
      </w:r>
    </w:p>
    <w:p w14:paraId="3C84FF9A" w14:textId="77777777" w:rsidR="00D263E9" w:rsidRDefault="00D263E9" w:rsidP="00D263E9">
      <w:pPr>
        <w:pStyle w:val="ListParagraph"/>
        <w:numPr>
          <w:ilvl w:val="0"/>
          <w:numId w:val="9"/>
        </w:numPr>
      </w:pPr>
      <w:proofErr w:type="spellStart"/>
      <w:r w:rsidRPr="00D42755">
        <w:t>Mashuri</w:t>
      </w:r>
      <w:proofErr w:type="spellEnd"/>
      <w:r w:rsidRPr="00D42755">
        <w:t xml:space="preserve">, S., </w:t>
      </w:r>
      <w:proofErr w:type="spellStart"/>
      <w:r w:rsidRPr="00D42755">
        <w:t>Sarib</w:t>
      </w:r>
      <w:proofErr w:type="spellEnd"/>
      <w:r w:rsidRPr="00D42755">
        <w:t xml:space="preserve">, M., Rasak, A., </w:t>
      </w:r>
      <w:proofErr w:type="spellStart"/>
      <w:r w:rsidRPr="00D42755">
        <w:t>Alhabsyi</w:t>
      </w:r>
      <w:proofErr w:type="spellEnd"/>
      <w:r w:rsidRPr="00D42755">
        <w:t>, F. and Syam, H. (2022). Semi-structured Interview: A methodological reflection on the development of a qualitative research instrument in educational studies. Journal of Research and Method in Education, 12(1), pp.22-29.</w:t>
      </w:r>
    </w:p>
    <w:p w14:paraId="554E85D8" w14:textId="77777777" w:rsidR="00D263E9" w:rsidRPr="00D42755" w:rsidRDefault="00D263E9" w:rsidP="00D263E9">
      <w:pPr>
        <w:pStyle w:val="ListParagraph"/>
        <w:numPr>
          <w:ilvl w:val="0"/>
          <w:numId w:val="9"/>
        </w:numPr>
      </w:pPr>
      <w:r>
        <w:t xml:space="preserve">Medical School University of Michigan (2023) </w:t>
      </w:r>
      <w:r>
        <w:rPr>
          <w:i/>
          <w:iCs/>
        </w:rPr>
        <w:t xml:space="preserve">Evaliating Risks to Participants. </w:t>
      </w:r>
      <w:r>
        <w:t xml:space="preserve">Available at: </w:t>
      </w:r>
      <w:hyperlink r:id="rId32" w:history="1">
        <w:r>
          <w:rPr>
            <w:rStyle w:val="Hyperlink"/>
          </w:rPr>
          <w:t>Evaluating Risks to Participants | Research A to Z (umich.edu)</w:t>
        </w:r>
      </w:hyperlink>
      <w:r>
        <w:t xml:space="preserve"> (Accessed on: 19/05/2024).</w:t>
      </w:r>
    </w:p>
    <w:p w14:paraId="40719393" w14:textId="77777777" w:rsidR="00D263E9" w:rsidRPr="00D42755" w:rsidRDefault="00D263E9" w:rsidP="00D263E9">
      <w:pPr>
        <w:pStyle w:val="ListParagraph"/>
        <w:numPr>
          <w:ilvl w:val="0"/>
          <w:numId w:val="9"/>
        </w:numPr>
      </w:pPr>
      <w:r w:rsidRPr="00D42755">
        <w:t>Morgan, S., Pullon, S., Macdonald, L., McKinlay, E., Gray, B. (2017). Case study observational research: A framework for conducting case study research where observation data are the focus. Qualitative health research, 27(7), pp.1060-1068.</w:t>
      </w:r>
    </w:p>
    <w:p w14:paraId="60373BA7" w14:textId="77777777" w:rsidR="00D263E9" w:rsidRPr="00D42755" w:rsidRDefault="00D263E9" w:rsidP="00D263E9">
      <w:pPr>
        <w:pStyle w:val="ListParagraph"/>
        <w:numPr>
          <w:ilvl w:val="0"/>
          <w:numId w:val="9"/>
        </w:numPr>
      </w:pPr>
      <w:bookmarkStart w:id="7" w:name="_Hlk166097354"/>
      <w:r w:rsidRPr="00D42755">
        <w:rPr>
          <w:rFonts w:ascii="Source Sans Pro" w:hAnsi="Source Sans Pro"/>
          <w:color w:val="3A3A3A"/>
          <w:sz w:val="23"/>
          <w:szCs w:val="23"/>
          <w:shd w:val="clear" w:color="auto" w:fill="FFFFFF"/>
        </w:rPr>
        <w:t xml:space="preserve">Monnat, S.M. and Chandler, R.F. (2015) </w:t>
      </w:r>
      <w:bookmarkEnd w:id="7"/>
      <w:r w:rsidRPr="00D42755">
        <w:rPr>
          <w:rFonts w:ascii="Source Sans Pro" w:hAnsi="Source Sans Pro"/>
          <w:i/>
          <w:iCs/>
          <w:color w:val="3A3A3A"/>
          <w:sz w:val="23"/>
          <w:szCs w:val="23"/>
          <w:shd w:val="clear" w:color="auto" w:fill="FFFFFF"/>
        </w:rPr>
        <w:t>‘Long-Term Physical Health Consequences of Adverse Childhood Experiences’</w:t>
      </w:r>
      <w:r w:rsidRPr="00D42755">
        <w:rPr>
          <w:rFonts w:ascii="Source Sans Pro" w:hAnsi="Source Sans Pro"/>
          <w:color w:val="3A3A3A"/>
          <w:sz w:val="23"/>
          <w:szCs w:val="23"/>
          <w:shd w:val="clear" w:color="auto" w:fill="FFFFFF"/>
        </w:rPr>
        <w:t>, </w:t>
      </w:r>
      <w:r w:rsidRPr="00D42755">
        <w:rPr>
          <w:rFonts w:ascii="Source Sans Pro" w:hAnsi="Source Sans Pro"/>
          <w:i/>
          <w:iCs/>
          <w:color w:val="3A3A3A"/>
          <w:sz w:val="23"/>
          <w:szCs w:val="23"/>
          <w:shd w:val="clear" w:color="auto" w:fill="FFFFFF"/>
        </w:rPr>
        <w:t>Sociological quarterly</w:t>
      </w:r>
      <w:r w:rsidRPr="00D42755">
        <w:rPr>
          <w:rFonts w:ascii="Source Sans Pro" w:hAnsi="Source Sans Pro"/>
          <w:color w:val="3A3A3A"/>
          <w:sz w:val="23"/>
          <w:szCs w:val="23"/>
          <w:shd w:val="clear" w:color="auto" w:fill="FFFFFF"/>
        </w:rPr>
        <w:t xml:space="preserve">, 56(4), pp. 723–752. Available at: </w:t>
      </w:r>
      <w:hyperlink r:id="rId33" w:history="1">
        <w:r w:rsidRPr="00D42755">
          <w:rPr>
            <w:rStyle w:val="Hyperlink"/>
            <w:rFonts w:ascii="Source Sans Pro" w:hAnsi="Source Sans Pro"/>
            <w:sz w:val="23"/>
            <w:szCs w:val="23"/>
            <w:shd w:val="clear" w:color="auto" w:fill="FFFFFF"/>
          </w:rPr>
          <w:t>https://doi.org/10.1111/tsq.12107</w:t>
        </w:r>
      </w:hyperlink>
      <w:r w:rsidRPr="00D42755">
        <w:rPr>
          <w:rFonts w:ascii="Source Sans Pro" w:hAnsi="Source Sans Pro"/>
          <w:color w:val="3A3A3A"/>
          <w:sz w:val="23"/>
          <w:szCs w:val="23"/>
          <w:shd w:val="clear" w:color="auto" w:fill="FFFFFF"/>
        </w:rPr>
        <w:t xml:space="preserve">. (Accessed: 08/05/2024). </w:t>
      </w:r>
    </w:p>
    <w:p w14:paraId="41F859EC" w14:textId="77777777" w:rsidR="00D263E9" w:rsidRDefault="00D263E9" w:rsidP="00D263E9">
      <w:pPr>
        <w:pStyle w:val="ListParagraph"/>
        <w:numPr>
          <w:ilvl w:val="0"/>
          <w:numId w:val="9"/>
        </w:numPr>
      </w:pPr>
      <w:r w:rsidRPr="00D42755">
        <w:t>Moon, M.D. (2019). Triangulation: A method to increase validity, reliability, and legitimation in clinical research. Journal of emergency nursing, 45(1), pp.103-105.</w:t>
      </w:r>
    </w:p>
    <w:p w14:paraId="6F9E8DEB" w14:textId="77777777" w:rsidR="00D263E9" w:rsidRPr="00D42755" w:rsidRDefault="00D263E9" w:rsidP="00D263E9">
      <w:pPr>
        <w:pStyle w:val="ListParagraph"/>
        <w:numPr>
          <w:ilvl w:val="0"/>
          <w:numId w:val="9"/>
        </w:numPr>
      </w:pPr>
      <w:r w:rsidRPr="008C1B45">
        <w:lastRenderedPageBreak/>
        <w:t xml:space="preserve">Myers, C.A., Long, S.E. and Polasek, F.O. (2020) ‘Protecting participant privacy while maintaining content and context: Challenges in qualitative data De‐identification and sharing’, Proceedings of the Association for Information Science and Technology, 57(1). Available at: </w:t>
      </w:r>
      <w:hyperlink r:id="rId34" w:history="1">
        <w:r w:rsidRPr="001743F6">
          <w:rPr>
            <w:rStyle w:val="Hyperlink"/>
          </w:rPr>
          <w:t>https://doi.org/10.1002/pra2.415</w:t>
        </w:r>
      </w:hyperlink>
      <w:r w:rsidRPr="008C1B45">
        <w:t>.</w:t>
      </w:r>
      <w:r>
        <w:t xml:space="preserve"> (Accessed on: 19/05/2024).</w:t>
      </w:r>
    </w:p>
    <w:p w14:paraId="30B772BF" w14:textId="77777777" w:rsidR="00D263E9" w:rsidRPr="00D42755" w:rsidRDefault="00D263E9" w:rsidP="00D263E9">
      <w:pPr>
        <w:pStyle w:val="ListParagraph"/>
        <w:numPr>
          <w:ilvl w:val="0"/>
          <w:numId w:val="9"/>
        </w:numPr>
      </w:pPr>
      <w:r w:rsidRPr="00D42755">
        <w:t xml:space="preserve">Noble, H. and Heale, R. (2019) </w:t>
      </w:r>
      <w:r w:rsidRPr="00D42755">
        <w:rPr>
          <w:i/>
          <w:iCs/>
        </w:rPr>
        <w:t>Triangulation in research, with examples.</w:t>
      </w:r>
      <w:r w:rsidRPr="00D42755">
        <w:t xml:space="preserve"> Available at: </w:t>
      </w:r>
      <w:hyperlink r:id="rId35" w:history="1">
        <w:r w:rsidRPr="00D42755">
          <w:rPr>
            <w:rStyle w:val="Hyperlink"/>
          </w:rPr>
          <w:t>https://ebn.bmj.com/content/22/3/67</w:t>
        </w:r>
      </w:hyperlink>
      <w:r w:rsidRPr="00D42755">
        <w:t xml:space="preserve"> (Accessed on: 18/05/2024).</w:t>
      </w:r>
    </w:p>
    <w:p w14:paraId="08B9E554" w14:textId="77777777" w:rsidR="00D263E9" w:rsidRPr="00D42755" w:rsidRDefault="00D263E9" w:rsidP="00D263E9">
      <w:pPr>
        <w:pStyle w:val="ListParagraph"/>
        <w:numPr>
          <w:ilvl w:val="0"/>
          <w:numId w:val="9"/>
        </w:numPr>
      </w:pPr>
      <w:r w:rsidRPr="00D42755">
        <w:t xml:space="preserve">Nolan, A., Macfarlane, K., and Cartmel, J. (2013) </w:t>
      </w:r>
      <w:r w:rsidRPr="00D42755">
        <w:rPr>
          <w:i/>
          <w:iCs/>
        </w:rPr>
        <w:t xml:space="preserve">Research in early childhood. Los Angeles, Calif., SAGE. </w:t>
      </w:r>
      <w:r w:rsidRPr="00D42755">
        <w:t xml:space="preserve">London. Available at: </w:t>
      </w:r>
      <w:hyperlink r:id="rId36" w:history="1">
        <w:r w:rsidRPr="00D42755">
          <w:rPr>
            <w:rStyle w:val="Hyperlink"/>
          </w:rPr>
          <w:t>Research in Early Childhood (uwtsd.ac.uk)</w:t>
        </w:r>
      </w:hyperlink>
      <w:r w:rsidRPr="00D42755">
        <w:t xml:space="preserve"> (Accessed on: 18/05/2024).</w:t>
      </w:r>
    </w:p>
    <w:p w14:paraId="5E9F761F" w14:textId="77777777" w:rsidR="00D263E9" w:rsidRPr="00D42755" w:rsidRDefault="00D263E9" w:rsidP="00D263E9">
      <w:pPr>
        <w:pStyle w:val="ListParagraph"/>
        <w:numPr>
          <w:ilvl w:val="0"/>
          <w:numId w:val="9"/>
        </w:numPr>
      </w:pPr>
      <w:bookmarkStart w:id="8" w:name="_Hlk166945321"/>
      <w:r w:rsidRPr="00D42755">
        <w:rPr>
          <w:rFonts w:ascii="Arial" w:hAnsi="Arial" w:cs="Arial"/>
          <w:color w:val="222222"/>
          <w:sz w:val="20"/>
          <w:szCs w:val="20"/>
          <w:shd w:val="clear" w:color="auto" w:fill="FFFFFF"/>
        </w:rPr>
        <w:t>Nicolau</w:t>
      </w:r>
      <w:bookmarkEnd w:id="8"/>
      <w:r w:rsidRPr="00D42755">
        <w:rPr>
          <w:rFonts w:ascii="Arial" w:hAnsi="Arial" w:cs="Arial"/>
          <w:color w:val="222222"/>
          <w:sz w:val="20"/>
          <w:szCs w:val="20"/>
          <w:shd w:val="clear" w:color="auto" w:fill="FFFFFF"/>
        </w:rPr>
        <w:t xml:space="preserve">, J.L., </w:t>
      </w:r>
      <w:proofErr w:type="spellStart"/>
      <w:r w:rsidRPr="00D42755">
        <w:rPr>
          <w:rFonts w:ascii="Arial" w:hAnsi="Arial" w:cs="Arial"/>
          <w:color w:val="222222"/>
          <w:sz w:val="20"/>
          <w:szCs w:val="20"/>
          <w:shd w:val="clear" w:color="auto" w:fill="FFFFFF"/>
        </w:rPr>
        <w:t>Mellinas</w:t>
      </w:r>
      <w:proofErr w:type="spellEnd"/>
      <w:r w:rsidRPr="00D42755">
        <w:rPr>
          <w:rFonts w:ascii="Arial" w:hAnsi="Arial" w:cs="Arial"/>
          <w:color w:val="222222"/>
          <w:sz w:val="20"/>
          <w:szCs w:val="20"/>
          <w:shd w:val="clear" w:color="auto" w:fill="FFFFFF"/>
        </w:rPr>
        <w:t xml:space="preserve">, J.P. and Martín-Fuentes, E., (2020) </w:t>
      </w:r>
      <w:r w:rsidRPr="00D42755">
        <w:rPr>
          <w:rFonts w:ascii="Arial" w:hAnsi="Arial" w:cs="Arial"/>
          <w:i/>
          <w:iCs/>
          <w:color w:val="222222"/>
          <w:sz w:val="20"/>
          <w:szCs w:val="20"/>
          <w:shd w:val="clear" w:color="auto" w:fill="FFFFFF"/>
        </w:rPr>
        <w:t>The halo effect: A longitudinal approach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Annals of Tourism Research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83</w:t>
      </w:r>
      <w:r w:rsidRPr="00D42755">
        <w:rPr>
          <w:rFonts w:ascii="Arial" w:hAnsi="Arial" w:cs="Arial"/>
          <w:color w:val="222222"/>
          <w:sz w:val="20"/>
          <w:szCs w:val="20"/>
          <w:shd w:val="clear" w:color="auto" w:fill="FFFFFF"/>
        </w:rPr>
        <w:t xml:space="preserve">, p.102938. Available at: </w:t>
      </w:r>
      <w:hyperlink r:id="rId37" w:history="1">
        <w:r w:rsidRPr="00D42755">
          <w:rPr>
            <w:rStyle w:val="Hyperlink"/>
          </w:rPr>
          <w:t>The halo effect: A longitudinal approach - ScienceDirect</w:t>
        </w:r>
      </w:hyperlink>
      <w:r w:rsidRPr="00D42755">
        <w:rPr>
          <w:rFonts w:ascii="Arial" w:hAnsi="Arial" w:cs="Arial"/>
          <w:color w:val="222222"/>
          <w:sz w:val="20"/>
          <w:szCs w:val="20"/>
          <w:shd w:val="clear" w:color="auto" w:fill="FFFFFF"/>
        </w:rPr>
        <w:t xml:space="preserve"> (Accessed on: 18/05/2024).</w:t>
      </w:r>
    </w:p>
    <w:p w14:paraId="26835C5A" w14:textId="77777777" w:rsidR="00D263E9" w:rsidRPr="00D42755" w:rsidRDefault="00D263E9" w:rsidP="00D263E9">
      <w:pPr>
        <w:pStyle w:val="ListParagraph"/>
        <w:numPr>
          <w:ilvl w:val="0"/>
          <w:numId w:val="9"/>
        </w:numPr>
      </w:pPr>
      <w:r w:rsidRPr="00D42755">
        <w:t>Jones, C.M., Merrick, M.T. and Houry, D.E. (2020) I</w:t>
      </w:r>
      <w:r w:rsidRPr="00D42755">
        <w:rPr>
          <w:i/>
          <w:iCs/>
        </w:rPr>
        <w:t>dentifying and preventing adverse childhood experiences: implications for clinical practice.</w:t>
      </w:r>
      <w:r w:rsidRPr="00D42755">
        <w:t xml:space="preserve"> Jama, 323(1), pp.25-26. Available at: </w:t>
      </w:r>
      <w:hyperlink r:id="rId38" w:history="1">
        <w:r w:rsidRPr="00D42755">
          <w:rPr>
            <w:rStyle w:val="Hyperlink"/>
          </w:rPr>
          <w:t xml:space="preserve">Identifying and Preventing Adverse Childhood Experiences: Implications for Clinical Practice | </w:t>
        </w:r>
        <w:proofErr w:type="spellStart"/>
        <w:r w:rsidRPr="00D42755">
          <w:rPr>
            <w:rStyle w:val="Hyperlink"/>
          </w:rPr>
          <w:t>Pediatrics</w:t>
        </w:r>
        <w:proofErr w:type="spellEnd"/>
        <w:r w:rsidRPr="00D42755">
          <w:rPr>
            <w:rStyle w:val="Hyperlink"/>
          </w:rPr>
          <w:t xml:space="preserve"> | JAMA | JAMA Network</w:t>
        </w:r>
      </w:hyperlink>
      <w:r w:rsidRPr="00D42755">
        <w:t xml:space="preserve"> (Accessed: 09/05/2024). </w:t>
      </w:r>
    </w:p>
    <w:p w14:paraId="187AC16A" w14:textId="77777777" w:rsidR="00D263E9" w:rsidRPr="00D42755" w:rsidRDefault="00D263E9" w:rsidP="00D263E9">
      <w:pPr>
        <w:pStyle w:val="ListParagraph"/>
        <w:numPr>
          <w:ilvl w:val="0"/>
          <w:numId w:val="9"/>
        </w:numPr>
      </w:pPr>
      <w:r w:rsidRPr="00D42755">
        <w:t xml:space="preserve">Osofsky, J.D., Osofsky, H.J., Frazer, A.L., Fields-Olivieri, M.A., Many, M., Selby, M., Holman, S. and Conrad, E., (2021) </w:t>
      </w:r>
      <w:r w:rsidRPr="00D42755">
        <w:rPr>
          <w:i/>
          <w:iCs/>
        </w:rPr>
        <w:t>The importance of adverse childhood experiences during the perinatal period</w:t>
      </w:r>
      <w:r w:rsidRPr="00D42755">
        <w:t xml:space="preserve">. American Psychologist, 76(2), p.350. Available at: </w:t>
      </w:r>
      <w:hyperlink r:id="rId39" w:history="1">
        <w:r w:rsidRPr="00D42755">
          <w:rPr>
            <w:rStyle w:val="Hyperlink"/>
          </w:rPr>
          <w:t>The importance of adverse childhood experiences during the perinatal period. (apa.org)</w:t>
        </w:r>
      </w:hyperlink>
      <w:r w:rsidRPr="00D42755">
        <w:t xml:space="preserve"> (Accessed on: 13/05/2024).</w:t>
      </w:r>
    </w:p>
    <w:p w14:paraId="385AB562" w14:textId="77777777" w:rsidR="00D263E9" w:rsidRPr="00D42755" w:rsidRDefault="00D263E9" w:rsidP="00D263E9">
      <w:pPr>
        <w:pStyle w:val="ListParagraph"/>
        <w:numPr>
          <w:ilvl w:val="0"/>
          <w:numId w:val="9"/>
        </w:numPr>
      </w:pPr>
      <w:r w:rsidRPr="00D42755">
        <w:t xml:space="preserve">Oral, R., Ramirez, M., </w:t>
      </w:r>
      <w:proofErr w:type="spellStart"/>
      <w:r w:rsidRPr="00D42755">
        <w:t>Coohey</w:t>
      </w:r>
      <w:proofErr w:type="spellEnd"/>
      <w:r w:rsidRPr="00D42755">
        <w:t xml:space="preserve">, C., Nakada, S., Walz, A., Kuntz, A., Benoit, J. and Peek-Asa, C., (2016) </w:t>
      </w:r>
      <w:r w:rsidRPr="00D42755">
        <w:rPr>
          <w:i/>
          <w:iCs/>
        </w:rPr>
        <w:t>Adverse childhood experiences and trauma informed care: the future of health care.</w:t>
      </w:r>
      <w:r w:rsidRPr="00D42755">
        <w:t xml:space="preserve"> </w:t>
      </w:r>
      <w:proofErr w:type="spellStart"/>
      <w:r w:rsidRPr="00D42755">
        <w:t>Pediatric</w:t>
      </w:r>
      <w:proofErr w:type="spellEnd"/>
      <w:r w:rsidRPr="00D42755">
        <w:t xml:space="preserve"> research, 79(1), pp.227-233. Available at: </w:t>
      </w:r>
      <w:hyperlink r:id="rId40" w:history="1">
        <w:r w:rsidRPr="00D42755">
          <w:rPr>
            <w:rStyle w:val="Hyperlink"/>
          </w:rPr>
          <w:t xml:space="preserve">Adverse childhood experiences and trauma informed care: the future of health care | </w:t>
        </w:r>
        <w:proofErr w:type="spellStart"/>
        <w:r w:rsidRPr="00D42755">
          <w:rPr>
            <w:rStyle w:val="Hyperlink"/>
          </w:rPr>
          <w:t>Pediatric</w:t>
        </w:r>
        <w:proofErr w:type="spellEnd"/>
        <w:r w:rsidRPr="00D42755">
          <w:rPr>
            <w:rStyle w:val="Hyperlink"/>
          </w:rPr>
          <w:t xml:space="preserve"> Research (nature.com)</w:t>
        </w:r>
      </w:hyperlink>
      <w:r w:rsidRPr="00D42755">
        <w:t xml:space="preserve"> (Accessed on: 09/05/2024).</w:t>
      </w:r>
    </w:p>
    <w:p w14:paraId="0AED3B15" w14:textId="77777777" w:rsidR="00D263E9" w:rsidRPr="00D42755" w:rsidRDefault="00D263E9" w:rsidP="00D263E9">
      <w:pPr>
        <w:pStyle w:val="ListParagraph"/>
        <w:numPr>
          <w:ilvl w:val="0"/>
          <w:numId w:val="9"/>
        </w:numPr>
      </w:pPr>
      <w:bookmarkStart w:id="9" w:name="_Hlk166608994"/>
      <w:proofErr w:type="spellStart"/>
      <w:r w:rsidRPr="00D42755">
        <w:t>Özşahin</w:t>
      </w:r>
      <w:proofErr w:type="spellEnd"/>
      <w:r w:rsidRPr="00D42755">
        <w:t xml:space="preserve">, Z., (2020) </w:t>
      </w:r>
      <w:bookmarkEnd w:id="9"/>
      <w:r w:rsidRPr="00D42755">
        <w:rPr>
          <w:i/>
          <w:iCs/>
        </w:rPr>
        <w:t>The effects of adverse childhood experiences on pregnancy-related anxiety and acceptance of motherhood role.</w:t>
      </w:r>
      <w:r w:rsidRPr="00D42755">
        <w:t xml:space="preserve"> African Health Sciences, 20(3), pp.1217-1228. Available at: </w:t>
      </w:r>
      <w:hyperlink r:id="rId41" w:anchor=":~:text=ACEs%20increase%20the%20risk%20of,transmitted%20infections%2C%20malnutrition%20and%20obesity." w:history="1">
        <w:r w:rsidRPr="00D42755">
          <w:rPr>
            <w:rStyle w:val="Hyperlink"/>
          </w:rPr>
          <w:t>The effects of adverse childhood experiences on pregnancy-related anxiety and acceptance of motherhood role - PMC (nih.gov)</w:t>
        </w:r>
      </w:hyperlink>
      <w:r w:rsidRPr="00D42755">
        <w:t xml:space="preserve"> </w:t>
      </w:r>
      <w:hyperlink r:id="rId42" w:history="1"/>
      <w:r w:rsidRPr="00D42755">
        <w:t xml:space="preserve"> (Accessed on: 14/05/2024).</w:t>
      </w:r>
    </w:p>
    <w:p w14:paraId="4A005D3C" w14:textId="77777777" w:rsidR="00D263E9" w:rsidRPr="00D42755" w:rsidRDefault="00D263E9" w:rsidP="00D263E9">
      <w:pPr>
        <w:pStyle w:val="ListParagraph"/>
        <w:numPr>
          <w:ilvl w:val="0"/>
          <w:numId w:val="9"/>
        </w:numPr>
      </w:pPr>
      <w:r w:rsidRPr="00D42755">
        <w:t xml:space="preserve">Pataky, M.G., Báez, J.C. and Renshaw, K.J. (2019) </w:t>
      </w:r>
      <w:r w:rsidRPr="00D42755">
        <w:rPr>
          <w:i/>
          <w:iCs/>
        </w:rPr>
        <w:t>‘Making schools trauma informed: using the ACE study and implementation science to screen for trauma’</w:t>
      </w:r>
      <w:r w:rsidRPr="00D42755">
        <w:t xml:space="preserve">, Social work in mental health, 17(6), pp. 639–661. Available at: </w:t>
      </w:r>
      <w:hyperlink r:id="rId43" w:history="1">
        <w:r w:rsidRPr="00D42755">
          <w:rPr>
            <w:rStyle w:val="Hyperlink"/>
          </w:rPr>
          <w:t>Full article: Making schools trauma informed: using the ACE study and implementation science to screen for trauma (uwtsd.ac.uk)</w:t>
        </w:r>
      </w:hyperlink>
      <w:r w:rsidRPr="00D42755">
        <w:t xml:space="preserve"> (Accessed on: 09/05/2024).</w:t>
      </w:r>
    </w:p>
    <w:p w14:paraId="0B05A104" w14:textId="77777777" w:rsidR="00D263E9" w:rsidRPr="00D42755" w:rsidRDefault="00D263E9" w:rsidP="00D263E9">
      <w:pPr>
        <w:pStyle w:val="ListParagraph"/>
        <w:numPr>
          <w:ilvl w:val="0"/>
          <w:numId w:val="9"/>
        </w:numPr>
      </w:pPr>
      <w:r w:rsidRPr="00D42755">
        <w:t xml:space="preserve">Pinetree Institute (2024) </w:t>
      </w:r>
      <w:r w:rsidRPr="00D42755">
        <w:rPr>
          <w:i/>
          <w:iCs/>
        </w:rPr>
        <w:t xml:space="preserve">ACEs and Trauma: The ACE Study. </w:t>
      </w:r>
      <w:r w:rsidRPr="00D42755">
        <w:t xml:space="preserve">Available at: </w:t>
      </w:r>
      <w:hyperlink r:id="rId44" w:history="1">
        <w:r w:rsidRPr="00D42755">
          <w:rPr>
            <w:rStyle w:val="Hyperlink"/>
          </w:rPr>
          <w:t>The ACE Study - Pinetree Institute</w:t>
        </w:r>
      </w:hyperlink>
      <w:r w:rsidRPr="00D42755">
        <w:t xml:space="preserve"> (Accessed on: 13/05/2024).</w:t>
      </w:r>
    </w:p>
    <w:p w14:paraId="71FEBE3D" w14:textId="77777777" w:rsidR="00D263E9" w:rsidRDefault="00D263E9" w:rsidP="00D263E9">
      <w:pPr>
        <w:pStyle w:val="ListParagraph"/>
        <w:numPr>
          <w:ilvl w:val="0"/>
          <w:numId w:val="9"/>
        </w:numPr>
      </w:pPr>
      <w:r w:rsidRPr="00D42755">
        <w:t xml:space="preserve">Payne, G., &amp; Payne, J. (2004). </w:t>
      </w:r>
      <w:r w:rsidRPr="00D42755">
        <w:rPr>
          <w:i/>
          <w:iCs/>
        </w:rPr>
        <w:t>Key concepts in social research</w:t>
      </w:r>
      <w:r w:rsidRPr="00D42755">
        <w:t xml:space="preserve">. Sage. </w:t>
      </w:r>
    </w:p>
    <w:p w14:paraId="54D5154F" w14:textId="77777777" w:rsidR="00D263E9" w:rsidRPr="00D42755" w:rsidRDefault="00D263E9" w:rsidP="00D263E9">
      <w:pPr>
        <w:pStyle w:val="ListParagraph"/>
        <w:numPr>
          <w:ilvl w:val="0"/>
          <w:numId w:val="9"/>
        </w:numPr>
      </w:pPr>
      <w:r>
        <w:t xml:space="preserve">Privacy Technical Assistance </w:t>
      </w:r>
      <w:proofErr w:type="spellStart"/>
      <w:r>
        <w:t>Center</w:t>
      </w:r>
      <w:proofErr w:type="spellEnd"/>
      <w:r>
        <w:t xml:space="preserve"> (No Date) </w:t>
      </w:r>
      <w:r>
        <w:rPr>
          <w:i/>
          <w:iCs/>
        </w:rPr>
        <w:t xml:space="preserve">Best Practices for Data Destruction. </w:t>
      </w:r>
      <w:r>
        <w:t xml:space="preserve">Available at: </w:t>
      </w:r>
      <w:hyperlink r:id="rId45" w:history="1">
        <w:r>
          <w:rPr>
            <w:rStyle w:val="Hyperlink"/>
          </w:rPr>
          <w:t>Best Practices for Data Destruction (ed.gov)</w:t>
        </w:r>
      </w:hyperlink>
      <w:r>
        <w:t xml:space="preserve"> (Accessed on: 19/05/2024).</w:t>
      </w:r>
    </w:p>
    <w:p w14:paraId="0D9F47F3" w14:textId="77777777" w:rsidR="00D263E9" w:rsidRDefault="00D263E9" w:rsidP="00D263E9">
      <w:pPr>
        <w:pStyle w:val="ListParagraph"/>
        <w:numPr>
          <w:ilvl w:val="0"/>
          <w:numId w:val="9"/>
        </w:numPr>
      </w:pPr>
      <w:r w:rsidRPr="00C61EBF">
        <w:t xml:space="preserve">Roberts-Holmes, G. (2018) </w:t>
      </w:r>
      <w:r w:rsidRPr="00C61EBF">
        <w:rPr>
          <w:i/>
          <w:iCs/>
        </w:rPr>
        <w:t>Doing your Early Years Research Project</w:t>
      </w:r>
      <w:r w:rsidRPr="00C61EBF">
        <w:t xml:space="preserve">, 4th </w:t>
      </w:r>
      <w:proofErr w:type="spellStart"/>
      <w:r w:rsidRPr="00C61EBF">
        <w:t>edn</w:t>
      </w:r>
      <w:proofErr w:type="spellEnd"/>
      <w:r w:rsidRPr="00C61EBF">
        <w:t xml:space="preserve">. London: Sage. </w:t>
      </w:r>
    </w:p>
    <w:p w14:paraId="3297FD5C" w14:textId="77777777" w:rsidR="00D263E9" w:rsidRDefault="00D263E9" w:rsidP="00D263E9">
      <w:pPr>
        <w:pStyle w:val="ListParagraph"/>
        <w:numPr>
          <w:ilvl w:val="0"/>
          <w:numId w:val="9"/>
        </w:numPr>
      </w:pPr>
      <w:r>
        <w:t xml:space="preserve">Resnik, DB. (2020) </w:t>
      </w:r>
      <w:r>
        <w:rPr>
          <w:i/>
          <w:iCs/>
        </w:rPr>
        <w:t xml:space="preserve">What is Ethics in Research and Why is it Important? </w:t>
      </w:r>
      <w:r>
        <w:t xml:space="preserve">Available at: </w:t>
      </w:r>
      <w:hyperlink r:id="rId46" w:history="1">
        <w:r>
          <w:rPr>
            <w:rStyle w:val="Hyperlink"/>
          </w:rPr>
          <w:t>National Institute of Environmental Health Sciences: What Is Ethics in Research &amp; Why Is It Important? (nih.gov)</w:t>
        </w:r>
      </w:hyperlink>
      <w:r>
        <w:t xml:space="preserve"> (Accessed on: 19/05/2024).</w:t>
      </w:r>
    </w:p>
    <w:p w14:paraId="0BDF8239" w14:textId="77777777" w:rsidR="00D263E9" w:rsidRPr="00D42755" w:rsidRDefault="00D263E9" w:rsidP="00D263E9">
      <w:pPr>
        <w:pStyle w:val="ListParagraph"/>
        <w:numPr>
          <w:ilvl w:val="0"/>
          <w:numId w:val="9"/>
        </w:numPr>
      </w:pPr>
      <w:r>
        <w:t xml:space="preserve">Save the Children (No Date) </w:t>
      </w:r>
      <w:r w:rsidRPr="00606C06">
        <w:rPr>
          <w:i/>
          <w:iCs/>
        </w:rPr>
        <w:t xml:space="preserve">United Nations Convention on the Rights of the Child (UNCRC)  </w:t>
      </w:r>
      <w:r>
        <w:t xml:space="preserve">Available at: </w:t>
      </w:r>
      <w:hyperlink r:id="rId47" w:history="1">
        <w:r>
          <w:rPr>
            <w:rStyle w:val="Hyperlink"/>
          </w:rPr>
          <w:t>uncrc19-summary2.pdf (savethechildren.org.uk)</w:t>
        </w:r>
      </w:hyperlink>
      <w:r>
        <w:t xml:space="preserve"> (Accessed on: 18/05/2024). </w:t>
      </w:r>
    </w:p>
    <w:p w14:paraId="18938958" w14:textId="77777777" w:rsidR="00D263E9" w:rsidRPr="00D42755" w:rsidRDefault="00D263E9" w:rsidP="00D263E9">
      <w:pPr>
        <w:pStyle w:val="ListParagraph"/>
        <w:numPr>
          <w:ilvl w:val="0"/>
          <w:numId w:val="9"/>
        </w:numPr>
      </w:pPr>
      <w:r w:rsidRPr="00D42755">
        <w:lastRenderedPageBreak/>
        <w:t xml:space="preserve">Shonkoff, J.P., Garner, A.S., </w:t>
      </w:r>
      <w:r w:rsidRPr="00D42755">
        <w:rPr>
          <w:i/>
          <w:iCs/>
        </w:rPr>
        <w:t xml:space="preserve">Committee on Psychosocial Aspects of Child and Family Health, Committee on Early Childhood, Adoption, and Dependent Care, and Section on Developmental and </w:t>
      </w:r>
      <w:proofErr w:type="spellStart"/>
      <w:r w:rsidRPr="00D42755">
        <w:rPr>
          <w:i/>
          <w:iCs/>
        </w:rPr>
        <w:t>Behavioral</w:t>
      </w:r>
      <w:proofErr w:type="spellEnd"/>
      <w:r w:rsidRPr="00D42755">
        <w:rPr>
          <w:i/>
          <w:iCs/>
        </w:rPr>
        <w:t xml:space="preserve"> </w:t>
      </w:r>
      <w:proofErr w:type="spellStart"/>
      <w:r w:rsidRPr="00D42755">
        <w:rPr>
          <w:i/>
          <w:iCs/>
        </w:rPr>
        <w:t>Pediatrics</w:t>
      </w:r>
      <w:proofErr w:type="spellEnd"/>
      <w:r w:rsidRPr="00D42755">
        <w:t xml:space="preserve">, Siegel, B.S., Dobbins, M.I., Earls, M.F., Garner, A.S., McGuinn, L., Pascoe, </w:t>
      </w:r>
      <w:proofErr w:type="gramStart"/>
      <w:r w:rsidRPr="00D42755">
        <w:t>J.</w:t>
      </w:r>
      <w:proofErr w:type="gramEnd"/>
      <w:r w:rsidRPr="00D42755">
        <w:t xml:space="preserve"> and Wood, D.L. (2012) </w:t>
      </w:r>
      <w:r w:rsidRPr="00D42755">
        <w:rPr>
          <w:i/>
          <w:iCs/>
        </w:rPr>
        <w:t>The lifelong effects of early childhood adversity and toxic stress.</w:t>
      </w:r>
      <w:r w:rsidRPr="00D42755">
        <w:t xml:space="preserve"> </w:t>
      </w:r>
      <w:proofErr w:type="spellStart"/>
      <w:r w:rsidRPr="00D42755">
        <w:t>Pediatrics</w:t>
      </w:r>
      <w:proofErr w:type="spellEnd"/>
      <w:r w:rsidRPr="00D42755">
        <w:t xml:space="preserve">, 129(1), </w:t>
      </w:r>
      <w:proofErr w:type="gramStart"/>
      <w:r w:rsidRPr="00D42755">
        <w:t>pp.e</w:t>
      </w:r>
      <w:proofErr w:type="gramEnd"/>
      <w:r w:rsidRPr="00D42755">
        <w:t xml:space="preserve">232-e246. Available at: </w:t>
      </w:r>
      <w:hyperlink r:id="rId48" w:history="1">
        <w:r w:rsidRPr="00D42755">
          <w:rPr>
            <w:rStyle w:val="Hyperlink"/>
          </w:rPr>
          <w:t xml:space="preserve">The Lifelong Effects of Early Childhood Adversity and Toxic Stress | </w:t>
        </w:r>
        <w:proofErr w:type="spellStart"/>
        <w:r w:rsidRPr="00D42755">
          <w:rPr>
            <w:rStyle w:val="Hyperlink"/>
          </w:rPr>
          <w:t>Pediatrics</w:t>
        </w:r>
        <w:proofErr w:type="spellEnd"/>
        <w:r w:rsidRPr="00D42755">
          <w:rPr>
            <w:rStyle w:val="Hyperlink"/>
          </w:rPr>
          <w:t xml:space="preserve"> | American Academy of </w:t>
        </w:r>
        <w:proofErr w:type="spellStart"/>
        <w:r w:rsidRPr="00D42755">
          <w:rPr>
            <w:rStyle w:val="Hyperlink"/>
          </w:rPr>
          <w:t>Pediatrics</w:t>
        </w:r>
        <w:proofErr w:type="spellEnd"/>
        <w:r w:rsidRPr="00D42755">
          <w:rPr>
            <w:rStyle w:val="Hyperlink"/>
          </w:rPr>
          <w:t xml:space="preserve"> (aap.org)</w:t>
        </w:r>
      </w:hyperlink>
      <w:r w:rsidRPr="00D42755">
        <w:t xml:space="preserve"> (Accessed: 09/05/2024).</w:t>
      </w:r>
      <w:r w:rsidRPr="00D42755">
        <w:rPr>
          <w:i/>
          <w:iCs/>
        </w:rPr>
        <w:t xml:space="preserve"> </w:t>
      </w:r>
    </w:p>
    <w:p w14:paraId="6F08B721" w14:textId="77777777" w:rsidR="00D263E9" w:rsidRPr="00D42755" w:rsidRDefault="00D263E9" w:rsidP="00D263E9">
      <w:pPr>
        <w:pStyle w:val="ListParagraph"/>
        <w:numPr>
          <w:ilvl w:val="0"/>
          <w:numId w:val="9"/>
        </w:numPr>
      </w:pPr>
      <w:r w:rsidRPr="00D42755">
        <w:t xml:space="preserve">Sedgwick, P., (2013) </w:t>
      </w:r>
      <w:r w:rsidRPr="00D42755">
        <w:rPr>
          <w:i/>
          <w:iCs/>
        </w:rPr>
        <w:t>Convenience sampling</w:t>
      </w:r>
      <w:r w:rsidRPr="00D42755">
        <w:t xml:space="preserve">. </w:t>
      </w:r>
      <w:proofErr w:type="spellStart"/>
      <w:r w:rsidRPr="00D42755">
        <w:t>Bmj</w:t>
      </w:r>
      <w:proofErr w:type="spellEnd"/>
      <w:r w:rsidRPr="00D42755">
        <w:t xml:space="preserve">, 347. Available at: </w:t>
      </w:r>
      <w:hyperlink r:id="rId49" w:history="1">
        <w:r w:rsidRPr="00D42755">
          <w:rPr>
            <w:rStyle w:val="Hyperlink"/>
          </w:rPr>
          <w:t>Convenience sampling | The BMJ</w:t>
        </w:r>
      </w:hyperlink>
      <w:r w:rsidRPr="00D42755">
        <w:t xml:space="preserve"> (Accessed on: 17/05/2024).</w:t>
      </w:r>
    </w:p>
    <w:p w14:paraId="3C6655BD" w14:textId="77777777" w:rsidR="00D263E9" w:rsidRPr="00D42755" w:rsidRDefault="00D263E9" w:rsidP="00D263E9">
      <w:pPr>
        <w:pStyle w:val="ListParagraph"/>
        <w:numPr>
          <w:ilvl w:val="0"/>
          <w:numId w:val="9"/>
        </w:numPr>
      </w:pPr>
      <w:r w:rsidRPr="00D42755">
        <w:t xml:space="preserve">Smith, M.V., </w:t>
      </w:r>
      <w:proofErr w:type="spellStart"/>
      <w:r w:rsidRPr="00D42755">
        <w:t>Gotman</w:t>
      </w:r>
      <w:proofErr w:type="spellEnd"/>
      <w:r w:rsidRPr="00D42755">
        <w:t xml:space="preserve">, N. and Yonkers, K.A., (2016) </w:t>
      </w:r>
      <w:r w:rsidRPr="00D42755">
        <w:rPr>
          <w:i/>
          <w:iCs/>
        </w:rPr>
        <w:t xml:space="preserve">Early childhood adversity and pregnancy outcomes. </w:t>
      </w:r>
      <w:r w:rsidRPr="00D42755">
        <w:t xml:space="preserve">Maternal and child health journal, 20, pp.790-798. Available at: </w:t>
      </w:r>
      <w:hyperlink r:id="rId50" w:history="1">
        <w:r w:rsidRPr="00D42755">
          <w:rPr>
            <w:rStyle w:val="Hyperlink"/>
          </w:rPr>
          <w:t>Early Childhood Adversity and Pregnancy Outcomes | Maternal and Child Health Journal (springer.com)</w:t>
        </w:r>
      </w:hyperlink>
      <w:r w:rsidRPr="00D42755">
        <w:t xml:space="preserve"> (Accessed on: 13/05/2024).</w:t>
      </w:r>
    </w:p>
    <w:p w14:paraId="3CF40B1A" w14:textId="77777777" w:rsidR="00D263E9" w:rsidRPr="00D42755" w:rsidRDefault="00D263E9" w:rsidP="00D263E9">
      <w:pPr>
        <w:pStyle w:val="ListParagraph"/>
        <w:numPr>
          <w:ilvl w:val="0"/>
          <w:numId w:val="9"/>
        </w:numPr>
      </w:pPr>
      <w:bookmarkStart w:id="10" w:name="_Hlk166876085"/>
      <w:r w:rsidRPr="00D42755">
        <w:t>Stratton</w:t>
      </w:r>
      <w:bookmarkEnd w:id="10"/>
      <w:r w:rsidRPr="00D42755">
        <w:t xml:space="preserve">, S.J., (2021) </w:t>
      </w:r>
      <w:r w:rsidRPr="00D42755">
        <w:rPr>
          <w:i/>
          <w:iCs/>
        </w:rPr>
        <w:t>Population research: convenience sampling strategies. Prehospital and disaster Medicine</w:t>
      </w:r>
      <w:r w:rsidRPr="00D42755">
        <w:t>, 36(4), pp.373-374. Available at: (Accessed on: 17/05/2024).</w:t>
      </w:r>
    </w:p>
    <w:p w14:paraId="795ABD4F" w14:textId="77777777" w:rsidR="00D263E9" w:rsidRPr="00D42755" w:rsidRDefault="00D263E9" w:rsidP="00D263E9">
      <w:pPr>
        <w:pStyle w:val="ListParagraph"/>
        <w:numPr>
          <w:ilvl w:val="0"/>
          <w:numId w:val="9"/>
        </w:numPr>
      </w:pPr>
      <w:r w:rsidRPr="00D42755">
        <w:t xml:space="preserve">Swain, J., &amp; King, B. (2022). </w:t>
      </w:r>
      <w:r w:rsidRPr="00D42755">
        <w:rPr>
          <w:i/>
          <w:iCs/>
        </w:rPr>
        <w:t>Using Informal Conversations in Qualitative Research.</w:t>
      </w:r>
      <w:r w:rsidRPr="00D42755">
        <w:t xml:space="preserve"> International Journal of Qualitative Methods, 21. Available at: </w:t>
      </w:r>
      <w:hyperlink r:id="rId51" w:history="1">
        <w:r w:rsidRPr="00D42755">
          <w:rPr>
            <w:rStyle w:val="Hyperlink"/>
          </w:rPr>
          <w:t>https://doi.org/10.1177/16094069221085056</w:t>
        </w:r>
      </w:hyperlink>
      <w:r w:rsidRPr="00D42755">
        <w:t xml:space="preserve"> (Accessed on: 18/05/2024).</w:t>
      </w:r>
    </w:p>
    <w:p w14:paraId="291D69E0" w14:textId="77777777" w:rsidR="00D263E9" w:rsidRPr="00D42755" w:rsidRDefault="00D263E9" w:rsidP="00D263E9">
      <w:pPr>
        <w:pStyle w:val="ListParagraph"/>
        <w:numPr>
          <w:ilvl w:val="0"/>
          <w:numId w:val="9"/>
        </w:numPr>
      </w:pPr>
      <w:bookmarkStart w:id="11" w:name="_Hlk166937012"/>
      <w:proofErr w:type="spellStart"/>
      <w:r w:rsidRPr="00D42755">
        <w:rPr>
          <w:rFonts w:ascii="Arial" w:hAnsi="Arial" w:cs="Arial"/>
          <w:color w:val="222222"/>
          <w:sz w:val="20"/>
          <w:szCs w:val="20"/>
          <w:shd w:val="clear" w:color="auto" w:fill="FFFFFF"/>
        </w:rPr>
        <w:t>Taherdoost</w:t>
      </w:r>
      <w:proofErr w:type="spellEnd"/>
      <w:r w:rsidRPr="00D42755">
        <w:rPr>
          <w:rFonts w:ascii="Arial" w:hAnsi="Arial" w:cs="Arial"/>
          <w:color w:val="222222"/>
          <w:sz w:val="20"/>
          <w:szCs w:val="20"/>
          <w:shd w:val="clear" w:color="auto" w:fill="FFFFFF"/>
        </w:rPr>
        <w:t>, H., (2019</w:t>
      </w:r>
      <w:bookmarkEnd w:id="11"/>
      <w:r w:rsidRPr="00D42755">
        <w:rPr>
          <w:rFonts w:ascii="Arial" w:hAnsi="Arial" w:cs="Arial"/>
          <w:color w:val="222222"/>
          <w:sz w:val="20"/>
          <w:szCs w:val="20"/>
          <w:shd w:val="clear" w:color="auto" w:fill="FFFFFF"/>
        </w:rPr>
        <w:t xml:space="preserve">) </w:t>
      </w:r>
      <w:r w:rsidRPr="00D42755">
        <w:rPr>
          <w:rFonts w:ascii="Arial" w:hAnsi="Arial" w:cs="Arial"/>
          <w:i/>
          <w:iCs/>
          <w:color w:val="222222"/>
          <w:sz w:val="20"/>
          <w:szCs w:val="20"/>
          <w:shd w:val="clear" w:color="auto" w:fill="FFFFFF"/>
        </w:rPr>
        <w:t xml:space="preserve">What is the best response scale for survey and questionnaire design; review of different lengths of rating scale/attitude scale/Likert scale. Hamed </w:t>
      </w:r>
      <w:proofErr w:type="spellStart"/>
      <w:r w:rsidRPr="00D42755">
        <w:rPr>
          <w:rFonts w:ascii="Arial" w:hAnsi="Arial" w:cs="Arial"/>
          <w:i/>
          <w:iCs/>
          <w:color w:val="222222"/>
          <w:sz w:val="20"/>
          <w:szCs w:val="20"/>
          <w:shd w:val="clear" w:color="auto" w:fill="FFFFFF"/>
        </w:rPr>
        <w:t>Taherdoost</w:t>
      </w:r>
      <w:proofErr w:type="spellEnd"/>
      <w:r w:rsidRPr="00D42755">
        <w:rPr>
          <w:rFonts w:ascii="Arial" w:hAnsi="Arial" w:cs="Arial"/>
          <w:color w:val="222222"/>
          <w:sz w:val="20"/>
          <w:szCs w:val="20"/>
          <w:shd w:val="clear" w:color="auto" w:fill="FFFFFF"/>
        </w:rPr>
        <w:t xml:space="preserve">, pp.1-10. Available at: </w:t>
      </w:r>
      <w:hyperlink r:id="rId52" w:history="1">
        <w:r w:rsidRPr="00D42755">
          <w:rPr>
            <w:rStyle w:val="Hyperlink"/>
          </w:rPr>
          <w:t xml:space="preserve">What Is the Best Response Scale for Survey and Questionnaire Design; Review of Different Lengths of Rating Scale / Attitude Scale / Likert Scale by Hamed </w:t>
        </w:r>
        <w:proofErr w:type="spellStart"/>
        <w:r w:rsidRPr="00D42755">
          <w:rPr>
            <w:rStyle w:val="Hyperlink"/>
          </w:rPr>
          <w:t>Taherdoost</w:t>
        </w:r>
        <w:proofErr w:type="spellEnd"/>
        <w:r w:rsidRPr="00D42755">
          <w:rPr>
            <w:rStyle w:val="Hyperlink"/>
          </w:rPr>
          <w:t xml:space="preserve"> :: SSRN</w:t>
        </w:r>
      </w:hyperlink>
      <w:r w:rsidRPr="00D42755">
        <w:rPr>
          <w:rFonts w:ascii="Arial" w:hAnsi="Arial" w:cs="Arial"/>
          <w:color w:val="222222"/>
          <w:sz w:val="20"/>
          <w:szCs w:val="20"/>
          <w:shd w:val="clear" w:color="auto" w:fill="FFFFFF"/>
        </w:rPr>
        <w:t xml:space="preserve"> (Accessed on: 18/05/2024).</w:t>
      </w:r>
    </w:p>
    <w:p w14:paraId="687378AF" w14:textId="77777777" w:rsidR="00D263E9" w:rsidRDefault="00D263E9" w:rsidP="00D263E9">
      <w:pPr>
        <w:pStyle w:val="ListParagraph"/>
        <w:numPr>
          <w:ilvl w:val="0"/>
          <w:numId w:val="9"/>
        </w:numPr>
      </w:pPr>
      <w:r w:rsidRPr="00D42755">
        <w:t xml:space="preserve">Triangulation, D.S., (2014) September. The use of triangulation in qualitative research. In Oncol </w:t>
      </w:r>
      <w:proofErr w:type="spellStart"/>
      <w:r w:rsidRPr="00D42755">
        <w:t>nurs</w:t>
      </w:r>
      <w:proofErr w:type="spellEnd"/>
      <w:r w:rsidRPr="00D42755">
        <w:t xml:space="preserve"> forum (Vol. 41, No. 5, pp. 545-7).</w:t>
      </w:r>
    </w:p>
    <w:p w14:paraId="30E9C843" w14:textId="77777777" w:rsidR="00D263E9" w:rsidRPr="00D42755" w:rsidRDefault="00D263E9" w:rsidP="00D263E9">
      <w:pPr>
        <w:pStyle w:val="ListParagraph"/>
        <w:numPr>
          <w:ilvl w:val="0"/>
          <w:numId w:val="9"/>
        </w:numPr>
      </w:pPr>
      <w:r w:rsidRPr="00AD482F">
        <w:t xml:space="preserve">Torp, S., Vinje, H.F. and </w:t>
      </w:r>
      <w:proofErr w:type="spellStart"/>
      <w:r w:rsidRPr="00AD482F">
        <w:t>Haaheim</w:t>
      </w:r>
      <w:proofErr w:type="spellEnd"/>
      <w:r w:rsidRPr="00AD482F">
        <w:t xml:space="preserve">-Simonsen, H.K., </w:t>
      </w:r>
      <w:r>
        <w:t>(</w:t>
      </w:r>
      <w:r w:rsidRPr="00AD482F">
        <w:t>2016</w:t>
      </w:r>
      <w:r>
        <w:t>)</w:t>
      </w:r>
      <w:r w:rsidRPr="00AD482F">
        <w:t xml:space="preserve"> </w:t>
      </w:r>
      <w:r w:rsidRPr="00AD482F">
        <w:rPr>
          <w:i/>
          <w:iCs/>
        </w:rPr>
        <w:t xml:space="preserve">Work, </w:t>
      </w:r>
      <w:proofErr w:type="gramStart"/>
      <w:r w:rsidRPr="00AD482F">
        <w:rPr>
          <w:i/>
          <w:iCs/>
        </w:rPr>
        <w:t>well-being</w:t>
      </w:r>
      <w:proofErr w:type="gramEnd"/>
      <w:r w:rsidRPr="00AD482F">
        <w:rPr>
          <w:i/>
          <w:iCs/>
        </w:rPr>
        <w:t xml:space="preserve"> and presence among researchers.</w:t>
      </w:r>
      <w:r w:rsidRPr="00AD482F">
        <w:t xml:space="preserve"> International Journal of Mental Health Promotion, 18(4), pp.199-212.</w:t>
      </w:r>
      <w:r>
        <w:t xml:space="preserve"> Available at: (Accessed on: 19/05/2024).</w:t>
      </w:r>
    </w:p>
    <w:p w14:paraId="13B48164" w14:textId="77777777" w:rsidR="00D263E9" w:rsidRPr="00D42755" w:rsidRDefault="00D263E9" w:rsidP="00D263E9">
      <w:pPr>
        <w:pStyle w:val="ListParagraph"/>
        <w:numPr>
          <w:ilvl w:val="0"/>
          <w:numId w:val="9"/>
        </w:numPr>
      </w:pPr>
      <w:r w:rsidRPr="00D42755">
        <w:t xml:space="preserve">Morse, M., </w:t>
      </w:r>
      <w:proofErr w:type="spellStart"/>
      <w:r w:rsidRPr="00D42755">
        <w:t>Strompolis</w:t>
      </w:r>
      <w:proofErr w:type="spellEnd"/>
      <w:r w:rsidRPr="00D42755">
        <w:t xml:space="preserve">, M., and Srivastav, A. (2018) </w:t>
      </w:r>
      <w:r w:rsidRPr="00D42755">
        <w:rPr>
          <w:i/>
          <w:iCs/>
        </w:rPr>
        <w:t xml:space="preserve">The adverse childhood experiences study: Lessons learned and future directions. </w:t>
      </w:r>
      <w:r w:rsidRPr="00D42755">
        <w:t xml:space="preserve">Available at: </w:t>
      </w:r>
      <w:hyperlink r:id="rId53" w:history="1">
        <w:r w:rsidRPr="00D42755">
          <w:rPr>
            <w:rStyle w:val="Hyperlink"/>
          </w:rPr>
          <w:t>The Adverse Childhood Experiences Study: Lessons Learned and Future Directions (scchildren.org)</w:t>
        </w:r>
      </w:hyperlink>
      <w:r w:rsidRPr="00D42755">
        <w:t xml:space="preserve"> (Accessed on: 13/05/2024).</w:t>
      </w:r>
    </w:p>
    <w:p w14:paraId="0ED4A502" w14:textId="77777777" w:rsidR="00D263E9" w:rsidRPr="00D42755" w:rsidRDefault="00D263E9" w:rsidP="00D263E9">
      <w:pPr>
        <w:pStyle w:val="ListParagraph"/>
        <w:numPr>
          <w:ilvl w:val="0"/>
          <w:numId w:val="9"/>
        </w:numPr>
      </w:pPr>
      <w:r w:rsidRPr="00D42755">
        <w:t xml:space="preserve">NHS Wales (No Date) </w:t>
      </w:r>
      <w:r w:rsidRPr="00D42755">
        <w:rPr>
          <w:i/>
          <w:iCs/>
        </w:rPr>
        <w:t xml:space="preserve">Early Action </w:t>
      </w:r>
      <w:proofErr w:type="spellStart"/>
      <w:r w:rsidRPr="00D42755">
        <w:rPr>
          <w:i/>
          <w:iCs/>
        </w:rPr>
        <w:t>Togeher</w:t>
      </w:r>
      <w:proofErr w:type="spellEnd"/>
      <w:r w:rsidRPr="00D42755">
        <w:rPr>
          <w:i/>
          <w:iCs/>
        </w:rPr>
        <w:t xml:space="preserve">. </w:t>
      </w:r>
      <w:r w:rsidRPr="00D42755">
        <w:t xml:space="preserve"> Available at: </w:t>
      </w:r>
      <w:hyperlink r:id="rId54" w:anchor=":~:text=The%20Early%20Action%20Together%20programme%20is%20supporting%20the,cycle%20of%20crime%20and%20ultimately%20improve%20their%20lives" w:history="1">
        <w:r w:rsidRPr="00D42755">
          <w:rPr>
            <w:rStyle w:val="Hyperlink"/>
          </w:rPr>
          <w:t>Early Action Together - Public Health Wales (</w:t>
        </w:r>
        <w:proofErr w:type="spellStart"/>
        <w:r w:rsidRPr="00D42755">
          <w:rPr>
            <w:rStyle w:val="Hyperlink"/>
          </w:rPr>
          <w:t>nhs.wales</w:t>
        </w:r>
        <w:proofErr w:type="spellEnd"/>
        <w:r w:rsidRPr="00D42755">
          <w:rPr>
            <w:rStyle w:val="Hyperlink"/>
          </w:rPr>
          <w:t>)</w:t>
        </w:r>
      </w:hyperlink>
      <w:r w:rsidRPr="00D42755">
        <w:t xml:space="preserve"> (Accessed on: 14/05/2024).</w:t>
      </w:r>
    </w:p>
    <w:p w14:paraId="0ECB02BD" w14:textId="77777777" w:rsidR="00D263E9" w:rsidRDefault="00D263E9" w:rsidP="00D263E9">
      <w:pPr>
        <w:pStyle w:val="ListParagraph"/>
        <w:numPr>
          <w:ilvl w:val="0"/>
          <w:numId w:val="9"/>
        </w:numPr>
      </w:pPr>
      <w:r w:rsidRPr="00D42755">
        <w:t xml:space="preserve">NSPCC (2023) </w:t>
      </w:r>
      <w:proofErr w:type="gramStart"/>
      <w:r w:rsidRPr="00D42755">
        <w:rPr>
          <w:i/>
          <w:iCs/>
        </w:rPr>
        <w:t>Multi-agency</w:t>
      </w:r>
      <w:proofErr w:type="gramEnd"/>
      <w:r w:rsidRPr="00D42755">
        <w:rPr>
          <w:i/>
          <w:iCs/>
        </w:rPr>
        <w:t xml:space="preserve"> working. </w:t>
      </w:r>
      <w:hyperlink r:id="rId55" w:history="1">
        <w:r w:rsidRPr="00D42755">
          <w:rPr>
            <w:rStyle w:val="Hyperlink"/>
          </w:rPr>
          <w:t>Multi-agency and interdisciplinary working | NSPCC Learning</w:t>
        </w:r>
      </w:hyperlink>
      <w:r w:rsidRPr="00D42755">
        <w:t xml:space="preserve"> (Accessed on: 18/05/2024).</w:t>
      </w:r>
    </w:p>
    <w:p w14:paraId="1D34CB4D" w14:textId="77777777" w:rsidR="00D263E9" w:rsidRPr="00D42755" w:rsidRDefault="00D263E9" w:rsidP="00D263E9">
      <w:pPr>
        <w:pStyle w:val="ListParagraph"/>
        <w:numPr>
          <w:ilvl w:val="0"/>
          <w:numId w:val="9"/>
        </w:numPr>
      </w:pPr>
      <w:r>
        <w:t xml:space="preserve">Queen Mary University of London (No Date) </w:t>
      </w:r>
      <w:r>
        <w:rPr>
          <w:i/>
          <w:iCs/>
        </w:rPr>
        <w:t xml:space="preserve">Risk Considerations </w:t>
      </w:r>
      <w:r>
        <w:t xml:space="preserve">Available at: </w:t>
      </w:r>
      <w:hyperlink r:id="rId56" w:history="1">
        <w:r>
          <w:rPr>
            <w:rStyle w:val="Hyperlink"/>
          </w:rPr>
          <w:t>Risk considerations - Joint Research Management Office (jrmo.org.uk)</w:t>
        </w:r>
      </w:hyperlink>
      <w:r>
        <w:t xml:space="preserve"> (Accessed on: 19/05/2024).</w:t>
      </w:r>
    </w:p>
    <w:p w14:paraId="0D681D1F" w14:textId="77777777" w:rsidR="00D263E9" w:rsidRDefault="00D263E9" w:rsidP="00D263E9">
      <w:pPr>
        <w:pStyle w:val="ListParagraph"/>
        <w:numPr>
          <w:ilvl w:val="0"/>
          <w:numId w:val="9"/>
        </w:numPr>
      </w:pPr>
      <w:r w:rsidRPr="00D42755">
        <w:t>UK Government (2015</w:t>
      </w:r>
      <w:r>
        <w:t>a</w:t>
      </w:r>
      <w:r w:rsidRPr="00D42755">
        <w:t xml:space="preserve">) </w:t>
      </w:r>
      <w:r w:rsidRPr="00D42755">
        <w:rPr>
          <w:i/>
          <w:iCs/>
        </w:rPr>
        <w:t xml:space="preserve">Working together to safeguard children. </w:t>
      </w:r>
      <w:r w:rsidRPr="00D42755">
        <w:t xml:space="preserve">Available at: </w:t>
      </w:r>
      <w:hyperlink r:id="rId57" w:history="1">
        <w:r w:rsidRPr="00D42755">
          <w:rPr>
            <w:rStyle w:val="Hyperlink"/>
          </w:rPr>
          <w:t>Working together to safeguard children - GOV.UK (www.gov.uk)</w:t>
        </w:r>
      </w:hyperlink>
      <w:r w:rsidRPr="00D42755">
        <w:t xml:space="preserve"> (Accessed on: 18/05/2024).</w:t>
      </w:r>
    </w:p>
    <w:p w14:paraId="6E31E110" w14:textId="77777777" w:rsidR="00D263E9" w:rsidRDefault="00D263E9" w:rsidP="00D263E9">
      <w:pPr>
        <w:pStyle w:val="ListParagraph"/>
        <w:numPr>
          <w:ilvl w:val="0"/>
          <w:numId w:val="9"/>
        </w:numPr>
      </w:pPr>
      <w:r>
        <w:t xml:space="preserve">UK Government (No </w:t>
      </w:r>
      <w:proofErr w:type="spellStart"/>
      <w:r>
        <w:t>DateB</w:t>
      </w:r>
      <w:proofErr w:type="spellEnd"/>
      <w:r>
        <w:t xml:space="preserve">) </w:t>
      </w:r>
      <w:r>
        <w:rPr>
          <w:i/>
          <w:iCs/>
        </w:rPr>
        <w:t xml:space="preserve">Data Protection Act. </w:t>
      </w:r>
      <w:r>
        <w:t xml:space="preserve">Available at: </w:t>
      </w:r>
      <w:hyperlink r:id="rId58" w:history="1">
        <w:r>
          <w:rPr>
            <w:rStyle w:val="Hyperlink"/>
          </w:rPr>
          <w:t>Data protection: The Data Protection Act - GOV.UK (www.gov.uk)</w:t>
        </w:r>
      </w:hyperlink>
      <w:r>
        <w:t xml:space="preserve"> (Accessed on: 19/05/2024).</w:t>
      </w:r>
    </w:p>
    <w:p w14:paraId="0A940280" w14:textId="77777777" w:rsidR="00D263E9" w:rsidRDefault="00D263E9" w:rsidP="00D263E9">
      <w:pPr>
        <w:pStyle w:val="ListParagraph"/>
        <w:numPr>
          <w:ilvl w:val="0"/>
          <w:numId w:val="9"/>
        </w:numPr>
      </w:pPr>
      <w:r>
        <w:t xml:space="preserve">UK Government (2023c) </w:t>
      </w:r>
      <w:r>
        <w:rPr>
          <w:i/>
          <w:iCs/>
        </w:rPr>
        <w:t xml:space="preserve">Lone Working. </w:t>
      </w:r>
      <w:r>
        <w:t xml:space="preserve">Available at: </w:t>
      </w:r>
      <w:hyperlink r:id="rId59" w:history="1">
        <w:r>
          <w:rPr>
            <w:rStyle w:val="Hyperlink"/>
          </w:rPr>
          <w:t>Lone_Working.pdf (publishing.service.gov.uk)</w:t>
        </w:r>
      </w:hyperlink>
      <w:r>
        <w:t xml:space="preserve"> (Accessed on: 19/05/2024).</w:t>
      </w:r>
    </w:p>
    <w:p w14:paraId="6B309A53" w14:textId="77777777" w:rsidR="00D263E9" w:rsidRPr="00D42755" w:rsidRDefault="00D263E9" w:rsidP="00D263E9">
      <w:pPr>
        <w:pStyle w:val="ListParagraph"/>
        <w:numPr>
          <w:ilvl w:val="0"/>
          <w:numId w:val="9"/>
        </w:numPr>
      </w:pPr>
      <w:r>
        <w:t xml:space="preserve">UK Research and Innovation (2024) </w:t>
      </w:r>
      <w:r>
        <w:rPr>
          <w:i/>
          <w:iCs/>
        </w:rPr>
        <w:t xml:space="preserve">Risk and Benefit. </w:t>
      </w:r>
      <w:hyperlink r:id="rId60" w:history="1">
        <w:r>
          <w:rPr>
            <w:rStyle w:val="Hyperlink"/>
          </w:rPr>
          <w:t>Risk and benefit – UKRI</w:t>
        </w:r>
      </w:hyperlink>
      <w:r>
        <w:t xml:space="preserve"> (Accessed on: 19/05/2024).</w:t>
      </w:r>
    </w:p>
    <w:p w14:paraId="429D5A56" w14:textId="77777777" w:rsidR="00D263E9" w:rsidRPr="00D42755" w:rsidRDefault="00D263E9" w:rsidP="00D263E9">
      <w:pPr>
        <w:pStyle w:val="ListParagraph"/>
        <w:numPr>
          <w:ilvl w:val="0"/>
          <w:numId w:val="9"/>
        </w:numPr>
      </w:pPr>
      <w:r w:rsidRPr="00D42755">
        <w:lastRenderedPageBreak/>
        <w:t xml:space="preserve">UNICEF (2024) </w:t>
      </w:r>
      <w:r w:rsidRPr="00D42755">
        <w:rPr>
          <w:i/>
          <w:iCs/>
        </w:rPr>
        <w:t xml:space="preserve">Early Childhood Development. </w:t>
      </w:r>
      <w:r w:rsidRPr="00D42755">
        <w:t xml:space="preserve">Available at: </w:t>
      </w:r>
      <w:hyperlink r:id="rId61" w:history="1">
        <w:r w:rsidRPr="00D42755">
          <w:rPr>
            <w:rStyle w:val="Hyperlink"/>
          </w:rPr>
          <w:t>Early childhood development - UNICEF DATA</w:t>
        </w:r>
      </w:hyperlink>
      <w:r w:rsidRPr="00D42755">
        <w:t xml:space="preserve"> (Accessed on: 18/05/2024).</w:t>
      </w:r>
    </w:p>
    <w:p w14:paraId="299F7C92" w14:textId="77777777" w:rsidR="00D263E9" w:rsidRDefault="00D263E9" w:rsidP="00D263E9">
      <w:pPr>
        <w:pStyle w:val="ListParagraph"/>
        <w:numPr>
          <w:ilvl w:val="0"/>
          <w:numId w:val="9"/>
        </w:numPr>
      </w:pPr>
      <w:r w:rsidRPr="00D42755">
        <w:t xml:space="preserve">U.S Department of Health and Human Services. (2018) </w:t>
      </w:r>
      <w:r w:rsidRPr="00D42755">
        <w:rPr>
          <w:i/>
          <w:iCs/>
        </w:rPr>
        <w:t>Data Collection Methods for Program Evaluation: Observation</w:t>
      </w:r>
      <w:r w:rsidRPr="00D42755">
        <w:t xml:space="preserve">. Available at: </w:t>
      </w:r>
      <w:hyperlink r:id="rId62" w:history="1">
        <w:r w:rsidRPr="00D42755">
          <w:rPr>
            <w:rStyle w:val="Hyperlink"/>
          </w:rPr>
          <w:t>https://www.cdc.gov/healthyyouth/evaluation/pdf/brief16.pdf</w:t>
        </w:r>
      </w:hyperlink>
      <w:r w:rsidRPr="00D42755">
        <w:t xml:space="preserve"> (Accessed on: 18/05/2024).</w:t>
      </w:r>
    </w:p>
    <w:p w14:paraId="667AB305" w14:textId="77777777" w:rsidR="00D263E9" w:rsidRDefault="00D263E9" w:rsidP="00D263E9">
      <w:pPr>
        <w:pStyle w:val="ListParagraph"/>
        <w:numPr>
          <w:ilvl w:val="0"/>
          <w:numId w:val="9"/>
        </w:numPr>
      </w:pPr>
      <w:r>
        <w:t xml:space="preserve">University of Wales Trinity Saint David (2022) </w:t>
      </w:r>
      <w:r w:rsidRPr="00F50692">
        <w:rPr>
          <w:i/>
          <w:iCs/>
        </w:rPr>
        <w:t>Research Ethics &amp; Integrity Code of Practice</w:t>
      </w:r>
      <w:r>
        <w:rPr>
          <w:i/>
          <w:iCs/>
        </w:rPr>
        <w:t>.</w:t>
      </w:r>
      <w:r>
        <w:t xml:space="preserve"> </w:t>
      </w:r>
    </w:p>
    <w:p w14:paraId="0C32B9AF" w14:textId="77777777" w:rsidR="00D263E9" w:rsidRDefault="00D263E9" w:rsidP="00D263E9">
      <w:pPr>
        <w:pStyle w:val="ListParagraph"/>
        <w:numPr>
          <w:ilvl w:val="0"/>
          <w:numId w:val="9"/>
        </w:numPr>
      </w:pPr>
      <w:r>
        <w:t xml:space="preserve">University of Oxford (2021) </w:t>
      </w:r>
      <w:r>
        <w:rPr>
          <w:i/>
          <w:iCs/>
        </w:rPr>
        <w:t xml:space="preserve">Informed Consent. </w:t>
      </w:r>
      <w:r>
        <w:t>Available at:</w:t>
      </w:r>
      <w:r w:rsidRPr="00E23A52">
        <w:t xml:space="preserve"> </w:t>
      </w:r>
      <w:hyperlink r:id="rId63" w:anchor=":~:text=Informed%20consent%20is%20one%20of,before%20they%20enter%20the%20research" w:history="1">
        <w:r>
          <w:rPr>
            <w:rStyle w:val="Hyperlink"/>
          </w:rPr>
          <w:t>Informed consent | Research Support (ox.ac.uk)</w:t>
        </w:r>
      </w:hyperlink>
      <w:r>
        <w:t xml:space="preserve"> (Accessed on: 19/05/2024).</w:t>
      </w:r>
    </w:p>
    <w:p w14:paraId="110A3383" w14:textId="77777777" w:rsidR="00D263E9" w:rsidRPr="00D42755" w:rsidRDefault="00D263E9" w:rsidP="00D263E9">
      <w:pPr>
        <w:pStyle w:val="ListParagraph"/>
        <w:numPr>
          <w:ilvl w:val="0"/>
          <w:numId w:val="9"/>
        </w:numPr>
      </w:pPr>
      <w:r>
        <w:t xml:space="preserve">University of Essex (No Date) </w:t>
      </w:r>
      <w:r>
        <w:rPr>
          <w:i/>
          <w:iCs/>
        </w:rPr>
        <w:t xml:space="preserve">Research Risk Assessment. </w:t>
      </w:r>
      <w:r>
        <w:t xml:space="preserve">Available at: </w:t>
      </w:r>
      <w:hyperlink r:id="rId64" w:history="1">
        <w:r>
          <w:rPr>
            <w:rStyle w:val="Hyperlink"/>
          </w:rPr>
          <w:t>Research risk assessment | University of Essex</w:t>
        </w:r>
      </w:hyperlink>
      <w:r>
        <w:t xml:space="preserve"> (Accessed on: 19/05/2024).</w:t>
      </w:r>
    </w:p>
    <w:p w14:paraId="4F66E043" w14:textId="77777777" w:rsidR="00D263E9" w:rsidRPr="00D42755" w:rsidRDefault="00D263E9" w:rsidP="00D263E9">
      <w:pPr>
        <w:pStyle w:val="ListParagraph"/>
        <w:numPr>
          <w:ilvl w:val="0"/>
          <w:numId w:val="9"/>
        </w:numPr>
      </w:pPr>
      <w:r w:rsidRPr="00D42755">
        <w:t xml:space="preserve">Welsh Government (2020) </w:t>
      </w:r>
      <w:r w:rsidRPr="00D42755">
        <w:rPr>
          <w:i/>
          <w:iCs/>
        </w:rPr>
        <w:t xml:space="preserve">Knowing your children – supporting pupils with adverse childhood experiences (ACEs). </w:t>
      </w:r>
      <w:r w:rsidRPr="00D42755">
        <w:t xml:space="preserve">Available at: </w:t>
      </w:r>
      <w:hyperlink r:id="rId65" w:history="1">
        <w:r w:rsidRPr="00D42755">
          <w:rPr>
            <w:rStyle w:val="Hyperlink"/>
          </w:rPr>
          <w:t>Supporting pupils with adverse childhood experiences (ACEs): government response | GOV.WALES</w:t>
        </w:r>
      </w:hyperlink>
      <w:r w:rsidRPr="00D42755">
        <w:t xml:space="preserve"> (Accessed on: 14/05/2024).</w:t>
      </w:r>
    </w:p>
    <w:p w14:paraId="38B6429B" w14:textId="77777777" w:rsidR="00D263E9" w:rsidRDefault="00D263E9" w:rsidP="00D263E9">
      <w:pPr>
        <w:pStyle w:val="ListParagraph"/>
        <w:numPr>
          <w:ilvl w:val="0"/>
          <w:numId w:val="9"/>
        </w:numPr>
      </w:pPr>
      <w:r w:rsidRPr="00D42755">
        <w:t xml:space="preserve">Woods-Jaeger, B.A., Cho, B., Sexton, C.C., Slagel, L. and Goggin, K., (2018) </w:t>
      </w:r>
      <w:r w:rsidRPr="00D42755">
        <w:rPr>
          <w:i/>
          <w:iCs/>
        </w:rPr>
        <w:t>Promoting resilience: Breaking the intergenerational cycle of adverse childhood experiences.</w:t>
      </w:r>
      <w:r w:rsidRPr="00D42755">
        <w:t xml:space="preserve"> Health Education &amp; </w:t>
      </w:r>
      <w:proofErr w:type="spellStart"/>
      <w:r w:rsidRPr="00D42755">
        <w:t>Behavior</w:t>
      </w:r>
      <w:proofErr w:type="spellEnd"/>
      <w:r w:rsidRPr="00D42755">
        <w:t xml:space="preserve">, 45(5), pp.772-780. Available at: </w:t>
      </w:r>
      <w:hyperlink r:id="rId66" w:history="1">
        <w:r w:rsidRPr="00D42755">
          <w:rPr>
            <w:rStyle w:val="Hyperlink"/>
          </w:rPr>
          <w:t>Promoting Resilience: Breaking the Intergenerational Cycle of Adverse Childhood Experiences - Briana A. Woods-Jaeger, Bridget Cho, Chris C. Sexton, Lauren Slagel, Kathy Goggin, 2018 (sagepub.com)</w:t>
        </w:r>
      </w:hyperlink>
      <w:r w:rsidRPr="00D42755">
        <w:t xml:space="preserve"> (Accessed on: 13/05/2024).</w:t>
      </w:r>
    </w:p>
    <w:p w14:paraId="43260D19" w14:textId="77777777" w:rsidR="00D263E9" w:rsidRPr="00D42755" w:rsidRDefault="00D263E9" w:rsidP="00D263E9">
      <w:pPr>
        <w:pStyle w:val="ListParagraph"/>
        <w:numPr>
          <w:ilvl w:val="0"/>
          <w:numId w:val="9"/>
        </w:numPr>
      </w:pPr>
      <w:r w:rsidRPr="00EB7152">
        <w:t xml:space="preserve">Yip, C., Han, N.L.R. and </w:t>
      </w:r>
      <w:proofErr w:type="spellStart"/>
      <w:r w:rsidRPr="00EB7152">
        <w:t>Sng</w:t>
      </w:r>
      <w:proofErr w:type="spellEnd"/>
      <w:r w:rsidRPr="00EB7152">
        <w:t xml:space="preserve">, B.L., </w:t>
      </w:r>
      <w:r>
        <w:t>(</w:t>
      </w:r>
      <w:r w:rsidRPr="00EB7152">
        <w:t>2016</w:t>
      </w:r>
      <w:r>
        <w:t>)</w:t>
      </w:r>
      <w:r w:rsidRPr="00EB7152">
        <w:t xml:space="preserve"> </w:t>
      </w:r>
      <w:r w:rsidRPr="00EB7152">
        <w:rPr>
          <w:i/>
          <w:iCs/>
        </w:rPr>
        <w:t>Legal and ethical issues in research.</w:t>
      </w:r>
      <w:r w:rsidRPr="00EB7152">
        <w:t xml:space="preserve"> Indian journal of anaesthesia, 60(9), pp.684-688.</w:t>
      </w:r>
      <w:r>
        <w:t xml:space="preserve"> Available at: </w:t>
      </w:r>
      <w:hyperlink r:id="rId67" w:history="1">
        <w:r>
          <w:rPr>
            <w:rStyle w:val="Hyperlink"/>
          </w:rPr>
          <w:t>Legal and ethical issues in research - PMC (nih.gov)</w:t>
        </w:r>
      </w:hyperlink>
      <w:r>
        <w:t xml:space="preserve">  (Accessed on: 19/05/2024).</w:t>
      </w:r>
    </w:p>
    <w:p w14:paraId="3207C209" w14:textId="77777777" w:rsidR="00C92C46" w:rsidRDefault="00C92C46" w:rsidP="006D3FF5"/>
    <w:p w14:paraId="0A5587FD" w14:textId="49D061AA" w:rsidR="003315CE" w:rsidRDefault="003315CE" w:rsidP="004955BE">
      <w:pPr>
        <w:rPr>
          <w:rStyle w:val="eop"/>
          <w:rFonts w:ascii="Arial" w:hAnsi="Arial" w:cs="Arial"/>
        </w:rPr>
      </w:pPr>
    </w:p>
    <w:p w14:paraId="7B84A54A" w14:textId="77777777" w:rsidR="003315CE" w:rsidRPr="00CB3373" w:rsidRDefault="003315CE" w:rsidP="00CB3373">
      <w:pPr>
        <w:pStyle w:val="paragraph"/>
        <w:spacing w:before="0" w:beforeAutospacing="0" w:after="0" w:afterAutospacing="0"/>
        <w:textAlignment w:val="baseline"/>
        <w:rPr>
          <w:rFonts w:ascii="Arial" w:hAnsi="Arial" w:cs="Arial"/>
        </w:rPr>
      </w:pPr>
    </w:p>
    <w:p w14:paraId="4D51F8C3" w14:textId="77777777" w:rsidR="00CB3373" w:rsidRDefault="00CB3373"/>
    <w:sectPr w:rsidR="00CB3373">
      <w:head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67049" w14:textId="77777777" w:rsidR="00B6589F" w:rsidRDefault="00B6589F" w:rsidP="000C4332">
      <w:pPr>
        <w:spacing w:after="0" w:line="240" w:lineRule="auto"/>
      </w:pPr>
      <w:r>
        <w:separator/>
      </w:r>
    </w:p>
  </w:endnote>
  <w:endnote w:type="continuationSeparator" w:id="0">
    <w:p w14:paraId="32414AA4" w14:textId="77777777" w:rsidR="00B6589F" w:rsidRDefault="00B6589F" w:rsidP="000C4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D6CB8" w14:textId="77777777" w:rsidR="00B6589F" w:rsidRDefault="00B6589F" w:rsidP="000C4332">
      <w:pPr>
        <w:spacing w:after="0" w:line="240" w:lineRule="auto"/>
      </w:pPr>
      <w:r>
        <w:separator/>
      </w:r>
    </w:p>
  </w:footnote>
  <w:footnote w:type="continuationSeparator" w:id="0">
    <w:p w14:paraId="176F8414" w14:textId="77777777" w:rsidR="00B6589F" w:rsidRDefault="00B6589F" w:rsidP="000C43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C8B8E" w14:textId="77777777" w:rsidR="000C4332" w:rsidRDefault="000C4332" w:rsidP="000C4332">
    <w:pPr>
      <w:pStyle w:val="NoSpacing"/>
      <w:jc w:val="right"/>
    </w:pPr>
    <w:hyperlink r:id="rId1" w:tooltip="Research for Learning/Ymchwil ar gyfer Dysgu (ECEY5010/C)" w:history="1">
      <w:r w:rsidRPr="000C4332">
        <w:rPr>
          <w:rStyle w:val="Hyperlink"/>
          <w:rFonts w:ascii="Segoe UI" w:hAnsi="Segoe UI" w:cs="Segoe UI"/>
          <w:color w:val="000000"/>
          <w:sz w:val="20"/>
          <w:szCs w:val="20"/>
        </w:rPr>
        <w:t>ECEY5010</w:t>
      </w:r>
    </w:hyperlink>
  </w:p>
  <w:p w14:paraId="265FEAB8" w14:textId="121BDFFC" w:rsidR="000C4332" w:rsidRDefault="000C4332" w:rsidP="000C4332">
    <w:pPr>
      <w:pStyle w:val="NoSpacing"/>
      <w:jc w:val="right"/>
      <w:rPr>
        <w:rFonts w:ascii="Source Sans Pro" w:hAnsi="Source Sans Pro"/>
        <w:color w:val="242130"/>
        <w:sz w:val="21"/>
        <w:szCs w:val="21"/>
        <w:shd w:val="clear" w:color="auto" w:fill="FFFFFF"/>
      </w:rPr>
    </w:pPr>
    <w:r>
      <w:t>Ellin Iles (</w:t>
    </w:r>
    <w:r>
      <w:rPr>
        <w:rFonts w:ascii="Source Sans Pro" w:hAnsi="Source Sans Pro"/>
        <w:color w:val="242130"/>
        <w:sz w:val="21"/>
        <w:szCs w:val="21"/>
        <w:shd w:val="clear" w:color="auto" w:fill="FFFFFF"/>
      </w:rPr>
      <w:t>2307139)</w:t>
    </w:r>
  </w:p>
  <w:p w14:paraId="0B579A93" w14:textId="6E264AAC" w:rsidR="000C4332" w:rsidRDefault="000C4332" w:rsidP="000C4332">
    <w:pPr>
      <w:pStyle w:val="NoSpacing"/>
      <w:jc w:val="right"/>
    </w:pPr>
    <w:r>
      <w:t>4,2</w:t>
    </w:r>
    <w:r w:rsidR="00324CDC">
      <w:t>22</w:t>
    </w:r>
  </w:p>
  <w:p w14:paraId="4067F10B" w14:textId="77777777" w:rsidR="000C4332" w:rsidRDefault="000C4332" w:rsidP="000C4332">
    <w:pPr>
      <w:pStyle w:val="NoSpacing"/>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2F2A"/>
    <w:multiLevelType w:val="multilevel"/>
    <w:tmpl w:val="347825C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DE45C2A"/>
    <w:multiLevelType w:val="hybridMultilevel"/>
    <w:tmpl w:val="F4923DE0"/>
    <w:lvl w:ilvl="0" w:tplc="13D41C98">
      <w:start w:val="1"/>
      <w:numFmt w:val="bullet"/>
      <w:lvlText w:val="•"/>
      <w:lvlJc w:val="left"/>
      <w:pPr>
        <w:tabs>
          <w:tab w:val="num" w:pos="720"/>
        </w:tabs>
        <w:ind w:left="720" w:hanging="360"/>
      </w:pPr>
      <w:rPr>
        <w:rFonts w:ascii="Arial" w:hAnsi="Arial" w:hint="default"/>
      </w:rPr>
    </w:lvl>
    <w:lvl w:ilvl="1" w:tplc="496E6C0A" w:tentative="1">
      <w:start w:val="1"/>
      <w:numFmt w:val="bullet"/>
      <w:lvlText w:val="•"/>
      <w:lvlJc w:val="left"/>
      <w:pPr>
        <w:tabs>
          <w:tab w:val="num" w:pos="1440"/>
        </w:tabs>
        <w:ind w:left="1440" w:hanging="360"/>
      </w:pPr>
      <w:rPr>
        <w:rFonts w:ascii="Arial" w:hAnsi="Arial" w:hint="default"/>
      </w:rPr>
    </w:lvl>
    <w:lvl w:ilvl="2" w:tplc="1E42142E" w:tentative="1">
      <w:start w:val="1"/>
      <w:numFmt w:val="bullet"/>
      <w:lvlText w:val="•"/>
      <w:lvlJc w:val="left"/>
      <w:pPr>
        <w:tabs>
          <w:tab w:val="num" w:pos="2160"/>
        </w:tabs>
        <w:ind w:left="2160" w:hanging="360"/>
      </w:pPr>
      <w:rPr>
        <w:rFonts w:ascii="Arial" w:hAnsi="Arial" w:hint="default"/>
      </w:rPr>
    </w:lvl>
    <w:lvl w:ilvl="3" w:tplc="825A490A" w:tentative="1">
      <w:start w:val="1"/>
      <w:numFmt w:val="bullet"/>
      <w:lvlText w:val="•"/>
      <w:lvlJc w:val="left"/>
      <w:pPr>
        <w:tabs>
          <w:tab w:val="num" w:pos="2880"/>
        </w:tabs>
        <w:ind w:left="2880" w:hanging="360"/>
      </w:pPr>
      <w:rPr>
        <w:rFonts w:ascii="Arial" w:hAnsi="Arial" w:hint="default"/>
      </w:rPr>
    </w:lvl>
    <w:lvl w:ilvl="4" w:tplc="5FF24F68" w:tentative="1">
      <w:start w:val="1"/>
      <w:numFmt w:val="bullet"/>
      <w:lvlText w:val="•"/>
      <w:lvlJc w:val="left"/>
      <w:pPr>
        <w:tabs>
          <w:tab w:val="num" w:pos="3600"/>
        </w:tabs>
        <w:ind w:left="3600" w:hanging="360"/>
      </w:pPr>
      <w:rPr>
        <w:rFonts w:ascii="Arial" w:hAnsi="Arial" w:hint="default"/>
      </w:rPr>
    </w:lvl>
    <w:lvl w:ilvl="5" w:tplc="D2C8D8F2" w:tentative="1">
      <w:start w:val="1"/>
      <w:numFmt w:val="bullet"/>
      <w:lvlText w:val="•"/>
      <w:lvlJc w:val="left"/>
      <w:pPr>
        <w:tabs>
          <w:tab w:val="num" w:pos="4320"/>
        </w:tabs>
        <w:ind w:left="4320" w:hanging="360"/>
      </w:pPr>
      <w:rPr>
        <w:rFonts w:ascii="Arial" w:hAnsi="Arial" w:hint="default"/>
      </w:rPr>
    </w:lvl>
    <w:lvl w:ilvl="6" w:tplc="3D9AC622" w:tentative="1">
      <w:start w:val="1"/>
      <w:numFmt w:val="bullet"/>
      <w:lvlText w:val="•"/>
      <w:lvlJc w:val="left"/>
      <w:pPr>
        <w:tabs>
          <w:tab w:val="num" w:pos="5040"/>
        </w:tabs>
        <w:ind w:left="5040" w:hanging="360"/>
      </w:pPr>
      <w:rPr>
        <w:rFonts w:ascii="Arial" w:hAnsi="Arial" w:hint="default"/>
      </w:rPr>
    </w:lvl>
    <w:lvl w:ilvl="7" w:tplc="AEB4CBB6" w:tentative="1">
      <w:start w:val="1"/>
      <w:numFmt w:val="bullet"/>
      <w:lvlText w:val="•"/>
      <w:lvlJc w:val="left"/>
      <w:pPr>
        <w:tabs>
          <w:tab w:val="num" w:pos="5760"/>
        </w:tabs>
        <w:ind w:left="5760" w:hanging="360"/>
      </w:pPr>
      <w:rPr>
        <w:rFonts w:ascii="Arial" w:hAnsi="Arial" w:hint="default"/>
      </w:rPr>
    </w:lvl>
    <w:lvl w:ilvl="8" w:tplc="99CA88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1D32BC"/>
    <w:multiLevelType w:val="multilevel"/>
    <w:tmpl w:val="485C4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4C9C32CD"/>
    <w:multiLevelType w:val="multilevel"/>
    <w:tmpl w:val="23BC50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ED4536A"/>
    <w:multiLevelType w:val="multilevel"/>
    <w:tmpl w:val="C7A8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9238F3"/>
    <w:multiLevelType w:val="hybridMultilevel"/>
    <w:tmpl w:val="231EA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164CAC"/>
    <w:multiLevelType w:val="multilevel"/>
    <w:tmpl w:val="4DC0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3F46A6"/>
    <w:multiLevelType w:val="hybridMultilevel"/>
    <w:tmpl w:val="44D27A42"/>
    <w:lvl w:ilvl="0" w:tplc="974A85F6">
      <w:start w:val="1"/>
      <w:numFmt w:val="bullet"/>
      <w:lvlText w:val="•"/>
      <w:lvlJc w:val="left"/>
      <w:pPr>
        <w:tabs>
          <w:tab w:val="num" w:pos="720"/>
        </w:tabs>
        <w:ind w:left="720" w:hanging="360"/>
      </w:pPr>
      <w:rPr>
        <w:rFonts w:ascii="Arial" w:hAnsi="Arial" w:hint="default"/>
      </w:rPr>
    </w:lvl>
    <w:lvl w:ilvl="1" w:tplc="BC349162" w:tentative="1">
      <w:start w:val="1"/>
      <w:numFmt w:val="bullet"/>
      <w:lvlText w:val="•"/>
      <w:lvlJc w:val="left"/>
      <w:pPr>
        <w:tabs>
          <w:tab w:val="num" w:pos="1440"/>
        </w:tabs>
        <w:ind w:left="1440" w:hanging="360"/>
      </w:pPr>
      <w:rPr>
        <w:rFonts w:ascii="Arial" w:hAnsi="Arial" w:hint="default"/>
      </w:rPr>
    </w:lvl>
    <w:lvl w:ilvl="2" w:tplc="E118FDD8" w:tentative="1">
      <w:start w:val="1"/>
      <w:numFmt w:val="bullet"/>
      <w:lvlText w:val="•"/>
      <w:lvlJc w:val="left"/>
      <w:pPr>
        <w:tabs>
          <w:tab w:val="num" w:pos="2160"/>
        </w:tabs>
        <w:ind w:left="2160" w:hanging="360"/>
      </w:pPr>
      <w:rPr>
        <w:rFonts w:ascii="Arial" w:hAnsi="Arial" w:hint="default"/>
      </w:rPr>
    </w:lvl>
    <w:lvl w:ilvl="3" w:tplc="CD0615B6" w:tentative="1">
      <w:start w:val="1"/>
      <w:numFmt w:val="bullet"/>
      <w:lvlText w:val="•"/>
      <w:lvlJc w:val="left"/>
      <w:pPr>
        <w:tabs>
          <w:tab w:val="num" w:pos="2880"/>
        </w:tabs>
        <w:ind w:left="2880" w:hanging="360"/>
      </w:pPr>
      <w:rPr>
        <w:rFonts w:ascii="Arial" w:hAnsi="Arial" w:hint="default"/>
      </w:rPr>
    </w:lvl>
    <w:lvl w:ilvl="4" w:tplc="4B600CB8" w:tentative="1">
      <w:start w:val="1"/>
      <w:numFmt w:val="bullet"/>
      <w:lvlText w:val="•"/>
      <w:lvlJc w:val="left"/>
      <w:pPr>
        <w:tabs>
          <w:tab w:val="num" w:pos="3600"/>
        </w:tabs>
        <w:ind w:left="3600" w:hanging="360"/>
      </w:pPr>
      <w:rPr>
        <w:rFonts w:ascii="Arial" w:hAnsi="Arial" w:hint="default"/>
      </w:rPr>
    </w:lvl>
    <w:lvl w:ilvl="5" w:tplc="5496758C" w:tentative="1">
      <w:start w:val="1"/>
      <w:numFmt w:val="bullet"/>
      <w:lvlText w:val="•"/>
      <w:lvlJc w:val="left"/>
      <w:pPr>
        <w:tabs>
          <w:tab w:val="num" w:pos="4320"/>
        </w:tabs>
        <w:ind w:left="4320" w:hanging="360"/>
      </w:pPr>
      <w:rPr>
        <w:rFonts w:ascii="Arial" w:hAnsi="Arial" w:hint="default"/>
      </w:rPr>
    </w:lvl>
    <w:lvl w:ilvl="6" w:tplc="0ABC4C92" w:tentative="1">
      <w:start w:val="1"/>
      <w:numFmt w:val="bullet"/>
      <w:lvlText w:val="•"/>
      <w:lvlJc w:val="left"/>
      <w:pPr>
        <w:tabs>
          <w:tab w:val="num" w:pos="5040"/>
        </w:tabs>
        <w:ind w:left="5040" w:hanging="360"/>
      </w:pPr>
      <w:rPr>
        <w:rFonts w:ascii="Arial" w:hAnsi="Arial" w:hint="default"/>
      </w:rPr>
    </w:lvl>
    <w:lvl w:ilvl="7" w:tplc="D040BA6C" w:tentative="1">
      <w:start w:val="1"/>
      <w:numFmt w:val="bullet"/>
      <w:lvlText w:val="•"/>
      <w:lvlJc w:val="left"/>
      <w:pPr>
        <w:tabs>
          <w:tab w:val="num" w:pos="5760"/>
        </w:tabs>
        <w:ind w:left="5760" w:hanging="360"/>
      </w:pPr>
      <w:rPr>
        <w:rFonts w:ascii="Arial" w:hAnsi="Arial" w:hint="default"/>
      </w:rPr>
    </w:lvl>
    <w:lvl w:ilvl="8" w:tplc="4A9EFB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A532C3"/>
    <w:multiLevelType w:val="hybridMultilevel"/>
    <w:tmpl w:val="60BED8B6"/>
    <w:lvl w:ilvl="0" w:tplc="7DEA18DC">
      <w:start w:val="1"/>
      <w:numFmt w:val="bullet"/>
      <w:lvlText w:val="•"/>
      <w:lvlJc w:val="left"/>
      <w:pPr>
        <w:tabs>
          <w:tab w:val="num" w:pos="720"/>
        </w:tabs>
        <w:ind w:left="720" w:hanging="360"/>
      </w:pPr>
      <w:rPr>
        <w:rFonts w:ascii="Arial" w:hAnsi="Arial" w:hint="default"/>
      </w:rPr>
    </w:lvl>
    <w:lvl w:ilvl="1" w:tplc="F67A56F8" w:tentative="1">
      <w:start w:val="1"/>
      <w:numFmt w:val="bullet"/>
      <w:lvlText w:val="•"/>
      <w:lvlJc w:val="left"/>
      <w:pPr>
        <w:tabs>
          <w:tab w:val="num" w:pos="1440"/>
        </w:tabs>
        <w:ind w:left="1440" w:hanging="360"/>
      </w:pPr>
      <w:rPr>
        <w:rFonts w:ascii="Arial" w:hAnsi="Arial" w:hint="default"/>
      </w:rPr>
    </w:lvl>
    <w:lvl w:ilvl="2" w:tplc="ED961F1A" w:tentative="1">
      <w:start w:val="1"/>
      <w:numFmt w:val="bullet"/>
      <w:lvlText w:val="•"/>
      <w:lvlJc w:val="left"/>
      <w:pPr>
        <w:tabs>
          <w:tab w:val="num" w:pos="2160"/>
        </w:tabs>
        <w:ind w:left="2160" w:hanging="360"/>
      </w:pPr>
      <w:rPr>
        <w:rFonts w:ascii="Arial" w:hAnsi="Arial" w:hint="default"/>
      </w:rPr>
    </w:lvl>
    <w:lvl w:ilvl="3" w:tplc="A1A85016" w:tentative="1">
      <w:start w:val="1"/>
      <w:numFmt w:val="bullet"/>
      <w:lvlText w:val="•"/>
      <w:lvlJc w:val="left"/>
      <w:pPr>
        <w:tabs>
          <w:tab w:val="num" w:pos="2880"/>
        </w:tabs>
        <w:ind w:left="2880" w:hanging="360"/>
      </w:pPr>
      <w:rPr>
        <w:rFonts w:ascii="Arial" w:hAnsi="Arial" w:hint="default"/>
      </w:rPr>
    </w:lvl>
    <w:lvl w:ilvl="4" w:tplc="F56818E6" w:tentative="1">
      <w:start w:val="1"/>
      <w:numFmt w:val="bullet"/>
      <w:lvlText w:val="•"/>
      <w:lvlJc w:val="left"/>
      <w:pPr>
        <w:tabs>
          <w:tab w:val="num" w:pos="3600"/>
        </w:tabs>
        <w:ind w:left="3600" w:hanging="360"/>
      </w:pPr>
      <w:rPr>
        <w:rFonts w:ascii="Arial" w:hAnsi="Arial" w:hint="default"/>
      </w:rPr>
    </w:lvl>
    <w:lvl w:ilvl="5" w:tplc="7CB23E2C" w:tentative="1">
      <w:start w:val="1"/>
      <w:numFmt w:val="bullet"/>
      <w:lvlText w:val="•"/>
      <w:lvlJc w:val="left"/>
      <w:pPr>
        <w:tabs>
          <w:tab w:val="num" w:pos="4320"/>
        </w:tabs>
        <w:ind w:left="4320" w:hanging="360"/>
      </w:pPr>
      <w:rPr>
        <w:rFonts w:ascii="Arial" w:hAnsi="Arial" w:hint="default"/>
      </w:rPr>
    </w:lvl>
    <w:lvl w:ilvl="6" w:tplc="968CE6AE" w:tentative="1">
      <w:start w:val="1"/>
      <w:numFmt w:val="bullet"/>
      <w:lvlText w:val="•"/>
      <w:lvlJc w:val="left"/>
      <w:pPr>
        <w:tabs>
          <w:tab w:val="num" w:pos="5040"/>
        </w:tabs>
        <w:ind w:left="5040" w:hanging="360"/>
      </w:pPr>
      <w:rPr>
        <w:rFonts w:ascii="Arial" w:hAnsi="Arial" w:hint="default"/>
      </w:rPr>
    </w:lvl>
    <w:lvl w:ilvl="7" w:tplc="29306730" w:tentative="1">
      <w:start w:val="1"/>
      <w:numFmt w:val="bullet"/>
      <w:lvlText w:val="•"/>
      <w:lvlJc w:val="left"/>
      <w:pPr>
        <w:tabs>
          <w:tab w:val="num" w:pos="5760"/>
        </w:tabs>
        <w:ind w:left="5760" w:hanging="360"/>
      </w:pPr>
      <w:rPr>
        <w:rFonts w:ascii="Arial" w:hAnsi="Arial" w:hint="default"/>
      </w:rPr>
    </w:lvl>
    <w:lvl w:ilvl="8" w:tplc="259AD7C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77D7934"/>
    <w:multiLevelType w:val="hybridMultilevel"/>
    <w:tmpl w:val="055C0852"/>
    <w:lvl w:ilvl="0" w:tplc="4C7A4B16">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5741680">
    <w:abstractNumId w:val="0"/>
  </w:num>
  <w:num w:numId="2" w16cid:durableId="491486635">
    <w:abstractNumId w:val="4"/>
  </w:num>
  <w:num w:numId="3" w16cid:durableId="1911843450">
    <w:abstractNumId w:val="9"/>
  </w:num>
  <w:num w:numId="4" w16cid:durableId="2066297038">
    <w:abstractNumId w:val="2"/>
  </w:num>
  <w:num w:numId="5" w16cid:durableId="1248464223">
    <w:abstractNumId w:val="3"/>
  </w:num>
  <w:num w:numId="6" w16cid:durableId="1748649765">
    <w:abstractNumId w:val="1"/>
  </w:num>
  <w:num w:numId="7" w16cid:durableId="782532149">
    <w:abstractNumId w:val="7"/>
  </w:num>
  <w:num w:numId="8" w16cid:durableId="1356420008">
    <w:abstractNumId w:val="8"/>
  </w:num>
  <w:num w:numId="9" w16cid:durableId="970014062">
    <w:abstractNumId w:val="5"/>
  </w:num>
  <w:num w:numId="10" w16cid:durableId="7750984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BD"/>
    <w:rsid w:val="00024DC2"/>
    <w:rsid w:val="000C41B1"/>
    <w:rsid w:val="000C4332"/>
    <w:rsid w:val="000C6E25"/>
    <w:rsid w:val="000E22FC"/>
    <w:rsid w:val="000F329C"/>
    <w:rsid w:val="001039B8"/>
    <w:rsid w:val="00142E0B"/>
    <w:rsid w:val="0018123D"/>
    <w:rsid w:val="001925A2"/>
    <w:rsid w:val="001B45CC"/>
    <w:rsid w:val="001E48DF"/>
    <w:rsid w:val="001F7F54"/>
    <w:rsid w:val="002236E4"/>
    <w:rsid w:val="00223818"/>
    <w:rsid w:val="0022489D"/>
    <w:rsid w:val="002479FA"/>
    <w:rsid w:val="00274B2F"/>
    <w:rsid w:val="002F25D6"/>
    <w:rsid w:val="002F59AB"/>
    <w:rsid w:val="003067E6"/>
    <w:rsid w:val="00307502"/>
    <w:rsid w:val="00321642"/>
    <w:rsid w:val="00324CDC"/>
    <w:rsid w:val="003315CE"/>
    <w:rsid w:val="00344A2D"/>
    <w:rsid w:val="0036204C"/>
    <w:rsid w:val="003F4917"/>
    <w:rsid w:val="00432198"/>
    <w:rsid w:val="00441809"/>
    <w:rsid w:val="0045227F"/>
    <w:rsid w:val="00452E8E"/>
    <w:rsid w:val="00454515"/>
    <w:rsid w:val="00474953"/>
    <w:rsid w:val="0049500F"/>
    <w:rsid w:val="004955BE"/>
    <w:rsid w:val="004A6E5A"/>
    <w:rsid w:val="004B074F"/>
    <w:rsid w:val="00502F42"/>
    <w:rsid w:val="005153AF"/>
    <w:rsid w:val="00541C32"/>
    <w:rsid w:val="0058380D"/>
    <w:rsid w:val="005864E6"/>
    <w:rsid w:val="00594658"/>
    <w:rsid w:val="00594942"/>
    <w:rsid w:val="005C3688"/>
    <w:rsid w:val="005D7C5F"/>
    <w:rsid w:val="006114FC"/>
    <w:rsid w:val="00623003"/>
    <w:rsid w:val="00627EBD"/>
    <w:rsid w:val="0065113C"/>
    <w:rsid w:val="00664D3A"/>
    <w:rsid w:val="0066580B"/>
    <w:rsid w:val="00667BDF"/>
    <w:rsid w:val="00685DB7"/>
    <w:rsid w:val="006A558E"/>
    <w:rsid w:val="006D3FF5"/>
    <w:rsid w:val="006D77BD"/>
    <w:rsid w:val="00707978"/>
    <w:rsid w:val="007137B6"/>
    <w:rsid w:val="00722847"/>
    <w:rsid w:val="00734494"/>
    <w:rsid w:val="00735B48"/>
    <w:rsid w:val="00786DAC"/>
    <w:rsid w:val="007D27D5"/>
    <w:rsid w:val="007E4C0F"/>
    <w:rsid w:val="007F120D"/>
    <w:rsid w:val="00813BF6"/>
    <w:rsid w:val="00824557"/>
    <w:rsid w:val="00866D91"/>
    <w:rsid w:val="00874079"/>
    <w:rsid w:val="00876142"/>
    <w:rsid w:val="008A5B52"/>
    <w:rsid w:val="008D16DA"/>
    <w:rsid w:val="008F349C"/>
    <w:rsid w:val="00910617"/>
    <w:rsid w:val="00912AA0"/>
    <w:rsid w:val="009175A7"/>
    <w:rsid w:val="009260B7"/>
    <w:rsid w:val="009767A5"/>
    <w:rsid w:val="00995DD2"/>
    <w:rsid w:val="009A103C"/>
    <w:rsid w:val="009A2643"/>
    <w:rsid w:val="009C1B7A"/>
    <w:rsid w:val="009C287A"/>
    <w:rsid w:val="009E532A"/>
    <w:rsid w:val="00A23B24"/>
    <w:rsid w:val="00A333BC"/>
    <w:rsid w:val="00A5469C"/>
    <w:rsid w:val="00A61BE2"/>
    <w:rsid w:val="00AA0947"/>
    <w:rsid w:val="00B60E81"/>
    <w:rsid w:val="00B645FE"/>
    <w:rsid w:val="00B656C5"/>
    <w:rsid w:val="00B6589F"/>
    <w:rsid w:val="00B804C6"/>
    <w:rsid w:val="00B922E0"/>
    <w:rsid w:val="00BB3026"/>
    <w:rsid w:val="00BC62EA"/>
    <w:rsid w:val="00BC6A3B"/>
    <w:rsid w:val="00BD7913"/>
    <w:rsid w:val="00C16E86"/>
    <w:rsid w:val="00C31D5A"/>
    <w:rsid w:val="00C4505A"/>
    <w:rsid w:val="00C66D6C"/>
    <w:rsid w:val="00C76A91"/>
    <w:rsid w:val="00C92C46"/>
    <w:rsid w:val="00CA42A4"/>
    <w:rsid w:val="00CB3373"/>
    <w:rsid w:val="00CB674E"/>
    <w:rsid w:val="00CD1F6B"/>
    <w:rsid w:val="00CD32BD"/>
    <w:rsid w:val="00CE4BC2"/>
    <w:rsid w:val="00D22F95"/>
    <w:rsid w:val="00D263E9"/>
    <w:rsid w:val="00D5504F"/>
    <w:rsid w:val="00D83EC5"/>
    <w:rsid w:val="00D90066"/>
    <w:rsid w:val="00D92BB9"/>
    <w:rsid w:val="00D97994"/>
    <w:rsid w:val="00D97B94"/>
    <w:rsid w:val="00DA77A0"/>
    <w:rsid w:val="00DC38C3"/>
    <w:rsid w:val="00DE5291"/>
    <w:rsid w:val="00DE6FC1"/>
    <w:rsid w:val="00E15E12"/>
    <w:rsid w:val="00E21575"/>
    <w:rsid w:val="00E34B92"/>
    <w:rsid w:val="00E45024"/>
    <w:rsid w:val="00E468FF"/>
    <w:rsid w:val="00E75078"/>
    <w:rsid w:val="00E871BC"/>
    <w:rsid w:val="00E97432"/>
    <w:rsid w:val="00EA65C2"/>
    <w:rsid w:val="00F2607E"/>
    <w:rsid w:val="00F42D58"/>
    <w:rsid w:val="00F43173"/>
    <w:rsid w:val="00F51FE6"/>
    <w:rsid w:val="00F611F5"/>
    <w:rsid w:val="00F67063"/>
    <w:rsid w:val="00F80536"/>
    <w:rsid w:val="00F85E38"/>
    <w:rsid w:val="00F973AF"/>
    <w:rsid w:val="00FA4D46"/>
    <w:rsid w:val="00FB6E73"/>
    <w:rsid w:val="00FC1B40"/>
    <w:rsid w:val="00FC553E"/>
    <w:rsid w:val="00FF1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F82073"/>
  <w15:chartTrackingRefBased/>
  <w15:docId w15:val="{48BE8ABD-9858-4442-900A-1B6CEF421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65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A65C2"/>
  </w:style>
  <w:style w:type="character" w:customStyle="1" w:styleId="eop">
    <w:name w:val="eop"/>
    <w:basedOn w:val="DefaultParagraphFont"/>
    <w:rsid w:val="00EA65C2"/>
  </w:style>
  <w:style w:type="character" w:styleId="Hyperlink">
    <w:name w:val="Hyperlink"/>
    <w:basedOn w:val="DefaultParagraphFont"/>
    <w:uiPriority w:val="99"/>
    <w:unhideWhenUsed/>
    <w:rsid w:val="00D263E9"/>
    <w:rPr>
      <w:color w:val="0000FF"/>
      <w:u w:val="single"/>
    </w:rPr>
  </w:style>
  <w:style w:type="paragraph" w:styleId="ListParagraph">
    <w:name w:val="List Paragraph"/>
    <w:basedOn w:val="Normal"/>
    <w:uiPriority w:val="34"/>
    <w:qFormat/>
    <w:rsid w:val="00D263E9"/>
    <w:pPr>
      <w:ind w:left="720"/>
      <w:contextualSpacing/>
    </w:pPr>
  </w:style>
  <w:style w:type="character" w:styleId="FollowedHyperlink">
    <w:name w:val="FollowedHyperlink"/>
    <w:basedOn w:val="DefaultParagraphFont"/>
    <w:uiPriority w:val="99"/>
    <w:semiHidden/>
    <w:unhideWhenUsed/>
    <w:rsid w:val="00D263E9"/>
    <w:rPr>
      <w:color w:val="954F72" w:themeColor="followedHyperlink"/>
      <w:u w:val="single"/>
    </w:rPr>
  </w:style>
  <w:style w:type="paragraph" w:styleId="Header">
    <w:name w:val="header"/>
    <w:basedOn w:val="Normal"/>
    <w:link w:val="HeaderChar"/>
    <w:uiPriority w:val="99"/>
    <w:unhideWhenUsed/>
    <w:rsid w:val="000C4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332"/>
  </w:style>
  <w:style w:type="paragraph" w:styleId="Footer">
    <w:name w:val="footer"/>
    <w:basedOn w:val="Normal"/>
    <w:link w:val="FooterChar"/>
    <w:uiPriority w:val="99"/>
    <w:unhideWhenUsed/>
    <w:rsid w:val="000C4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332"/>
  </w:style>
  <w:style w:type="paragraph" w:customStyle="1" w:styleId="breadcrumb-item">
    <w:name w:val="breadcrumb-item"/>
    <w:basedOn w:val="Normal"/>
    <w:rsid w:val="000C43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0C433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22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ature.com/articles/s41598-020-57490-0" TargetMode="External"/><Relationship Id="rId21" Type="http://schemas.openxmlformats.org/officeDocument/2006/relationships/hyperlink" Target="https://www.ncbi.nlm.nih.gov/pmc/articles/PMC6910737/" TargetMode="External"/><Relationship Id="rId42" Type="http://schemas.openxmlformats.org/officeDocument/2006/relationships/hyperlink" Target="https://www.ajol.info/index.php/ahs/article/view/200324" TargetMode="External"/><Relationship Id="rId47" Type="http://schemas.openxmlformats.org/officeDocument/2006/relationships/hyperlink" Target="https://www.savethechildren.org.uk/content/dam/gb/reports/humanitarian/uncrc19-summary2.pdf" TargetMode="External"/><Relationship Id="rId63" Type="http://schemas.openxmlformats.org/officeDocument/2006/relationships/hyperlink" Target="https://researchsupport.admin.ox.ac.uk/governance/ethics/resources/consent" TargetMode="External"/><Relationship Id="rId68" Type="http://schemas.openxmlformats.org/officeDocument/2006/relationships/header" Target="header1.xml"/><Relationship Id="rId7" Type="http://schemas.openxmlformats.org/officeDocument/2006/relationships/hyperlink" Target="https://link.springer.com/article/10.1007/s11133-019-9413-7" TargetMode="External"/><Relationship Id="rId2" Type="http://schemas.openxmlformats.org/officeDocument/2006/relationships/styles" Target="styles.xml"/><Relationship Id="rId16" Type="http://schemas.openxmlformats.org/officeDocument/2006/relationships/hyperlink" Target="https://link.springer.com/article/10.1186/1472-6939-15-22" TargetMode="External"/><Relationship Id="rId29" Type="http://schemas.openxmlformats.org/officeDocument/2006/relationships/hyperlink" Target="https://www.jrmo.org.uk/performing-research/conducting-research-with-human-participants-outside-the-nhs/risk-considerations/" TargetMode="External"/><Relationship Id="rId11" Type="http://schemas.openxmlformats.org/officeDocument/2006/relationships/hyperlink" Target="https://www.sciencedirect.com/science/article/abs/pii/S1751722217302913" TargetMode="External"/><Relationship Id="rId24" Type="http://schemas.openxmlformats.org/officeDocument/2006/relationships/hyperlink" Target="https://www.ncbi.nlm.nih.gov/pmc/articles/PMC9670254/" TargetMode="External"/><Relationship Id="rId32" Type="http://schemas.openxmlformats.org/officeDocument/2006/relationships/hyperlink" Target="https://az.research.umich.edu/medschool/guidance/evaluating-risks-participants" TargetMode="External"/><Relationship Id="rId37" Type="http://schemas.openxmlformats.org/officeDocument/2006/relationships/hyperlink" Target="https://www.sciencedirect.com/science/article/abs/pii/S0160738320300827" TargetMode="External"/><Relationship Id="rId40" Type="http://schemas.openxmlformats.org/officeDocument/2006/relationships/hyperlink" Target="https://www.nature.com/articles/pr2015197" TargetMode="External"/><Relationship Id="rId45" Type="http://schemas.openxmlformats.org/officeDocument/2006/relationships/hyperlink" Target="https://files.eric.ed.gov/fulltext/ED585293.pdf" TargetMode="External"/><Relationship Id="rId53" Type="http://schemas.openxmlformats.org/officeDocument/2006/relationships/hyperlink" Target="https://scchildren.org/wp-content/uploads/ACE-Research-Brief-2-Lessons-Learned-and-Future-Directions.pdf" TargetMode="External"/><Relationship Id="rId58" Type="http://schemas.openxmlformats.org/officeDocument/2006/relationships/hyperlink" Target="https://www.gov.uk/data-protection" TargetMode="External"/><Relationship Id="rId66" Type="http://schemas.openxmlformats.org/officeDocument/2006/relationships/hyperlink" Target="https://journals.sagepub.com/doi/abs/10.1177/1090198117752785" TargetMode="External"/><Relationship Id="rId5" Type="http://schemas.openxmlformats.org/officeDocument/2006/relationships/footnotes" Target="footnotes.xml"/><Relationship Id="rId61" Type="http://schemas.openxmlformats.org/officeDocument/2006/relationships/hyperlink" Target="https://data.unicef.org/topic/early-childhood-development/overview/" TargetMode="External"/><Relationship Id="rId19" Type="http://schemas.openxmlformats.org/officeDocument/2006/relationships/hyperlink" Target="https://link.springer.com/article/10.1186/s12889-021-10732-w" TargetMode="External"/><Relationship Id="rId14" Type="http://schemas.openxmlformats.org/officeDocument/2006/relationships/hyperlink" Target="https://journals.sagepub.com/doi/abs/10.1177/107429561602500206" TargetMode="External"/><Relationship Id="rId22" Type="http://schemas.openxmlformats.org/officeDocument/2006/relationships/hyperlink" Target="https://journals.sagepub.com/doi/abs/10.1177/1049732307309007" TargetMode="External"/><Relationship Id="rId27" Type="http://schemas.openxmlformats.org/officeDocument/2006/relationships/hyperlink" Target="https://books.google.co.uk/books?hl=en&amp;lr=&amp;id=_InCDwAAQBAJ&amp;oi=fnd&amp;pg=PP1&amp;dq=qualitative+data+research+methods&amp;ots=3v8PhSs0cu&amp;sig=dvP1IakRu8rhIAQaCgIlK8u1N5o#v=onepage&amp;q=qualitative%20data%20research%20methods&amp;f=false" TargetMode="External"/><Relationship Id="rId30" Type="http://schemas.openxmlformats.org/officeDocument/2006/relationships/hyperlink" Target="https://ico.org.uk/media/about-the-ico/consultations/2619862/anonymisation-intro-and-first-chapter.pdf" TargetMode="External"/><Relationship Id="rId35" Type="http://schemas.openxmlformats.org/officeDocument/2006/relationships/hyperlink" Target="https://ebn.bmj.com/content/22/3/67" TargetMode="External"/><Relationship Id="rId43" Type="http://schemas.openxmlformats.org/officeDocument/2006/relationships/hyperlink" Target="https://www-tandfonline-com.ezproxy.uwtsd.ac.uk/doi/full/10.1080/15332985.2019.1625476?scroll=top&amp;needAccess=true" TargetMode="External"/><Relationship Id="rId48" Type="http://schemas.openxmlformats.org/officeDocument/2006/relationships/hyperlink" Target="https://publications.aap.org/pediatrics/article/129/1/e232/31628/The-Lifelong-Effects-of-Early-Childhood-Adversity" TargetMode="External"/><Relationship Id="rId56" Type="http://schemas.openxmlformats.org/officeDocument/2006/relationships/hyperlink" Target="https://www.jrmo.org.uk/performing-research/conducting-research-with-human-participants-outside-the-nhs/risk-considerations/" TargetMode="External"/><Relationship Id="rId64" Type="http://schemas.openxmlformats.org/officeDocument/2006/relationships/hyperlink" Target="https://www.essex.ac.uk/student/postgraduate-research/research-risk-assessment" TargetMode="External"/><Relationship Id="rId69" Type="http://schemas.openxmlformats.org/officeDocument/2006/relationships/fontTable" Target="fontTable.xml"/><Relationship Id="rId8" Type="http://schemas.openxmlformats.org/officeDocument/2006/relationships/hyperlink" Target="https://birthto5matters.org.uk/attachment-and-the-role-of-the-key-person/" TargetMode="External"/><Relationship Id="rId51" Type="http://schemas.openxmlformats.org/officeDocument/2006/relationships/hyperlink" Target="https://doi.org/10.1177/16094069221085056" TargetMode="External"/><Relationship Id="rId3" Type="http://schemas.openxmlformats.org/officeDocument/2006/relationships/settings" Target="settings.xml"/><Relationship Id="rId12" Type="http://schemas.openxmlformats.org/officeDocument/2006/relationships/hyperlink" Target="https://www.sciencedirect.com/science/article/abs/pii/S0033350615004448" TargetMode="External"/><Relationship Id="rId17" Type="http://schemas.openxmlformats.org/officeDocument/2006/relationships/hyperlink" Target="https://r2.vlereader.com/EpubReader?ean=1781315456515" TargetMode="External"/><Relationship Id="rId25" Type="http://schemas.openxmlformats.org/officeDocument/2006/relationships/hyperlink" Target="https://journals.ala.org/index.php/ltr/article/view/6325/8274" TargetMode="External"/><Relationship Id="rId33" Type="http://schemas.openxmlformats.org/officeDocument/2006/relationships/hyperlink" Target="https://doi.org/10.1111/tsq.12107" TargetMode="External"/><Relationship Id="rId38" Type="http://schemas.openxmlformats.org/officeDocument/2006/relationships/hyperlink" Target="https://jamanetwork.com/journals/jama/article-abstract/2755266" TargetMode="External"/><Relationship Id="rId46" Type="http://schemas.openxmlformats.org/officeDocument/2006/relationships/hyperlink" Target="https://www.niehs.nih.gov/research/resources/bioethics/whatis" TargetMode="External"/><Relationship Id="rId59" Type="http://schemas.openxmlformats.org/officeDocument/2006/relationships/hyperlink" Target="https://assets.publishing.service.gov.uk/media/645b7bf12226ee000c0ae56f/Lone_Working.pdf" TargetMode="External"/><Relationship Id="rId67" Type="http://schemas.openxmlformats.org/officeDocument/2006/relationships/hyperlink" Target="https://www.ncbi.nlm.nih.gov/pmc/articles/PMC5037952/" TargetMode="External"/><Relationship Id="rId20" Type="http://schemas.openxmlformats.org/officeDocument/2006/relationships/hyperlink" Target="https://doi.org/10.1111/j.1939-0025.2012.01154.x" TargetMode="External"/><Relationship Id="rId41" Type="http://schemas.openxmlformats.org/officeDocument/2006/relationships/hyperlink" Target="https://www.ncbi.nlm.nih.gov/pmc/articles/PMC7751528/" TargetMode="External"/><Relationship Id="rId54" Type="http://schemas.openxmlformats.org/officeDocument/2006/relationships/hyperlink" Target="https://phw.nhs.wales/services-and-teams/early-action-together/" TargetMode="External"/><Relationship Id="rId62" Type="http://schemas.openxmlformats.org/officeDocument/2006/relationships/hyperlink" Target="https://www.cdc.gov/healthyyouth/evaluation/pdf/brief16.pdf"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dc.gov/vitalsigns/aces/index.html" TargetMode="External"/><Relationship Id="rId23" Type="http://schemas.openxmlformats.org/officeDocument/2006/relationships/hyperlink" Target="https://journals-sagepub-com.ezproxy.uwtsd.ac.uk/doi/epdf/10.1177/0145482X1510900215" TargetMode="External"/><Relationship Id="rId28" Type="http://schemas.openxmlformats.org/officeDocument/2006/relationships/hyperlink" Target="https://dovetail.com/research/semi-structured-interview/" TargetMode="External"/><Relationship Id="rId36" Type="http://schemas.openxmlformats.org/officeDocument/2006/relationships/hyperlink" Target="https://web-p-ebscohost-com.ezproxy.uwtsd.ac.uk/ehost/ebookviewer/ebook/bmxlYmtfXzE5ODY4MjJfX0FO0?sid=761fc7cc-1061-4aac-8a47-bce4dc1cb216@redis&amp;vid=0&amp;format=EB&amp;lpid=lp_v&amp;rid=0" TargetMode="External"/><Relationship Id="rId49" Type="http://schemas.openxmlformats.org/officeDocument/2006/relationships/hyperlink" Target="https://www.bmj.com/content/347/bmj.f6304.full" TargetMode="External"/><Relationship Id="rId57" Type="http://schemas.openxmlformats.org/officeDocument/2006/relationships/hyperlink" Target="https://www.gov.uk/government/publications/working-together-to-safeguard-children--2" TargetMode="External"/><Relationship Id="rId10" Type="http://schemas.openxmlformats.org/officeDocument/2006/relationships/hyperlink" Target="https://r1.vlereader.com/EpubReader?ean=1780335243396#" TargetMode="External"/><Relationship Id="rId31" Type="http://schemas.openxmlformats.org/officeDocument/2006/relationships/hyperlink" Target="https://doi.org/10.1016/j.joi.2020.101108" TargetMode="External"/><Relationship Id="rId44" Type="http://schemas.openxmlformats.org/officeDocument/2006/relationships/hyperlink" Target="https://pinetreeinstitute.org/aces/" TargetMode="External"/><Relationship Id="rId52" Type="http://schemas.openxmlformats.org/officeDocument/2006/relationships/hyperlink" Target="https://papers.ssrn.com/sol3/papers.cfm?abstract_id=3588604" TargetMode="External"/><Relationship Id="rId60" Type="http://schemas.openxmlformats.org/officeDocument/2006/relationships/hyperlink" Target="https://www.ukri.org/councils/esrc/guidance-for-applicants/research-ethics-guidance/risk-and-benefit/" TargetMode="External"/><Relationship Id="rId65" Type="http://schemas.openxmlformats.org/officeDocument/2006/relationships/hyperlink" Target="https://www.gov.wales/supporting-pupils-adverse-childhood-experiences-aces-government-response" TargetMode="External"/><Relationship Id="rId4" Type="http://schemas.openxmlformats.org/officeDocument/2006/relationships/webSettings" Target="webSettings.xml"/><Relationship Id="rId9" Type="http://schemas.openxmlformats.org/officeDocument/2006/relationships/hyperlink" Target="http://www.bera.ac.uk/publication/ethicalguidelines-for-educational-research-2" TargetMode="External"/><Relationship Id="rId13" Type="http://schemas.openxmlformats.org/officeDocument/2006/relationships/hyperlink" Target="https://doi.org/10.1007/s40474-022-00256-2" TargetMode="External"/><Relationship Id="rId18" Type="http://schemas.openxmlformats.org/officeDocument/2006/relationships/hyperlink" Target="https://www.ncbi.nlm.nih.gov/pmc/articles/PMC8307200/" TargetMode="External"/><Relationship Id="rId39" Type="http://schemas.openxmlformats.org/officeDocument/2006/relationships/hyperlink" Target="https://psycnet.apa.org/record/2021-26586-014" TargetMode="External"/><Relationship Id="rId34" Type="http://schemas.openxmlformats.org/officeDocument/2006/relationships/hyperlink" Target="https://doi.org/10.1002/pra2.415" TargetMode="External"/><Relationship Id="rId50" Type="http://schemas.openxmlformats.org/officeDocument/2006/relationships/hyperlink" Target="https://link.springer.com/article/10.1007/s10995-015-1909-5" TargetMode="External"/><Relationship Id="rId55" Type="http://schemas.openxmlformats.org/officeDocument/2006/relationships/hyperlink" Target="https://learning.nspcc.org.uk/child-protection-system/multi-agency-working-child-protection" TargetMode="Externa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08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4353</TotalTime>
  <Pages>13</Pages>
  <Words>7767</Words>
  <Characters>44274</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51938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64</cp:revision>
  <dcterms:created xsi:type="dcterms:W3CDTF">2024-05-07T21:06:00Z</dcterms:created>
  <dcterms:modified xsi:type="dcterms:W3CDTF">2024-05-19T19:02:00Z</dcterms:modified>
</cp:coreProperties>
</file>