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C613B" w14:textId="607662B9" w:rsidR="00361962" w:rsidRPr="00BD437F" w:rsidRDefault="006E6F23" w:rsidP="00BD437F">
      <w:pPr>
        <w:jc w:val="center"/>
        <w:rPr>
          <w:rFonts w:cs="Times New Roman"/>
          <w:b/>
          <w:bCs w:val="0"/>
          <w:szCs w:val="24"/>
        </w:rPr>
      </w:pPr>
      <w:r>
        <w:rPr>
          <w:noProof/>
        </w:rPr>
        <w:drawing>
          <wp:inline distT="0" distB="0" distL="0" distR="0" wp14:anchorId="481FB9E7" wp14:editId="2E2E7428">
            <wp:extent cx="4343400" cy="1314450"/>
            <wp:effectExtent l="0" t="0" r="0" b="0"/>
            <wp:docPr id="1687470331" name="Picture 1" descr="Wales,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es, Trinity Saint David, Lond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3400" cy="1314450"/>
                    </a:xfrm>
                    <a:prstGeom prst="rect">
                      <a:avLst/>
                    </a:prstGeom>
                    <a:noFill/>
                    <a:ln>
                      <a:noFill/>
                    </a:ln>
                  </pic:spPr>
                </pic:pic>
              </a:graphicData>
            </a:graphic>
          </wp:inline>
        </w:drawing>
      </w:r>
    </w:p>
    <w:p w14:paraId="36867977" w14:textId="77777777" w:rsidR="00361962" w:rsidRPr="00BD437F" w:rsidRDefault="00361962" w:rsidP="00BD437F">
      <w:pPr>
        <w:jc w:val="center"/>
        <w:rPr>
          <w:rFonts w:cs="Times New Roman"/>
          <w:b/>
          <w:bCs w:val="0"/>
          <w:szCs w:val="24"/>
        </w:rPr>
      </w:pPr>
    </w:p>
    <w:p w14:paraId="5D30C537" w14:textId="77777777" w:rsidR="00361962" w:rsidRPr="00BD437F" w:rsidRDefault="00361962" w:rsidP="00BD437F">
      <w:pPr>
        <w:jc w:val="center"/>
        <w:rPr>
          <w:rFonts w:cs="Times New Roman"/>
          <w:b/>
          <w:bCs w:val="0"/>
          <w:szCs w:val="24"/>
        </w:rPr>
      </w:pPr>
    </w:p>
    <w:p w14:paraId="3D1D7964" w14:textId="77777777" w:rsidR="00361962" w:rsidRPr="00BD437F" w:rsidRDefault="00361962" w:rsidP="00BD437F">
      <w:pPr>
        <w:jc w:val="center"/>
        <w:rPr>
          <w:rFonts w:cs="Times New Roman"/>
          <w:b/>
          <w:bCs w:val="0"/>
          <w:szCs w:val="24"/>
        </w:rPr>
      </w:pPr>
    </w:p>
    <w:p w14:paraId="19001E3B" w14:textId="77777777" w:rsidR="00361962" w:rsidRPr="00BD437F" w:rsidRDefault="00361962" w:rsidP="00BD437F">
      <w:pPr>
        <w:jc w:val="center"/>
        <w:rPr>
          <w:rFonts w:cs="Times New Roman"/>
          <w:b/>
          <w:bCs w:val="0"/>
          <w:szCs w:val="24"/>
        </w:rPr>
      </w:pPr>
    </w:p>
    <w:p w14:paraId="3ED61FA5" w14:textId="7DE742C2" w:rsidR="00361962" w:rsidRDefault="006E6F23" w:rsidP="00BD437F">
      <w:pPr>
        <w:jc w:val="center"/>
        <w:rPr>
          <w:rFonts w:cs="Times New Roman"/>
          <w:b/>
          <w:bCs w:val="0"/>
          <w:szCs w:val="24"/>
        </w:rPr>
      </w:pPr>
      <w:r>
        <w:rPr>
          <w:rFonts w:cs="Times New Roman"/>
          <w:b/>
          <w:bCs w:val="0"/>
          <w:szCs w:val="24"/>
        </w:rPr>
        <w:t xml:space="preserve">Student Name: Gurleen </w:t>
      </w:r>
      <w:proofErr w:type="spellStart"/>
      <w:r>
        <w:rPr>
          <w:rFonts w:cs="Times New Roman"/>
          <w:b/>
          <w:bCs w:val="0"/>
          <w:szCs w:val="24"/>
        </w:rPr>
        <w:t>kaur</w:t>
      </w:r>
      <w:proofErr w:type="spellEnd"/>
    </w:p>
    <w:p w14:paraId="20B9DCD8" w14:textId="155A1CF8" w:rsidR="006E6F23" w:rsidRPr="00BD437F" w:rsidRDefault="006E6F23" w:rsidP="006E6F23">
      <w:pPr>
        <w:jc w:val="center"/>
        <w:rPr>
          <w:rFonts w:cs="Times New Roman"/>
          <w:b/>
          <w:bCs w:val="0"/>
          <w:szCs w:val="24"/>
        </w:rPr>
      </w:pPr>
      <w:r>
        <w:rPr>
          <w:rFonts w:cs="Times New Roman"/>
          <w:b/>
          <w:bCs w:val="0"/>
          <w:szCs w:val="24"/>
        </w:rPr>
        <w:t>Student: 2129497</w:t>
      </w:r>
    </w:p>
    <w:p w14:paraId="0CC0C2C5" w14:textId="77777777" w:rsidR="00361962" w:rsidRPr="00BD437F" w:rsidRDefault="00361962" w:rsidP="00BD437F">
      <w:pPr>
        <w:jc w:val="center"/>
        <w:rPr>
          <w:rFonts w:cs="Times New Roman"/>
          <w:b/>
          <w:bCs w:val="0"/>
          <w:szCs w:val="24"/>
        </w:rPr>
      </w:pPr>
      <w:r w:rsidRPr="00BD437F">
        <w:rPr>
          <w:rFonts w:cs="Times New Roman"/>
          <w:b/>
          <w:bCs w:val="0"/>
          <w:szCs w:val="24"/>
        </w:rPr>
        <w:t>Module: International Financial Management</w:t>
      </w:r>
    </w:p>
    <w:p w14:paraId="1165D89F" w14:textId="77777777" w:rsidR="006E6F23" w:rsidRDefault="00361962" w:rsidP="00BD437F">
      <w:pPr>
        <w:jc w:val="center"/>
        <w:rPr>
          <w:rFonts w:cs="Times New Roman"/>
          <w:b/>
          <w:bCs w:val="0"/>
          <w:szCs w:val="24"/>
        </w:rPr>
      </w:pPr>
      <w:r w:rsidRPr="00BD437F">
        <w:rPr>
          <w:rFonts w:cs="Times New Roman"/>
          <w:b/>
          <w:bCs w:val="0"/>
          <w:szCs w:val="24"/>
        </w:rPr>
        <w:t xml:space="preserve">Module Code: LCBB6002 </w:t>
      </w:r>
    </w:p>
    <w:p w14:paraId="1583CE49" w14:textId="6C75E014" w:rsidR="00361962" w:rsidRPr="00BD437F" w:rsidRDefault="006E6F23" w:rsidP="00BD437F">
      <w:pPr>
        <w:jc w:val="center"/>
        <w:rPr>
          <w:rFonts w:cs="Times New Roman"/>
          <w:b/>
          <w:bCs w:val="0"/>
          <w:szCs w:val="24"/>
        </w:rPr>
      </w:pPr>
      <w:r>
        <w:rPr>
          <w:rFonts w:cs="Times New Roman"/>
          <w:b/>
          <w:bCs w:val="0"/>
          <w:szCs w:val="24"/>
        </w:rPr>
        <w:t xml:space="preserve">Lecturer Name: Andry </w:t>
      </w:r>
      <w:proofErr w:type="spellStart"/>
      <w:r>
        <w:rPr>
          <w:rFonts w:cs="Times New Roman"/>
          <w:b/>
          <w:bCs w:val="0"/>
          <w:szCs w:val="24"/>
        </w:rPr>
        <w:t>Rakotovololana</w:t>
      </w:r>
      <w:proofErr w:type="spellEnd"/>
      <w:r w:rsidR="00361962" w:rsidRPr="00BD437F">
        <w:rPr>
          <w:rFonts w:cs="Times New Roman"/>
          <w:b/>
          <w:bCs w:val="0"/>
          <w:szCs w:val="24"/>
        </w:rPr>
        <w:br w:type="page"/>
      </w:r>
    </w:p>
    <w:sdt>
      <w:sdtPr>
        <w:rPr>
          <w:rFonts w:ascii="Times New Roman" w:eastAsiaTheme="minorHAnsi" w:hAnsi="Times New Roman" w:cs="Times New Roman"/>
          <w:bCs/>
          <w:color w:val="auto"/>
          <w:kern w:val="2"/>
          <w:sz w:val="24"/>
          <w:szCs w:val="24"/>
          <w14:ligatures w14:val="standardContextual"/>
        </w:rPr>
        <w:id w:val="1073933384"/>
        <w:docPartObj>
          <w:docPartGallery w:val="Table of Contents"/>
          <w:docPartUnique/>
        </w:docPartObj>
      </w:sdtPr>
      <w:sdtEndPr>
        <w:rPr>
          <w:b/>
          <w:noProof/>
        </w:rPr>
      </w:sdtEndPr>
      <w:sdtContent>
        <w:p w14:paraId="1ABA6E9E" w14:textId="32BD375C" w:rsidR="00BD437F" w:rsidRPr="00BD437F" w:rsidRDefault="00BD437F" w:rsidP="00BD437F">
          <w:pPr>
            <w:pStyle w:val="TOCHeading"/>
            <w:spacing w:line="480" w:lineRule="auto"/>
            <w:rPr>
              <w:rFonts w:ascii="Times New Roman" w:hAnsi="Times New Roman" w:cs="Times New Roman"/>
              <w:b/>
              <w:bCs/>
              <w:color w:val="auto"/>
              <w:sz w:val="24"/>
              <w:szCs w:val="24"/>
            </w:rPr>
          </w:pPr>
          <w:r w:rsidRPr="00BD437F">
            <w:rPr>
              <w:rFonts w:ascii="Times New Roman" w:hAnsi="Times New Roman" w:cs="Times New Roman"/>
              <w:b/>
              <w:bCs/>
              <w:color w:val="auto"/>
              <w:sz w:val="24"/>
              <w:szCs w:val="24"/>
            </w:rPr>
            <w:t>Table of Contents</w:t>
          </w:r>
        </w:p>
        <w:p w14:paraId="30B7E52E" w14:textId="6724A4FB" w:rsidR="00BD437F" w:rsidRPr="00BD437F" w:rsidRDefault="00BD437F" w:rsidP="00BD437F">
          <w:pPr>
            <w:pStyle w:val="TOC1"/>
            <w:tabs>
              <w:tab w:val="left" w:pos="440"/>
              <w:tab w:val="right" w:leader="dot" w:pos="9016"/>
            </w:tabs>
            <w:rPr>
              <w:rFonts w:cs="Times New Roman"/>
              <w:noProof/>
              <w:szCs w:val="24"/>
            </w:rPr>
          </w:pPr>
          <w:r w:rsidRPr="00BD437F">
            <w:rPr>
              <w:rFonts w:cs="Times New Roman"/>
              <w:szCs w:val="24"/>
            </w:rPr>
            <w:fldChar w:fldCharType="begin"/>
          </w:r>
          <w:r w:rsidRPr="00BD437F">
            <w:rPr>
              <w:rFonts w:cs="Times New Roman"/>
              <w:szCs w:val="24"/>
            </w:rPr>
            <w:instrText xml:space="preserve"> TOC \o "1-3" \h \z \u </w:instrText>
          </w:r>
          <w:r w:rsidRPr="00BD437F">
            <w:rPr>
              <w:rFonts w:cs="Times New Roman"/>
              <w:szCs w:val="24"/>
            </w:rPr>
            <w:fldChar w:fldCharType="separate"/>
          </w:r>
          <w:hyperlink w:anchor="_Toc174781619" w:history="1">
            <w:r w:rsidRPr="00BD437F">
              <w:rPr>
                <w:rStyle w:val="Hyperlink"/>
                <w:rFonts w:cs="Times New Roman"/>
                <w:noProof/>
                <w:color w:val="auto"/>
                <w:szCs w:val="24"/>
              </w:rPr>
              <w:t>1.</w:t>
            </w:r>
            <w:r w:rsidRPr="00BD437F">
              <w:rPr>
                <w:rFonts w:cs="Times New Roman"/>
                <w:noProof/>
                <w:szCs w:val="24"/>
              </w:rPr>
              <w:tab/>
            </w:r>
            <w:r w:rsidRPr="00BD437F">
              <w:rPr>
                <w:rStyle w:val="Hyperlink"/>
                <w:rFonts w:cs="Times New Roman"/>
                <w:noProof/>
                <w:color w:val="auto"/>
                <w:szCs w:val="24"/>
              </w:rPr>
              <w:t>Introduction</w:t>
            </w:r>
            <w:r w:rsidRPr="00BD437F">
              <w:rPr>
                <w:rFonts w:cs="Times New Roman"/>
                <w:noProof/>
                <w:webHidden/>
                <w:szCs w:val="24"/>
              </w:rPr>
              <w:tab/>
            </w:r>
            <w:r w:rsidRPr="00BD437F">
              <w:rPr>
                <w:rFonts w:cs="Times New Roman"/>
                <w:noProof/>
                <w:webHidden/>
                <w:szCs w:val="24"/>
              </w:rPr>
              <w:fldChar w:fldCharType="begin"/>
            </w:r>
            <w:r w:rsidRPr="00BD437F">
              <w:rPr>
                <w:rFonts w:cs="Times New Roman"/>
                <w:noProof/>
                <w:webHidden/>
                <w:szCs w:val="24"/>
              </w:rPr>
              <w:instrText xml:space="preserve"> PAGEREF _Toc174781619 \h </w:instrText>
            </w:r>
            <w:r w:rsidRPr="00BD437F">
              <w:rPr>
                <w:rFonts w:cs="Times New Roman"/>
                <w:noProof/>
                <w:webHidden/>
                <w:szCs w:val="24"/>
              </w:rPr>
            </w:r>
            <w:r w:rsidRPr="00BD437F">
              <w:rPr>
                <w:rFonts w:cs="Times New Roman"/>
                <w:noProof/>
                <w:webHidden/>
                <w:szCs w:val="24"/>
              </w:rPr>
              <w:fldChar w:fldCharType="separate"/>
            </w:r>
            <w:r w:rsidRPr="00BD437F">
              <w:rPr>
                <w:rFonts w:cs="Times New Roman"/>
                <w:noProof/>
                <w:webHidden/>
                <w:szCs w:val="24"/>
              </w:rPr>
              <w:t>3</w:t>
            </w:r>
            <w:r w:rsidRPr="00BD437F">
              <w:rPr>
                <w:rFonts w:cs="Times New Roman"/>
                <w:noProof/>
                <w:webHidden/>
                <w:szCs w:val="24"/>
              </w:rPr>
              <w:fldChar w:fldCharType="end"/>
            </w:r>
          </w:hyperlink>
        </w:p>
        <w:p w14:paraId="19DFF21A" w14:textId="4C3200B7" w:rsidR="00BD437F" w:rsidRPr="00BD437F" w:rsidRDefault="00000000" w:rsidP="00BD437F">
          <w:pPr>
            <w:pStyle w:val="TOC1"/>
            <w:tabs>
              <w:tab w:val="left" w:pos="440"/>
              <w:tab w:val="right" w:leader="dot" w:pos="9016"/>
            </w:tabs>
            <w:rPr>
              <w:rFonts w:cs="Times New Roman"/>
              <w:noProof/>
              <w:szCs w:val="24"/>
            </w:rPr>
          </w:pPr>
          <w:hyperlink w:anchor="_Toc174781620" w:history="1">
            <w:r w:rsidR="00BD437F" w:rsidRPr="00BD437F">
              <w:rPr>
                <w:rStyle w:val="Hyperlink"/>
                <w:rFonts w:cs="Times New Roman"/>
                <w:noProof/>
                <w:color w:val="auto"/>
                <w:szCs w:val="24"/>
              </w:rPr>
              <w:t>2.</w:t>
            </w:r>
            <w:r w:rsidR="00BD437F" w:rsidRPr="00BD437F">
              <w:rPr>
                <w:rFonts w:cs="Times New Roman"/>
                <w:noProof/>
                <w:szCs w:val="24"/>
              </w:rPr>
              <w:tab/>
            </w:r>
            <w:r w:rsidR="00BD437F" w:rsidRPr="00BD437F">
              <w:rPr>
                <w:rStyle w:val="Hyperlink"/>
                <w:rFonts w:cs="Times New Roman"/>
                <w:noProof/>
                <w:color w:val="auto"/>
                <w:szCs w:val="24"/>
              </w:rPr>
              <w:t>Foreign Exchange Risk and Hedging Techniques</w:t>
            </w:r>
            <w:r w:rsidR="00BD437F" w:rsidRPr="00BD437F">
              <w:rPr>
                <w:rFonts w:cs="Times New Roman"/>
                <w:noProof/>
                <w:webHidden/>
                <w:szCs w:val="24"/>
              </w:rPr>
              <w:tab/>
            </w:r>
            <w:r w:rsidR="00BD437F" w:rsidRPr="00BD437F">
              <w:rPr>
                <w:rFonts w:cs="Times New Roman"/>
                <w:noProof/>
                <w:webHidden/>
                <w:szCs w:val="24"/>
              </w:rPr>
              <w:fldChar w:fldCharType="begin"/>
            </w:r>
            <w:r w:rsidR="00BD437F" w:rsidRPr="00BD437F">
              <w:rPr>
                <w:rFonts w:cs="Times New Roman"/>
                <w:noProof/>
                <w:webHidden/>
                <w:szCs w:val="24"/>
              </w:rPr>
              <w:instrText xml:space="preserve"> PAGEREF _Toc174781620 \h </w:instrText>
            </w:r>
            <w:r w:rsidR="00BD437F" w:rsidRPr="00BD437F">
              <w:rPr>
                <w:rFonts w:cs="Times New Roman"/>
                <w:noProof/>
                <w:webHidden/>
                <w:szCs w:val="24"/>
              </w:rPr>
            </w:r>
            <w:r w:rsidR="00BD437F" w:rsidRPr="00BD437F">
              <w:rPr>
                <w:rFonts w:cs="Times New Roman"/>
                <w:noProof/>
                <w:webHidden/>
                <w:szCs w:val="24"/>
              </w:rPr>
              <w:fldChar w:fldCharType="separate"/>
            </w:r>
            <w:r w:rsidR="00BD437F" w:rsidRPr="00BD437F">
              <w:rPr>
                <w:rFonts w:cs="Times New Roman"/>
                <w:noProof/>
                <w:webHidden/>
                <w:szCs w:val="24"/>
              </w:rPr>
              <w:t>3</w:t>
            </w:r>
            <w:r w:rsidR="00BD437F" w:rsidRPr="00BD437F">
              <w:rPr>
                <w:rFonts w:cs="Times New Roman"/>
                <w:noProof/>
                <w:webHidden/>
                <w:szCs w:val="24"/>
              </w:rPr>
              <w:fldChar w:fldCharType="end"/>
            </w:r>
          </w:hyperlink>
        </w:p>
        <w:p w14:paraId="3F57817F" w14:textId="16841EC1" w:rsidR="00BD437F" w:rsidRPr="00BD437F" w:rsidRDefault="00000000" w:rsidP="00BD437F">
          <w:pPr>
            <w:pStyle w:val="TOC1"/>
            <w:tabs>
              <w:tab w:val="left" w:pos="440"/>
              <w:tab w:val="right" w:leader="dot" w:pos="9016"/>
            </w:tabs>
            <w:rPr>
              <w:rFonts w:cs="Times New Roman"/>
              <w:noProof/>
              <w:szCs w:val="24"/>
            </w:rPr>
          </w:pPr>
          <w:hyperlink w:anchor="_Toc174781621" w:history="1">
            <w:r w:rsidR="00BD437F" w:rsidRPr="00BD437F">
              <w:rPr>
                <w:rStyle w:val="Hyperlink"/>
                <w:rFonts w:cs="Times New Roman"/>
                <w:noProof/>
                <w:color w:val="auto"/>
                <w:szCs w:val="24"/>
              </w:rPr>
              <w:t>3.</w:t>
            </w:r>
            <w:r w:rsidR="00BD437F" w:rsidRPr="00BD437F">
              <w:rPr>
                <w:rFonts w:cs="Times New Roman"/>
                <w:noProof/>
                <w:szCs w:val="24"/>
              </w:rPr>
              <w:tab/>
            </w:r>
            <w:r w:rsidR="00BD437F" w:rsidRPr="00BD437F">
              <w:rPr>
                <w:rStyle w:val="Hyperlink"/>
                <w:rFonts w:cs="Times New Roman"/>
                <w:noProof/>
                <w:color w:val="auto"/>
                <w:szCs w:val="24"/>
              </w:rPr>
              <w:t>Critical Analysis of Foreign Exchange Risk Strategies</w:t>
            </w:r>
            <w:r w:rsidR="00BD437F" w:rsidRPr="00BD437F">
              <w:rPr>
                <w:rFonts w:cs="Times New Roman"/>
                <w:noProof/>
                <w:webHidden/>
                <w:szCs w:val="24"/>
              </w:rPr>
              <w:tab/>
            </w:r>
            <w:r w:rsidR="00BD437F" w:rsidRPr="00BD437F">
              <w:rPr>
                <w:rFonts w:cs="Times New Roman"/>
                <w:noProof/>
                <w:webHidden/>
                <w:szCs w:val="24"/>
              </w:rPr>
              <w:fldChar w:fldCharType="begin"/>
            </w:r>
            <w:r w:rsidR="00BD437F" w:rsidRPr="00BD437F">
              <w:rPr>
                <w:rFonts w:cs="Times New Roman"/>
                <w:noProof/>
                <w:webHidden/>
                <w:szCs w:val="24"/>
              </w:rPr>
              <w:instrText xml:space="preserve"> PAGEREF _Toc174781621 \h </w:instrText>
            </w:r>
            <w:r w:rsidR="00BD437F" w:rsidRPr="00BD437F">
              <w:rPr>
                <w:rFonts w:cs="Times New Roman"/>
                <w:noProof/>
                <w:webHidden/>
                <w:szCs w:val="24"/>
              </w:rPr>
            </w:r>
            <w:r w:rsidR="00BD437F" w:rsidRPr="00BD437F">
              <w:rPr>
                <w:rFonts w:cs="Times New Roman"/>
                <w:noProof/>
                <w:webHidden/>
                <w:szCs w:val="24"/>
              </w:rPr>
              <w:fldChar w:fldCharType="separate"/>
            </w:r>
            <w:r w:rsidR="00BD437F" w:rsidRPr="00BD437F">
              <w:rPr>
                <w:rFonts w:cs="Times New Roman"/>
                <w:noProof/>
                <w:webHidden/>
                <w:szCs w:val="24"/>
              </w:rPr>
              <w:t>4</w:t>
            </w:r>
            <w:r w:rsidR="00BD437F" w:rsidRPr="00BD437F">
              <w:rPr>
                <w:rFonts w:cs="Times New Roman"/>
                <w:noProof/>
                <w:webHidden/>
                <w:szCs w:val="24"/>
              </w:rPr>
              <w:fldChar w:fldCharType="end"/>
            </w:r>
          </w:hyperlink>
        </w:p>
        <w:p w14:paraId="1B0FCBDE" w14:textId="03FD75E4" w:rsidR="00BD437F" w:rsidRPr="00BD437F" w:rsidRDefault="00000000" w:rsidP="00BD437F">
          <w:pPr>
            <w:pStyle w:val="TOC1"/>
            <w:tabs>
              <w:tab w:val="left" w:pos="440"/>
              <w:tab w:val="right" w:leader="dot" w:pos="9016"/>
            </w:tabs>
            <w:rPr>
              <w:rFonts w:cs="Times New Roman"/>
              <w:noProof/>
              <w:szCs w:val="24"/>
            </w:rPr>
          </w:pPr>
          <w:hyperlink w:anchor="_Toc174781622" w:history="1">
            <w:r w:rsidR="00BD437F" w:rsidRPr="00BD437F">
              <w:rPr>
                <w:rStyle w:val="Hyperlink"/>
                <w:rFonts w:cs="Times New Roman"/>
                <w:noProof/>
                <w:color w:val="auto"/>
                <w:szCs w:val="24"/>
                <w:lang w:val="en-IN"/>
              </w:rPr>
              <w:t>4.</w:t>
            </w:r>
            <w:r w:rsidR="00BD437F" w:rsidRPr="00BD437F">
              <w:rPr>
                <w:rFonts w:cs="Times New Roman"/>
                <w:noProof/>
                <w:szCs w:val="24"/>
              </w:rPr>
              <w:tab/>
            </w:r>
            <w:r w:rsidR="00BD437F" w:rsidRPr="00BD437F">
              <w:rPr>
                <w:rStyle w:val="Hyperlink"/>
                <w:rFonts w:cs="Times New Roman"/>
                <w:noProof/>
                <w:color w:val="auto"/>
                <w:szCs w:val="24"/>
                <w:lang w:val="en-IN"/>
              </w:rPr>
              <w:t>Conclusion</w:t>
            </w:r>
            <w:r w:rsidR="00BD437F" w:rsidRPr="00BD437F">
              <w:rPr>
                <w:rFonts w:cs="Times New Roman"/>
                <w:noProof/>
                <w:webHidden/>
                <w:szCs w:val="24"/>
              </w:rPr>
              <w:tab/>
            </w:r>
            <w:r w:rsidR="00BD437F" w:rsidRPr="00BD437F">
              <w:rPr>
                <w:rFonts w:cs="Times New Roman"/>
                <w:noProof/>
                <w:webHidden/>
                <w:szCs w:val="24"/>
              </w:rPr>
              <w:fldChar w:fldCharType="begin"/>
            </w:r>
            <w:r w:rsidR="00BD437F" w:rsidRPr="00BD437F">
              <w:rPr>
                <w:rFonts w:cs="Times New Roman"/>
                <w:noProof/>
                <w:webHidden/>
                <w:szCs w:val="24"/>
              </w:rPr>
              <w:instrText xml:space="preserve"> PAGEREF _Toc174781622 \h </w:instrText>
            </w:r>
            <w:r w:rsidR="00BD437F" w:rsidRPr="00BD437F">
              <w:rPr>
                <w:rFonts w:cs="Times New Roman"/>
                <w:noProof/>
                <w:webHidden/>
                <w:szCs w:val="24"/>
              </w:rPr>
            </w:r>
            <w:r w:rsidR="00BD437F" w:rsidRPr="00BD437F">
              <w:rPr>
                <w:rFonts w:cs="Times New Roman"/>
                <w:noProof/>
                <w:webHidden/>
                <w:szCs w:val="24"/>
              </w:rPr>
              <w:fldChar w:fldCharType="separate"/>
            </w:r>
            <w:r w:rsidR="00BD437F" w:rsidRPr="00BD437F">
              <w:rPr>
                <w:rFonts w:cs="Times New Roman"/>
                <w:noProof/>
                <w:webHidden/>
                <w:szCs w:val="24"/>
              </w:rPr>
              <w:t>7</w:t>
            </w:r>
            <w:r w:rsidR="00BD437F" w:rsidRPr="00BD437F">
              <w:rPr>
                <w:rFonts w:cs="Times New Roman"/>
                <w:noProof/>
                <w:webHidden/>
                <w:szCs w:val="24"/>
              </w:rPr>
              <w:fldChar w:fldCharType="end"/>
            </w:r>
          </w:hyperlink>
        </w:p>
        <w:p w14:paraId="480CB83F" w14:textId="08908E59" w:rsidR="00BD437F" w:rsidRPr="00BD437F" w:rsidRDefault="00000000" w:rsidP="00BD437F">
          <w:pPr>
            <w:pStyle w:val="TOC1"/>
            <w:tabs>
              <w:tab w:val="left" w:pos="440"/>
              <w:tab w:val="right" w:leader="dot" w:pos="9016"/>
            </w:tabs>
            <w:rPr>
              <w:rFonts w:cs="Times New Roman"/>
              <w:noProof/>
              <w:szCs w:val="24"/>
            </w:rPr>
          </w:pPr>
          <w:hyperlink w:anchor="_Toc174781623" w:history="1">
            <w:r w:rsidR="00BD437F" w:rsidRPr="00BD437F">
              <w:rPr>
                <w:rStyle w:val="Hyperlink"/>
                <w:rFonts w:cs="Times New Roman"/>
                <w:noProof/>
                <w:color w:val="auto"/>
                <w:szCs w:val="24"/>
              </w:rPr>
              <w:t>5.</w:t>
            </w:r>
            <w:r w:rsidR="00BD437F" w:rsidRPr="00BD437F">
              <w:rPr>
                <w:rFonts w:cs="Times New Roman"/>
                <w:noProof/>
                <w:szCs w:val="24"/>
              </w:rPr>
              <w:tab/>
            </w:r>
            <w:r w:rsidR="00BD437F" w:rsidRPr="00BD437F">
              <w:rPr>
                <w:rStyle w:val="Hyperlink"/>
                <w:rFonts w:cs="Times New Roman"/>
                <w:noProof/>
                <w:color w:val="auto"/>
                <w:szCs w:val="24"/>
              </w:rPr>
              <w:t>References</w:t>
            </w:r>
            <w:r w:rsidR="00BD437F" w:rsidRPr="00BD437F">
              <w:rPr>
                <w:rFonts w:cs="Times New Roman"/>
                <w:noProof/>
                <w:webHidden/>
                <w:szCs w:val="24"/>
              </w:rPr>
              <w:tab/>
            </w:r>
            <w:r w:rsidR="00BD437F" w:rsidRPr="00BD437F">
              <w:rPr>
                <w:rFonts w:cs="Times New Roman"/>
                <w:noProof/>
                <w:webHidden/>
                <w:szCs w:val="24"/>
              </w:rPr>
              <w:fldChar w:fldCharType="begin"/>
            </w:r>
            <w:r w:rsidR="00BD437F" w:rsidRPr="00BD437F">
              <w:rPr>
                <w:rFonts w:cs="Times New Roman"/>
                <w:noProof/>
                <w:webHidden/>
                <w:szCs w:val="24"/>
              </w:rPr>
              <w:instrText xml:space="preserve"> PAGEREF _Toc174781623 \h </w:instrText>
            </w:r>
            <w:r w:rsidR="00BD437F" w:rsidRPr="00BD437F">
              <w:rPr>
                <w:rFonts w:cs="Times New Roman"/>
                <w:noProof/>
                <w:webHidden/>
                <w:szCs w:val="24"/>
              </w:rPr>
            </w:r>
            <w:r w:rsidR="00BD437F" w:rsidRPr="00BD437F">
              <w:rPr>
                <w:rFonts w:cs="Times New Roman"/>
                <w:noProof/>
                <w:webHidden/>
                <w:szCs w:val="24"/>
              </w:rPr>
              <w:fldChar w:fldCharType="separate"/>
            </w:r>
            <w:r w:rsidR="00BD437F" w:rsidRPr="00BD437F">
              <w:rPr>
                <w:rFonts w:cs="Times New Roman"/>
                <w:noProof/>
                <w:webHidden/>
                <w:szCs w:val="24"/>
              </w:rPr>
              <w:t>8</w:t>
            </w:r>
            <w:r w:rsidR="00BD437F" w:rsidRPr="00BD437F">
              <w:rPr>
                <w:rFonts w:cs="Times New Roman"/>
                <w:noProof/>
                <w:webHidden/>
                <w:szCs w:val="24"/>
              </w:rPr>
              <w:fldChar w:fldCharType="end"/>
            </w:r>
          </w:hyperlink>
        </w:p>
        <w:p w14:paraId="7D3263D5" w14:textId="2CB18EBA" w:rsidR="00BD437F" w:rsidRPr="00BD437F" w:rsidRDefault="00BD437F" w:rsidP="00BD437F">
          <w:pPr>
            <w:rPr>
              <w:rFonts w:cs="Times New Roman"/>
              <w:szCs w:val="24"/>
            </w:rPr>
          </w:pPr>
          <w:r w:rsidRPr="00BD437F">
            <w:rPr>
              <w:rFonts w:cs="Times New Roman"/>
              <w:b/>
              <w:noProof/>
              <w:szCs w:val="24"/>
            </w:rPr>
            <w:fldChar w:fldCharType="end"/>
          </w:r>
        </w:p>
      </w:sdtContent>
    </w:sdt>
    <w:p w14:paraId="783CA69B" w14:textId="77777777" w:rsidR="00BD437F" w:rsidRPr="00BD437F" w:rsidRDefault="00BD437F" w:rsidP="00BD437F">
      <w:pPr>
        <w:rPr>
          <w:rFonts w:cs="Times New Roman"/>
          <w:b/>
          <w:bCs w:val="0"/>
          <w:szCs w:val="24"/>
        </w:rPr>
      </w:pPr>
      <w:r w:rsidRPr="00BD437F">
        <w:rPr>
          <w:rFonts w:cs="Times New Roman"/>
          <w:szCs w:val="24"/>
        </w:rPr>
        <w:br w:type="page"/>
      </w:r>
    </w:p>
    <w:p w14:paraId="5C040ABA" w14:textId="1965FA36" w:rsidR="00D7717D" w:rsidRPr="00BD437F" w:rsidRDefault="00D7717D" w:rsidP="00BD437F">
      <w:pPr>
        <w:pStyle w:val="Heading1"/>
        <w:rPr>
          <w:rFonts w:cs="Times New Roman"/>
          <w:szCs w:val="24"/>
        </w:rPr>
      </w:pPr>
      <w:bookmarkStart w:id="0" w:name="_Toc174781619"/>
      <w:r w:rsidRPr="00BD437F">
        <w:rPr>
          <w:rFonts w:cs="Times New Roman"/>
          <w:szCs w:val="24"/>
        </w:rPr>
        <w:lastRenderedPageBreak/>
        <w:t>Introduction</w:t>
      </w:r>
      <w:bookmarkEnd w:id="0"/>
    </w:p>
    <w:p w14:paraId="7EFDC13E" w14:textId="3C85CB9C" w:rsidR="005B0DCD" w:rsidRPr="00BD437F" w:rsidRDefault="005067DB" w:rsidP="00BD437F">
      <w:pPr>
        <w:rPr>
          <w:rFonts w:cs="Times New Roman"/>
          <w:szCs w:val="24"/>
        </w:rPr>
      </w:pPr>
      <w:r w:rsidRPr="00BD437F">
        <w:rPr>
          <w:rFonts w:cs="Times New Roman"/>
          <w:szCs w:val="24"/>
        </w:rPr>
        <w:t xml:space="preserve">This report evaluates </w:t>
      </w:r>
      <w:r w:rsidR="006E1FF7" w:rsidRPr="00BD437F">
        <w:rPr>
          <w:rFonts w:cs="Times New Roman"/>
          <w:szCs w:val="24"/>
        </w:rPr>
        <w:t xml:space="preserve">different strategies </w:t>
      </w:r>
      <w:r w:rsidR="00275C4C" w:rsidRPr="00BD437F">
        <w:rPr>
          <w:rFonts w:cs="Times New Roman"/>
          <w:szCs w:val="24"/>
        </w:rPr>
        <w:t xml:space="preserve">to manage exposure to foreign exchange risks by multinational corporations. The report evaluates the effectiveness of adopted hedging techniques to manage foreign exchange risks. </w:t>
      </w:r>
      <w:r w:rsidR="00B06C4B" w:rsidRPr="00BD437F">
        <w:rPr>
          <w:rFonts w:cs="Times New Roman"/>
          <w:szCs w:val="24"/>
        </w:rPr>
        <w:t>M</w:t>
      </w:r>
      <w:r w:rsidR="00275C4C" w:rsidRPr="00BD437F">
        <w:rPr>
          <w:rFonts w:cs="Times New Roman"/>
          <w:szCs w:val="24"/>
        </w:rPr>
        <w:t xml:space="preserve">ultinational corporations </w:t>
      </w:r>
      <w:proofErr w:type="gramStart"/>
      <w:r w:rsidR="00275C4C" w:rsidRPr="00BD437F">
        <w:rPr>
          <w:rFonts w:cs="Times New Roman"/>
          <w:szCs w:val="24"/>
        </w:rPr>
        <w:t>have to</w:t>
      </w:r>
      <w:proofErr w:type="gramEnd"/>
      <w:r w:rsidR="00275C4C" w:rsidRPr="00BD437F">
        <w:rPr>
          <w:rFonts w:cs="Times New Roman"/>
          <w:szCs w:val="24"/>
        </w:rPr>
        <w:t xml:space="preserve"> make their transactions in foreign currencies resulting in exposure to foreign exchange rate fluctuation that can affect their profitability and </w:t>
      </w:r>
      <w:r w:rsidR="00B06C4B" w:rsidRPr="00BD437F">
        <w:rPr>
          <w:rFonts w:cs="Times New Roman"/>
          <w:szCs w:val="24"/>
        </w:rPr>
        <w:t xml:space="preserve">value of assets. </w:t>
      </w:r>
      <w:r w:rsidR="00361962" w:rsidRPr="00BD437F">
        <w:rPr>
          <w:rFonts w:cs="Times New Roman"/>
          <w:szCs w:val="24"/>
        </w:rPr>
        <w:t xml:space="preserve">The effectiveness of strategies used by firms is evaluated by considering some large multinational companies to see the importance of foreign exchange risk hedging strategies. </w:t>
      </w:r>
    </w:p>
    <w:p w14:paraId="1F3BA8EF" w14:textId="1230E3A7" w:rsidR="00C4419F" w:rsidRPr="00BD437F" w:rsidRDefault="00E2469C" w:rsidP="00BD437F">
      <w:pPr>
        <w:pStyle w:val="Heading1"/>
        <w:rPr>
          <w:rFonts w:cs="Times New Roman"/>
          <w:szCs w:val="24"/>
        </w:rPr>
      </w:pPr>
      <w:bookmarkStart w:id="1" w:name="_Toc174781620"/>
      <w:r w:rsidRPr="00BD437F">
        <w:rPr>
          <w:rFonts w:cs="Times New Roman"/>
          <w:szCs w:val="24"/>
        </w:rPr>
        <w:t xml:space="preserve">Foreign Exchange </w:t>
      </w:r>
      <w:r w:rsidR="005B0DCD" w:rsidRPr="00BD437F">
        <w:rPr>
          <w:rFonts w:cs="Times New Roman"/>
          <w:szCs w:val="24"/>
        </w:rPr>
        <w:t xml:space="preserve">Risk </w:t>
      </w:r>
      <w:r w:rsidR="00C561D9" w:rsidRPr="00BD437F">
        <w:rPr>
          <w:rFonts w:cs="Times New Roman"/>
          <w:szCs w:val="24"/>
        </w:rPr>
        <w:t>and Hedging Techniques</w:t>
      </w:r>
      <w:bookmarkEnd w:id="1"/>
    </w:p>
    <w:p w14:paraId="18251E4A" w14:textId="4E33C236" w:rsidR="00D84D9A" w:rsidRPr="00BD437F" w:rsidRDefault="000D6119" w:rsidP="00BD437F">
      <w:pPr>
        <w:rPr>
          <w:rFonts w:cs="Times New Roman"/>
          <w:szCs w:val="24"/>
        </w:rPr>
      </w:pPr>
      <w:r w:rsidRPr="00BD437F">
        <w:rPr>
          <w:rFonts w:cs="Times New Roman"/>
          <w:szCs w:val="24"/>
        </w:rPr>
        <w:t xml:space="preserve">The </w:t>
      </w:r>
      <w:r w:rsidR="00720A83" w:rsidRPr="00BD437F">
        <w:rPr>
          <w:rFonts w:cs="Times New Roman"/>
          <w:szCs w:val="24"/>
        </w:rPr>
        <w:t xml:space="preserve">exchange rate risk </w:t>
      </w:r>
      <w:r w:rsidR="00373576" w:rsidRPr="00BD437F">
        <w:rPr>
          <w:rFonts w:cs="Times New Roman"/>
          <w:szCs w:val="24"/>
        </w:rPr>
        <w:t>exposure</w:t>
      </w:r>
      <w:r w:rsidRPr="00BD437F">
        <w:rPr>
          <w:rFonts w:cs="Times New Roman"/>
          <w:szCs w:val="24"/>
        </w:rPr>
        <w:t xml:space="preserve"> measurement and management</w:t>
      </w:r>
      <w:r w:rsidR="00720A83" w:rsidRPr="00BD437F">
        <w:rPr>
          <w:rFonts w:cs="Times New Roman"/>
          <w:szCs w:val="24"/>
        </w:rPr>
        <w:t xml:space="preserve"> </w:t>
      </w:r>
      <w:r w:rsidR="006E6746" w:rsidRPr="00BD437F">
        <w:rPr>
          <w:rFonts w:cs="Times New Roman"/>
          <w:szCs w:val="24"/>
        </w:rPr>
        <w:t>are</w:t>
      </w:r>
      <w:r w:rsidR="00720A83" w:rsidRPr="00BD437F">
        <w:rPr>
          <w:rFonts w:cs="Times New Roman"/>
          <w:szCs w:val="24"/>
        </w:rPr>
        <w:t xml:space="preserve"> important for multinational corporations </w:t>
      </w:r>
      <w:r w:rsidR="00354EE0" w:rsidRPr="00BD437F">
        <w:rPr>
          <w:rFonts w:cs="Times New Roman"/>
          <w:szCs w:val="24"/>
        </w:rPr>
        <w:t xml:space="preserve">to reduce their </w:t>
      </w:r>
      <w:r w:rsidR="00192EF0" w:rsidRPr="00BD437F">
        <w:rPr>
          <w:rFonts w:cs="Times New Roman"/>
          <w:szCs w:val="24"/>
        </w:rPr>
        <w:t>vulnerabilities</w:t>
      </w:r>
      <w:r w:rsidR="00A37FFB" w:rsidRPr="00BD437F">
        <w:rPr>
          <w:rFonts w:cs="Times New Roman"/>
          <w:szCs w:val="24"/>
        </w:rPr>
        <w:t xml:space="preserve"> from major exchange rate movements</w:t>
      </w:r>
      <w:r w:rsidR="006E6746" w:rsidRPr="00BD437F">
        <w:rPr>
          <w:rFonts w:cs="Times New Roman"/>
          <w:szCs w:val="24"/>
        </w:rPr>
        <w:t>. This can adversely influence profitability and financial position by affecting</w:t>
      </w:r>
      <w:r w:rsidR="00373576" w:rsidRPr="00BD437F">
        <w:rPr>
          <w:rFonts w:cs="Times New Roman"/>
          <w:szCs w:val="24"/>
        </w:rPr>
        <w:t xml:space="preserve"> the value of</w:t>
      </w:r>
      <w:r w:rsidR="006E6746" w:rsidRPr="00BD437F">
        <w:rPr>
          <w:rFonts w:cs="Times New Roman"/>
          <w:szCs w:val="24"/>
        </w:rPr>
        <w:t xml:space="preserve"> revenue, costs, assets, and liabilities. </w:t>
      </w:r>
      <w:r w:rsidR="00283916" w:rsidRPr="00BD437F">
        <w:rPr>
          <w:rFonts w:cs="Times New Roman"/>
          <w:szCs w:val="24"/>
        </w:rPr>
        <w:t xml:space="preserve">Multinational organisations are </w:t>
      </w:r>
      <w:r w:rsidR="00273663" w:rsidRPr="00BD437F">
        <w:rPr>
          <w:rFonts w:cs="Times New Roman"/>
          <w:szCs w:val="24"/>
        </w:rPr>
        <w:t>members</w:t>
      </w:r>
      <w:r w:rsidR="00283916" w:rsidRPr="00BD437F">
        <w:rPr>
          <w:rFonts w:cs="Times New Roman"/>
          <w:szCs w:val="24"/>
        </w:rPr>
        <w:t xml:space="preserve"> </w:t>
      </w:r>
      <w:r w:rsidR="001D239B" w:rsidRPr="00BD437F">
        <w:rPr>
          <w:rFonts w:cs="Times New Roman"/>
          <w:szCs w:val="24"/>
        </w:rPr>
        <w:t>of</w:t>
      </w:r>
      <w:r w:rsidR="00283916" w:rsidRPr="00BD437F">
        <w:rPr>
          <w:rFonts w:cs="Times New Roman"/>
          <w:szCs w:val="24"/>
        </w:rPr>
        <w:t xml:space="preserve"> currency markets by virtue of their international transactions involving two or more currencies. To</w:t>
      </w:r>
      <w:r w:rsidR="00A10800" w:rsidRPr="00BD437F">
        <w:rPr>
          <w:rFonts w:cs="Times New Roman"/>
          <w:szCs w:val="24"/>
        </w:rPr>
        <w:t xml:space="preserve"> measure and handle exchange rate risk inherent in Multinational organisations</w:t>
      </w:r>
      <w:r w:rsidR="000977FA" w:rsidRPr="00BD437F">
        <w:rPr>
          <w:rFonts w:cs="Times New Roman"/>
          <w:szCs w:val="24"/>
        </w:rPr>
        <w:t xml:space="preserve">, these organisations </w:t>
      </w:r>
      <w:proofErr w:type="gramStart"/>
      <w:r w:rsidR="000977FA" w:rsidRPr="00BD437F">
        <w:rPr>
          <w:rFonts w:cs="Times New Roman"/>
          <w:szCs w:val="24"/>
        </w:rPr>
        <w:t>have to</w:t>
      </w:r>
      <w:proofErr w:type="gramEnd"/>
      <w:r w:rsidR="000977FA" w:rsidRPr="00BD437F">
        <w:rPr>
          <w:rFonts w:cs="Times New Roman"/>
          <w:szCs w:val="24"/>
        </w:rPr>
        <w:t xml:space="preserve"> estimate the particular kind of current risk exposure, suitable hedging strategies and techniques to deal with</w:t>
      </w:r>
      <w:r w:rsidR="003405E4" w:rsidRPr="00BD437F">
        <w:rPr>
          <w:rFonts w:cs="Times New Roman"/>
          <w:szCs w:val="24"/>
        </w:rPr>
        <w:t xml:space="preserve"> foreign exchange risk</w:t>
      </w:r>
      <w:sdt>
        <w:sdtPr>
          <w:rPr>
            <w:rFonts w:cs="Times New Roman"/>
            <w:szCs w:val="24"/>
          </w:rPr>
          <w:id w:val="-732313023"/>
          <w:citation/>
        </w:sdtPr>
        <w:sdtContent>
          <w:r w:rsidR="000C3EF7" w:rsidRPr="00BD437F">
            <w:rPr>
              <w:rFonts w:cs="Times New Roman"/>
              <w:szCs w:val="24"/>
            </w:rPr>
            <w:fldChar w:fldCharType="begin"/>
          </w:r>
          <w:r w:rsidR="000C3EF7" w:rsidRPr="00BD437F">
            <w:rPr>
              <w:rFonts w:cs="Times New Roman"/>
              <w:szCs w:val="24"/>
              <w:lang w:val="en-IN"/>
            </w:rPr>
            <w:instrText xml:space="preserve"> CITATION Pap06 \l 16393 </w:instrText>
          </w:r>
          <w:r w:rsidR="000C3EF7" w:rsidRPr="00BD437F">
            <w:rPr>
              <w:rFonts w:cs="Times New Roman"/>
              <w:szCs w:val="24"/>
            </w:rPr>
            <w:fldChar w:fldCharType="separate"/>
          </w:r>
          <w:r w:rsidR="00245BC0" w:rsidRPr="00BD437F">
            <w:rPr>
              <w:rFonts w:cs="Times New Roman"/>
              <w:noProof/>
              <w:szCs w:val="24"/>
              <w:lang w:val="en-IN"/>
            </w:rPr>
            <w:t xml:space="preserve"> (Papaioannou, 2006)</w:t>
          </w:r>
          <w:r w:rsidR="000C3EF7" w:rsidRPr="00BD437F">
            <w:rPr>
              <w:rFonts w:cs="Times New Roman"/>
              <w:szCs w:val="24"/>
            </w:rPr>
            <w:fldChar w:fldCharType="end"/>
          </w:r>
        </w:sdtContent>
      </w:sdt>
      <w:r w:rsidR="003405E4" w:rsidRPr="00BD437F">
        <w:rPr>
          <w:rFonts w:cs="Times New Roman"/>
          <w:szCs w:val="24"/>
        </w:rPr>
        <w:t>.</w:t>
      </w:r>
    </w:p>
    <w:p w14:paraId="51F9C078" w14:textId="4ACB1AF9" w:rsidR="00C561D9" w:rsidRPr="00BD437F" w:rsidRDefault="00C561D9" w:rsidP="00BD437F">
      <w:pPr>
        <w:rPr>
          <w:rFonts w:cs="Times New Roman"/>
          <w:szCs w:val="24"/>
        </w:rPr>
      </w:pPr>
      <w:r w:rsidRPr="00BD437F">
        <w:rPr>
          <w:rFonts w:cs="Times New Roman"/>
          <w:szCs w:val="24"/>
        </w:rPr>
        <w:t xml:space="preserve">Multinational organisations have several alternatives to select the most suitable one or more hedging techniques such as forward contracts, futures, options, swaps, etc. </w:t>
      </w:r>
      <w:r w:rsidRPr="0000129A">
        <w:rPr>
          <w:rFonts w:cs="Times New Roman"/>
          <w:b/>
          <w:bCs w:val="0"/>
          <w:szCs w:val="24"/>
        </w:rPr>
        <w:t xml:space="preserve">Forward contracts </w:t>
      </w:r>
      <w:r w:rsidRPr="00BD437F">
        <w:rPr>
          <w:rFonts w:cs="Times New Roman"/>
          <w:szCs w:val="24"/>
        </w:rPr>
        <w:t xml:space="preserve">are mostly used by firms to hedge because forward contracts are developed based on the need of the firm. A firm can </w:t>
      </w:r>
      <w:proofErr w:type="gramStart"/>
      <w:r w:rsidRPr="00BD437F">
        <w:rPr>
          <w:rFonts w:cs="Times New Roman"/>
          <w:szCs w:val="24"/>
        </w:rPr>
        <w:t>enter into</w:t>
      </w:r>
      <w:proofErr w:type="gramEnd"/>
      <w:r w:rsidRPr="00BD437F">
        <w:rPr>
          <w:rFonts w:cs="Times New Roman"/>
          <w:szCs w:val="24"/>
        </w:rPr>
        <w:t xml:space="preserve"> a forward contract with another firm by fixing volume, exchange rate, and time providing greater flexibility to both parties. However, this technique has a risk of default for either party.  Futures are tradable and available in the market in standard sizes. A firm can take futures to hedge its foreign exchange risk without an issue of default of a party to the contract. Multinational organisations use options in most cases because options </w:t>
      </w:r>
      <w:r w:rsidRPr="00BD437F">
        <w:rPr>
          <w:rFonts w:cs="Times New Roman"/>
          <w:szCs w:val="24"/>
        </w:rPr>
        <w:lastRenderedPageBreak/>
        <w:t xml:space="preserve">provide the right to use hedging instruments according to market conditions to maximise their performance. </w:t>
      </w:r>
      <w:r w:rsidRPr="0000129A">
        <w:rPr>
          <w:rFonts w:cs="Times New Roman"/>
          <w:b/>
          <w:bCs w:val="0"/>
          <w:szCs w:val="24"/>
        </w:rPr>
        <w:t>Swaps</w:t>
      </w:r>
      <w:r w:rsidRPr="00BD437F">
        <w:rPr>
          <w:rFonts w:cs="Times New Roman"/>
          <w:szCs w:val="24"/>
        </w:rPr>
        <w:t xml:space="preserve"> are also an important hedging technique and multinational organisations use this technique to exchange debts, receivables, interests, etc. in forging currencies to counter unwanted changes in the foreign exchange market</w:t>
      </w:r>
      <w:sdt>
        <w:sdtPr>
          <w:rPr>
            <w:rFonts w:cs="Times New Roman"/>
            <w:szCs w:val="24"/>
          </w:rPr>
          <w:id w:val="-1010598209"/>
          <w:citation/>
        </w:sdtPr>
        <w:sdtContent>
          <w:r w:rsidR="0077553B" w:rsidRPr="00BD437F">
            <w:rPr>
              <w:rFonts w:cs="Times New Roman"/>
              <w:szCs w:val="24"/>
            </w:rPr>
            <w:fldChar w:fldCharType="begin"/>
          </w:r>
          <w:r w:rsidR="0077553B" w:rsidRPr="00BD437F">
            <w:rPr>
              <w:rFonts w:cs="Times New Roman"/>
              <w:szCs w:val="24"/>
              <w:lang w:val="en-IN"/>
            </w:rPr>
            <w:instrText xml:space="preserve">CITATION Bla181 \p 31 \l 16393 </w:instrText>
          </w:r>
          <w:r w:rsidR="0077553B" w:rsidRPr="00BD437F">
            <w:rPr>
              <w:rFonts w:cs="Times New Roman"/>
              <w:szCs w:val="24"/>
            </w:rPr>
            <w:fldChar w:fldCharType="separate"/>
          </w:r>
          <w:r w:rsidR="0077553B" w:rsidRPr="00BD437F">
            <w:rPr>
              <w:rFonts w:cs="Times New Roman"/>
              <w:noProof/>
              <w:szCs w:val="24"/>
              <w:lang w:val="en-IN"/>
            </w:rPr>
            <w:t xml:space="preserve"> (Blanco, et al., 2018, p. 31)</w:t>
          </w:r>
          <w:r w:rsidR="0077553B" w:rsidRPr="00BD437F">
            <w:rPr>
              <w:rFonts w:cs="Times New Roman"/>
              <w:szCs w:val="24"/>
            </w:rPr>
            <w:fldChar w:fldCharType="end"/>
          </w:r>
        </w:sdtContent>
      </w:sdt>
      <w:r w:rsidRPr="00BD437F">
        <w:rPr>
          <w:rFonts w:cs="Times New Roman"/>
          <w:szCs w:val="24"/>
        </w:rPr>
        <w:t>.</w:t>
      </w:r>
    </w:p>
    <w:p w14:paraId="0228BCE2" w14:textId="53BCC4B3" w:rsidR="00361962" w:rsidRPr="00BD437F" w:rsidRDefault="00361962" w:rsidP="00BD437F">
      <w:pPr>
        <w:pStyle w:val="Heading1"/>
        <w:rPr>
          <w:rFonts w:cs="Times New Roman"/>
          <w:szCs w:val="24"/>
        </w:rPr>
      </w:pPr>
      <w:bookmarkStart w:id="2" w:name="_Toc174781621"/>
      <w:r w:rsidRPr="00BD437F">
        <w:rPr>
          <w:rFonts w:cs="Times New Roman"/>
          <w:szCs w:val="24"/>
        </w:rPr>
        <w:t xml:space="preserve">Critical Analysis of </w:t>
      </w:r>
      <w:r w:rsidR="00A8087E" w:rsidRPr="00BD437F">
        <w:rPr>
          <w:rFonts w:cs="Times New Roman"/>
          <w:szCs w:val="24"/>
        </w:rPr>
        <w:t>Foreign Exchange Risk Strategies</w:t>
      </w:r>
      <w:bookmarkEnd w:id="2"/>
    </w:p>
    <w:p w14:paraId="6A481CA3" w14:textId="05DF8760" w:rsidR="00BA785B" w:rsidRPr="00BD437F" w:rsidRDefault="00BA785B" w:rsidP="00BD437F">
      <w:pPr>
        <w:rPr>
          <w:rFonts w:cs="Times New Roman"/>
          <w:szCs w:val="24"/>
        </w:rPr>
      </w:pPr>
      <w:r w:rsidRPr="00BD437F">
        <w:rPr>
          <w:rFonts w:cs="Times New Roman"/>
          <w:szCs w:val="24"/>
        </w:rPr>
        <w:t>Acco</w:t>
      </w:r>
      <w:r w:rsidR="00437674" w:rsidRPr="00BD437F">
        <w:rPr>
          <w:rFonts w:cs="Times New Roman"/>
          <w:szCs w:val="24"/>
        </w:rPr>
        <w:t>r</w:t>
      </w:r>
      <w:r w:rsidRPr="00BD437F">
        <w:rPr>
          <w:rFonts w:cs="Times New Roman"/>
          <w:szCs w:val="24"/>
        </w:rPr>
        <w:t xml:space="preserve">ding to </w:t>
      </w:r>
      <w:r w:rsidR="00894FAF" w:rsidRPr="00BD437F">
        <w:rPr>
          <w:rFonts w:cs="Times New Roman"/>
          <w:szCs w:val="24"/>
        </w:rPr>
        <w:t>Ahmed, Fairchild, and Guney (2020)</w:t>
      </w:r>
      <w:r w:rsidRPr="00BD437F">
        <w:rPr>
          <w:rFonts w:cs="Times New Roman"/>
          <w:szCs w:val="24"/>
        </w:rPr>
        <w:t xml:space="preserve"> </w:t>
      </w:r>
      <w:r w:rsidR="008958BA" w:rsidRPr="00BD437F">
        <w:rPr>
          <w:rFonts w:cs="Times New Roman"/>
          <w:szCs w:val="24"/>
        </w:rPr>
        <w:t xml:space="preserve">the impact of hedging, using derivatives, including swaps, futures, options, and forwards, is ambiguous on a multinational firm’s financial performance and value. </w:t>
      </w:r>
      <w:r w:rsidR="00866328" w:rsidRPr="00BD437F">
        <w:rPr>
          <w:rFonts w:cs="Times New Roman"/>
          <w:szCs w:val="24"/>
        </w:rPr>
        <w:t>The theoretical analysis provides that managers use derivatives to hedge foreign exchange exposure to improve the performance and value of firms but the impact of applied strategies to manage foreign exchange risk is not apparent because sometimes firms have high performance while sometimes the same firms provide low performance with same strategies to control the risk of changes in foreign exchange rates.</w:t>
      </w:r>
      <w:r w:rsidR="00392850" w:rsidRPr="00BD437F">
        <w:rPr>
          <w:rFonts w:cs="Times New Roman"/>
          <w:szCs w:val="24"/>
        </w:rPr>
        <w:t xml:space="preserve"> However, </w:t>
      </w:r>
      <w:r w:rsidR="00135912" w:rsidRPr="00BD437F">
        <w:rPr>
          <w:rFonts w:cs="Times New Roman"/>
          <w:szCs w:val="24"/>
        </w:rPr>
        <w:t>hedging policies</w:t>
      </w:r>
      <w:r w:rsidR="00D328B7" w:rsidRPr="00BD437F">
        <w:rPr>
          <w:rFonts w:cs="Times New Roman"/>
          <w:szCs w:val="24"/>
        </w:rPr>
        <w:t xml:space="preserve">’ impact </w:t>
      </w:r>
      <w:r w:rsidR="00135912" w:rsidRPr="00BD437F">
        <w:rPr>
          <w:rFonts w:cs="Times New Roman"/>
          <w:szCs w:val="24"/>
        </w:rPr>
        <w:t>is based on period and contract type</w:t>
      </w:r>
      <w:r w:rsidR="00B1396F" w:rsidRPr="00BD437F">
        <w:rPr>
          <w:rFonts w:cs="Times New Roman"/>
          <w:szCs w:val="24"/>
        </w:rPr>
        <w:t xml:space="preserve"> because </w:t>
      </w:r>
      <w:r w:rsidR="00D328B7" w:rsidRPr="00BD437F">
        <w:rPr>
          <w:rFonts w:cs="Times New Roman"/>
          <w:szCs w:val="24"/>
        </w:rPr>
        <w:t>firms'</w:t>
      </w:r>
      <w:r w:rsidR="00B1396F" w:rsidRPr="00BD437F">
        <w:rPr>
          <w:rFonts w:cs="Times New Roman"/>
          <w:szCs w:val="24"/>
        </w:rPr>
        <w:t xml:space="preserve"> value and financial performance improve during a crisis period while no such impact in </w:t>
      </w:r>
      <w:r w:rsidR="00D328B7" w:rsidRPr="00BD437F">
        <w:rPr>
          <w:rFonts w:cs="Times New Roman"/>
          <w:szCs w:val="24"/>
        </w:rPr>
        <w:t xml:space="preserve">the </w:t>
      </w:r>
      <w:r w:rsidR="00B1396F" w:rsidRPr="00BD437F">
        <w:rPr>
          <w:rFonts w:cs="Times New Roman"/>
          <w:szCs w:val="24"/>
        </w:rPr>
        <w:t>normal period</w:t>
      </w:r>
      <w:sdt>
        <w:sdtPr>
          <w:rPr>
            <w:rFonts w:cs="Times New Roman"/>
            <w:szCs w:val="24"/>
          </w:rPr>
          <w:id w:val="814919329"/>
          <w:citation/>
        </w:sdtPr>
        <w:sdtContent>
          <w:r w:rsidR="000B3A30" w:rsidRPr="00BD437F">
            <w:rPr>
              <w:rFonts w:cs="Times New Roman"/>
              <w:szCs w:val="24"/>
            </w:rPr>
            <w:fldChar w:fldCharType="begin"/>
          </w:r>
          <w:r w:rsidR="00E8340B" w:rsidRPr="00BD437F">
            <w:rPr>
              <w:rFonts w:cs="Times New Roman"/>
              <w:szCs w:val="24"/>
            </w:rPr>
            <w:instrText xml:space="preserve">CITATION Ahm20 \p 35 \l 1033 </w:instrText>
          </w:r>
          <w:r w:rsidR="000B3A30" w:rsidRPr="00BD437F">
            <w:rPr>
              <w:rFonts w:cs="Times New Roman"/>
              <w:szCs w:val="24"/>
            </w:rPr>
            <w:fldChar w:fldCharType="separate"/>
          </w:r>
          <w:r w:rsidR="00245BC0" w:rsidRPr="00BD437F">
            <w:rPr>
              <w:rFonts w:cs="Times New Roman"/>
              <w:noProof/>
              <w:szCs w:val="24"/>
            </w:rPr>
            <w:t xml:space="preserve"> (Ahmed, et al., 2020, p. 35)</w:t>
          </w:r>
          <w:r w:rsidR="000B3A30" w:rsidRPr="00BD437F">
            <w:rPr>
              <w:rFonts w:cs="Times New Roman"/>
              <w:szCs w:val="24"/>
            </w:rPr>
            <w:fldChar w:fldCharType="end"/>
          </w:r>
        </w:sdtContent>
      </w:sdt>
      <w:r w:rsidR="00D328B7" w:rsidRPr="00BD437F">
        <w:rPr>
          <w:rFonts w:cs="Times New Roman"/>
          <w:szCs w:val="24"/>
        </w:rPr>
        <w:t>.</w:t>
      </w:r>
    </w:p>
    <w:p w14:paraId="357184FC" w14:textId="3156163A" w:rsidR="008A4FA6" w:rsidRPr="00BD437F" w:rsidRDefault="008A4FA6" w:rsidP="00BD437F">
      <w:pPr>
        <w:rPr>
          <w:rFonts w:cs="Times New Roman"/>
          <w:szCs w:val="24"/>
        </w:rPr>
      </w:pPr>
      <w:r w:rsidRPr="00BD437F">
        <w:rPr>
          <w:rFonts w:cs="Times New Roman"/>
          <w:szCs w:val="24"/>
        </w:rPr>
        <w:t xml:space="preserve">For example, </w:t>
      </w:r>
      <w:r w:rsidR="00597574" w:rsidRPr="00BD437F">
        <w:rPr>
          <w:rFonts w:cs="Times New Roman"/>
          <w:szCs w:val="24"/>
        </w:rPr>
        <w:t xml:space="preserve">Tesco plc </w:t>
      </w:r>
      <w:r w:rsidR="00D12603" w:rsidRPr="00BD437F">
        <w:rPr>
          <w:rFonts w:cs="Times New Roman"/>
          <w:szCs w:val="24"/>
        </w:rPr>
        <w:t xml:space="preserve">used cross-currency swaps to manage cash flows on fixed-interest rate foreign currencies debts and forward contracts to manage foreign exchange exposure of purchase cost of diesel for its operational activities. However, Tesco plc suffered </w:t>
      </w:r>
      <w:r w:rsidR="008413A8" w:rsidRPr="00BD437F">
        <w:rPr>
          <w:rFonts w:cs="Times New Roman"/>
          <w:szCs w:val="24"/>
        </w:rPr>
        <w:t xml:space="preserve">a net finance cost of £53 million in 2016 and £46 million in 2015 resulting from hedge ineffectiveness </w:t>
      </w:r>
      <w:r w:rsidR="00D12603" w:rsidRPr="00BD437F">
        <w:rPr>
          <w:rFonts w:cs="Times New Roman"/>
          <w:szCs w:val="24"/>
        </w:rPr>
        <w:t>supporting no importance of strategies used to control and measure foreign exchange exposure</w:t>
      </w:r>
      <w:sdt>
        <w:sdtPr>
          <w:rPr>
            <w:rFonts w:cs="Times New Roman"/>
            <w:szCs w:val="24"/>
          </w:rPr>
          <w:id w:val="1433779823"/>
          <w:citation/>
        </w:sdtPr>
        <w:sdtContent>
          <w:r w:rsidR="00FC4637" w:rsidRPr="00BD437F">
            <w:rPr>
              <w:rFonts w:cs="Times New Roman"/>
              <w:szCs w:val="24"/>
            </w:rPr>
            <w:fldChar w:fldCharType="begin"/>
          </w:r>
          <w:r w:rsidR="000E36CB" w:rsidRPr="00BD437F">
            <w:rPr>
              <w:rFonts w:cs="Times New Roman"/>
              <w:szCs w:val="24"/>
            </w:rPr>
            <w:instrText xml:space="preserve">CITATION Tes16 \p 119 \l 1033 </w:instrText>
          </w:r>
          <w:r w:rsidR="00FC4637" w:rsidRPr="00BD437F">
            <w:rPr>
              <w:rFonts w:cs="Times New Roman"/>
              <w:szCs w:val="24"/>
            </w:rPr>
            <w:fldChar w:fldCharType="separate"/>
          </w:r>
          <w:r w:rsidR="00245BC0" w:rsidRPr="00BD437F">
            <w:rPr>
              <w:rFonts w:cs="Times New Roman"/>
              <w:noProof/>
              <w:szCs w:val="24"/>
            </w:rPr>
            <w:t xml:space="preserve"> (Tesco plc, 2016, p. 119)</w:t>
          </w:r>
          <w:r w:rsidR="00FC4637" w:rsidRPr="00BD437F">
            <w:rPr>
              <w:rFonts w:cs="Times New Roman"/>
              <w:szCs w:val="24"/>
            </w:rPr>
            <w:fldChar w:fldCharType="end"/>
          </w:r>
        </w:sdtContent>
      </w:sdt>
      <w:r w:rsidR="00D12603" w:rsidRPr="00BD437F">
        <w:rPr>
          <w:rFonts w:cs="Times New Roman"/>
          <w:szCs w:val="24"/>
        </w:rPr>
        <w:t xml:space="preserve">. </w:t>
      </w:r>
    </w:p>
    <w:p w14:paraId="42AC06F1" w14:textId="33553800" w:rsidR="008413A8" w:rsidRPr="00BD437F" w:rsidRDefault="008413A8" w:rsidP="00BD437F">
      <w:pPr>
        <w:rPr>
          <w:rFonts w:cs="Times New Roman"/>
          <w:szCs w:val="24"/>
        </w:rPr>
      </w:pPr>
      <w:r w:rsidRPr="00BD437F">
        <w:rPr>
          <w:rFonts w:cs="Times New Roman"/>
          <w:szCs w:val="24"/>
        </w:rPr>
        <w:t xml:space="preserve">Rolls-Royce used forward rate agreements and interest rate swaps during 2016 and 2017 to manage foreign exchange exposure. Rolls-Royce reported mixed results: the net value gains of £2,648 million in 2017 and a loss of £4,420 million in 2016 presenting the effectiveness of adopted strategies in 2017 and ineffectiveness in 2016 to support the performance of the applied </w:t>
      </w:r>
      <w:r w:rsidRPr="00BD437F">
        <w:rPr>
          <w:rFonts w:cs="Times New Roman"/>
          <w:szCs w:val="24"/>
        </w:rPr>
        <w:lastRenderedPageBreak/>
        <w:t>strategies by multinational organisations is based on period and contract type</w:t>
      </w:r>
      <w:sdt>
        <w:sdtPr>
          <w:rPr>
            <w:rFonts w:cs="Times New Roman"/>
            <w:szCs w:val="24"/>
          </w:rPr>
          <w:id w:val="-2041886172"/>
          <w:citation/>
        </w:sdtPr>
        <w:sdtContent>
          <w:r w:rsidRPr="00BD437F">
            <w:rPr>
              <w:rFonts w:cs="Times New Roman"/>
              <w:szCs w:val="24"/>
            </w:rPr>
            <w:fldChar w:fldCharType="begin"/>
          </w:r>
          <w:r w:rsidR="000E36CB" w:rsidRPr="00BD437F">
            <w:rPr>
              <w:rFonts w:cs="Times New Roman"/>
              <w:szCs w:val="24"/>
            </w:rPr>
            <w:instrText xml:space="preserve">CITATION Rol17 \p 189 \l 1033 </w:instrText>
          </w:r>
          <w:r w:rsidRPr="00BD437F">
            <w:rPr>
              <w:rFonts w:cs="Times New Roman"/>
              <w:szCs w:val="24"/>
            </w:rPr>
            <w:fldChar w:fldCharType="separate"/>
          </w:r>
          <w:r w:rsidR="00245BC0" w:rsidRPr="00BD437F">
            <w:rPr>
              <w:rFonts w:cs="Times New Roman"/>
              <w:noProof/>
              <w:szCs w:val="24"/>
            </w:rPr>
            <w:t xml:space="preserve"> (Rolls Royace plc, 2017, p. 189)</w:t>
          </w:r>
          <w:r w:rsidRPr="00BD437F">
            <w:rPr>
              <w:rFonts w:cs="Times New Roman"/>
              <w:szCs w:val="24"/>
            </w:rPr>
            <w:fldChar w:fldCharType="end"/>
          </w:r>
        </w:sdtContent>
      </w:sdt>
      <w:r w:rsidRPr="00BD437F">
        <w:rPr>
          <w:rFonts w:cs="Times New Roman"/>
          <w:szCs w:val="24"/>
        </w:rPr>
        <w:t>.</w:t>
      </w:r>
    </w:p>
    <w:p w14:paraId="6738E81D" w14:textId="311B6B50" w:rsidR="00AD7267" w:rsidRPr="00BD437F" w:rsidRDefault="00763CA7" w:rsidP="00BD437F">
      <w:pPr>
        <w:rPr>
          <w:rFonts w:cs="Times New Roman"/>
          <w:szCs w:val="24"/>
          <w:lang w:val="en-IN"/>
        </w:rPr>
      </w:pPr>
      <w:r w:rsidRPr="00BD437F">
        <w:rPr>
          <w:rFonts w:cs="Times New Roman"/>
          <w:szCs w:val="24"/>
          <w:lang w:val="en-IN"/>
        </w:rPr>
        <w:t xml:space="preserve">According to </w:t>
      </w:r>
      <w:r w:rsidR="00245BC0" w:rsidRPr="00BD437F">
        <w:rPr>
          <w:rFonts w:cs="Times New Roman"/>
          <w:szCs w:val="24"/>
          <w:lang w:val="en-IN"/>
        </w:rPr>
        <w:t>Huang (2024)</w:t>
      </w:r>
      <w:r w:rsidRPr="00BD437F">
        <w:rPr>
          <w:rFonts w:cs="Times New Roman"/>
          <w:szCs w:val="24"/>
          <w:lang w:val="en-IN"/>
        </w:rPr>
        <w:t xml:space="preserve"> </w:t>
      </w:r>
      <w:r w:rsidR="006E2944" w:rsidRPr="00BD437F">
        <w:rPr>
          <w:rFonts w:cs="Times New Roman"/>
          <w:szCs w:val="24"/>
          <w:lang w:val="en-IN"/>
        </w:rPr>
        <w:t>Coca-Cola HBC changed its hedging strategies for its business in Russia after the Russian-Ukraine war in 2022 by declining rouble-denominated liabilities and improving rouble</w:t>
      </w:r>
      <w:r w:rsidR="00FC5BAE" w:rsidRPr="00BD437F">
        <w:rPr>
          <w:rFonts w:cs="Times New Roman"/>
          <w:szCs w:val="24"/>
          <w:lang w:val="en-IN"/>
        </w:rPr>
        <w:t>-denominated cash position, including cash equivalents. Coca-Cola HBC improve</w:t>
      </w:r>
      <w:r w:rsidR="00245BC0" w:rsidRPr="00BD437F">
        <w:rPr>
          <w:rFonts w:cs="Times New Roman"/>
          <w:szCs w:val="24"/>
          <w:lang w:val="en-IN"/>
        </w:rPr>
        <w:t>d</w:t>
      </w:r>
      <w:r w:rsidR="00FC5BAE" w:rsidRPr="00BD437F">
        <w:rPr>
          <w:rFonts w:cs="Times New Roman"/>
          <w:szCs w:val="24"/>
          <w:lang w:val="en-IN"/>
        </w:rPr>
        <w:t xml:space="preserve"> its financial performance and value of assets</w:t>
      </w:r>
      <w:r w:rsidR="00245BC0" w:rsidRPr="00BD437F">
        <w:rPr>
          <w:rFonts w:cs="Times New Roman"/>
          <w:szCs w:val="24"/>
          <w:lang w:val="en-IN"/>
        </w:rPr>
        <w:t xml:space="preserve"> by using its </w:t>
      </w:r>
      <w:r w:rsidR="00874088" w:rsidRPr="00BD437F">
        <w:rPr>
          <w:rFonts w:cs="Times New Roman"/>
          <w:szCs w:val="24"/>
          <w:lang w:val="en-IN"/>
        </w:rPr>
        <w:t>risk-hedging</w:t>
      </w:r>
      <w:r w:rsidR="00245BC0" w:rsidRPr="00BD437F">
        <w:rPr>
          <w:rFonts w:cs="Times New Roman"/>
          <w:szCs w:val="24"/>
          <w:lang w:val="en-IN"/>
        </w:rPr>
        <w:t xml:space="preserve"> strategies</w:t>
      </w:r>
      <w:r w:rsidR="00FC5BAE" w:rsidRPr="00BD437F">
        <w:rPr>
          <w:rFonts w:cs="Times New Roman"/>
          <w:szCs w:val="24"/>
          <w:lang w:val="en-IN"/>
        </w:rPr>
        <w:t>.</w:t>
      </w:r>
      <w:r w:rsidR="00CF2F23" w:rsidRPr="00BD437F">
        <w:rPr>
          <w:rFonts w:cs="Times New Roman"/>
          <w:szCs w:val="24"/>
          <w:lang w:val="en-IN"/>
        </w:rPr>
        <w:t xml:space="preserve"> The importance of foreign exchange risk hedging strategies can be seen through </w:t>
      </w:r>
      <w:r w:rsidR="00E34BB3" w:rsidRPr="00BD437F">
        <w:rPr>
          <w:rFonts w:cs="Times New Roman"/>
          <w:szCs w:val="24"/>
          <w:lang w:val="en-IN"/>
        </w:rPr>
        <w:t xml:space="preserve">the </w:t>
      </w:r>
      <w:r w:rsidR="00CF2F23" w:rsidRPr="00BD437F">
        <w:rPr>
          <w:rFonts w:cs="Times New Roman"/>
          <w:szCs w:val="24"/>
          <w:lang w:val="en-IN"/>
        </w:rPr>
        <w:t xml:space="preserve">Coca-Cola Company’s </w:t>
      </w:r>
      <w:r w:rsidR="00F1484B" w:rsidRPr="00BD437F">
        <w:rPr>
          <w:rFonts w:cs="Times New Roman"/>
          <w:szCs w:val="24"/>
          <w:lang w:val="en-IN"/>
        </w:rPr>
        <w:t xml:space="preserve">foreign exchange exposure hedging in 2022 when the U.S. dollar exchange rate increment due to </w:t>
      </w:r>
      <w:r w:rsidR="00E34BB3" w:rsidRPr="00BD437F">
        <w:rPr>
          <w:rFonts w:cs="Times New Roman"/>
          <w:szCs w:val="24"/>
          <w:lang w:val="en-IN"/>
        </w:rPr>
        <w:t xml:space="preserve">the </w:t>
      </w:r>
      <w:r w:rsidR="00F1484B" w:rsidRPr="00BD437F">
        <w:rPr>
          <w:rFonts w:cs="Times New Roman"/>
          <w:szCs w:val="24"/>
          <w:lang w:val="en-IN"/>
        </w:rPr>
        <w:t xml:space="preserve">improvement of interest rates by the Federal Reserve. </w:t>
      </w:r>
      <w:r w:rsidR="00E34BB3" w:rsidRPr="00BD437F">
        <w:rPr>
          <w:rFonts w:cs="Times New Roman"/>
          <w:szCs w:val="24"/>
          <w:lang w:val="en-IN"/>
        </w:rPr>
        <w:t xml:space="preserve">The Coca-Cola Company improved its profitability performance significantly by having hedging derivatives to secure itself from fluctuations in foreign exchange rates. </w:t>
      </w:r>
      <w:r w:rsidR="00203A65" w:rsidRPr="00BD437F">
        <w:rPr>
          <w:rFonts w:cs="Times New Roman"/>
          <w:szCs w:val="24"/>
          <w:lang w:val="en-IN"/>
        </w:rPr>
        <w:t xml:space="preserve">The Coca-Cola Company improved its liabilities </w:t>
      </w:r>
      <w:r w:rsidR="00171B37" w:rsidRPr="00BD437F">
        <w:rPr>
          <w:rFonts w:cs="Times New Roman"/>
          <w:szCs w:val="24"/>
          <w:lang w:val="en-IN"/>
        </w:rPr>
        <w:t xml:space="preserve">nominated as hedging derivatives and declined its assets nominated as hedging derivatives. </w:t>
      </w:r>
      <w:r w:rsidR="00B552C3" w:rsidRPr="00BD437F">
        <w:rPr>
          <w:rFonts w:cs="Times New Roman"/>
          <w:szCs w:val="24"/>
          <w:lang w:val="en-IN"/>
        </w:rPr>
        <w:t>Therefore, the risk hedging techniques adopted by multinational organisations are effective in improving their performance and value of assets</w:t>
      </w:r>
      <w:sdt>
        <w:sdtPr>
          <w:rPr>
            <w:rFonts w:cs="Times New Roman"/>
            <w:szCs w:val="24"/>
            <w:lang w:val="en-IN"/>
          </w:rPr>
          <w:id w:val="1881582175"/>
          <w:citation/>
        </w:sdtPr>
        <w:sdtContent>
          <w:r w:rsidR="00245BC0" w:rsidRPr="00BD437F">
            <w:rPr>
              <w:rFonts w:cs="Times New Roman"/>
              <w:szCs w:val="24"/>
              <w:lang w:val="en-IN"/>
            </w:rPr>
            <w:fldChar w:fldCharType="begin"/>
          </w:r>
          <w:r w:rsidR="00245BC0" w:rsidRPr="00BD437F">
            <w:rPr>
              <w:rFonts w:cs="Times New Roman"/>
              <w:szCs w:val="24"/>
              <w:lang w:val="en-IN"/>
            </w:rPr>
            <w:instrText xml:space="preserve">CITATION Hua24 \p 7 \l 16393 </w:instrText>
          </w:r>
          <w:r w:rsidR="00245BC0" w:rsidRPr="00BD437F">
            <w:rPr>
              <w:rFonts w:cs="Times New Roman"/>
              <w:szCs w:val="24"/>
              <w:lang w:val="en-IN"/>
            </w:rPr>
            <w:fldChar w:fldCharType="separate"/>
          </w:r>
          <w:r w:rsidR="00245BC0" w:rsidRPr="00BD437F">
            <w:rPr>
              <w:rFonts w:cs="Times New Roman"/>
              <w:noProof/>
              <w:szCs w:val="24"/>
              <w:lang w:val="en-IN"/>
            </w:rPr>
            <w:t xml:space="preserve"> (Huang, 2024, p. 7)</w:t>
          </w:r>
          <w:r w:rsidR="00245BC0" w:rsidRPr="00BD437F">
            <w:rPr>
              <w:rFonts w:cs="Times New Roman"/>
              <w:szCs w:val="24"/>
              <w:lang w:val="en-IN"/>
            </w:rPr>
            <w:fldChar w:fldCharType="end"/>
          </w:r>
        </w:sdtContent>
      </w:sdt>
      <w:r w:rsidR="00B552C3" w:rsidRPr="00BD437F">
        <w:rPr>
          <w:rFonts w:cs="Times New Roman"/>
          <w:szCs w:val="24"/>
          <w:lang w:val="en-IN"/>
        </w:rPr>
        <w:t xml:space="preserve">. </w:t>
      </w:r>
    </w:p>
    <w:p w14:paraId="33BB1145" w14:textId="6E1E614E" w:rsidR="005E47C2" w:rsidRPr="00BD437F" w:rsidRDefault="00EC436B" w:rsidP="00BD437F">
      <w:pPr>
        <w:rPr>
          <w:rFonts w:cs="Times New Roman"/>
          <w:szCs w:val="24"/>
          <w:lang w:val="en-IN"/>
        </w:rPr>
      </w:pPr>
      <w:r w:rsidRPr="00BD437F">
        <w:rPr>
          <w:rFonts w:cs="Times New Roman"/>
          <w:szCs w:val="24"/>
          <w:lang w:val="en-IN"/>
        </w:rPr>
        <w:t xml:space="preserve">According to </w:t>
      </w:r>
      <w:r w:rsidR="00B5553A" w:rsidRPr="00BD437F">
        <w:rPr>
          <w:rFonts w:cs="Times New Roman"/>
          <w:szCs w:val="24"/>
          <w:lang w:val="en-IN"/>
        </w:rPr>
        <w:t>Lenee and Oki (2017),</w:t>
      </w:r>
      <w:r w:rsidRPr="00BD437F">
        <w:rPr>
          <w:rFonts w:cs="Times New Roman"/>
          <w:szCs w:val="24"/>
          <w:lang w:val="en-IN"/>
        </w:rPr>
        <w:t xml:space="preserve"> </w:t>
      </w:r>
      <w:r w:rsidR="00254E40" w:rsidRPr="00BD437F">
        <w:rPr>
          <w:rFonts w:cs="Times New Roman"/>
          <w:szCs w:val="24"/>
          <w:lang w:val="en-IN"/>
        </w:rPr>
        <w:t xml:space="preserve">foreign exchange risk management is fraught with several difficult econometric and mathematical applications in modelling doubts and possibly results from the application of several hedging strategies. </w:t>
      </w:r>
      <w:r w:rsidR="007A5188" w:rsidRPr="00BD437F">
        <w:rPr>
          <w:rFonts w:cs="Times New Roman"/>
          <w:szCs w:val="24"/>
          <w:lang w:val="en-IN"/>
        </w:rPr>
        <w:t xml:space="preserve">The study on the effectiveness of hedging techniques of 5 financial firms and 5 non-financial firms of the FTSE 100 Index presents that hedging techniques are beneficial for firms to improve their financial performance by managing foreign exchange exposure. </w:t>
      </w:r>
      <w:r w:rsidR="00620412" w:rsidRPr="00BD437F">
        <w:rPr>
          <w:rFonts w:cs="Times New Roman"/>
          <w:szCs w:val="24"/>
          <w:lang w:val="en-IN"/>
        </w:rPr>
        <w:t xml:space="preserve">However, financial and non-financial firms have a significant difference in the use of hedging techniques. </w:t>
      </w:r>
      <w:r w:rsidR="00416847" w:rsidRPr="00BD437F">
        <w:rPr>
          <w:rFonts w:cs="Times New Roman"/>
          <w:szCs w:val="24"/>
          <w:lang w:val="en-IN"/>
        </w:rPr>
        <w:t xml:space="preserve">Non-financial firms use futures, forwards, options and swaps for managing their cash flows to improve return on capital employment and assets while financial firms use financial derivatives to hedge interest rate risks. </w:t>
      </w:r>
      <w:r w:rsidR="00FF126A" w:rsidRPr="00BD437F">
        <w:rPr>
          <w:rFonts w:cs="Times New Roman"/>
          <w:szCs w:val="24"/>
          <w:lang w:val="en-IN"/>
        </w:rPr>
        <w:t xml:space="preserve">The use of futures and forwards has a more effective impact on firms than options and </w:t>
      </w:r>
      <w:r w:rsidR="00FF126A" w:rsidRPr="00BD437F">
        <w:rPr>
          <w:rFonts w:cs="Times New Roman"/>
          <w:szCs w:val="24"/>
          <w:lang w:val="en-IN"/>
        </w:rPr>
        <w:lastRenderedPageBreak/>
        <w:t>swap contracts indicating hedging techniques have a different impact on the performance of firms</w:t>
      </w:r>
      <w:sdt>
        <w:sdtPr>
          <w:rPr>
            <w:rFonts w:cs="Times New Roman"/>
            <w:szCs w:val="24"/>
            <w:lang w:val="en-IN"/>
          </w:rPr>
          <w:id w:val="-2005725971"/>
          <w:citation/>
        </w:sdtPr>
        <w:sdtContent>
          <w:r w:rsidR="00B5553A" w:rsidRPr="00BD437F">
            <w:rPr>
              <w:rFonts w:cs="Times New Roman"/>
              <w:szCs w:val="24"/>
              <w:lang w:val="en-IN"/>
            </w:rPr>
            <w:fldChar w:fldCharType="begin"/>
          </w:r>
          <w:r w:rsidR="00B5553A" w:rsidRPr="00BD437F">
            <w:rPr>
              <w:rFonts w:cs="Times New Roman"/>
              <w:szCs w:val="24"/>
              <w:lang w:val="en-IN"/>
            </w:rPr>
            <w:instrText xml:space="preserve">CITATION Len17 \p 29-30 \l 16393 </w:instrText>
          </w:r>
          <w:r w:rsidR="00B5553A" w:rsidRPr="00BD437F">
            <w:rPr>
              <w:rFonts w:cs="Times New Roman"/>
              <w:szCs w:val="24"/>
              <w:lang w:val="en-IN"/>
            </w:rPr>
            <w:fldChar w:fldCharType="separate"/>
          </w:r>
          <w:r w:rsidR="00B5553A" w:rsidRPr="00BD437F">
            <w:rPr>
              <w:rFonts w:cs="Times New Roman"/>
              <w:noProof/>
              <w:szCs w:val="24"/>
              <w:lang w:val="en-IN"/>
            </w:rPr>
            <w:t xml:space="preserve"> (Lenee &amp; Oki, 2017, pp. 29-30)</w:t>
          </w:r>
          <w:r w:rsidR="00B5553A" w:rsidRPr="00BD437F">
            <w:rPr>
              <w:rFonts w:cs="Times New Roman"/>
              <w:szCs w:val="24"/>
              <w:lang w:val="en-IN"/>
            </w:rPr>
            <w:fldChar w:fldCharType="end"/>
          </w:r>
        </w:sdtContent>
      </w:sdt>
      <w:r w:rsidR="00FF126A" w:rsidRPr="00BD437F">
        <w:rPr>
          <w:rFonts w:cs="Times New Roman"/>
          <w:szCs w:val="24"/>
          <w:lang w:val="en-IN"/>
        </w:rPr>
        <w:t xml:space="preserve">. </w:t>
      </w:r>
    </w:p>
    <w:p w14:paraId="5BDC650E" w14:textId="4BF648D6" w:rsidR="00AC3C2E" w:rsidRPr="00BD437F" w:rsidRDefault="007A16F3" w:rsidP="00BD437F">
      <w:pPr>
        <w:rPr>
          <w:rFonts w:cs="Times New Roman"/>
          <w:szCs w:val="24"/>
          <w:lang w:val="en-IN"/>
        </w:rPr>
      </w:pPr>
      <w:r w:rsidRPr="00BD437F">
        <w:rPr>
          <w:rFonts w:cs="Times New Roman"/>
          <w:szCs w:val="24"/>
          <w:lang w:val="en-IN"/>
        </w:rPr>
        <w:t xml:space="preserve">According to </w:t>
      </w:r>
      <w:r w:rsidR="00D02586" w:rsidRPr="00BD437F">
        <w:rPr>
          <w:rFonts w:cs="Times New Roman"/>
          <w:szCs w:val="24"/>
          <w:lang w:val="en-IN"/>
        </w:rPr>
        <w:t xml:space="preserve">Bartram (2019), </w:t>
      </w:r>
      <w:r w:rsidR="003557DC" w:rsidRPr="00BD437F">
        <w:rPr>
          <w:rFonts w:cs="Times New Roman"/>
          <w:szCs w:val="24"/>
          <w:lang w:val="en-IN"/>
        </w:rPr>
        <w:t xml:space="preserve">the use of derivatives as risk hedging strategies is not an easy task because of higher costs and limited access </w:t>
      </w:r>
      <w:r w:rsidR="00D02586" w:rsidRPr="00BD437F">
        <w:rPr>
          <w:rFonts w:cs="Times New Roman"/>
          <w:szCs w:val="24"/>
          <w:lang w:val="en-IN"/>
        </w:rPr>
        <w:t xml:space="preserve">to </w:t>
      </w:r>
      <w:r w:rsidR="003557DC" w:rsidRPr="00BD437F">
        <w:rPr>
          <w:rFonts w:cs="Times New Roman"/>
          <w:szCs w:val="24"/>
          <w:lang w:val="en-IN"/>
        </w:rPr>
        <w:t xml:space="preserve">imposing restrictions on using foreign exchange </w:t>
      </w:r>
      <w:r w:rsidR="000F6784" w:rsidRPr="00BD437F">
        <w:rPr>
          <w:rFonts w:cs="Times New Roman"/>
          <w:szCs w:val="24"/>
          <w:lang w:val="en-IN"/>
        </w:rPr>
        <w:t>exposure</w:t>
      </w:r>
      <w:r w:rsidR="003557DC" w:rsidRPr="00BD437F">
        <w:rPr>
          <w:rFonts w:cs="Times New Roman"/>
          <w:szCs w:val="24"/>
          <w:lang w:val="en-IN"/>
        </w:rPr>
        <w:t xml:space="preserve"> hedging instruments efficiently among multinational organisations. </w:t>
      </w:r>
      <w:r w:rsidR="002E55AE" w:rsidRPr="00BD437F">
        <w:rPr>
          <w:rFonts w:cs="Times New Roman"/>
          <w:szCs w:val="24"/>
          <w:lang w:val="en-IN"/>
        </w:rPr>
        <w:t xml:space="preserve">Most multinational organisations use hedging instruments according to their view on market conditions regarding expected changes in exchange rates. </w:t>
      </w:r>
      <w:r w:rsidR="008D092E" w:rsidRPr="00BD437F">
        <w:rPr>
          <w:rFonts w:cs="Times New Roman"/>
          <w:szCs w:val="24"/>
          <w:lang w:val="en-IN"/>
        </w:rPr>
        <w:t xml:space="preserve">Multinational companies use derivatives to reduce foreign exchange </w:t>
      </w:r>
      <w:proofErr w:type="gramStart"/>
      <w:r w:rsidR="008D092E" w:rsidRPr="00BD437F">
        <w:rPr>
          <w:rFonts w:cs="Times New Roman"/>
          <w:szCs w:val="24"/>
          <w:lang w:val="en-IN"/>
        </w:rPr>
        <w:t>risk</w:t>
      </w:r>
      <w:proofErr w:type="gramEnd"/>
      <w:r w:rsidR="008D092E" w:rsidRPr="00BD437F">
        <w:rPr>
          <w:rFonts w:cs="Times New Roman"/>
          <w:szCs w:val="24"/>
          <w:lang w:val="en-IN"/>
        </w:rPr>
        <w:t xml:space="preserve"> </w:t>
      </w:r>
      <w:r w:rsidR="009B2898" w:rsidRPr="00BD437F">
        <w:rPr>
          <w:rFonts w:cs="Times New Roman"/>
          <w:szCs w:val="24"/>
          <w:lang w:val="en-IN"/>
        </w:rPr>
        <w:t xml:space="preserve">and </w:t>
      </w:r>
      <w:r w:rsidR="009B2898" w:rsidRPr="00BD437F">
        <w:rPr>
          <w:rFonts w:cs="Times New Roman"/>
          <w:szCs w:val="24"/>
        </w:rPr>
        <w:t>no evidence exists of corporate speculation with derivatives</w:t>
      </w:r>
      <w:r w:rsidR="008D092E" w:rsidRPr="00BD437F">
        <w:rPr>
          <w:rFonts w:cs="Times New Roman"/>
          <w:szCs w:val="24"/>
          <w:lang w:val="en-IN"/>
        </w:rPr>
        <w:t>.</w:t>
      </w:r>
      <w:r w:rsidR="009B2898" w:rsidRPr="00BD437F">
        <w:rPr>
          <w:rFonts w:cs="Times New Roman"/>
          <w:szCs w:val="24"/>
          <w:lang w:val="en-IN"/>
        </w:rPr>
        <w:t xml:space="preserve"> </w:t>
      </w:r>
      <w:r w:rsidR="00774C54" w:rsidRPr="00BD437F">
        <w:rPr>
          <w:rFonts w:cs="Times New Roman"/>
          <w:szCs w:val="24"/>
          <w:lang w:val="en-IN"/>
        </w:rPr>
        <w:t xml:space="preserve">The use of a particular type of strategy is also based on the market conditions. However, most companies are </w:t>
      </w:r>
      <w:r w:rsidR="003572BE" w:rsidRPr="00BD437F">
        <w:rPr>
          <w:rFonts w:cs="Times New Roman"/>
          <w:szCs w:val="24"/>
          <w:lang w:val="en-IN"/>
        </w:rPr>
        <w:t>in</w:t>
      </w:r>
      <w:r w:rsidR="00774C54" w:rsidRPr="00BD437F">
        <w:rPr>
          <w:rFonts w:cs="Times New Roman"/>
          <w:szCs w:val="24"/>
          <w:lang w:val="en-IN"/>
        </w:rPr>
        <w:t xml:space="preserve">effective </w:t>
      </w:r>
      <w:r w:rsidR="00701ECC" w:rsidRPr="00BD437F">
        <w:rPr>
          <w:rFonts w:cs="Times New Roman"/>
          <w:szCs w:val="24"/>
          <w:lang w:val="en-IN"/>
        </w:rPr>
        <w:t>in using</w:t>
      </w:r>
      <w:r w:rsidR="00774C54" w:rsidRPr="00BD437F">
        <w:rPr>
          <w:rFonts w:cs="Times New Roman"/>
          <w:szCs w:val="24"/>
          <w:lang w:val="en-IN"/>
        </w:rPr>
        <w:t xml:space="preserve"> </w:t>
      </w:r>
      <w:r w:rsidR="003572BE" w:rsidRPr="00BD437F">
        <w:rPr>
          <w:rFonts w:cs="Times New Roman"/>
          <w:szCs w:val="24"/>
          <w:lang w:val="en-IN"/>
        </w:rPr>
        <w:t xml:space="preserve">risk-hedging </w:t>
      </w:r>
      <w:r w:rsidR="00774C54" w:rsidRPr="00BD437F">
        <w:rPr>
          <w:rFonts w:cs="Times New Roman"/>
          <w:szCs w:val="24"/>
          <w:lang w:val="en-IN"/>
        </w:rPr>
        <w:t xml:space="preserve">strategies to manage foreign exchange exposure to improve their profitability and financial position. </w:t>
      </w:r>
      <w:r w:rsidR="00662064" w:rsidRPr="00BD437F">
        <w:rPr>
          <w:rFonts w:cs="Times New Roman"/>
          <w:szCs w:val="24"/>
          <w:lang w:val="en-IN"/>
        </w:rPr>
        <w:t xml:space="preserve">The impact of </w:t>
      </w:r>
      <w:r w:rsidR="00686F7E" w:rsidRPr="00BD437F">
        <w:rPr>
          <w:rFonts w:cs="Times New Roman"/>
          <w:szCs w:val="24"/>
          <w:lang w:val="en-IN"/>
        </w:rPr>
        <w:t xml:space="preserve">the </w:t>
      </w:r>
      <w:r w:rsidR="00662064" w:rsidRPr="00BD437F">
        <w:rPr>
          <w:rFonts w:cs="Times New Roman"/>
          <w:szCs w:val="24"/>
          <w:lang w:val="en-IN"/>
        </w:rPr>
        <w:t xml:space="preserve">economic environment and market conditions is significant </w:t>
      </w:r>
      <w:r w:rsidR="00D02586" w:rsidRPr="00BD437F">
        <w:rPr>
          <w:rFonts w:cs="Times New Roman"/>
          <w:szCs w:val="24"/>
          <w:lang w:val="en-IN"/>
        </w:rPr>
        <w:t>in controlling</w:t>
      </w:r>
      <w:r w:rsidR="00662064" w:rsidRPr="00BD437F">
        <w:rPr>
          <w:rFonts w:cs="Times New Roman"/>
          <w:szCs w:val="24"/>
          <w:lang w:val="en-IN"/>
        </w:rPr>
        <w:t xml:space="preserve"> </w:t>
      </w:r>
      <w:r w:rsidR="00686F7E" w:rsidRPr="00BD437F">
        <w:rPr>
          <w:rFonts w:cs="Times New Roman"/>
          <w:szCs w:val="24"/>
          <w:lang w:val="en-IN"/>
        </w:rPr>
        <w:t xml:space="preserve">the </w:t>
      </w:r>
      <w:r w:rsidR="00662064" w:rsidRPr="00BD437F">
        <w:rPr>
          <w:rFonts w:cs="Times New Roman"/>
          <w:szCs w:val="24"/>
          <w:lang w:val="en-IN"/>
        </w:rPr>
        <w:t xml:space="preserve">effectiveness of </w:t>
      </w:r>
      <w:r w:rsidR="00686F7E" w:rsidRPr="00BD437F">
        <w:rPr>
          <w:rFonts w:cs="Times New Roman"/>
          <w:szCs w:val="24"/>
          <w:lang w:val="en-IN"/>
        </w:rPr>
        <w:t>foreign exchange hedging strategies</w:t>
      </w:r>
      <w:sdt>
        <w:sdtPr>
          <w:rPr>
            <w:rFonts w:cs="Times New Roman"/>
            <w:szCs w:val="24"/>
            <w:lang w:val="en-IN"/>
          </w:rPr>
          <w:id w:val="140935690"/>
          <w:citation/>
        </w:sdtPr>
        <w:sdtContent>
          <w:r w:rsidR="003572BE" w:rsidRPr="00BD437F">
            <w:rPr>
              <w:rFonts w:cs="Times New Roman"/>
              <w:szCs w:val="24"/>
              <w:lang w:val="en-IN"/>
            </w:rPr>
            <w:fldChar w:fldCharType="begin"/>
          </w:r>
          <w:r w:rsidR="00D02586" w:rsidRPr="00BD437F">
            <w:rPr>
              <w:rFonts w:cs="Times New Roman"/>
              <w:szCs w:val="24"/>
              <w:lang w:val="en-IN"/>
            </w:rPr>
            <w:instrText xml:space="preserve">CITATION Bar195 \p 32 \l 16393 </w:instrText>
          </w:r>
          <w:r w:rsidR="003572BE" w:rsidRPr="00BD437F">
            <w:rPr>
              <w:rFonts w:cs="Times New Roman"/>
              <w:szCs w:val="24"/>
              <w:lang w:val="en-IN"/>
            </w:rPr>
            <w:fldChar w:fldCharType="separate"/>
          </w:r>
          <w:r w:rsidR="00D02586" w:rsidRPr="00BD437F">
            <w:rPr>
              <w:rFonts w:cs="Times New Roman"/>
              <w:noProof/>
              <w:szCs w:val="24"/>
              <w:lang w:val="en-IN"/>
            </w:rPr>
            <w:t xml:space="preserve"> (Bartram, 2019, p. 32)</w:t>
          </w:r>
          <w:r w:rsidR="003572BE" w:rsidRPr="00BD437F">
            <w:rPr>
              <w:rFonts w:cs="Times New Roman"/>
              <w:szCs w:val="24"/>
              <w:lang w:val="en-IN"/>
            </w:rPr>
            <w:fldChar w:fldCharType="end"/>
          </w:r>
        </w:sdtContent>
      </w:sdt>
      <w:r w:rsidR="00686F7E" w:rsidRPr="00BD437F">
        <w:rPr>
          <w:rFonts w:cs="Times New Roman"/>
          <w:szCs w:val="24"/>
          <w:lang w:val="en-IN"/>
        </w:rPr>
        <w:t xml:space="preserve">. </w:t>
      </w:r>
    </w:p>
    <w:p w14:paraId="5586A52B" w14:textId="556DE0C1" w:rsidR="00D02586" w:rsidRPr="00BD437F" w:rsidRDefault="00570C41" w:rsidP="00BD437F">
      <w:pPr>
        <w:rPr>
          <w:rFonts w:cs="Times New Roman"/>
          <w:szCs w:val="24"/>
          <w:lang w:val="en-IN"/>
        </w:rPr>
      </w:pPr>
      <w:r w:rsidRPr="00BD437F">
        <w:rPr>
          <w:rFonts w:cs="Times New Roman"/>
          <w:szCs w:val="24"/>
          <w:lang w:val="en-IN"/>
        </w:rPr>
        <w:t xml:space="preserve">According to </w:t>
      </w:r>
      <w:proofErr w:type="spellStart"/>
      <w:r w:rsidR="00453C53" w:rsidRPr="00BD437F">
        <w:rPr>
          <w:rFonts w:cs="Times New Roman"/>
          <w:szCs w:val="24"/>
          <w:lang w:val="en-IN"/>
        </w:rPr>
        <w:t>Coqueret</w:t>
      </w:r>
      <w:proofErr w:type="spellEnd"/>
      <w:r w:rsidR="00453C53" w:rsidRPr="00BD437F">
        <w:rPr>
          <w:rFonts w:cs="Times New Roman"/>
          <w:szCs w:val="24"/>
          <w:lang w:val="en-IN"/>
        </w:rPr>
        <w:t xml:space="preserve"> and Tavin (2016),</w:t>
      </w:r>
      <w:r w:rsidRPr="00BD437F">
        <w:rPr>
          <w:rFonts w:cs="Times New Roman"/>
          <w:szCs w:val="24"/>
          <w:lang w:val="en-IN"/>
        </w:rPr>
        <w:t xml:space="preserve"> the use of derivatives to hedge foreign exchange risk is common practice </w:t>
      </w:r>
      <w:r w:rsidR="009623CE" w:rsidRPr="00BD437F">
        <w:rPr>
          <w:rFonts w:cs="Times New Roman"/>
          <w:szCs w:val="24"/>
          <w:lang w:val="en-IN"/>
        </w:rPr>
        <w:t>among</w:t>
      </w:r>
      <w:r w:rsidRPr="00BD437F">
        <w:rPr>
          <w:rFonts w:cs="Times New Roman"/>
          <w:szCs w:val="24"/>
          <w:lang w:val="en-IN"/>
        </w:rPr>
        <w:t xml:space="preserve"> multinational organisations</w:t>
      </w:r>
      <w:r w:rsidR="009623CE" w:rsidRPr="00BD437F">
        <w:rPr>
          <w:rFonts w:cs="Times New Roman"/>
          <w:szCs w:val="24"/>
          <w:lang w:val="en-IN"/>
        </w:rPr>
        <w:t xml:space="preserve"> but the effective use of derivatives is crucial for firms to improve their financial performance. The market has a lot of uncertainties and the impact of uncertainties on the effectiveness of adopted derivatives or risky hedging is significant. A firm cannot employ all the time a single strategy to control and manage foreign exchange exposure. Multinational organisations </w:t>
      </w:r>
      <w:proofErr w:type="gramStart"/>
      <w:r w:rsidR="009623CE" w:rsidRPr="00BD437F">
        <w:rPr>
          <w:rFonts w:cs="Times New Roman"/>
          <w:szCs w:val="24"/>
          <w:lang w:val="en-IN"/>
        </w:rPr>
        <w:t>have to</w:t>
      </w:r>
      <w:proofErr w:type="gramEnd"/>
      <w:r w:rsidR="009623CE" w:rsidRPr="00BD437F">
        <w:rPr>
          <w:rFonts w:cs="Times New Roman"/>
          <w:szCs w:val="24"/>
          <w:lang w:val="en-IN"/>
        </w:rPr>
        <w:t xml:space="preserve"> evaluate all possible strategies suitable to the given conditions of their </w:t>
      </w:r>
      <w:r w:rsidR="00235920" w:rsidRPr="00BD437F">
        <w:rPr>
          <w:rFonts w:cs="Times New Roman"/>
          <w:szCs w:val="24"/>
          <w:lang w:val="en-IN"/>
        </w:rPr>
        <w:t>work</w:t>
      </w:r>
      <w:r w:rsidR="009623CE" w:rsidRPr="00BD437F">
        <w:rPr>
          <w:rFonts w:cs="Times New Roman"/>
          <w:szCs w:val="24"/>
          <w:lang w:val="en-IN"/>
        </w:rPr>
        <w:t xml:space="preserve"> to improve </w:t>
      </w:r>
      <w:r w:rsidR="00235920" w:rsidRPr="00BD437F">
        <w:rPr>
          <w:rFonts w:cs="Times New Roman"/>
          <w:szCs w:val="24"/>
          <w:lang w:val="en-IN"/>
        </w:rPr>
        <w:t xml:space="preserve">the </w:t>
      </w:r>
      <w:r w:rsidR="009623CE" w:rsidRPr="00BD437F">
        <w:rPr>
          <w:rFonts w:cs="Times New Roman"/>
          <w:szCs w:val="24"/>
          <w:lang w:val="en-IN"/>
        </w:rPr>
        <w:t xml:space="preserve">benefits of using risk hedging strategies. </w:t>
      </w:r>
      <w:r w:rsidR="00235920" w:rsidRPr="00BD437F">
        <w:rPr>
          <w:rFonts w:cs="Times New Roman"/>
          <w:szCs w:val="24"/>
          <w:lang w:val="en-IN"/>
        </w:rPr>
        <w:t>Several companies suffer foreign exchange losses nevertheless they have futures and options to control their fluctuations in exchange rates. The proper management of foreign exchange risk is quite difficult because there are several economic and non-economic factors such as interest rates, inflation rates, economic growth, trends, trade disputes, etc. to affect the performance of the taken risk hedging techniques</w:t>
      </w:r>
      <w:sdt>
        <w:sdtPr>
          <w:rPr>
            <w:rFonts w:cs="Times New Roman"/>
            <w:szCs w:val="24"/>
            <w:lang w:val="en-IN"/>
          </w:rPr>
          <w:id w:val="-238478907"/>
          <w:citation/>
        </w:sdtPr>
        <w:sdtContent>
          <w:r w:rsidR="00453C53" w:rsidRPr="00BD437F">
            <w:rPr>
              <w:rFonts w:cs="Times New Roman"/>
              <w:szCs w:val="24"/>
              <w:lang w:val="en-IN"/>
            </w:rPr>
            <w:fldChar w:fldCharType="begin"/>
          </w:r>
          <w:r w:rsidR="00453C53" w:rsidRPr="00BD437F">
            <w:rPr>
              <w:rFonts w:cs="Times New Roman"/>
              <w:szCs w:val="24"/>
              <w:lang w:val="en-IN"/>
            </w:rPr>
            <w:instrText xml:space="preserve">CITATION Coq16 \p 652-653 \l 16393 </w:instrText>
          </w:r>
          <w:r w:rsidR="00453C53" w:rsidRPr="00BD437F">
            <w:rPr>
              <w:rFonts w:cs="Times New Roman"/>
              <w:szCs w:val="24"/>
              <w:lang w:val="en-IN"/>
            </w:rPr>
            <w:fldChar w:fldCharType="separate"/>
          </w:r>
          <w:r w:rsidR="00453C53" w:rsidRPr="00BD437F">
            <w:rPr>
              <w:rFonts w:cs="Times New Roman"/>
              <w:noProof/>
              <w:szCs w:val="24"/>
              <w:lang w:val="en-IN"/>
            </w:rPr>
            <w:t xml:space="preserve"> (Coqueret &amp; Tavin, 2016, pp. 652-653)</w:t>
          </w:r>
          <w:r w:rsidR="00453C53" w:rsidRPr="00BD437F">
            <w:rPr>
              <w:rFonts w:cs="Times New Roman"/>
              <w:szCs w:val="24"/>
              <w:lang w:val="en-IN"/>
            </w:rPr>
            <w:fldChar w:fldCharType="end"/>
          </w:r>
        </w:sdtContent>
      </w:sdt>
      <w:r w:rsidR="00235920" w:rsidRPr="00BD437F">
        <w:rPr>
          <w:rFonts w:cs="Times New Roman"/>
          <w:szCs w:val="24"/>
          <w:lang w:val="en-IN"/>
        </w:rPr>
        <w:t xml:space="preserve">. </w:t>
      </w:r>
    </w:p>
    <w:p w14:paraId="00013F24" w14:textId="524612EE" w:rsidR="00453C53" w:rsidRPr="00BD437F" w:rsidRDefault="00F6346D" w:rsidP="00BD437F">
      <w:pPr>
        <w:rPr>
          <w:rFonts w:cs="Times New Roman"/>
          <w:szCs w:val="24"/>
          <w:lang w:val="en-IN"/>
        </w:rPr>
      </w:pPr>
      <w:r w:rsidRPr="00BD437F">
        <w:rPr>
          <w:rFonts w:cs="Times New Roman"/>
          <w:szCs w:val="24"/>
          <w:lang w:val="en-IN"/>
        </w:rPr>
        <w:lastRenderedPageBreak/>
        <w:t xml:space="preserve">According to </w:t>
      </w:r>
      <w:r w:rsidR="00A8087E" w:rsidRPr="00BD437F">
        <w:rPr>
          <w:rFonts w:cs="Times New Roman"/>
          <w:szCs w:val="24"/>
          <w:lang w:val="en-IN"/>
        </w:rPr>
        <w:t xml:space="preserve">Ito, </w:t>
      </w:r>
      <w:proofErr w:type="spellStart"/>
      <w:r w:rsidR="00A8087E" w:rsidRPr="00BD437F">
        <w:rPr>
          <w:rFonts w:cs="Times New Roman"/>
          <w:szCs w:val="24"/>
          <w:lang w:val="en-IN"/>
        </w:rPr>
        <w:t>Koibuchi</w:t>
      </w:r>
      <w:proofErr w:type="spellEnd"/>
      <w:r w:rsidR="00A8087E" w:rsidRPr="00BD437F">
        <w:rPr>
          <w:rFonts w:cs="Times New Roman"/>
          <w:szCs w:val="24"/>
          <w:lang w:val="en-IN"/>
        </w:rPr>
        <w:t xml:space="preserve">, Sato, and Shimizu (2016), </w:t>
      </w:r>
      <w:r w:rsidR="00991ACD" w:rsidRPr="00BD437F">
        <w:rPr>
          <w:rFonts w:cs="Times New Roman"/>
          <w:szCs w:val="24"/>
          <w:lang w:val="en-IN"/>
        </w:rPr>
        <w:t xml:space="preserve">multinational companies use financial and operational hedging strategies to stay in the market with their competitiveness and financial strength. Companies are effective in using suitable </w:t>
      </w:r>
      <w:r w:rsidR="008445E4" w:rsidRPr="00BD437F">
        <w:rPr>
          <w:rFonts w:cs="Times New Roman"/>
          <w:szCs w:val="24"/>
          <w:lang w:val="en-IN"/>
        </w:rPr>
        <w:t>risk-hedging</w:t>
      </w:r>
      <w:r w:rsidR="00991ACD" w:rsidRPr="00BD437F">
        <w:rPr>
          <w:rFonts w:cs="Times New Roman"/>
          <w:szCs w:val="24"/>
          <w:lang w:val="en-IN"/>
        </w:rPr>
        <w:t xml:space="preserve"> strategies to improve their financial firms. The study of Japanese companies shows that the use of fore</w:t>
      </w:r>
      <w:r w:rsidR="008445E4" w:rsidRPr="00BD437F">
        <w:rPr>
          <w:rFonts w:cs="Times New Roman"/>
          <w:szCs w:val="24"/>
          <w:lang w:val="en-IN"/>
        </w:rPr>
        <w:t>ign</w:t>
      </w:r>
      <w:r w:rsidR="00991ACD" w:rsidRPr="00BD437F">
        <w:rPr>
          <w:rFonts w:cs="Times New Roman"/>
          <w:szCs w:val="24"/>
          <w:lang w:val="en-IN"/>
        </w:rPr>
        <w:t xml:space="preserve"> exchange </w:t>
      </w:r>
      <w:r w:rsidR="008445E4" w:rsidRPr="00BD437F">
        <w:rPr>
          <w:rFonts w:cs="Times New Roman"/>
          <w:szCs w:val="24"/>
          <w:lang w:val="en-IN"/>
        </w:rPr>
        <w:t>exposure</w:t>
      </w:r>
      <w:r w:rsidR="00991ACD" w:rsidRPr="00BD437F">
        <w:rPr>
          <w:rFonts w:cs="Times New Roman"/>
          <w:szCs w:val="24"/>
          <w:lang w:val="en-IN"/>
        </w:rPr>
        <w:t xml:space="preserve"> hedging strategies </w:t>
      </w:r>
      <w:r w:rsidR="008445E4" w:rsidRPr="00BD437F">
        <w:rPr>
          <w:rFonts w:cs="Times New Roman"/>
          <w:szCs w:val="24"/>
          <w:lang w:val="en-IN"/>
        </w:rPr>
        <w:t>helps</w:t>
      </w:r>
      <w:r w:rsidR="00991ACD" w:rsidRPr="00BD437F">
        <w:rPr>
          <w:rFonts w:cs="Times New Roman"/>
          <w:szCs w:val="24"/>
          <w:lang w:val="en-IN"/>
        </w:rPr>
        <w:t xml:space="preserve"> to improve fiancial performance by avoiding fluctuations in </w:t>
      </w:r>
      <w:r w:rsidR="008445E4" w:rsidRPr="00BD437F">
        <w:rPr>
          <w:rFonts w:cs="Times New Roman"/>
          <w:szCs w:val="24"/>
          <w:lang w:val="en-IN"/>
        </w:rPr>
        <w:t>the foreign</w:t>
      </w:r>
      <w:r w:rsidR="00991ACD" w:rsidRPr="00BD437F">
        <w:rPr>
          <w:rFonts w:cs="Times New Roman"/>
          <w:szCs w:val="24"/>
          <w:lang w:val="en-IN"/>
        </w:rPr>
        <w:t xml:space="preserve"> exchange market to maintain </w:t>
      </w:r>
      <w:r w:rsidR="008445E4" w:rsidRPr="00BD437F">
        <w:rPr>
          <w:rFonts w:cs="Times New Roman"/>
          <w:szCs w:val="24"/>
          <w:lang w:val="en-IN"/>
        </w:rPr>
        <w:t xml:space="preserve">the </w:t>
      </w:r>
      <w:r w:rsidR="00991ACD" w:rsidRPr="00BD437F">
        <w:rPr>
          <w:rFonts w:cs="Times New Roman"/>
          <w:szCs w:val="24"/>
          <w:lang w:val="en-IN"/>
        </w:rPr>
        <w:t xml:space="preserve">smooth flow of funds through managing </w:t>
      </w:r>
      <w:r w:rsidR="008445E4" w:rsidRPr="00BD437F">
        <w:rPr>
          <w:rFonts w:cs="Times New Roman"/>
          <w:szCs w:val="24"/>
          <w:lang w:val="en-IN"/>
        </w:rPr>
        <w:t>revenues</w:t>
      </w:r>
      <w:r w:rsidR="00991ACD" w:rsidRPr="00BD437F">
        <w:rPr>
          <w:rFonts w:cs="Times New Roman"/>
          <w:szCs w:val="24"/>
          <w:lang w:val="en-IN"/>
        </w:rPr>
        <w:t xml:space="preserve"> and costs </w:t>
      </w:r>
      <w:r w:rsidR="008445E4" w:rsidRPr="00BD437F">
        <w:rPr>
          <w:rFonts w:cs="Times New Roman"/>
          <w:szCs w:val="24"/>
          <w:lang w:val="en-IN"/>
        </w:rPr>
        <w:t>associated</w:t>
      </w:r>
      <w:r w:rsidR="00991ACD" w:rsidRPr="00BD437F">
        <w:rPr>
          <w:rFonts w:cs="Times New Roman"/>
          <w:szCs w:val="24"/>
          <w:lang w:val="en-IN"/>
        </w:rPr>
        <w:t xml:space="preserve"> with their operational activities. </w:t>
      </w:r>
      <w:r w:rsidR="0082645C" w:rsidRPr="00BD437F">
        <w:rPr>
          <w:rFonts w:cs="Times New Roman"/>
          <w:szCs w:val="24"/>
          <w:lang w:val="en-IN"/>
        </w:rPr>
        <w:t xml:space="preserve">The effective use of risk hedging strategies by companies need to understand market conditions to ensure </w:t>
      </w:r>
      <w:r w:rsidR="00F25D3F" w:rsidRPr="00BD437F">
        <w:rPr>
          <w:rFonts w:cs="Times New Roman"/>
          <w:szCs w:val="24"/>
          <w:lang w:val="en-IN"/>
        </w:rPr>
        <w:t xml:space="preserve">a </w:t>
      </w:r>
      <w:r w:rsidR="0082645C" w:rsidRPr="00BD437F">
        <w:rPr>
          <w:rFonts w:cs="Times New Roman"/>
          <w:szCs w:val="24"/>
          <w:lang w:val="en-IN"/>
        </w:rPr>
        <w:t xml:space="preserve">suitable selection of needed hedging </w:t>
      </w:r>
      <w:r w:rsidR="00F25D3F" w:rsidRPr="00BD437F">
        <w:rPr>
          <w:rFonts w:cs="Times New Roman"/>
          <w:szCs w:val="24"/>
          <w:lang w:val="en-IN"/>
        </w:rPr>
        <w:t>instruments</w:t>
      </w:r>
      <w:r w:rsidR="0082645C" w:rsidRPr="00BD437F">
        <w:rPr>
          <w:rFonts w:cs="Times New Roman"/>
          <w:szCs w:val="24"/>
          <w:lang w:val="en-IN"/>
        </w:rPr>
        <w:t xml:space="preserve"> as all </w:t>
      </w:r>
      <w:r w:rsidR="00F25D3F" w:rsidRPr="00BD437F">
        <w:rPr>
          <w:rFonts w:cs="Times New Roman"/>
          <w:szCs w:val="24"/>
          <w:lang w:val="en-IN"/>
        </w:rPr>
        <w:t>instruments</w:t>
      </w:r>
      <w:r w:rsidR="0082645C" w:rsidRPr="00BD437F">
        <w:rPr>
          <w:rFonts w:cs="Times New Roman"/>
          <w:szCs w:val="24"/>
          <w:lang w:val="en-IN"/>
        </w:rPr>
        <w:t xml:space="preserve"> are not effective for all market conditions. </w:t>
      </w:r>
      <w:r w:rsidR="00F25D3F" w:rsidRPr="00BD437F">
        <w:rPr>
          <w:rFonts w:cs="Times New Roman"/>
          <w:szCs w:val="24"/>
          <w:lang w:val="en-IN"/>
        </w:rPr>
        <w:t xml:space="preserve">The future is uncertain so the </w:t>
      </w:r>
      <w:r w:rsidR="00416C17" w:rsidRPr="00BD437F">
        <w:rPr>
          <w:rFonts w:cs="Times New Roman"/>
          <w:szCs w:val="24"/>
          <w:lang w:val="en-IN"/>
        </w:rPr>
        <w:t>perfect</w:t>
      </w:r>
      <w:r w:rsidR="00F25D3F" w:rsidRPr="00BD437F">
        <w:rPr>
          <w:rFonts w:cs="Times New Roman"/>
          <w:szCs w:val="24"/>
          <w:lang w:val="en-IN"/>
        </w:rPr>
        <w:t xml:space="preserve"> solution to the </w:t>
      </w:r>
      <w:r w:rsidR="00416C17" w:rsidRPr="00BD437F">
        <w:rPr>
          <w:rFonts w:cs="Times New Roman"/>
          <w:szCs w:val="24"/>
          <w:lang w:val="en-IN"/>
        </w:rPr>
        <w:t>foreign</w:t>
      </w:r>
      <w:r w:rsidR="00F25D3F" w:rsidRPr="00BD437F">
        <w:rPr>
          <w:rFonts w:cs="Times New Roman"/>
          <w:szCs w:val="24"/>
          <w:lang w:val="en-IN"/>
        </w:rPr>
        <w:t xml:space="preserve"> exchange </w:t>
      </w:r>
      <w:r w:rsidR="00416C17" w:rsidRPr="00BD437F">
        <w:rPr>
          <w:rFonts w:cs="Times New Roman"/>
          <w:szCs w:val="24"/>
          <w:lang w:val="en-IN"/>
        </w:rPr>
        <w:t>exposure</w:t>
      </w:r>
      <w:r w:rsidR="00F25D3F" w:rsidRPr="00BD437F">
        <w:rPr>
          <w:rFonts w:cs="Times New Roman"/>
          <w:szCs w:val="24"/>
          <w:lang w:val="en-IN"/>
        </w:rPr>
        <w:t xml:space="preserve"> is not </w:t>
      </w:r>
      <w:r w:rsidR="00416C17" w:rsidRPr="00BD437F">
        <w:rPr>
          <w:rFonts w:cs="Times New Roman"/>
          <w:szCs w:val="24"/>
          <w:lang w:val="en-IN"/>
        </w:rPr>
        <w:t>available</w:t>
      </w:r>
      <w:r w:rsidR="00F25D3F" w:rsidRPr="00BD437F">
        <w:rPr>
          <w:rFonts w:cs="Times New Roman"/>
          <w:szCs w:val="24"/>
          <w:lang w:val="en-IN"/>
        </w:rPr>
        <w:t xml:space="preserve"> for </w:t>
      </w:r>
      <w:proofErr w:type="gramStart"/>
      <w:r w:rsidR="00F25D3F" w:rsidRPr="00BD437F">
        <w:rPr>
          <w:rFonts w:cs="Times New Roman"/>
          <w:szCs w:val="24"/>
          <w:lang w:val="en-IN"/>
        </w:rPr>
        <w:t>firms</w:t>
      </w:r>
      <w:proofErr w:type="gramEnd"/>
      <w:r w:rsidR="00F25D3F" w:rsidRPr="00BD437F">
        <w:rPr>
          <w:rFonts w:cs="Times New Roman"/>
          <w:szCs w:val="24"/>
          <w:lang w:val="en-IN"/>
        </w:rPr>
        <w:t xml:space="preserve"> but firms can secure themselves to a </w:t>
      </w:r>
      <w:r w:rsidR="00416C17" w:rsidRPr="00BD437F">
        <w:rPr>
          <w:rFonts w:cs="Times New Roman"/>
          <w:szCs w:val="24"/>
          <w:lang w:val="en-IN"/>
        </w:rPr>
        <w:t>great</w:t>
      </w:r>
      <w:r w:rsidR="00F25D3F" w:rsidRPr="00BD437F">
        <w:rPr>
          <w:rFonts w:cs="Times New Roman"/>
          <w:szCs w:val="24"/>
          <w:lang w:val="en-IN"/>
        </w:rPr>
        <w:t xml:space="preserve"> extent by using risk hedging techniques</w:t>
      </w:r>
      <w:sdt>
        <w:sdtPr>
          <w:rPr>
            <w:rFonts w:cs="Times New Roman"/>
            <w:szCs w:val="24"/>
            <w:lang w:val="en-IN"/>
          </w:rPr>
          <w:id w:val="-1845925590"/>
          <w:citation/>
        </w:sdtPr>
        <w:sdtContent>
          <w:r w:rsidR="00A948F2" w:rsidRPr="00BD437F">
            <w:rPr>
              <w:rFonts w:cs="Times New Roman"/>
              <w:szCs w:val="24"/>
              <w:lang w:val="en-IN"/>
            </w:rPr>
            <w:fldChar w:fldCharType="begin"/>
          </w:r>
          <w:r w:rsidR="00A948F2" w:rsidRPr="00BD437F">
            <w:rPr>
              <w:rFonts w:cs="Times New Roman"/>
              <w:szCs w:val="24"/>
              <w:lang w:val="en-IN"/>
            </w:rPr>
            <w:instrText xml:space="preserve">CITATION Ito16 \p 21-22 \l 16393 </w:instrText>
          </w:r>
          <w:r w:rsidR="00A948F2" w:rsidRPr="00BD437F">
            <w:rPr>
              <w:rFonts w:cs="Times New Roman"/>
              <w:szCs w:val="24"/>
              <w:lang w:val="en-IN"/>
            </w:rPr>
            <w:fldChar w:fldCharType="separate"/>
          </w:r>
          <w:r w:rsidR="00A948F2" w:rsidRPr="00BD437F">
            <w:rPr>
              <w:rFonts w:cs="Times New Roman"/>
              <w:noProof/>
              <w:szCs w:val="24"/>
              <w:lang w:val="en-IN"/>
            </w:rPr>
            <w:t xml:space="preserve"> (Ito, et al., 2016, pp. 21-22)</w:t>
          </w:r>
          <w:r w:rsidR="00A948F2" w:rsidRPr="00BD437F">
            <w:rPr>
              <w:rFonts w:cs="Times New Roman"/>
              <w:szCs w:val="24"/>
              <w:lang w:val="en-IN"/>
            </w:rPr>
            <w:fldChar w:fldCharType="end"/>
          </w:r>
        </w:sdtContent>
      </w:sdt>
      <w:r w:rsidR="00F25D3F" w:rsidRPr="00BD437F">
        <w:rPr>
          <w:rFonts w:cs="Times New Roman"/>
          <w:szCs w:val="24"/>
          <w:lang w:val="en-IN"/>
        </w:rPr>
        <w:t>.</w:t>
      </w:r>
    </w:p>
    <w:p w14:paraId="2DE36F6B" w14:textId="77BF7937" w:rsidR="00A948F2" w:rsidRPr="00BD437F" w:rsidRDefault="00082C55" w:rsidP="00BD437F">
      <w:pPr>
        <w:pStyle w:val="Heading1"/>
        <w:rPr>
          <w:rFonts w:cs="Times New Roman"/>
          <w:szCs w:val="24"/>
          <w:lang w:val="en-IN"/>
        </w:rPr>
      </w:pPr>
      <w:bookmarkStart w:id="3" w:name="_Toc174781622"/>
      <w:r w:rsidRPr="00BD437F">
        <w:rPr>
          <w:rFonts w:cs="Times New Roman"/>
          <w:szCs w:val="24"/>
          <w:lang w:val="en-IN"/>
        </w:rPr>
        <w:t>Conclusion</w:t>
      </w:r>
      <w:bookmarkEnd w:id="3"/>
    </w:p>
    <w:p w14:paraId="4D2069ED" w14:textId="5C8C6150" w:rsidR="00361962" w:rsidRPr="00BD437F" w:rsidRDefault="00082C55" w:rsidP="00BD437F">
      <w:pPr>
        <w:rPr>
          <w:rFonts w:cs="Times New Roman"/>
          <w:szCs w:val="24"/>
        </w:rPr>
      </w:pPr>
      <w:r w:rsidRPr="00BD437F">
        <w:rPr>
          <w:rFonts w:cs="Times New Roman"/>
          <w:szCs w:val="24"/>
          <w:lang w:val="en-IN"/>
        </w:rPr>
        <w:t>The report concludes</w:t>
      </w:r>
      <w:r w:rsidR="00E51211" w:rsidRPr="00BD437F">
        <w:rPr>
          <w:rFonts w:cs="Times New Roman"/>
          <w:szCs w:val="24"/>
        </w:rPr>
        <w:t xml:space="preserve"> multinational organisations are effective in using foreign exchange risk hedging strategies to measure and manage their </w:t>
      </w:r>
      <w:r w:rsidR="00C1418A" w:rsidRPr="00BD437F">
        <w:rPr>
          <w:rFonts w:cs="Times New Roman"/>
          <w:szCs w:val="24"/>
        </w:rPr>
        <w:t>foreign exchange</w:t>
      </w:r>
      <w:r w:rsidR="00E51211" w:rsidRPr="00BD437F">
        <w:rPr>
          <w:rFonts w:cs="Times New Roman"/>
          <w:szCs w:val="24"/>
        </w:rPr>
        <w:t xml:space="preserve"> </w:t>
      </w:r>
      <w:proofErr w:type="gramStart"/>
      <w:r w:rsidR="00E51211" w:rsidRPr="00BD437F">
        <w:rPr>
          <w:rFonts w:cs="Times New Roman"/>
          <w:szCs w:val="24"/>
        </w:rPr>
        <w:t>exposure</w:t>
      </w:r>
      <w:proofErr w:type="gramEnd"/>
      <w:r w:rsidR="00E51211" w:rsidRPr="00BD437F">
        <w:rPr>
          <w:rFonts w:cs="Times New Roman"/>
          <w:szCs w:val="24"/>
        </w:rPr>
        <w:t xml:space="preserve"> but they are not effective all the time because market conditions have a significant influence on </w:t>
      </w:r>
      <w:r w:rsidR="00213F50" w:rsidRPr="00BD437F">
        <w:rPr>
          <w:rFonts w:cs="Times New Roman"/>
          <w:szCs w:val="24"/>
        </w:rPr>
        <w:t xml:space="preserve">the </w:t>
      </w:r>
      <w:r w:rsidR="00E51211" w:rsidRPr="00BD437F">
        <w:rPr>
          <w:rFonts w:cs="Times New Roman"/>
          <w:szCs w:val="24"/>
        </w:rPr>
        <w:t>effectiveness of taken hedging techniques.</w:t>
      </w:r>
      <w:r w:rsidR="00C1418A" w:rsidRPr="00BD437F">
        <w:rPr>
          <w:rFonts w:cs="Times New Roman"/>
          <w:szCs w:val="24"/>
        </w:rPr>
        <w:t xml:space="preserve"> Firms </w:t>
      </w:r>
      <w:proofErr w:type="gramStart"/>
      <w:r w:rsidR="00C1418A" w:rsidRPr="00BD437F">
        <w:rPr>
          <w:rFonts w:cs="Times New Roman"/>
          <w:szCs w:val="24"/>
        </w:rPr>
        <w:t>have to</w:t>
      </w:r>
      <w:proofErr w:type="gramEnd"/>
      <w:r w:rsidR="00C1418A" w:rsidRPr="00BD437F">
        <w:rPr>
          <w:rFonts w:cs="Times New Roman"/>
          <w:szCs w:val="24"/>
        </w:rPr>
        <w:t xml:space="preserve"> understand the market conditions and uncertainties to select the most suitable strategy to control foreign exchange risks</w:t>
      </w:r>
      <w:r w:rsidR="00213F50" w:rsidRPr="00BD437F">
        <w:rPr>
          <w:rFonts w:cs="Times New Roman"/>
          <w:szCs w:val="24"/>
        </w:rPr>
        <w:t xml:space="preserve">. Multinational organisations use forward contracts, futures, swaps, and options to manage their foreign exchange fluctuations to improve their financial performance. </w:t>
      </w:r>
      <w:r w:rsidR="00361962" w:rsidRPr="00BD437F">
        <w:rPr>
          <w:rFonts w:cs="Times New Roman"/>
          <w:szCs w:val="24"/>
        </w:rPr>
        <w:t xml:space="preserve">multinational organisations change their strategies but all the time they are not effective in using strategies perfectly to avoid foreign exchange losses. </w:t>
      </w:r>
    </w:p>
    <w:p w14:paraId="107E1088" w14:textId="77777777" w:rsidR="00361962" w:rsidRPr="00BD437F" w:rsidRDefault="00361962" w:rsidP="00BD437F">
      <w:pPr>
        <w:rPr>
          <w:rFonts w:cs="Times New Roman"/>
          <w:szCs w:val="24"/>
        </w:rPr>
      </w:pPr>
      <w:r w:rsidRPr="00BD437F">
        <w:rPr>
          <w:rFonts w:cs="Times New Roman"/>
          <w:szCs w:val="24"/>
        </w:rPr>
        <w:br w:type="page"/>
      </w:r>
    </w:p>
    <w:bookmarkStart w:id="4" w:name="_Toc174781623" w:displacedByCustomXml="next"/>
    <w:sdt>
      <w:sdtPr>
        <w:rPr>
          <w:rFonts w:cs="Times New Roman"/>
          <w:b w:val="0"/>
          <w:bCs/>
          <w:szCs w:val="24"/>
        </w:rPr>
        <w:id w:val="-487021745"/>
        <w:docPartObj>
          <w:docPartGallery w:val="Bibliographies"/>
          <w:docPartUnique/>
        </w:docPartObj>
      </w:sdtPr>
      <w:sdtContent>
        <w:p w14:paraId="269142EF" w14:textId="0484B0BA" w:rsidR="00361962" w:rsidRPr="00BD437F" w:rsidRDefault="00361962" w:rsidP="00BD437F">
          <w:pPr>
            <w:pStyle w:val="Heading1"/>
            <w:rPr>
              <w:rFonts w:cs="Times New Roman"/>
              <w:szCs w:val="24"/>
            </w:rPr>
          </w:pPr>
          <w:r w:rsidRPr="00BD437F">
            <w:rPr>
              <w:rFonts w:cs="Times New Roman"/>
              <w:szCs w:val="24"/>
            </w:rPr>
            <w:t>References</w:t>
          </w:r>
          <w:bookmarkEnd w:id="4"/>
        </w:p>
        <w:sdt>
          <w:sdtPr>
            <w:rPr>
              <w:rFonts w:cs="Times New Roman"/>
              <w:szCs w:val="24"/>
            </w:rPr>
            <w:id w:val="-573587230"/>
            <w:bibliography/>
          </w:sdtPr>
          <w:sdtContent>
            <w:p w14:paraId="6F6C57F8" w14:textId="77777777" w:rsidR="00361962" w:rsidRPr="00BD437F" w:rsidRDefault="00361962" w:rsidP="00BD437F">
              <w:pPr>
                <w:pStyle w:val="Bibliography"/>
                <w:rPr>
                  <w:rFonts w:cs="Times New Roman"/>
                  <w:noProof/>
                  <w:kern w:val="0"/>
                  <w:szCs w:val="24"/>
                  <w14:ligatures w14:val="none"/>
                </w:rPr>
              </w:pPr>
              <w:r w:rsidRPr="00BD437F">
                <w:rPr>
                  <w:rFonts w:cs="Times New Roman"/>
                  <w:bCs w:val="0"/>
                  <w:szCs w:val="24"/>
                </w:rPr>
                <w:fldChar w:fldCharType="begin"/>
              </w:r>
              <w:r w:rsidRPr="00BD437F">
                <w:rPr>
                  <w:rFonts w:cs="Times New Roman"/>
                  <w:szCs w:val="24"/>
                </w:rPr>
                <w:instrText xml:space="preserve"> BIBLIOGRAPHY </w:instrText>
              </w:r>
              <w:r w:rsidRPr="00BD437F">
                <w:rPr>
                  <w:rFonts w:cs="Times New Roman"/>
                  <w:bCs w:val="0"/>
                  <w:szCs w:val="24"/>
                </w:rPr>
                <w:fldChar w:fldCharType="separate"/>
              </w:r>
              <w:r w:rsidRPr="00BD437F">
                <w:rPr>
                  <w:rFonts w:cs="Times New Roman"/>
                  <w:noProof/>
                  <w:szCs w:val="24"/>
                </w:rPr>
                <w:t xml:space="preserve">Ahmed, H., Fairchild, R. &amp; Guney, Y., 2020. Is corporate hedging always beneficial? A theoretical and empirical analysis. </w:t>
              </w:r>
              <w:r w:rsidRPr="00BD437F">
                <w:rPr>
                  <w:rFonts w:cs="Times New Roman"/>
                  <w:i/>
                  <w:iCs/>
                  <w:noProof/>
                  <w:szCs w:val="24"/>
                </w:rPr>
                <w:t xml:space="preserve">The European Journal of Finance, </w:t>
              </w:r>
              <w:r w:rsidRPr="00BD437F">
                <w:rPr>
                  <w:rFonts w:cs="Times New Roman"/>
                  <w:noProof/>
                  <w:szCs w:val="24"/>
                </w:rPr>
                <w:t>26(17), pp. 1746-1780.</w:t>
              </w:r>
            </w:p>
            <w:p w14:paraId="2A77BCD5" w14:textId="77777777" w:rsidR="00361962" w:rsidRPr="00BD437F" w:rsidRDefault="00361962" w:rsidP="00BD437F">
              <w:pPr>
                <w:pStyle w:val="Bibliography"/>
                <w:rPr>
                  <w:rFonts w:cs="Times New Roman"/>
                  <w:noProof/>
                  <w:szCs w:val="24"/>
                </w:rPr>
              </w:pPr>
              <w:r w:rsidRPr="00BD437F">
                <w:rPr>
                  <w:rFonts w:cs="Times New Roman"/>
                  <w:noProof/>
                  <w:szCs w:val="24"/>
                </w:rPr>
                <w:t xml:space="preserve">Bartram, S., 2019. Corporate hedging and speculation with derivatives. </w:t>
              </w:r>
              <w:r w:rsidRPr="00BD437F">
                <w:rPr>
                  <w:rFonts w:cs="Times New Roman"/>
                  <w:i/>
                  <w:iCs/>
                  <w:noProof/>
                  <w:szCs w:val="24"/>
                </w:rPr>
                <w:t xml:space="preserve">Journal of Corporate Finance, </w:t>
              </w:r>
              <w:r w:rsidRPr="00BD437F">
                <w:rPr>
                  <w:rFonts w:cs="Times New Roman"/>
                  <w:noProof/>
                  <w:szCs w:val="24"/>
                </w:rPr>
                <w:t>Volume 57, pp. 9-34.</w:t>
              </w:r>
            </w:p>
            <w:p w14:paraId="4E93F50B" w14:textId="77777777" w:rsidR="00361962" w:rsidRPr="00BD437F" w:rsidRDefault="00361962" w:rsidP="00BD437F">
              <w:pPr>
                <w:pStyle w:val="Bibliography"/>
                <w:rPr>
                  <w:rFonts w:cs="Times New Roman"/>
                  <w:noProof/>
                  <w:szCs w:val="24"/>
                </w:rPr>
              </w:pPr>
              <w:r w:rsidRPr="00BD437F">
                <w:rPr>
                  <w:rFonts w:cs="Times New Roman"/>
                  <w:noProof/>
                  <w:szCs w:val="24"/>
                </w:rPr>
                <w:t xml:space="preserve">Blanco, I., Peña, J. &amp; Rodriguez, R., 2018. Modelling electricity swaps with stochastic forward premium models. </w:t>
              </w:r>
              <w:r w:rsidRPr="00BD437F">
                <w:rPr>
                  <w:rFonts w:cs="Times New Roman"/>
                  <w:i/>
                  <w:iCs/>
                  <w:noProof/>
                  <w:szCs w:val="24"/>
                </w:rPr>
                <w:t xml:space="preserve">The Energy Journal, </w:t>
              </w:r>
              <w:r w:rsidRPr="00BD437F">
                <w:rPr>
                  <w:rFonts w:cs="Times New Roman"/>
                  <w:noProof/>
                  <w:szCs w:val="24"/>
                </w:rPr>
                <w:t>39(2), pp. 1-34.</w:t>
              </w:r>
            </w:p>
            <w:p w14:paraId="1D2C93A5" w14:textId="77777777" w:rsidR="00361962" w:rsidRPr="00BD437F" w:rsidRDefault="00361962" w:rsidP="00BD437F">
              <w:pPr>
                <w:pStyle w:val="Bibliography"/>
                <w:rPr>
                  <w:rFonts w:cs="Times New Roman"/>
                  <w:noProof/>
                  <w:szCs w:val="24"/>
                </w:rPr>
              </w:pPr>
              <w:r w:rsidRPr="00BD437F">
                <w:rPr>
                  <w:rFonts w:cs="Times New Roman"/>
                  <w:noProof/>
                  <w:szCs w:val="24"/>
                </w:rPr>
                <w:t xml:space="preserve">Coqueret, G. &amp; Tavin, B., 2016. An investigation of model risk in a market with jumps and stochastic volatility. </w:t>
              </w:r>
              <w:r w:rsidRPr="00BD437F">
                <w:rPr>
                  <w:rFonts w:cs="Times New Roman"/>
                  <w:i/>
                  <w:iCs/>
                  <w:noProof/>
                  <w:szCs w:val="24"/>
                </w:rPr>
                <w:t xml:space="preserve">European Journal of Operational Research, </w:t>
              </w:r>
              <w:r w:rsidRPr="00BD437F">
                <w:rPr>
                  <w:rFonts w:cs="Times New Roman"/>
                  <w:noProof/>
                  <w:szCs w:val="24"/>
                </w:rPr>
                <w:t>253(3), pp. 648-658.</w:t>
              </w:r>
            </w:p>
            <w:p w14:paraId="5228E2F4" w14:textId="77777777" w:rsidR="00361962" w:rsidRPr="00BD437F" w:rsidRDefault="00361962" w:rsidP="00BD437F">
              <w:pPr>
                <w:pStyle w:val="Bibliography"/>
                <w:rPr>
                  <w:rFonts w:cs="Times New Roman"/>
                  <w:noProof/>
                  <w:szCs w:val="24"/>
                </w:rPr>
              </w:pPr>
              <w:r w:rsidRPr="00BD437F">
                <w:rPr>
                  <w:rFonts w:cs="Times New Roman"/>
                  <w:noProof/>
                  <w:szCs w:val="24"/>
                </w:rPr>
                <w:t xml:space="preserve">Huang, Y., 2024. Analysis of Currency Risk Hedging Strategies in Multinational Companies: A Case Study of the 2022 Russo-Ukrainian War and Surge in US Dollar Exchange Rate. </w:t>
              </w:r>
              <w:r w:rsidRPr="00BD437F">
                <w:rPr>
                  <w:rFonts w:cs="Times New Roman"/>
                  <w:i/>
                  <w:iCs/>
                  <w:noProof/>
                  <w:szCs w:val="24"/>
                </w:rPr>
                <w:t xml:space="preserve">In SHS Web of Conferences, </w:t>
              </w:r>
              <w:r w:rsidRPr="00BD437F">
                <w:rPr>
                  <w:rFonts w:cs="Times New Roman"/>
                  <w:noProof/>
                  <w:szCs w:val="24"/>
                </w:rPr>
                <w:t>Volume 188, pp. 1-7.</w:t>
              </w:r>
            </w:p>
            <w:p w14:paraId="05978575" w14:textId="77777777" w:rsidR="00361962" w:rsidRPr="00BD437F" w:rsidRDefault="00361962" w:rsidP="00BD437F">
              <w:pPr>
                <w:pStyle w:val="Bibliography"/>
                <w:rPr>
                  <w:rFonts w:cs="Times New Roman"/>
                  <w:noProof/>
                  <w:szCs w:val="24"/>
                </w:rPr>
              </w:pPr>
              <w:r w:rsidRPr="00BD437F">
                <w:rPr>
                  <w:rFonts w:cs="Times New Roman"/>
                  <w:noProof/>
                  <w:szCs w:val="24"/>
                </w:rPr>
                <w:t xml:space="preserve">Ito, T., Koibuchi, S., Sato, K. &amp; Shimizu, J., 2016. Exchange rate exposure and risk management: The case of Japanese exporting firms. </w:t>
              </w:r>
              <w:r w:rsidRPr="00BD437F">
                <w:rPr>
                  <w:rFonts w:cs="Times New Roman"/>
                  <w:i/>
                  <w:iCs/>
                  <w:noProof/>
                  <w:szCs w:val="24"/>
                </w:rPr>
                <w:t xml:space="preserve">Journal of the Japanese and International Economies, </w:t>
              </w:r>
              <w:r w:rsidRPr="00BD437F">
                <w:rPr>
                  <w:rFonts w:cs="Times New Roman"/>
                  <w:noProof/>
                  <w:szCs w:val="24"/>
                </w:rPr>
                <w:t>Volume 41, pp. 17-29.</w:t>
              </w:r>
            </w:p>
            <w:p w14:paraId="20E792AD" w14:textId="77777777" w:rsidR="00361962" w:rsidRPr="00BD437F" w:rsidRDefault="00361962" w:rsidP="00BD437F">
              <w:pPr>
                <w:pStyle w:val="Bibliography"/>
                <w:rPr>
                  <w:rFonts w:cs="Times New Roman"/>
                  <w:noProof/>
                  <w:szCs w:val="24"/>
                </w:rPr>
              </w:pPr>
              <w:r w:rsidRPr="00BD437F">
                <w:rPr>
                  <w:rFonts w:cs="Times New Roman"/>
                  <w:noProof/>
                  <w:szCs w:val="24"/>
                </w:rPr>
                <w:t xml:space="preserve">Lenee, T. &amp; Oki, J., 2017. Financial derivatives and firm performance: empirical evidence from financial and non-financial firms. </w:t>
              </w:r>
              <w:r w:rsidRPr="00BD437F">
                <w:rPr>
                  <w:rFonts w:cs="Times New Roman"/>
                  <w:i/>
                  <w:iCs/>
                  <w:noProof/>
                  <w:szCs w:val="24"/>
                </w:rPr>
                <w:t xml:space="preserve">British Journal of Economics, Management &amp; Trade, </w:t>
              </w:r>
              <w:r w:rsidRPr="00BD437F">
                <w:rPr>
                  <w:rFonts w:cs="Times New Roman"/>
                  <w:noProof/>
                  <w:szCs w:val="24"/>
                </w:rPr>
                <w:t>16(4), pp. 1-36.</w:t>
              </w:r>
            </w:p>
            <w:p w14:paraId="6EF2C106" w14:textId="77777777" w:rsidR="00361962" w:rsidRPr="00BD437F" w:rsidRDefault="00361962" w:rsidP="00BD437F">
              <w:pPr>
                <w:pStyle w:val="Bibliography"/>
                <w:rPr>
                  <w:rFonts w:cs="Times New Roman"/>
                  <w:noProof/>
                  <w:szCs w:val="24"/>
                </w:rPr>
              </w:pPr>
              <w:r w:rsidRPr="00BD437F">
                <w:rPr>
                  <w:rFonts w:cs="Times New Roman"/>
                  <w:noProof/>
                  <w:szCs w:val="24"/>
                </w:rPr>
                <w:t xml:space="preserve">Papaioannou, M., 2006. </w:t>
              </w:r>
              <w:r w:rsidRPr="00BD437F">
                <w:rPr>
                  <w:rFonts w:cs="Times New Roman"/>
                  <w:i/>
                  <w:iCs/>
                  <w:noProof/>
                  <w:szCs w:val="24"/>
                </w:rPr>
                <w:t xml:space="preserve">Exchange Rate Risk Measurement and Management: Issues and Approaches for Firms. </w:t>
              </w:r>
              <w:r w:rsidRPr="00BD437F">
                <w:rPr>
                  <w:rFonts w:cs="Times New Roman"/>
                  <w:noProof/>
                  <w:szCs w:val="24"/>
                </w:rPr>
                <w:t xml:space="preserve">[Online] </w:t>
              </w:r>
              <w:r w:rsidRPr="00BD437F">
                <w:rPr>
                  <w:rFonts w:cs="Times New Roman"/>
                  <w:noProof/>
                  <w:szCs w:val="24"/>
                </w:rPr>
                <w:br/>
                <w:t xml:space="preserve">Available at: </w:t>
              </w:r>
              <w:r w:rsidRPr="00BD437F">
                <w:rPr>
                  <w:rFonts w:cs="Times New Roman"/>
                  <w:noProof/>
                  <w:szCs w:val="24"/>
                  <w:u w:val="single"/>
                </w:rPr>
                <w:t>https://www.imf.org/external/pubs/ft/wp/2006/wp06255.pdf</w:t>
              </w:r>
              <w:r w:rsidRPr="00BD437F">
                <w:rPr>
                  <w:rFonts w:cs="Times New Roman"/>
                  <w:noProof/>
                  <w:szCs w:val="24"/>
                </w:rPr>
                <w:br/>
                <w:t>[Accessed 16 08 2024].</w:t>
              </w:r>
            </w:p>
            <w:p w14:paraId="71E3FCA3" w14:textId="77777777" w:rsidR="00361962" w:rsidRPr="00BD437F" w:rsidRDefault="00361962" w:rsidP="00BD437F">
              <w:pPr>
                <w:pStyle w:val="Bibliography"/>
                <w:rPr>
                  <w:rFonts w:cs="Times New Roman"/>
                  <w:noProof/>
                  <w:szCs w:val="24"/>
                </w:rPr>
              </w:pPr>
              <w:r w:rsidRPr="00BD437F">
                <w:rPr>
                  <w:rFonts w:cs="Times New Roman"/>
                  <w:noProof/>
                  <w:szCs w:val="24"/>
                </w:rPr>
                <w:t xml:space="preserve">Rolls Royace plc, 2017. </w:t>
              </w:r>
              <w:r w:rsidRPr="00BD437F">
                <w:rPr>
                  <w:rFonts w:cs="Times New Roman"/>
                  <w:i/>
                  <w:iCs/>
                  <w:noProof/>
                  <w:szCs w:val="24"/>
                </w:rPr>
                <w:t xml:space="preserve">Independent Auditor's Report. </w:t>
              </w:r>
              <w:r w:rsidRPr="00BD437F">
                <w:rPr>
                  <w:rFonts w:cs="Times New Roman"/>
                  <w:noProof/>
                  <w:szCs w:val="24"/>
                </w:rPr>
                <w:t xml:space="preserve">[Online] </w:t>
              </w:r>
              <w:r w:rsidRPr="00BD437F">
                <w:rPr>
                  <w:rFonts w:cs="Times New Roman"/>
                  <w:noProof/>
                  <w:szCs w:val="24"/>
                </w:rPr>
                <w:br/>
                <w:t xml:space="preserve">Available at: </w:t>
              </w:r>
              <w:r w:rsidRPr="00BD437F">
                <w:rPr>
                  <w:rFonts w:cs="Times New Roman"/>
                  <w:noProof/>
                  <w:szCs w:val="24"/>
                  <w:u w:val="single"/>
                </w:rPr>
                <w:t>https://www.rolls-royce.com/~/media/Files/R/Rolls-Royce/documents/annual-</w:t>
              </w:r>
              <w:r w:rsidRPr="00BD437F">
                <w:rPr>
                  <w:rFonts w:cs="Times New Roman"/>
                  <w:noProof/>
                  <w:szCs w:val="24"/>
                  <w:u w:val="single"/>
                </w:rPr>
                <w:lastRenderedPageBreak/>
                <w:t>report/2017/rr-ar2017-other-information.pdf</w:t>
              </w:r>
              <w:r w:rsidRPr="00BD437F">
                <w:rPr>
                  <w:rFonts w:cs="Times New Roman"/>
                  <w:noProof/>
                  <w:szCs w:val="24"/>
                </w:rPr>
                <w:br/>
                <w:t>[Accessed 16 08 2024].</w:t>
              </w:r>
            </w:p>
            <w:p w14:paraId="525FE3FD" w14:textId="77777777" w:rsidR="00361962" w:rsidRPr="00BD437F" w:rsidRDefault="00361962" w:rsidP="00BD437F">
              <w:pPr>
                <w:pStyle w:val="Bibliography"/>
                <w:rPr>
                  <w:rFonts w:cs="Times New Roman"/>
                  <w:noProof/>
                  <w:szCs w:val="24"/>
                </w:rPr>
              </w:pPr>
              <w:r w:rsidRPr="00BD437F">
                <w:rPr>
                  <w:rFonts w:cs="Times New Roman"/>
                  <w:noProof/>
                  <w:szCs w:val="24"/>
                </w:rPr>
                <w:t xml:space="preserve">Tesco plc, 2016. </w:t>
              </w:r>
              <w:r w:rsidRPr="00BD437F">
                <w:rPr>
                  <w:rFonts w:cs="Times New Roman"/>
                  <w:i/>
                  <w:iCs/>
                  <w:noProof/>
                  <w:szCs w:val="24"/>
                </w:rPr>
                <w:t xml:space="preserve">Annual Report and Financial Statements 2016. </w:t>
              </w:r>
              <w:r w:rsidRPr="00BD437F">
                <w:rPr>
                  <w:rFonts w:cs="Times New Roman"/>
                  <w:noProof/>
                  <w:szCs w:val="24"/>
                </w:rPr>
                <w:t xml:space="preserve">[Online] </w:t>
              </w:r>
              <w:r w:rsidRPr="00BD437F">
                <w:rPr>
                  <w:rFonts w:cs="Times New Roman"/>
                  <w:noProof/>
                  <w:szCs w:val="24"/>
                </w:rPr>
                <w:br/>
                <w:t xml:space="preserve">Available at: </w:t>
              </w:r>
              <w:r w:rsidRPr="00BD437F">
                <w:rPr>
                  <w:rFonts w:cs="Times New Roman"/>
                  <w:noProof/>
                  <w:szCs w:val="24"/>
                  <w:u w:val="single"/>
                </w:rPr>
                <w:t>https://www.tescoplc.com/media/264194/annual-report-2016.pdf</w:t>
              </w:r>
              <w:r w:rsidRPr="00BD437F">
                <w:rPr>
                  <w:rFonts w:cs="Times New Roman"/>
                  <w:noProof/>
                  <w:szCs w:val="24"/>
                </w:rPr>
                <w:br/>
                <w:t>[Accessed 16 08 2024].</w:t>
              </w:r>
            </w:p>
            <w:p w14:paraId="2DC188F1" w14:textId="431E8297" w:rsidR="00361962" w:rsidRPr="00BD437F" w:rsidRDefault="00361962" w:rsidP="00BD437F">
              <w:pPr>
                <w:rPr>
                  <w:rFonts w:cs="Times New Roman"/>
                  <w:szCs w:val="24"/>
                </w:rPr>
              </w:pPr>
              <w:r w:rsidRPr="00BD437F">
                <w:rPr>
                  <w:rFonts w:cs="Times New Roman"/>
                  <w:b/>
                  <w:bCs w:val="0"/>
                  <w:noProof/>
                  <w:szCs w:val="24"/>
                </w:rPr>
                <w:fldChar w:fldCharType="end"/>
              </w:r>
            </w:p>
          </w:sdtContent>
        </w:sdt>
      </w:sdtContent>
    </w:sdt>
    <w:p w14:paraId="5DD5578B" w14:textId="77777777" w:rsidR="00E51211" w:rsidRPr="00BD437F" w:rsidRDefault="00E51211" w:rsidP="00BD437F">
      <w:pPr>
        <w:rPr>
          <w:rFonts w:cs="Times New Roman"/>
          <w:szCs w:val="24"/>
        </w:rPr>
      </w:pPr>
    </w:p>
    <w:p w14:paraId="4114EA8C" w14:textId="6F8C7A9E" w:rsidR="00082C55" w:rsidRPr="00BD437F" w:rsidRDefault="00082C55" w:rsidP="00BD437F">
      <w:pPr>
        <w:rPr>
          <w:rFonts w:cs="Times New Roman"/>
          <w:szCs w:val="24"/>
          <w:lang w:val="en-IN"/>
        </w:rPr>
      </w:pPr>
    </w:p>
    <w:p w14:paraId="4276E7FF" w14:textId="77777777" w:rsidR="00874088" w:rsidRPr="00BD437F" w:rsidRDefault="00874088" w:rsidP="00BD437F">
      <w:pPr>
        <w:rPr>
          <w:rFonts w:cs="Times New Roman"/>
          <w:szCs w:val="24"/>
          <w:lang w:val="en-IN"/>
        </w:rPr>
      </w:pPr>
    </w:p>
    <w:p w14:paraId="3CD03FE3" w14:textId="77777777" w:rsidR="006E2944" w:rsidRPr="00BD437F" w:rsidRDefault="006E2944" w:rsidP="00BD437F">
      <w:pPr>
        <w:rPr>
          <w:rFonts w:cs="Times New Roman"/>
          <w:szCs w:val="24"/>
          <w:lang w:val="en-IN"/>
        </w:rPr>
      </w:pPr>
    </w:p>
    <w:p w14:paraId="6E87E579" w14:textId="77777777" w:rsidR="006E2944" w:rsidRPr="00BD437F" w:rsidRDefault="006E2944" w:rsidP="00BD437F">
      <w:pPr>
        <w:rPr>
          <w:rFonts w:cs="Times New Roman"/>
          <w:szCs w:val="24"/>
          <w:lang w:val="en-IN"/>
        </w:rPr>
      </w:pPr>
    </w:p>
    <w:p w14:paraId="08834810" w14:textId="77777777" w:rsidR="006E2944" w:rsidRPr="00BD437F" w:rsidRDefault="006E2944" w:rsidP="00BD437F">
      <w:pPr>
        <w:rPr>
          <w:rFonts w:cs="Times New Roman"/>
          <w:szCs w:val="24"/>
          <w:lang w:val="en-IN"/>
        </w:rPr>
      </w:pPr>
    </w:p>
    <w:p w14:paraId="02DB6AA9" w14:textId="77777777" w:rsidR="006E2944" w:rsidRPr="00BD437F" w:rsidRDefault="006E2944" w:rsidP="00BD437F">
      <w:pPr>
        <w:rPr>
          <w:rFonts w:cs="Times New Roman"/>
          <w:szCs w:val="24"/>
          <w:lang w:val="en-IN"/>
        </w:rPr>
      </w:pPr>
    </w:p>
    <w:p w14:paraId="6C5F7C39" w14:textId="77777777" w:rsidR="006E2944" w:rsidRPr="00BD437F" w:rsidRDefault="006E2944" w:rsidP="00BD437F">
      <w:pPr>
        <w:rPr>
          <w:rFonts w:cs="Times New Roman"/>
          <w:szCs w:val="24"/>
          <w:lang w:val="en-IN"/>
        </w:rPr>
      </w:pPr>
    </w:p>
    <w:p w14:paraId="390F9380" w14:textId="77777777" w:rsidR="006E2944" w:rsidRPr="00BD437F" w:rsidRDefault="006E2944" w:rsidP="00BD437F">
      <w:pPr>
        <w:rPr>
          <w:rFonts w:cs="Times New Roman"/>
          <w:szCs w:val="24"/>
          <w:lang w:val="en-IN"/>
        </w:rPr>
      </w:pPr>
    </w:p>
    <w:p w14:paraId="2F18E083" w14:textId="77777777" w:rsidR="006E2944" w:rsidRPr="00BD437F" w:rsidRDefault="006E2944" w:rsidP="00BD437F">
      <w:pPr>
        <w:rPr>
          <w:rFonts w:cs="Times New Roman"/>
          <w:szCs w:val="24"/>
          <w:lang w:val="en-IN"/>
        </w:rPr>
      </w:pPr>
    </w:p>
    <w:p w14:paraId="40DA33B6" w14:textId="77777777" w:rsidR="006E2944" w:rsidRPr="00BD437F" w:rsidRDefault="006E2944" w:rsidP="00BD437F">
      <w:pPr>
        <w:rPr>
          <w:rFonts w:cs="Times New Roman"/>
          <w:szCs w:val="24"/>
          <w:lang w:val="en-IN"/>
        </w:rPr>
      </w:pPr>
    </w:p>
    <w:p w14:paraId="7AE812BC" w14:textId="77777777" w:rsidR="006E2944" w:rsidRPr="00BD437F" w:rsidRDefault="006E2944" w:rsidP="00BD437F">
      <w:pPr>
        <w:rPr>
          <w:rFonts w:cs="Times New Roman"/>
          <w:szCs w:val="24"/>
          <w:lang w:val="en-IN"/>
        </w:rPr>
      </w:pPr>
    </w:p>
    <w:p w14:paraId="5AD4EA62" w14:textId="77777777" w:rsidR="006E2944" w:rsidRPr="00BD437F" w:rsidRDefault="006E2944" w:rsidP="00BD437F">
      <w:pPr>
        <w:rPr>
          <w:rFonts w:cs="Times New Roman"/>
          <w:szCs w:val="24"/>
          <w:lang w:val="en-IN"/>
        </w:rPr>
      </w:pPr>
    </w:p>
    <w:p w14:paraId="258FBB20" w14:textId="77777777" w:rsidR="006E2944" w:rsidRPr="00BD437F" w:rsidRDefault="006E2944" w:rsidP="00BD437F">
      <w:pPr>
        <w:rPr>
          <w:rFonts w:cs="Times New Roman"/>
          <w:szCs w:val="24"/>
          <w:lang w:val="en-IN"/>
        </w:rPr>
      </w:pPr>
    </w:p>
    <w:p w14:paraId="2C8FE631" w14:textId="77777777" w:rsidR="006E2944" w:rsidRPr="00BD437F" w:rsidRDefault="006E2944" w:rsidP="00BD437F">
      <w:pPr>
        <w:rPr>
          <w:rFonts w:cs="Times New Roman"/>
          <w:szCs w:val="24"/>
          <w:lang w:val="en-IN"/>
        </w:rPr>
      </w:pPr>
    </w:p>
    <w:p w14:paraId="428DFF24" w14:textId="77777777" w:rsidR="006E2944" w:rsidRPr="00BD437F" w:rsidRDefault="006E2944" w:rsidP="00BD437F">
      <w:pPr>
        <w:rPr>
          <w:rFonts w:cs="Times New Roman"/>
          <w:szCs w:val="24"/>
          <w:lang w:val="en-IN"/>
        </w:rPr>
      </w:pPr>
    </w:p>
    <w:p w14:paraId="1D6DD970" w14:textId="77777777" w:rsidR="00EA243A" w:rsidRPr="00BD437F" w:rsidRDefault="00EA243A" w:rsidP="00BD437F">
      <w:pPr>
        <w:rPr>
          <w:rFonts w:cs="Times New Roman"/>
          <w:szCs w:val="24"/>
        </w:rPr>
      </w:pPr>
    </w:p>
    <w:p w14:paraId="739F47A8" w14:textId="77777777" w:rsidR="00EA243A" w:rsidRPr="00BD437F" w:rsidRDefault="00EA243A" w:rsidP="00BD437F">
      <w:pPr>
        <w:rPr>
          <w:rFonts w:cs="Times New Roman"/>
          <w:szCs w:val="24"/>
        </w:rPr>
      </w:pPr>
    </w:p>
    <w:p w14:paraId="785BA74D" w14:textId="77777777" w:rsidR="00EA243A" w:rsidRPr="00BD437F" w:rsidRDefault="00EA243A" w:rsidP="00BD437F">
      <w:pPr>
        <w:rPr>
          <w:rFonts w:cs="Times New Roman"/>
          <w:szCs w:val="24"/>
        </w:rPr>
      </w:pPr>
    </w:p>
    <w:sectPr w:rsidR="00EA243A" w:rsidRPr="00BD437F" w:rsidSect="00361962">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6C16DC" w14:textId="77777777" w:rsidR="00F05F58" w:rsidRDefault="00F05F58" w:rsidP="00361962">
      <w:pPr>
        <w:spacing w:line="240" w:lineRule="auto"/>
      </w:pPr>
      <w:r>
        <w:separator/>
      </w:r>
    </w:p>
  </w:endnote>
  <w:endnote w:type="continuationSeparator" w:id="0">
    <w:p w14:paraId="35EC5895" w14:textId="77777777" w:rsidR="00F05F58" w:rsidRDefault="00F05F58" w:rsidP="003619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5823257"/>
      <w:docPartObj>
        <w:docPartGallery w:val="Page Numbers (Bottom of Page)"/>
        <w:docPartUnique/>
      </w:docPartObj>
    </w:sdtPr>
    <w:sdtContent>
      <w:p w14:paraId="15B31791" w14:textId="016BE1B6" w:rsidR="00361962" w:rsidRDefault="0036196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C9B7B31" w14:textId="77777777" w:rsidR="00361962" w:rsidRDefault="00361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77415D" w14:textId="77777777" w:rsidR="00F05F58" w:rsidRDefault="00F05F58" w:rsidP="00361962">
      <w:pPr>
        <w:spacing w:line="240" w:lineRule="auto"/>
      </w:pPr>
      <w:r>
        <w:separator/>
      </w:r>
    </w:p>
  </w:footnote>
  <w:footnote w:type="continuationSeparator" w:id="0">
    <w:p w14:paraId="71CEC4EF" w14:textId="77777777" w:rsidR="00F05F58" w:rsidRDefault="00F05F58" w:rsidP="0036196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496E7A"/>
    <w:multiLevelType w:val="hybridMultilevel"/>
    <w:tmpl w:val="3F224E4C"/>
    <w:lvl w:ilvl="0" w:tplc="1326F79E">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870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BBC"/>
    <w:rsid w:val="0000129A"/>
    <w:rsid w:val="00037F0D"/>
    <w:rsid w:val="00063BBC"/>
    <w:rsid w:val="00082C55"/>
    <w:rsid w:val="00086D40"/>
    <w:rsid w:val="000977FA"/>
    <w:rsid w:val="000B3A30"/>
    <w:rsid w:val="000C3EF7"/>
    <w:rsid w:val="000D3107"/>
    <w:rsid w:val="000D6119"/>
    <w:rsid w:val="000E36CB"/>
    <w:rsid w:val="000F6784"/>
    <w:rsid w:val="001049AE"/>
    <w:rsid w:val="00113AEF"/>
    <w:rsid w:val="00135912"/>
    <w:rsid w:val="00171B37"/>
    <w:rsid w:val="00192EF0"/>
    <w:rsid w:val="001D239B"/>
    <w:rsid w:val="001D30BE"/>
    <w:rsid w:val="00203A65"/>
    <w:rsid w:val="0020579C"/>
    <w:rsid w:val="00213F50"/>
    <w:rsid w:val="00235920"/>
    <w:rsid w:val="00245BC0"/>
    <w:rsid w:val="00247E8B"/>
    <w:rsid w:val="00254E40"/>
    <w:rsid w:val="00273663"/>
    <w:rsid w:val="00275C4C"/>
    <w:rsid w:val="00283916"/>
    <w:rsid w:val="002C7C8D"/>
    <w:rsid w:val="002E55AE"/>
    <w:rsid w:val="003405E4"/>
    <w:rsid w:val="00354EE0"/>
    <w:rsid w:val="003557DC"/>
    <w:rsid w:val="003572BE"/>
    <w:rsid w:val="00361962"/>
    <w:rsid w:val="00373576"/>
    <w:rsid w:val="00392850"/>
    <w:rsid w:val="003954BD"/>
    <w:rsid w:val="00416847"/>
    <w:rsid w:val="00416C17"/>
    <w:rsid w:val="00427588"/>
    <w:rsid w:val="00437674"/>
    <w:rsid w:val="00453C53"/>
    <w:rsid w:val="005067DB"/>
    <w:rsid w:val="00523EAF"/>
    <w:rsid w:val="00570AD4"/>
    <w:rsid w:val="00570C41"/>
    <w:rsid w:val="00597574"/>
    <w:rsid w:val="005B0DCD"/>
    <w:rsid w:val="005C6B9F"/>
    <w:rsid w:val="005E47C2"/>
    <w:rsid w:val="006165CF"/>
    <w:rsid w:val="00620412"/>
    <w:rsid w:val="00646A86"/>
    <w:rsid w:val="00662064"/>
    <w:rsid w:val="00686F7E"/>
    <w:rsid w:val="006B0621"/>
    <w:rsid w:val="006E1FF7"/>
    <w:rsid w:val="006E2944"/>
    <w:rsid w:val="006E6746"/>
    <w:rsid w:val="006E6F23"/>
    <w:rsid w:val="00701ECC"/>
    <w:rsid w:val="00720A83"/>
    <w:rsid w:val="00763CA7"/>
    <w:rsid w:val="00774C54"/>
    <w:rsid w:val="0077553B"/>
    <w:rsid w:val="007A16F3"/>
    <w:rsid w:val="007A5188"/>
    <w:rsid w:val="0082645C"/>
    <w:rsid w:val="008413A8"/>
    <w:rsid w:val="008445E4"/>
    <w:rsid w:val="00866328"/>
    <w:rsid w:val="00874088"/>
    <w:rsid w:val="00883F29"/>
    <w:rsid w:val="00894FAF"/>
    <w:rsid w:val="008958BA"/>
    <w:rsid w:val="008A4FA6"/>
    <w:rsid w:val="008C6BC7"/>
    <w:rsid w:val="008D092E"/>
    <w:rsid w:val="00924019"/>
    <w:rsid w:val="009623CE"/>
    <w:rsid w:val="00991ACD"/>
    <w:rsid w:val="009B2898"/>
    <w:rsid w:val="00A10800"/>
    <w:rsid w:val="00A37FFB"/>
    <w:rsid w:val="00A443EC"/>
    <w:rsid w:val="00A8087E"/>
    <w:rsid w:val="00A948F2"/>
    <w:rsid w:val="00AC3C2E"/>
    <w:rsid w:val="00AD7267"/>
    <w:rsid w:val="00B06C4B"/>
    <w:rsid w:val="00B1396F"/>
    <w:rsid w:val="00B27AF1"/>
    <w:rsid w:val="00B552C3"/>
    <w:rsid w:val="00B5553A"/>
    <w:rsid w:val="00B8206F"/>
    <w:rsid w:val="00BA785B"/>
    <w:rsid w:val="00BC3334"/>
    <w:rsid w:val="00BD437F"/>
    <w:rsid w:val="00BE60D1"/>
    <w:rsid w:val="00C06995"/>
    <w:rsid w:val="00C1418A"/>
    <w:rsid w:val="00C4419F"/>
    <w:rsid w:val="00C561D9"/>
    <w:rsid w:val="00C8103D"/>
    <w:rsid w:val="00CF2F23"/>
    <w:rsid w:val="00D02586"/>
    <w:rsid w:val="00D12603"/>
    <w:rsid w:val="00D328B7"/>
    <w:rsid w:val="00D7717D"/>
    <w:rsid w:val="00D84D9A"/>
    <w:rsid w:val="00DF78D6"/>
    <w:rsid w:val="00E2469C"/>
    <w:rsid w:val="00E34BB3"/>
    <w:rsid w:val="00E51211"/>
    <w:rsid w:val="00E8340B"/>
    <w:rsid w:val="00E93D86"/>
    <w:rsid w:val="00EA243A"/>
    <w:rsid w:val="00EC436B"/>
    <w:rsid w:val="00F05F58"/>
    <w:rsid w:val="00F1484B"/>
    <w:rsid w:val="00F25D3F"/>
    <w:rsid w:val="00F376D6"/>
    <w:rsid w:val="00F63191"/>
    <w:rsid w:val="00F6346D"/>
    <w:rsid w:val="00FC2928"/>
    <w:rsid w:val="00FC4637"/>
    <w:rsid w:val="00FC5BAE"/>
    <w:rsid w:val="00FF126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C8D9F8"/>
  <w15:chartTrackingRefBased/>
  <w15:docId w15:val="{E62D6179-BA3E-4DCB-859B-097A9F150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bCs/>
        <w:kern w:val="2"/>
        <w:sz w:val="24"/>
        <w:szCs w:val="22"/>
        <w:lang w:val="en-US"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BD437F"/>
    <w:pPr>
      <w:numPr>
        <w:numId w:val="1"/>
      </w:numPr>
      <w:outlineLvl w:val="0"/>
    </w:pPr>
    <w:rPr>
      <w:b/>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37F"/>
    <w:rPr>
      <w:b/>
      <w:bCs w:val="0"/>
    </w:rPr>
  </w:style>
  <w:style w:type="paragraph" w:styleId="Bibliography">
    <w:name w:val="Bibliography"/>
    <w:basedOn w:val="Normal"/>
    <w:next w:val="Normal"/>
    <w:uiPriority w:val="37"/>
    <w:unhideWhenUsed/>
    <w:rsid w:val="00361962"/>
  </w:style>
  <w:style w:type="paragraph" w:styleId="Header">
    <w:name w:val="header"/>
    <w:basedOn w:val="Normal"/>
    <w:link w:val="HeaderChar"/>
    <w:uiPriority w:val="99"/>
    <w:unhideWhenUsed/>
    <w:rsid w:val="00361962"/>
    <w:pPr>
      <w:tabs>
        <w:tab w:val="center" w:pos="4680"/>
        <w:tab w:val="right" w:pos="9360"/>
      </w:tabs>
      <w:spacing w:line="240" w:lineRule="auto"/>
    </w:pPr>
  </w:style>
  <w:style w:type="character" w:customStyle="1" w:styleId="HeaderChar">
    <w:name w:val="Header Char"/>
    <w:basedOn w:val="DefaultParagraphFont"/>
    <w:link w:val="Header"/>
    <w:uiPriority w:val="99"/>
    <w:rsid w:val="00361962"/>
  </w:style>
  <w:style w:type="paragraph" w:styleId="Footer">
    <w:name w:val="footer"/>
    <w:basedOn w:val="Normal"/>
    <w:link w:val="FooterChar"/>
    <w:uiPriority w:val="99"/>
    <w:unhideWhenUsed/>
    <w:rsid w:val="00361962"/>
    <w:pPr>
      <w:tabs>
        <w:tab w:val="center" w:pos="4680"/>
        <w:tab w:val="right" w:pos="9360"/>
      </w:tabs>
      <w:spacing w:line="240" w:lineRule="auto"/>
    </w:pPr>
  </w:style>
  <w:style w:type="character" w:customStyle="1" w:styleId="FooterChar">
    <w:name w:val="Footer Char"/>
    <w:basedOn w:val="DefaultParagraphFont"/>
    <w:link w:val="Footer"/>
    <w:uiPriority w:val="99"/>
    <w:rsid w:val="00361962"/>
  </w:style>
  <w:style w:type="paragraph" w:styleId="ListParagraph">
    <w:name w:val="List Paragraph"/>
    <w:basedOn w:val="Normal"/>
    <w:uiPriority w:val="34"/>
    <w:qFormat/>
    <w:rsid w:val="00247E8B"/>
    <w:pPr>
      <w:ind w:left="720"/>
      <w:contextualSpacing/>
    </w:pPr>
  </w:style>
  <w:style w:type="paragraph" w:styleId="TOCHeading">
    <w:name w:val="TOC Heading"/>
    <w:basedOn w:val="Heading1"/>
    <w:next w:val="Normal"/>
    <w:uiPriority w:val="39"/>
    <w:unhideWhenUsed/>
    <w:qFormat/>
    <w:rsid w:val="00BD437F"/>
    <w:pPr>
      <w:keepNext/>
      <w:keepLines/>
      <w:numPr>
        <w:numId w:val="0"/>
      </w:numPr>
      <w:spacing w:before="240" w:line="259" w:lineRule="auto"/>
      <w:contextualSpacing w:val="0"/>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BD437F"/>
    <w:pPr>
      <w:spacing w:after="100"/>
    </w:pPr>
  </w:style>
  <w:style w:type="character" w:styleId="Hyperlink">
    <w:name w:val="Hyperlink"/>
    <w:basedOn w:val="DefaultParagraphFont"/>
    <w:uiPriority w:val="99"/>
    <w:unhideWhenUsed/>
    <w:rsid w:val="00BD43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639746">
      <w:bodyDiv w:val="1"/>
      <w:marLeft w:val="0"/>
      <w:marRight w:val="0"/>
      <w:marTop w:val="0"/>
      <w:marBottom w:val="0"/>
      <w:divBdr>
        <w:top w:val="none" w:sz="0" w:space="0" w:color="auto"/>
        <w:left w:val="none" w:sz="0" w:space="0" w:color="auto"/>
        <w:bottom w:val="none" w:sz="0" w:space="0" w:color="auto"/>
        <w:right w:val="none" w:sz="0" w:space="0" w:color="auto"/>
      </w:divBdr>
    </w:div>
    <w:div w:id="123669152">
      <w:bodyDiv w:val="1"/>
      <w:marLeft w:val="0"/>
      <w:marRight w:val="0"/>
      <w:marTop w:val="0"/>
      <w:marBottom w:val="0"/>
      <w:divBdr>
        <w:top w:val="none" w:sz="0" w:space="0" w:color="auto"/>
        <w:left w:val="none" w:sz="0" w:space="0" w:color="auto"/>
        <w:bottom w:val="none" w:sz="0" w:space="0" w:color="auto"/>
        <w:right w:val="none" w:sz="0" w:space="0" w:color="auto"/>
      </w:divBdr>
    </w:div>
    <w:div w:id="190143786">
      <w:bodyDiv w:val="1"/>
      <w:marLeft w:val="0"/>
      <w:marRight w:val="0"/>
      <w:marTop w:val="0"/>
      <w:marBottom w:val="0"/>
      <w:divBdr>
        <w:top w:val="none" w:sz="0" w:space="0" w:color="auto"/>
        <w:left w:val="none" w:sz="0" w:space="0" w:color="auto"/>
        <w:bottom w:val="none" w:sz="0" w:space="0" w:color="auto"/>
        <w:right w:val="none" w:sz="0" w:space="0" w:color="auto"/>
      </w:divBdr>
    </w:div>
    <w:div w:id="281301009">
      <w:bodyDiv w:val="1"/>
      <w:marLeft w:val="0"/>
      <w:marRight w:val="0"/>
      <w:marTop w:val="0"/>
      <w:marBottom w:val="0"/>
      <w:divBdr>
        <w:top w:val="none" w:sz="0" w:space="0" w:color="auto"/>
        <w:left w:val="none" w:sz="0" w:space="0" w:color="auto"/>
        <w:bottom w:val="none" w:sz="0" w:space="0" w:color="auto"/>
        <w:right w:val="none" w:sz="0" w:space="0" w:color="auto"/>
      </w:divBdr>
    </w:div>
    <w:div w:id="290481868">
      <w:bodyDiv w:val="1"/>
      <w:marLeft w:val="0"/>
      <w:marRight w:val="0"/>
      <w:marTop w:val="0"/>
      <w:marBottom w:val="0"/>
      <w:divBdr>
        <w:top w:val="none" w:sz="0" w:space="0" w:color="auto"/>
        <w:left w:val="none" w:sz="0" w:space="0" w:color="auto"/>
        <w:bottom w:val="none" w:sz="0" w:space="0" w:color="auto"/>
        <w:right w:val="none" w:sz="0" w:space="0" w:color="auto"/>
      </w:divBdr>
    </w:div>
    <w:div w:id="295844115">
      <w:bodyDiv w:val="1"/>
      <w:marLeft w:val="0"/>
      <w:marRight w:val="0"/>
      <w:marTop w:val="0"/>
      <w:marBottom w:val="0"/>
      <w:divBdr>
        <w:top w:val="none" w:sz="0" w:space="0" w:color="auto"/>
        <w:left w:val="none" w:sz="0" w:space="0" w:color="auto"/>
        <w:bottom w:val="none" w:sz="0" w:space="0" w:color="auto"/>
        <w:right w:val="none" w:sz="0" w:space="0" w:color="auto"/>
      </w:divBdr>
    </w:div>
    <w:div w:id="313224872">
      <w:bodyDiv w:val="1"/>
      <w:marLeft w:val="0"/>
      <w:marRight w:val="0"/>
      <w:marTop w:val="0"/>
      <w:marBottom w:val="0"/>
      <w:divBdr>
        <w:top w:val="none" w:sz="0" w:space="0" w:color="auto"/>
        <w:left w:val="none" w:sz="0" w:space="0" w:color="auto"/>
        <w:bottom w:val="none" w:sz="0" w:space="0" w:color="auto"/>
        <w:right w:val="none" w:sz="0" w:space="0" w:color="auto"/>
      </w:divBdr>
    </w:div>
    <w:div w:id="338502798">
      <w:bodyDiv w:val="1"/>
      <w:marLeft w:val="0"/>
      <w:marRight w:val="0"/>
      <w:marTop w:val="0"/>
      <w:marBottom w:val="0"/>
      <w:divBdr>
        <w:top w:val="none" w:sz="0" w:space="0" w:color="auto"/>
        <w:left w:val="none" w:sz="0" w:space="0" w:color="auto"/>
        <w:bottom w:val="none" w:sz="0" w:space="0" w:color="auto"/>
        <w:right w:val="none" w:sz="0" w:space="0" w:color="auto"/>
      </w:divBdr>
    </w:div>
    <w:div w:id="361899522">
      <w:bodyDiv w:val="1"/>
      <w:marLeft w:val="0"/>
      <w:marRight w:val="0"/>
      <w:marTop w:val="0"/>
      <w:marBottom w:val="0"/>
      <w:divBdr>
        <w:top w:val="none" w:sz="0" w:space="0" w:color="auto"/>
        <w:left w:val="none" w:sz="0" w:space="0" w:color="auto"/>
        <w:bottom w:val="none" w:sz="0" w:space="0" w:color="auto"/>
        <w:right w:val="none" w:sz="0" w:space="0" w:color="auto"/>
      </w:divBdr>
    </w:div>
    <w:div w:id="367492199">
      <w:bodyDiv w:val="1"/>
      <w:marLeft w:val="0"/>
      <w:marRight w:val="0"/>
      <w:marTop w:val="0"/>
      <w:marBottom w:val="0"/>
      <w:divBdr>
        <w:top w:val="none" w:sz="0" w:space="0" w:color="auto"/>
        <w:left w:val="none" w:sz="0" w:space="0" w:color="auto"/>
        <w:bottom w:val="none" w:sz="0" w:space="0" w:color="auto"/>
        <w:right w:val="none" w:sz="0" w:space="0" w:color="auto"/>
      </w:divBdr>
    </w:div>
    <w:div w:id="468714406">
      <w:bodyDiv w:val="1"/>
      <w:marLeft w:val="0"/>
      <w:marRight w:val="0"/>
      <w:marTop w:val="0"/>
      <w:marBottom w:val="0"/>
      <w:divBdr>
        <w:top w:val="none" w:sz="0" w:space="0" w:color="auto"/>
        <w:left w:val="none" w:sz="0" w:space="0" w:color="auto"/>
        <w:bottom w:val="none" w:sz="0" w:space="0" w:color="auto"/>
        <w:right w:val="none" w:sz="0" w:space="0" w:color="auto"/>
      </w:divBdr>
    </w:div>
    <w:div w:id="551816878">
      <w:bodyDiv w:val="1"/>
      <w:marLeft w:val="0"/>
      <w:marRight w:val="0"/>
      <w:marTop w:val="0"/>
      <w:marBottom w:val="0"/>
      <w:divBdr>
        <w:top w:val="none" w:sz="0" w:space="0" w:color="auto"/>
        <w:left w:val="none" w:sz="0" w:space="0" w:color="auto"/>
        <w:bottom w:val="none" w:sz="0" w:space="0" w:color="auto"/>
        <w:right w:val="none" w:sz="0" w:space="0" w:color="auto"/>
      </w:divBdr>
    </w:div>
    <w:div w:id="725832863">
      <w:bodyDiv w:val="1"/>
      <w:marLeft w:val="0"/>
      <w:marRight w:val="0"/>
      <w:marTop w:val="0"/>
      <w:marBottom w:val="0"/>
      <w:divBdr>
        <w:top w:val="none" w:sz="0" w:space="0" w:color="auto"/>
        <w:left w:val="none" w:sz="0" w:space="0" w:color="auto"/>
        <w:bottom w:val="none" w:sz="0" w:space="0" w:color="auto"/>
        <w:right w:val="none" w:sz="0" w:space="0" w:color="auto"/>
      </w:divBdr>
    </w:div>
    <w:div w:id="806968783">
      <w:bodyDiv w:val="1"/>
      <w:marLeft w:val="0"/>
      <w:marRight w:val="0"/>
      <w:marTop w:val="0"/>
      <w:marBottom w:val="0"/>
      <w:divBdr>
        <w:top w:val="none" w:sz="0" w:space="0" w:color="auto"/>
        <w:left w:val="none" w:sz="0" w:space="0" w:color="auto"/>
        <w:bottom w:val="none" w:sz="0" w:space="0" w:color="auto"/>
        <w:right w:val="none" w:sz="0" w:space="0" w:color="auto"/>
      </w:divBdr>
    </w:div>
    <w:div w:id="869338902">
      <w:bodyDiv w:val="1"/>
      <w:marLeft w:val="0"/>
      <w:marRight w:val="0"/>
      <w:marTop w:val="0"/>
      <w:marBottom w:val="0"/>
      <w:divBdr>
        <w:top w:val="none" w:sz="0" w:space="0" w:color="auto"/>
        <w:left w:val="none" w:sz="0" w:space="0" w:color="auto"/>
        <w:bottom w:val="none" w:sz="0" w:space="0" w:color="auto"/>
        <w:right w:val="none" w:sz="0" w:space="0" w:color="auto"/>
      </w:divBdr>
    </w:div>
    <w:div w:id="1102534362">
      <w:bodyDiv w:val="1"/>
      <w:marLeft w:val="0"/>
      <w:marRight w:val="0"/>
      <w:marTop w:val="0"/>
      <w:marBottom w:val="0"/>
      <w:divBdr>
        <w:top w:val="none" w:sz="0" w:space="0" w:color="auto"/>
        <w:left w:val="none" w:sz="0" w:space="0" w:color="auto"/>
        <w:bottom w:val="none" w:sz="0" w:space="0" w:color="auto"/>
        <w:right w:val="none" w:sz="0" w:space="0" w:color="auto"/>
      </w:divBdr>
    </w:div>
    <w:div w:id="1114590440">
      <w:bodyDiv w:val="1"/>
      <w:marLeft w:val="0"/>
      <w:marRight w:val="0"/>
      <w:marTop w:val="0"/>
      <w:marBottom w:val="0"/>
      <w:divBdr>
        <w:top w:val="none" w:sz="0" w:space="0" w:color="auto"/>
        <w:left w:val="none" w:sz="0" w:space="0" w:color="auto"/>
        <w:bottom w:val="none" w:sz="0" w:space="0" w:color="auto"/>
        <w:right w:val="none" w:sz="0" w:space="0" w:color="auto"/>
      </w:divBdr>
    </w:div>
    <w:div w:id="1276864503">
      <w:bodyDiv w:val="1"/>
      <w:marLeft w:val="0"/>
      <w:marRight w:val="0"/>
      <w:marTop w:val="0"/>
      <w:marBottom w:val="0"/>
      <w:divBdr>
        <w:top w:val="none" w:sz="0" w:space="0" w:color="auto"/>
        <w:left w:val="none" w:sz="0" w:space="0" w:color="auto"/>
        <w:bottom w:val="none" w:sz="0" w:space="0" w:color="auto"/>
        <w:right w:val="none" w:sz="0" w:space="0" w:color="auto"/>
      </w:divBdr>
    </w:div>
    <w:div w:id="1290088354">
      <w:bodyDiv w:val="1"/>
      <w:marLeft w:val="0"/>
      <w:marRight w:val="0"/>
      <w:marTop w:val="0"/>
      <w:marBottom w:val="0"/>
      <w:divBdr>
        <w:top w:val="none" w:sz="0" w:space="0" w:color="auto"/>
        <w:left w:val="none" w:sz="0" w:space="0" w:color="auto"/>
        <w:bottom w:val="none" w:sz="0" w:space="0" w:color="auto"/>
        <w:right w:val="none" w:sz="0" w:space="0" w:color="auto"/>
      </w:divBdr>
    </w:div>
    <w:div w:id="1356927590">
      <w:bodyDiv w:val="1"/>
      <w:marLeft w:val="0"/>
      <w:marRight w:val="0"/>
      <w:marTop w:val="0"/>
      <w:marBottom w:val="0"/>
      <w:divBdr>
        <w:top w:val="none" w:sz="0" w:space="0" w:color="auto"/>
        <w:left w:val="none" w:sz="0" w:space="0" w:color="auto"/>
        <w:bottom w:val="none" w:sz="0" w:space="0" w:color="auto"/>
        <w:right w:val="none" w:sz="0" w:space="0" w:color="auto"/>
      </w:divBdr>
    </w:div>
    <w:div w:id="1358308177">
      <w:bodyDiv w:val="1"/>
      <w:marLeft w:val="0"/>
      <w:marRight w:val="0"/>
      <w:marTop w:val="0"/>
      <w:marBottom w:val="0"/>
      <w:divBdr>
        <w:top w:val="none" w:sz="0" w:space="0" w:color="auto"/>
        <w:left w:val="none" w:sz="0" w:space="0" w:color="auto"/>
        <w:bottom w:val="none" w:sz="0" w:space="0" w:color="auto"/>
        <w:right w:val="none" w:sz="0" w:space="0" w:color="auto"/>
      </w:divBdr>
    </w:div>
    <w:div w:id="1448817364">
      <w:bodyDiv w:val="1"/>
      <w:marLeft w:val="0"/>
      <w:marRight w:val="0"/>
      <w:marTop w:val="0"/>
      <w:marBottom w:val="0"/>
      <w:divBdr>
        <w:top w:val="none" w:sz="0" w:space="0" w:color="auto"/>
        <w:left w:val="none" w:sz="0" w:space="0" w:color="auto"/>
        <w:bottom w:val="none" w:sz="0" w:space="0" w:color="auto"/>
        <w:right w:val="none" w:sz="0" w:space="0" w:color="auto"/>
      </w:divBdr>
    </w:div>
    <w:div w:id="1462383278">
      <w:bodyDiv w:val="1"/>
      <w:marLeft w:val="0"/>
      <w:marRight w:val="0"/>
      <w:marTop w:val="0"/>
      <w:marBottom w:val="0"/>
      <w:divBdr>
        <w:top w:val="none" w:sz="0" w:space="0" w:color="auto"/>
        <w:left w:val="none" w:sz="0" w:space="0" w:color="auto"/>
        <w:bottom w:val="none" w:sz="0" w:space="0" w:color="auto"/>
        <w:right w:val="none" w:sz="0" w:space="0" w:color="auto"/>
      </w:divBdr>
    </w:div>
    <w:div w:id="1489321940">
      <w:bodyDiv w:val="1"/>
      <w:marLeft w:val="0"/>
      <w:marRight w:val="0"/>
      <w:marTop w:val="0"/>
      <w:marBottom w:val="0"/>
      <w:divBdr>
        <w:top w:val="none" w:sz="0" w:space="0" w:color="auto"/>
        <w:left w:val="none" w:sz="0" w:space="0" w:color="auto"/>
        <w:bottom w:val="none" w:sz="0" w:space="0" w:color="auto"/>
        <w:right w:val="none" w:sz="0" w:space="0" w:color="auto"/>
      </w:divBdr>
    </w:div>
    <w:div w:id="1560363887">
      <w:bodyDiv w:val="1"/>
      <w:marLeft w:val="0"/>
      <w:marRight w:val="0"/>
      <w:marTop w:val="0"/>
      <w:marBottom w:val="0"/>
      <w:divBdr>
        <w:top w:val="none" w:sz="0" w:space="0" w:color="auto"/>
        <w:left w:val="none" w:sz="0" w:space="0" w:color="auto"/>
        <w:bottom w:val="none" w:sz="0" w:space="0" w:color="auto"/>
        <w:right w:val="none" w:sz="0" w:space="0" w:color="auto"/>
      </w:divBdr>
    </w:div>
    <w:div w:id="1632245650">
      <w:bodyDiv w:val="1"/>
      <w:marLeft w:val="0"/>
      <w:marRight w:val="0"/>
      <w:marTop w:val="0"/>
      <w:marBottom w:val="0"/>
      <w:divBdr>
        <w:top w:val="none" w:sz="0" w:space="0" w:color="auto"/>
        <w:left w:val="none" w:sz="0" w:space="0" w:color="auto"/>
        <w:bottom w:val="none" w:sz="0" w:space="0" w:color="auto"/>
        <w:right w:val="none" w:sz="0" w:space="0" w:color="auto"/>
      </w:divBdr>
    </w:div>
    <w:div w:id="1707678899">
      <w:bodyDiv w:val="1"/>
      <w:marLeft w:val="0"/>
      <w:marRight w:val="0"/>
      <w:marTop w:val="0"/>
      <w:marBottom w:val="0"/>
      <w:divBdr>
        <w:top w:val="none" w:sz="0" w:space="0" w:color="auto"/>
        <w:left w:val="none" w:sz="0" w:space="0" w:color="auto"/>
        <w:bottom w:val="none" w:sz="0" w:space="0" w:color="auto"/>
        <w:right w:val="none" w:sz="0" w:space="0" w:color="auto"/>
      </w:divBdr>
    </w:div>
    <w:div w:id="1915700369">
      <w:bodyDiv w:val="1"/>
      <w:marLeft w:val="0"/>
      <w:marRight w:val="0"/>
      <w:marTop w:val="0"/>
      <w:marBottom w:val="0"/>
      <w:divBdr>
        <w:top w:val="none" w:sz="0" w:space="0" w:color="auto"/>
        <w:left w:val="none" w:sz="0" w:space="0" w:color="auto"/>
        <w:bottom w:val="none" w:sz="0" w:space="0" w:color="auto"/>
        <w:right w:val="none" w:sz="0" w:space="0" w:color="auto"/>
      </w:divBdr>
    </w:div>
    <w:div w:id="1957561474">
      <w:bodyDiv w:val="1"/>
      <w:marLeft w:val="0"/>
      <w:marRight w:val="0"/>
      <w:marTop w:val="0"/>
      <w:marBottom w:val="0"/>
      <w:divBdr>
        <w:top w:val="none" w:sz="0" w:space="0" w:color="auto"/>
        <w:left w:val="none" w:sz="0" w:space="0" w:color="auto"/>
        <w:bottom w:val="none" w:sz="0" w:space="0" w:color="auto"/>
        <w:right w:val="none" w:sz="0" w:space="0" w:color="auto"/>
      </w:divBdr>
    </w:div>
    <w:div w:id="208983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Pap06</b:Tag>
    <b:SourceType>InternetSite</b:SourceType>
    <b:Guid>{D92B1935-B7AD-4717-A464-55FDFCF4C937}</b:Guid>
    <b:Author>
      <b:Author>
        <b:NameList>
          <b:Person>
            <b:Last>Papaioannou</b:Last>
            <b:First>Michael</b:First>
          </b:Person>
        </b:NameList>
      </b:Author>
    </b:Author>
    <b:Title>Exchange Rate Risk Measurement and Management: Issues and Approaches for Firms</b:Title>
    <b:Year>2006</b:Year>
    <b:YearAccessed>2024</b:YearAccessed>
    <b:MonthAccessed>08</b:MonthAccessed>
    <b:DayAccessed>16</b:DayAccessed>
    <b:URL>https://www.imf.org/external/pubs/ft/wp/2006/wp06255.pdf</b:URL>
    <b:RefOrder>1</b:RefOrder>
  </b:Source>
  <b:Source>
    <b:Tag>Rol17</b:Tag>
    <b:SourceType>InternetSite</b:SourceType>
    <b:Guid>{2B2FEDC8-8C6F-42AD-AE6C-37D776EE6C9D}</b:Guid>
    <b:Author>
      <b:Author>
        <b:Corporate>Rolls Royace plc</b:Corporate>
      </b:Author>
    </b:Author>
    <b:Title>Independent Auditor's Report</b:Title>
    <b:Year>2017</b:Year>
    <b:YearAccessed>2024</b:YearAccessed>
    <b:MonthAccessed>08</b:MonthAccessed>
    <b:DayAccessed>16</b:DayAccessed>
    <b:URL>https://www.rolls-royce.com/~/media/Files/R/Rolls-Royce/documents/annual-report/2017/rr-ar2017-other-information.pdf</b:URL>
    <b:RefOrder>5</b:RefOrder>
  </b:Source>
  <b:Source>
    <b:Tag>Tes16</b:Tag>
    <b:SourceType>InternetSite</b:SourceType>
    <b:Guid>{19591021-34B1-4482-8FC7-03249E9FA229}</b:Guid>
    <b:Author>
      <b:Author>
        <b:Corporate>Tesco plc</b:Corporate>
      </b:Author>
    </b:Author>
    <b:Title>Annual Report and Financial Statements 2016</b:Title>
    <b:Year>2016</b:Year>
    <b:YearAccessed>2024</b:YearAccessed>
    <b:MonthAccessed>08</b:MonthAccessed>
    <b:DayAccessed>16</b:DayAccessed>
    <b:URL>https://www.tescoplc.com/media/264194/annual-report-2016.pdf</b:URL>
    <b:RefOrder>4</b:RefOrder>
  </b:Source>
  <b:Source>
    <b:Tag>Ahm20</b:Tag>
    <b:SourceType>JournalArticle</b:SourceType>
    <b:Guid>{FF13FF3B-2B53-4C14-B12E-97527A66B896}</b:Guid>
    <b:Title>Is corporate hedging always beneficial? A theoretical and empirical analysis</b:Title>
    <b:Year>2020</b:Year>
    <b:Author>
      <b:Author>
        <b:NameList>
          <b:Person>
            <b:Last>Ahmed</b:Last>
            <b:First>H.</b:First>
          </b:Person>
          <b:Person>
            <b:Last>Fairchild</b:Last>
            <b:First>R.</b:First>
          </b:Person>
          <b:Person>
            <b:Last>Guney</b:Last>
            <b:First>Y.</b:First>
          </b:Person>
        </b:NameList>
      </b:Author>
    </b:Author>
    <b:JournalName>The European Journal of Finance</b:JournalName>
    <b:Pages>1746-1780</b:Pages>
    <b:Volume>26</b:Volume>
    <b:Issue>17</b:Issue>
    <b:RefOrder>3</b:RefOrder>
  </b:Source>
  <b:Source>
    <b:Tag>Hua24</b:Tag>
    <b:SourceType>JournalArticle</b:SourceType>
    <b:Guid>{AAFD429C-B7F3-44AC-B4F7-B3693AC9C9A6}</b:Guid>
    <b:Author>
      <b:Author>
        <b:NameList>
          <b:Person>
            <b:Last>Huang</b:Last>
            <b:First>Y.</b:First>
          </b:Person>
        </b:NameList>
      </b:Author>
    </b:Author>
    <b:Title>Analysis of Currency Risk Hedging Strategies in Multinational Companies: A Case Study of the 2022 Russo-Ukrainian War and Surge in US Dollar Exchange Rate</b:Title>
    <b:JournalName>In SHS Web of Conferences</b:JournalName>
    <b:Year>2024</b:Year>
    <b:Pages>1-7</b:Pages>
    <b:Volume>188</b:Volume>
    <b:RefOrder>6</b:RefOrder>
  </b:Source>
  <b:Source>
    <b:Tag>Bla181</b:Tag>
    <b:SourceType>JournalArticle</b:SourceType>
    <b:Guid>{F3807A1C-0F6C-418E-AA3A-23523105B27D}</b:Guid>
    <b:Author>
      <b:Author>
        <b:NameList>
          <b:Person>
            <b:Last>Blanco</b:Last>
            <b:First>I.</b:First>
          </b:Person>
          <b:Person>
            <b:Last>Peña</b:Last>
            <b:First>J.I.</b:First>
          </b:Person>
          <b:Person>
            <b:Last>Rodriguez</b:Last>
            <b:First>R.</b:First>
          </b:Person>
        </b:NameList>
      </b:Author>
    </b:Author>
    <b:Title>Modelling electricity swaps with stochastic forward premium models</b:Title>
    <b:JournalName>The Energy Journal</b:JournalName>
    <b:Year>2018</b:Year>
    <b:Pages>1-34</b:Pages>
    <b:Volume>39</b:Volume>
    <b:Issue>2</b:Issue>
    <b:RefOrder>2</b:RefOrder>
  </b:Source>
  <b:Source>
    <b:Tag>Len17</b:Tag>
    <b:SourceType>JournalArticle</b:SourceType>
    <b:Guid>{90FC0EE1-09C7-4CF9-AEAC-FBEE7580146D}</b:Guid>
    <b:Author>
      <b:Author>
        <b:NameList>
          <b:Person>
            <b:Last>Lenee</b:Last>
            <b:First>T.L.</b:First>
          </b:Person>
          <b:Person>
            <b:Last>Oki</b:Last>
            <b:First>J.</b:First>
          </b:Person>
        </b:NameList>
      </b:Author>
    </b:Author>
    <b:Title>Financial derivatives and firm performance: empirical evidence from financial and non-financial firms</b:Title>
    <b:JournalName>British Journal of Economics, Management &amp; Trade</b:JournalName>
    <b:Year>2017</b:Year>
    <b:Pages>1-36</b:Pages>
    <b:Volume>16</b:Volume>
    <b:Issue>4</b:Issue>
    <b:RefOrder>7</b:RefOrder>
  </b:Source>
  <b:Source>
    <b:Tag>Bar195</b:Tag>
    <b:SourceType>JournalArticle</b:SourceType>
    <b:Guid>{C3535D26-AD1F-4A32-A198-C59C4038D79F}</b:Guid>
    <b:Author>
      <b:Author>
        <b:NameList>
          <b:Person>
            <b:Last>Bartram</b:Last>
            <b:First>S.M.</b:First>
          </b:Person>
        </b:NameList>
      </b:Author>
    </b:Author>
    <b:Title>Corporate hedging and speculation with derivatives</b:Title>
    <b:JournalName>Journal of Corporate Finance</b:JournalName>
    <b:Year>2019</b:Year>
    <b:Pages>9-34</b:Pages>
    <b:Volume>57</b:Volume>
    <b:RefOrder>8</b:RefOrder>
  </b:Source>
  <b:Source>
    <b:Tag>Coq16</b:Tag>
    <b:SourceType>JournalArticle</b:SourceType>
    <b:Guid>{33656AD6-A158-4612-92EA-6CB1885B2DED}</b:Guid>
    <b:Author>
      <b:Author>
        <b:NameList>
          <b:Person>
            <b:Last>Coqueret</b:Last>
            <b:First>G.</b:First>
          </b:Person>
          <b:Person>
            <b:Last>Tavin</b:Last>
            <b:First>B.</b:First>
          </b:Person>
        </b:NameList>
      </b:Author>
    </b:Author>
    <b:Title>An investigation of model risk in a market with jumps and stochastic volatility</b:Title>
    <b:JournalName>European Journal of Operational Research</b:JournalName>
    <b:Year>2016</b:Year>
    <b:Pages>648-658</b:Pages>
    <b:Volume>253</b:Volume>
    <b:Issue>3</b:Issue>
    <b:RefOrder>9</b:RefOrder>
  </b:Source>
  <b:Source>
    <b:Tag>Ito16</b:Tag>
    <b:SourceType>JournalArticle</b:SourceType>
    <b:Guid>{F3FAFAF1-D989-48AD-87B3-99C46F961016}</b:Guid>
    <b:Author>
      <b:Author>
        <b:NameList>
          <b:Person>
            <b:Last>Ito</b:Last>
            <b:First>T.</b:First>
          </b:Person>
          <b:Person>
            <b:Last>Koibuchi</b:Last>
            <b:First>S.</b:First>
          </b:Person>
          <b:Person>
            <b:Last>Sato</b:Last>
            <b:First>K.</b:First>
          </b:Person>
          <b:Person>
            <b:Last>Shimizu</b:Last>
            <b:First>J.</b:First>
          </b:Person>
        </b:NameList>
      </b:Author>
    </b:Author>
    <b:Title>Exchange rate exposure and risk management: The case of Japanese exporting firms</b:Title>
    <b:JournalName>Journal of the Japanese and International Economies</b:JournalName>
    <b:Year>2016</b:Year>
    <b:Pages>17-29</b:Pages>
    <b:Volume>41</b:Volume>
    <b:RefOrder>10</b:RefOrder>
  </b:Source>
</b:Sources>
</file>

<file path=customXml/itemProps1.xml><?xml version="1.0" encoding="utf-8"?>
<ds:datastoreItem xmlns:ds="http://schemas.openxmlformats.org/officeDocument/2006/customXml" ds:itemID="{DE942E81-AB89-4D58-A881-A7CA2DECD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1991</Words>
  <Characters>11351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Gurleen Kaur (2129497)</cp:lastModifiedBy>
  <cp:revision>2</cp:revision>
  <dcterms:created xsi:type="dcterms:W3CDTF">2024-08-19T22:12:00Z</dcterms:created>
  <dcterms:modified xsi:type="dcterms:W3CDTF">2024-08-19T22:12:00Z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7ad73b68c55f48b9e0aa9f79f0cbda6eb48b5664af735341117df9e1eec1bded</vt:lpwstr>
  </property>
</Properties>
</file>