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04630E" w14:textId="58592EC1" w:rsidR="00455128" w:rsidRDefault="00455128" w:rsidP="00455128">
      <w:pPr>
        <w:jc w:val="center"/>
        <w:rPr>
          <w:u w:val="single"/>
        </w:rPr>
      </w:pPr>
      <w:r w:rsidRPr="00455128">
        <w:rPr>
          <w:noProof/>
          <w:u w:val="single"/>
        </w:rPr>
        <mc:AlternateContent>
          <mc:Choice Requires="wps">
            <w:drawing>
              <wp:anchor distT="45720" distB="45720" distL="114300" distR="114300" simplePos="0" relativeHeight="251659264" behindDoc="0" locked="0" layoutInCell="1" allowOverlap="1" wp14:anchorId="0D58F564" wp14:editId="0BF1DA87">
                <wp:simplePos x="0" y="0"/>
                <wp:positionH relativeFrom="margin">
                  <wp:align>right</wp:align>
                </wp:positionH>
                <wp:positionV relativeFrom="paragraph">
                  <wp:posOffset>590550</wp:posOffset>
                </wp:positionV>
                <wp:extent cx="5715000" cy="18288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828800"/>
                        </a:xfrm>
                        <a:prstGeom prst="rect">
                          <a:avLst/>
                        </a:prstGeom>
                        <a:solidFill>
                          <a:srgbClr val="FFFFFF"/>
                        </a:solidFill>
                        <a:ln w="9525">
                          <a:solidFill>
                            <a:srgbClr val="000000"/>
                          </a:solidFill>
                          <a:miter lim="800000"/>
                          <a:headEnd/>
                          <a:tailEnd/>
                        </a:ln>
                      </wps:spPr>
                      <wps:txbx>
                        <w:txbxContent>
                          <w:p w14:paraId="2A7631B0" w14:textId="65EBE08A" w:rsidR="00455128" w:rsidRDefault="00455128" w:rsidP="00455128">
                            <w:pPr>
                              <w:pStyle w:val="Default"/>
                              <w:rPr>
                                <w:sz w:val="23"/>
                                <w:szCs w:val="23"/>
                              </w:rPr>
                            </w:pPr>
                            <w:r>
                              <w:rPr>
                                <w:sz w:val="23"/>
                                <w:szCs w:val="23"/>
                              </w:rPr>
                              <w:t xml:space="preserve">Alexander went in person to see him and found him basking at full length in the sun. When he saw so many people approaching him, Diogenes raised himself a little on his elbow and fixed his gaze upon Alexander. The king greeted him and inquired whether he could do anything for him. ‘Yes,’ replied the philosopher, ‘you can stand a little to one side out of my sun.’ Alexander is said to have been greatly impressed by this answer and full of admiration for the hauteur and independence of mind of a man who could look down on him with such condescension. So much so that he remarked to his followers, who were laughing and mocking the philosopher as they went away, ‘You may say what you like, but if I were not Alexander, I would be Diogenes.’ </w:t>
                            </w:r>
                          </w:p>
                          <w:p w14:paraId="2E4A5BA5" w14:textId="2ADC5B95" w:rsidR="00455128" w:rsidRDefault="00455128" w:rsidP="00455128">
                            <w:r>
                              <w:rPr>
                                <w:sz w:val="23"/>
                                <w:szCs w:val="23"/>
                              </w:rPr>
                              <w:t>Plutarch Life of Alexander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58F564" id="_x0000_t202" coordsize="21600,21600" o:spt="202" path="m,l,21600r21600,l21600,xe">
                <v:stroke joinstyle="miter"/>
                <v:path gradientshapeok="t" o:connecttype="rect"/>
              </v:shapetype>
              <v:shape id="Text Box 2" o:spid="_x0000_s1026" type="#_x0000_t202" style="position:absolute;left:0;text-align:left;margin-left:398.8pt;margin-top:46.5pt;width:450pt;height:2in;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gqiJwIAAEcEAAAOAAAAZHJzL2Uyb0RvYy54bWysU9tu2zAMfR+wfxD0vviCZEmNOEWXLsOA&#10;7gK0+wBZlmNhkqhJSuzu60fJaZpu2MswPxiiSB0eHpLr61ErchTOSzA1LWY5JcJwaKXZ1/Tbw+7N&#10;ihIfmGmZAiNq+ig8vd68frUebCVK6EG1whEEMb4abE37EGyVZZ73QjM/AysMOjtwmgU03T5rHRsQ&#10;XauszPO32QCutQ648B5vbycn3ST8rhM8fOk6LwJRNUVuIf1d+jfxn23WrNo7ZnvJTzTYP7DQTBpM&#10;eoa6ZYGRg5N/QGnJHXjowoyDzqDrJBepBqymyH+r5r5nVqRaUBxvzzL5/wfLPx+/OiLbmpbFkhLD&#10;NDbpQYyBvIORlFGfwfoKw+4tBoYRr7HPqVZv74B/98TAtmdmL26cg6EXrEV+RXyZXTydcHwEaYZP&#10;0GIadgiQgMbO6SgeykEQHfv0eO5NpMLxcrEsFnmOLo6+YlWuVmjEHKx6em6dDx8EaBIPNXXY/ATP&#10;jnc+TKFPITGbByXbnVQqGW7fbJUjR4aDskvfCf1FmDJkqOnVolxMCvwVAqlGtlPWFxBaBpx4JXVN&#10;sYRTEKuibu9Niw9YFZhU0xmrU+YkZNRuUjGMzYiBUd0G2keU1ME02biJeOjB/aRkwKmuqf9xYE5Q&#10;oj4abMtVMZ/HNUjGfLEs0XCXnubSwwxHqJoGSqbjNqTViRwN3GD7OpmEfWZy4orTmlpz2qy4Dpd2&#10;inre/80vAAAA//8DAFBLAwQUAAYACAAAACEAQWU1Qd0AAAAHAQAADwAAAGRycy9kb3ducmV2Lnht&#10;bEyPQU/DMAyF70j8h8hIXBBLRtFoS90JIYHgNgaCa9ZkbUXjlCTryr/HnODkZz3rvc/VenaDmGyI&#10;vSeE5UKBsNR401OL8Pb6cJmDiEmT0YMni/BtI6zr05NKl8Yf6cVO29QKDqFYaoQupbGUMjaddTou&#10;/GiJvb0PTideQytN0EcOd4O8Umolne6JGzo92vvONp/bg0PIr5+mj/icbd6b1X4o0sXN9PgVEM/P&#10;5rtbEMnO6e8YfvEZHWpm2vkDmSgGBH4kIRQZT3YLpVjsELJ8qUDWlfzPX/8AAAD//wMAUEsBAi0A&#10;FAAGAAgAAAAhALaDOJL+AAAA4QEAABMAAAAAAAAAAAAAAAAAAAAAAFtDb250ZW50X1R5cGVzXS54&#10;bWxQSwECLQAUAAYACAAAACEAOP0h/9YAAACUAQAACwAAAAAAAAAAAAAAAAAvAQAAX3JlbHMvLnJl&#10;bHNQSwECLQAUAAYACAAAACEANj4KoicCAABHBAAADgAAAAAAAAAAAAAAAAAuAgAAZHJzL2Uyb0Rv&#10;Yy54bWxQSwECLQAUAAYACAAAACEAQWU1Qd0AAAAHAQAADwAAAAAAAAAAAAAAAACBBAAAZHJzL2Rv&#10;d25yZXYueG1sUEsFBgAAAAAEAAQA8wAAAIsFAAAAAA==&#10;">
                <v:textbox>
                  <w:txbxContent>
                    <w:p w14:paraId="2A7631B0" w14:textId="65EBE08A" w:rsidR="00455128" w:rsidRDefault="00455128" w:rsidP="00455128">
                      <w:pPr>
                        <w:pStyle w:val="Default"/>
                        <w:rPr>
                          <w:sz w:val="23"/>
                          <w:szCs w:val="23"/>
                        </w:rPr>
                      </w:pPr>
                      <w:r>
                        <w:rPr>
                          <w:sz w:val="23"/>
                          <w:szCs w:val="23"/>
                        </w:rPr>
                        <w:t xml:space="preserve">Alexander went in person to see him and found him basking at full length in the sun. When he saw so many people approaching him, Diogenes raised himself a little on his elbow and fixed his gaze upon Alexander. The king greeted him and inquired whether he could do anything for him. ‘Yes,’ replied the philosopher, ‘you can stand a little to one side out of my sun.’ Alexander is said to have been greatly impressed by this answer and full of admiration for the hauteur and independence of mind of a man who could look down on him with such condescension. So much so that he remarked to his followers, who were laughing and mocking the philosopher as they went away, ‘You may say what you like, but if I were not Alexander, I would be Diogenes.’ </w:t>
                      </w:r>
                    </w:p>
                    <w:p w14:paraId="2E4A5BA5" w14:textId="2ADC5B95" w:rsidR="00455128" w:rsidRDefault="00455128" w:rsidP="00455128">
                      <w:r>
                        <w:rPr>
                          <w:sz w:val="23"/>
                          <w:szCs w:val="23"/>
                        </w:rPr>
                        <w:t>Plutarch Life of Alexander 14</w:t>
                      </w:r>
                    </w:p>
                  </w:txbxContent>
                </v:textbox>
                <w10:wrap type="square" anchorx="margin"/>
              </v:shape>
            </w:pict>
          </mc:Fallback>
        </mc:AlternateContent>
      </w:r>
      <w:r w:rsidRPr="00455128">
        <w:rPr>
          <w:u w:val="single"/>
        </w:rPr>
        <w:t>James Forder CLAH 4007: Gobbet</w:t>
      </w:r>
    </w:p>
    <w:p w14:paraId="2D954CCD" w14:textId="77777777" w:rsidR="00455128" w:rsidRPr="00455128" w:rsidRDefault="00455128" w:rsidP="00455128"/>
    <w:p w14:paraId="2552CE40" w14:textId="7C52ED70" w:rsidR="00455128" w:rsidRDefault="00455128" w:rsidP="00455128"/>
    <w:p w14:paraId="660C1213" w14:textId="655C1FDE" w:rsidR="00455128" w:rsidRDefault="00455128" w:rsidP="001753B8">
      <w:pPr>
        <w:spacing w:line="480" w:lineRule="auto"/>
      </w:pPr>
      <w:r>
        <w:t xml:space="preserve">The passage above gives us an insight into what Plutarch perceives the personality of Alexander to be during the early part of his reign, as well as his thoughts on his own position. </w:t>
      </w:r>
      <w:r w:rsidR="00E5174D">
        <w:t xml:space="preserve">This can be used </w:t>
      </w:r>
      <w:proofErr w:type="gramStart"/>
      <w:r w:rsidR="00E5174D">
        <w:t>in order to</w:t>
      </w:r>
      <w:proofErr w:type="gramEnd"/>
      <w:r w:rsidR="00E5174D">
        <w:t xml:space="preserve"> compare and contrast his actions later in his reign and therefore show how his position affected him. As well as this, it also shows us a glimpse of Diogenes’ view as a person and philosopher and his lack of regard for status. However, the passage does have some issues which need to be addressed, </w:t>
      </w:r>
      <w:proofErr w:type="gramStart"/>
      <w:r w:rsidR="00E5174D">
        <w:t>in order to</w:t>
      </w:r>
      <w:proofErr w:type="gramEnd"/>
      <w:r w:rsidR="00E5174D">
        <w:t xml:space="preserve"> assess its reliability and significance.</w:t>
      </w:r>
    </w:p>
    <w:p w14:paraId="14ED9466" w14:textId="77CF9024" w:rsidR="00E01627" w:rsidRPr="001E0381" w:rsidRDefault="00A6599F" w:rsidP="001753B8">
      <w:pPr>
        <w:spacing w:line="480" w:lineRule="auto"/>
      </w:pPr>
      <w:r>
        <w:t xml:space="preserve">Plutarch’s </w:t>
      </w:r>
      <w:r>
        <w:rPr>
          <w:i/>
        </w:rPr>
        <w:t>Life of Alexander</w:t>
      </w:r>
      <w:r>
        <w:t xml:space="preserve"> was likely written in the early 2</w:t>
      </w:r>
      <w:r w:rsidRPr="00A6599F">
        <w:rPr>
          <w:vertAlign w:val="superscript"/>
        </w:rPr>
        <w:t>nd</w:t>
      </w:r>
      <w:r>
        <w:t xml:space="preserve"> Century AD as part of his </w:t>
      </w:r>
      <w:r>
        <w:rPr>
          <w:i/>
        </w:rPr>
        <w:t>Parallel Lives</w:t>
      </w:r>
      <w:r>
        <w:t xml:space="preserve">. The </w:t>
      </w:r>
      <w:r>
        <w:rPr>
          <w:i/>
        </w:rPr>
        <w:t>Life of Alexander</w:t>
      </w:r>
      <w:r>
        <w:t xml:space="preserve"> specifically was written as a parallel to the </w:t>
      </w:r>
      <w:r>
        <w:rPr>
          <w:i/>
        </w:rPr>
        <w:t>Life of Julius Caesar</w:t>
      </w:r>
      <w:r>
        <w:t xml:space="preserve">, the significance of which will be explored later. The </w:t>
      </w:r>
      <w:proofErr w:type="gramStart"/>
      <w:r>
        <w:t>time period</w:t>
      </w:r>
      <w:proofErr w:type="gramEnd"/>
      <w:r>
        <w:t xml:space="preserve"> in question was during the reign of the Nerva-</w:t>
      </w:r>
      <w:proofErr w:type="spellStart"/>
      <w:r>
        <w:t>Antonine</w:t>
      </w:r>
      <w:proofErr w:type="spellEnd"/>
      <w:r>
        <w:t xml:space="preserve"> dynasty, the so called ‘Five good emperors’, a time of relative stability and more moderate policies, following the turbulence of the late Julio-Claudian to Flavian dynasties.</w:t>
      </w:r>
      <w:r>
        <w:rPr>
          <w:rStyle w:val="FootnoteReference"/>
        </w:rPr>
        <w:footnoteReference w:id="1"/>
      </w:r>
      <w:r w:rsidR="00804A40">
        <w:t xml:space="preserve"> This places it at a time in which artistic and literary expression were relatively free. It also marks a time where Greek civilisation was subject to and dependant upon Roman rule</w:t>
      </w:r>
      <w:r w:rsidR="00EC0FEF">
        <w:t xml:space="preserve"> and unable to sustain itself, which would have contributed to </w:t>
      </w:r>
      <w:r w:rsidR="00EC0FEF">
        <w:lastRenderedPageBreak/>
        <w:t>Plutarch’s intentions, discussed in the next paragraph.</w:t>
      </w:r>
      <w:r w:rsidR="00EC0FEF">
        <w:rPr>
          <w:rStyle w:val="FootnoteReference"/>
        </w:rPr>
        <w:footnoteReference w:id="2"/>
      </w:r>
      <w:r w:rsidR="001E0381">
        <w:t xml:space="preserve"> A problem with this, common to all major sources on Alexander, is that it is not a contemporary source, and is written centuries after the event, leaving it vulnerable to speculations, misinformation, anecdote or myth being taken as historical truth. This is a problem which plagues other sources, such as </w:t>
      </w:r>
      <w:proofErr w:type="spellStart"/>
      <w:r w:rsidR="001E0381">
        <w:t>Arrian’s</w:t>
      </w:r>
      <w:proofErr w:type="spellEnd"/>
      <w:r w:rsidR="001E0381">
        <w:t xml:space="preserve"> </w:t>
      </w:r>
      <w:r w:rsidR="001E0381">
        <w:rPr>
          <w:i/>
        </w:rPr>
        <w:t xml:space="preserve">Anabasis </w:t>
      </w:r>
      <w:r w:rsidR="001E0381">
        <w:t xml:space="preserve">or </w:t>
      </w:r>
      <w:proofErr w:type="spellStart"/>
      <w:r w:rsidR="001E0381">
        <w:t>Curtius</w:t>
      </w:r>
      <w:proofErr w:type="spellEnd"/>
      <w:r w:rsidR="001E0381">
        <w:t xml:space="preserve"> Rufus’ account, so is not unique to Plutarch.</w:t>
      </w:r>
    </w:p>
    <w:p w14:paraId="3BA28FF9" w14:textId="7DE77923" w:rsidR="00455128" w:rsidRDefault="00F32970" w:rsidP="001753B8">
      <w:pPr>
        <w:spacing w:line="480" w:lineRule="auto"/>
      </w:pPr>
      <w:r>
        <w:t xml:space="preserve">Plutarch was a Middle Platonist from a respectable family in </w:t>
      </w:r>
      <w:proofErr w:type="spellStart"/>
      <w:r>
        <w:t>Chaironeia</w:t>
      </w:r>
      <w:proofErr w:type="spellEnd"/>
      <w:r>
        <w:t>, who held local offices and was a priest at Delphi.</w:t>
      </w:r>
      <w:r>
        <w:rPr>
          <w:rStyle w:val="FootnoteReference"/>
        </w:rPr>
        <w:footnoteReference w:id="3"/>
      </w:r>
      <w:r>
        <w:t xml:space="preserve"> His </w:t>
      </w:r>
      <w:r>
        <w:rPr>
          <w:i/>
        </w:rPr>
        <w:t>Parallel Lives</w:t>
      </w:r>
      <w:r>
        <w:t xml:space="preserve"> were written for both a Greek audience, to show that the Roman annals are important to them, and a Roman audience, as a reminder that the Greeks once had statesmen and soldiers that could compare to Roman </w:t>
      </w:r>
      <w:proofErr w:type="spellStart"/>
      <w:r>
        <w:t>equivilents</w:t>
      </w:r>
      <w:proofErr w:type="spellEnd"/>
      <w:r>
        <w:t>.</w:t>
      </w:r>
      <w:r>
        <w:rPr>
          <w:rStyle w:val="FootnoteReference"/>
        </w:rPr>
        <w:footnoteReference w:id="4"/>
      </w:r>
      <w:r>
        <w:t xml:space="preserve"> </w:t>
      </w:r>
      <w:r w:rsidR="00CC3C87">
        <w:t xml:space="preserve">His writing of the </w:t>
      </w:r>
      <w:r w:rsidR="00CC3C87">
        <w:rPr>
          <w:i/>
        </w:rPr>
        <w:t xml:space="preserve">Life of </w:t>
      </w:r>
      <w:r w:rsidR="00CC3C87" w:rsidRPr="00CC3C87">
        <w:t>Alexander</w:t>
      </w:r>
      <w:r w:rsidR="00CC3C87">
        <w:t xml:space="preserve"> as a parallel to Julius Caesar’s biography is a good indication of this, by comparing the most famous Greek figure to the most famous Roman figure. </w:t>
      </w:r>
      <w:r w:rsidRPr="00CC3C87">
        <w:t>It</w:t>
      </w:r>
      <w:r>
        <w:t xml:space="preserve"> is worth mentioning that he specifically points out that he is writing a biography, not a history and therefore focussing mainly on the characters of the individuals involved, rather than going into detail about events. (</w:t>
      </w:r>
      <w:proofErr w:type="spellStart"/>
      <w:r>
        <w:t>Plut</w:t>
      </w:r>
      <w:proofErr w:type="spellEnd"/>
      <w:r>
        <w:t xml:space="preserve">. Alex. 1.1) This makes it a less detailed source regarding </w:t>
      </w:r>
      <w:r w:rsidR="00805D8B">
        <w:t xml:space="preserve">such events as </w:t>
      </w:r>
      <w:proofErr w:type="spellStart"/>
      <w:r w:rsidR="00805D8B">
        <w:t>Arrian’s</w:t>
      </w:r>
      <w:proofErr w:type="spellEnd"/>
      <w:r w:rsidR="00805D8B">
        <w:t xml:space="preserve"> </w:t>
      </w:r>
      <w:r w:rsidR="00805D8B">
        <w:rPr>
          <w:i/>
        </w:rPr>
        <w:t>Anabasis</w:t>
      </w:r>
      <w:r w:rsidR="00805D8B">
        <w:t>, for example. He also mainly focussed on people of action, with the intention of inspiring people to follow their examples (</w:t>
      </w:r>
      <w:proofErr w:type="spellStart"/>
      <w:r w:rsidR="00805D8B">
        <w:t>Plut</w:t>
      </w:r>
      <w:proofErr w:type="spellEnd"/>
      <w:r w:rsidR="00805D8B">
        <w:t>. Per. 1.4-2.4). These agendas mean that his work consists of a lot of anecdotes to put forth his view. This is shown clearly in the passage in question, which various scholars agree is mainly anecdotal.</w:t>
      </w:r>
      <w:r w:rsidR="00805D8B">
        <w:rPr>
          <w:rStyle w:val="FootnoteReference"/>
        </w:rPr>
        <w:footnoteReference w:id="5"/>
      </w:r>
      <w:r w:rsidR="00805D8B">
        <w:t xml:space="preserve"> This suggests that his work may not be entirely historically accurate and is therefore mainly a work of morality for a mass audience, rather than a serious historical work</w:t>
      </w:r>
      <w:r w:rsidR="00CC3C87">
        <w:t>.</w:t>
      </w:r>
      <w:r w:rsidR="00805D8B">
        <w:t xml:space="preserve"> Nevertheless, we can still learn about Plutarch’s perspective, and likely the perspective of others of the time, of Alexander’s personality and how it relates to other events in his life.</w:t>
      </w:r>
    </w:p>
    <w:p w14:paraId="43AB8A11" w14:textId="0C1A2DF8" w:rsidR="00805D8B" w:rsidRDefault="00CC3C87" w:rsidP="001753B8">
      <w:pPr>
        <w:spacing w:line="480" w:lineRule="auto"/>
      </w:pPr>
      <w:r>
        <w:lastRenderedPageBreak/>
        <w:t xml:space="preserve">This passage </w:t>
      </w:r>
      <w:proofErr w:type="gramStart"/>
      <w:r>
        <w:t>in particular is</w:t>
      </w:r>
      <w:proofErr w:type="gramEnd"/>
      <w:r>
        <w:t xml:space="preserve"> possibly an anecdotal example of Alexander’s supposed lack of desire for wealth stated earlier in the work</w:t>
      </w:r>
      <w:r w:rsidR="00A65EC1">
        <w:t>, instead being motivated by ‘valour and glory’</w:t>
      </w:r>
      <w:r>
        <w:t xml:space="preserve"> (</w:t>
      </w:r>
      <w:proofErr w:type="spellStart"/>
      <w:r>
        <w:t>Plut</w:t>
      </w:r>
      <w:proofErr w:type="spellEnd"/>
      <w:r>
        <w:t>. Alex. 5)</w:t>
      </w:r>
      <w:r w:rsidR="00A65EC1">
        <w:t xml:space="preserve">. This is particularly evident in the final quote ‘If I were not Alexander, I would be Diogenes’. This quotation shows that, in relation to the statement in </w:t>
      </w:r>
      <w:proofErr w:type="spellStart"/>
      <w:r w:rsidR="00A65EC1">
        <w:t>Plut</w:t>
      </w:r>
      <w:proofErr w:type="spellEnd"/>
      <w:r w:rsidR="00A65EC1">
        <w:t xml:space="preserve"> Alex. 5, if he were not motivated by glory or valour, he would rather be independent of mind and wise and live in squalor, than have wealth and no glory. Fisch also indicates a sense of duty to </w:t>
      </w:r>
      <w:r w:rsidR="002E55D3">
        <w:t>fuse ‘Greek and barbarian to the last frontier’ to relieve the conflicts between Greeks and non-Greeks.</w:t>
      </w:r>
      <w:r w:rsidR="002E55D3">
        <w:rPr>
          <w:rStyle w:val="FootnoteReference"/>
        </w:rPr>
        <w:footnoteReference w:id="6"/>
      </w:r>
    </w:p>
    <w:p w14:paraId="63623478" w14:textId="42AB5E12" w:rsidR="001E0381" w:rsidRDefault="001E0381" w:rsidP="001753B8">
      <w:pPr>
        <w:spacing w:line="480" w:lineRule="auto"/>
      </w:pPr>
      <w:r>
        <w:t>The passage may also indicate that he was much more impressed by the brutal honesty of Diogenes, with no regard for Alexander’s status</w:t>
      </w:r>
      <w:r w:rsidR="005A615F">
        <w:t>, than with the other philosophers and statesmen mentioned prior to the gobbet, who visited Alexander (</w:t>
      </w:r>
      <w:proofErr w:type="spellStart"/>
      <w:r w:rsidR="005A615F">
        <w:t>Plut</w:t>
      </w:r>
      <w:proofErr w:type="spellEnd"/>
      <w:r w:rsidR="005A615F">
        <w:t>. Alex. 14.1).</w:t>
      </w:r>
      <w:r w:rsidR="00C15467">
        <w:t xml:space="preserve"> </w:t>
      </w:r>
      <w:proofErr w:type="spellStart"/>
      <w:r w:rsidR="00C15467">
        <w:t>Chamoux</w:t>
      </w:r>
      <w:proofErr w:type="spellEnd"/>
      <w:r w:rsidR="00C15467">
        <w:t xml:space="preserve"> also suggests a lack of trust towards war leaders among intellectuals, with only Diogenes prepared to be honest about it.</w:t>
      </w:r>
      <w:r w:rsidR="00C15467">
        <w:rPr>
          <w:rStyle w:val="FootnoteReference"/>
        </w:rPr>
        <w:footnoteReference w:id="7"/>
      </w:r>
      <w:r w:rsidR="005A615F">
        <w:t xml:space="preserve"> It also alludes to a rather ‘mythic status’ belonging to Diogenes himself.</w:t>
      </w:r>
      <w:r w:rsidR="005A615F">
        <w:rPr>
          <w:rStyle w:val="FootnoteReference"/>
        </w:rPr>
        <w:footnoteReference w:id="8"/>
      </w:r>
      <w:r w:rsidR="005A615F">
        <w:t xml:space="preserve"> </w:t>
      </w:r>
      <w:r w:rsidR="003B712A">
        <w:t>Alexander’s</w:t>
      </w:r>
      <w:r w:rsidR="005A615F">
        <w:t xml:space="preserve"> actions in this passage also contrast with the way he treats his mutinous men at </w:t>
      </w:r>
      <w:proofErr w:type="spellStart"/>
      <w:r w:rsidR="005A615F">
        <w:t>Opis</w:t>
      </w:r>
      <w:proofErr w:type="spellEnd"/>
      <w:r w:rsidR="005A615F">
        <w:t xml:space="preserve"> (Arr. </w:t>
      </w:r>
      <w:proofErr w:type="spellStart"/>
      <w:r w:rsidR="005A615F">
        <w:t>Anab</w:t>
      </w:r>
      <w:proofErr w:type="spellEnd"/>
      <w:r w:rsidR="005A615F">
        <w:t xml:space="preserve">. </w:t>
      </w:r>
      <w:r w:rsidR="001972D2">
        <w:t xml:space="preserve">7.8.1-3) and particularly his murder of </w:t>
      </w:r>
      <w:proofErr w:type="spellStart"/>
      <w:r w:rsidR="001972D2">
        <w:t>Cleitus</w:t>
      </w:r>
      <w:proofErr w:type="spellEnd"/>
      <w:r w:rsidR="001972D2">
        <w:t xml:space="preserve"> after their disagreement (</w:t>
      </w:r>
      <w:proofErr w:type="spellStart"/>
      <w:r w:rsidR="001972D2">
        <w:t>Plut</w:t>
      </w:r>
      <w:proofErr w:type="spellEnd"/>
      <w:r w:rsidR="001972D2">
        <w:t xml:space="preserve">. Alex. 50-1; Arr. </w:t>
      </w:r>
      <w:proofErr w:type="spellStart"/>
      <w:r w:rsidR="001972D2">
        <w:t>Anab</w:t>
      </w:r>
      <w:proofErr w:type="spellEnd"/>
      <w:r w:rsidR="001972D2">
        <w:t>. 4.8</w:t>
      </w:r>
      <w:r w:rsidR="003B712A">
        <w:t xml:space="preserve">; Curt. 8.1.20-52). This may have been to show Alexander being corrupted by power and wealth, offering a contrast between himself in his early reign to </w:t>
      </w:r>
      <w:r w:rsidR="00C15467">
        <w:t>later</w:t>
      </w:r>
      <w:r w:rsidR="003B712A">
        <w:t>, when he had accumulated the power and wealth of Persia. This relates to Plutarch’s intention of inspiration, showing positive and negative inspiration.</w:t>
      </w:r>
    </w:p>
    <w:p w14:paraId="48CC86A2" w14:textId="7C808F1D" w:rsidR="003B712A" w:rsidRDefault="00C15467" w:rsidP="001753B8">
      <w:pPr>
        <w:spacing w:line="480" w:lineRule="auto"/>
      </w:pPr>
      <w:r>
        <w:t>An important thing to point out is the differences in translation between various versions. For example, Scott-</w:t>
      </w:r>
      <w:proofErr w:type="spellStart"/>
      <w:r>
        <w:t>Kilvert’s</w:t>
      </w:r>
      <w:proofErr w:type="spellEnd"/>
      <w:r>
        <w:t xml:space="preserve"> translation above (1973) uses the word ‘condescension’ to describe Diogenes’ attitude towards Alexander, whereas Perrin’s translation (1919) uses the word </w:t>
      </w:r>
      <w:r>
        <w:lastRenderedPageBreak/>
        <w:t xml:space="preserve">‘scorn’. The word ‘condescending’ suggests more of a sense of apathy towards Alexander’s status, whereas the word ‘scorn’ suggests more malevolent contempt for his status, which may support </w:t>
      </w:r>
      <w:proofErr w:type="spellStart"/>
      <w:r>
        <w:t>Chamoux’s</w:t>
      </w:r>
      <w:proofErr w:type="spellEnd"/>
      <w:r>
        <w:t xml:space="preserve"> point about mistrust of war leaders. This is important because</w:t>
      </w:r>
      <w:r w:rsidR="003F2229">
        <w:t xml:space="preserve"> the differing levels of maliciousness would lead to different reactions to certain actions. Scott-</w:t>
      </w:r>
      <w:proofErr w:type="spellStart"/>
      <w:r w:rsidR="003F2229">
        <w:t>Kilvert’s</w:t>
      </w:r>
      <w:proofErr w:type="spellEnd"/>
      <w:r w:rsidR="003F2229">
        <w:t xml:space="preserve"> translation makes Alexander’s actions towards </w:t>
      </w:r>
      <w:proofErr w:type="spellStart"/>
      <w:r w:rsidR="003F2229">
        <w:t>Cleitus</w:t>
      </w:r>
      <w:proofErr w:type="spellEnd"/>
      <w:r w:rsidR="003F2229">
        <w:t>, for example, seem less extreme than Perrin’s version.</w:t>
      </w:r>
    </w:p>
    <w:p w14:paraId="6AFF3CD3" w14:textId="2A6E58D2" w:rsidR="0007539F" w:rsidRDefault="0007539F" w:rsidP="001753B8">
      <w:pPr>
        <w:spacing w:line="480" w:lineRule="auto"/>
      </w:pPr>
      <w:r>
        <w:t>The event described in the passage is</w:t>
      </w:r>
      <w:r w:rsidR="009B4D7E">
        <w:t xml:space="preserve"> also</w:t>
      </w:r>
      <w:r>
        <w:t xml:space="preserve"> notably mentioned by </w:t>
      </w:r>
      <w:proofErr w:type="spellStart"/>
      <w:r>
        <w:t>Arrian</w:t>
      </w:r>
      <w:proofErr w:type="spellEnd"/>
      <w:r>
        <w:t xml:space="preserve"> (</w:t>
      </w:r>
      <w:proofErr w:type="spellStart"/>
      <w:r>
        <w:t>Anab</w:t>
      </w:r>
      <w:proofErr w:type="spellEnd"/>
      <w:r>
        <w:t xml:space="preserve">. 7.2), albeit without the ‘If I were not Alexander’ section. Plutarch’s account gives us a better insight into Alexander as a man, whereas </w:t>
      </w:r>
      <w:proofErr w:type="spellStart"/>
      <w:r>
        <w:t>Arrian</w:t>
      </w:r>
      <w:proofErr w:type="spellEnd"/>
      <w:r>
        <w:t xml:space="preserve"> mainly focused on events.</w:t>
      </w:r>
      <w:r>
        <w:rPr>
          <w:rStyle w:val="FootnoteReference"/>
        </w:rPr>
        <w:footnoteReference w:id="9"/>
      </w:r>
      <w:r>
        <w:t xml:space="preserve"> </w:t>
      </w:r>
      <w:r w:rsidR="00BB4A35">
        <w:t xml:space="preserve">The inclusion of this event in both accounts suggests that they were using common sources with </w:t>
      </w:r>
      <w:proofErr w:type="gramStart"/>
      <w:r w:rsidR="00BB4A35">
        <w:t>each other, but</w:t>
      </w:r>
      <w:proofErr w:type="gramEnd"/>
      <w:r w:rsidR="00BB4A35">
        <w:t xml:space="preserve"> chose to focus on different aspects to fit their aims.</w:t>
      </w:r>
    </w:p>
    <w:p w14:paraId="55ACE825" w14:textId="4AFC46E3" w:rsidR="0007539F" w:rsidRDefault="0007539F" w:rsidP="001753B8">
      <w:pPr>
        <w:spacing w:line="480" w:lineRule="auto"/>
      </w:pPr>
      <w:r>
        <w:t xml:space="preserve">Overall, although likely anecdotal, this gobbet gives the impression that Alexander was a leader initially motivated primarily by glory and duty, rather than a desire for material gain. This is used to contrast with his later actions to show a man corrupted by his power and wealth </w:t>
      </w:r>
      <w:r w:rsidR="00A4621F">
        <w:t>to</w:t>
      </w:r>
      <w:r>
        <w:t xml:space="preserve"> give a moral message to a Greco-Roman audience. </w:t>
      </w:r>
    </w:p>
    <w:p w14:paraId="35772087" w14:textId="77777777" w:rsidR="001E0381" w:rsidRDefault="001E0381" w:rsidP="001753B8">
      <w:pPr>
        <w:spacing w:line="480" w:lineRule="auto"/>
      </w:pPr>
    </w:p>
    <w:p w14:paraId="0FC42621" w14:textId="4A135B2A" w:rsidR="002E55D3" w:rsidRPr="00A4621F" w:rsidRDefault="00A4621F" w:rsidP="001753B8">
      <w:pPr>
        <w:spacing w:line="480" w:lineRule="auto"/>
        <w:rPr>
          <w:b/>
        </w:rPr>
      </w:pPr>
      <w:r>
        <w:rPr>
          <w:b/>
        </w:rPr>
        <w:t>Word count: 1056</w:t>
      </w:r>
    </w:p>
    <w:p w14:paraId="7258E598" w14:textId="77777777" w:rsidR="00455128" w:rsidRPr="00455128" w:rsidRDefault="00455128" w:rsidP="001753B8">
      <w:pPr>
        <w:spacing w:line="480" w:lineRule="auto"/>
      </w:pPr>
    </w:p>
    <w:p w14:paraId="0877F086" w14:textId="77777777" w:rsidR="00455128" w:rsidRPr="00455128" w:rsidRDefault="00455128" w:rsidP="001753B8">
      <w:pPr>
        <w:spacing w:line="480" w:lineRule="auto"/>
      </w:pPr>
    </w:p>
    <w:p w14:paraId="7063876A" w14:textId="6944E4DE" w:rsidR="00D91AEA" w:rsidRDefault="00627894" w:rsidP="001753B8">
      <w:pPr>
        <w:spacing w:line="480" w:lineRule="auto"/>
      </w:pPr>
    </w:p>
    <w:p w14:paraId="130D04FF" w14:textId="75857723" w:rsidR="00EC0FEF" w:rsidRDefault="00EC0FEF" w:rsidP="001753B8">
      <w:pPr>
        <w:spacing w:line="480" w:lineRule="auto"/>
      </w:pPr>
    </w:p>
    <w:p w14:paraId="04998043" w14:textId="024BBE8D" w:rsidR="00A4621F" w:rsidRDefault="001753B8" w:rsidP="001753B8">
      <w:pPr>
        <w:pStyle w:val="Heading1"/>
        <w:spacing w:line="480" w:lineRule="auto"/>
      </w:pPr>
      <w:r>
        <w:lastRenderedPageBreak/>
        <w:t>Ancient Sources</w:t>
      </w:r>
      <w:bookmarkStart w:id="0" w:name="_GoBack"/>
      <w:bookmarkEnd w:id="0"/>
    </w:p>
    <w:p w14:paraId="5485A230" w14:textId="777ACA41" w:rsidR="00A4621F" w:rsidRDefault="00A4621F" w:rsidP="001753B8">
      <w:pPr>
        <w:spacing w:line="480" w:lineRule="auto"/>
      </w:pPr>
      <w:proofErr w:type="spellStart"/>
      <w:r>
        <w:t>Arrian</w:t>
      </w:r>
      <w:proofErr w:type="spellEnd"/>
      <w:r>
        <w:t xml:space="preserve">. </w:t>
      </w:r>
      <w:r>
        <w:rPr>
          <w:i/>
        </w:rPr>
        <w:t xml:space="preserve">The Campaigns of Alexander. </w:t>
      </w:r>
      <w:r>
        <w:t xml:space="preserve">Aubrey De </w:t>
      </w:r>
      <w:proofErr w:type="spellStart"/>
      <w:r>
        <w:t>Selincourt</w:t>
      </w:r>
      <w:proofErr w:type="spellEnd"/>
      <w:r>
        <w:t xml:space="preserve"> (trans.). 1971. London: Penguin.</w:t>
      </w:r>
    </w:p>
    <w:p w14:paraId="3CAE20F1" w14:textId="17CEB4FF" w:rsidR="00A4621F" w:rsidRPr="00A4621F" w:rsidRDefault="00A4621F" w:rsidP="001753B8">
      <w:pPr>
        <w:spacing w:line="480" w:lineRule="auto"/>
      </w:pPr>
      <w:r>
        <w:t xml:space="preserve">Plutarch. </w:t>
      </w:r>
      <w:r>
        <w:rPr>
          <w:i/>
        </w:rPr>
        <w:t xml:space="preserve">Plutarch’s Lives. </w:t>
      </w:r>
      <w:r>
        <w:t>Bernadotte Perrin (trans.). 1919. London: William Heinemann Ltd.</w:t>
      </w:r>
    </w:p>
    <w:p w14:paraId="5008D522" w14:textId="77777777" w:rsidR="00A4621F" w:rsidRDefault="00A4621F" w:rsidP="001753B8">
      <w:pPr>
        <w:spacing w:line="480" w:lineRule="auto"/>
        <w:rPr>
          <w:rFonts w:cs="Times New Roman"/>
          <w:color w:val="000000"/>
        </w:rPr>
      </w:pPr>
      <w:r>
        <w:rPr>
          <w:rFonts w:cs="Times New Roman"/>
          <w:color w:val="000000"/>
        </w:rPr>
        <w:t xml:space="preserve">Plutarch. </w:t>
      </w:r>
      <w:r>
        <w:rPr>
          <w:rFonts w:cs="Times New Roman"/>
          <w:i/>
          <w:color w:val="000000"/>
        </w:rPr>
        <w:t>The Age of Alexander.</w:t>
      </w:r>
      <w:r>
        <w:rPr>
          <w:rFonts w:cs="Times New Roman"/>
          <w:color w:val="000000"/>
        </w:rPr>
        <w:t xml:space="preserve"> Ian Scott-</w:t>
      </w:r>
      <w:proofErr w:type="spellStart"/>
      <w:r>
        <w:rPr>
          <w:rFonts w:cs="Times New Roman"/>
          <w:color w:val="000000"/>
        </w:rPr>
        <w:t>Kilvert</w:t>
      </w:r>
      <w:proofErr w:type="spellEnd"/>
      <w:r>
        <w:rPr>
          <w:rFonts w:cs="Times New Roman"/>
          <w:color w:val="000000"/>
        </w:rPr>
        <w:t xml:space="preserve"> (trans.). 1973. London: Penguin.</w:t>
      </w:r>
    </w:p>
    <w:p w14:paraId="651F2928" w14:textId="77777777" w:rsidR="00A4621F" w:rsidRDefault="00A4621F" w:rsidP="001753B8">
      <w:pPr>
        <w:spacing w:line="480" w:lineRule="auto"/>
        <w:rPr>
          <w:rFonts w:cs="Times New Roman"/>
          <w:color w:val="000000"/>
        </w:rPr>
      </w:pPr>
      <w:r>
        <w:rPr>
          <w:rFonts w:cs="Times New Roman"/>
          <w:color w:val="000000"/>
        </w:rPr>
        <w:t xml:space="preserve">Quintus </w:t>
      </w:r>
      <w:proofErr w:type="spellStart"/>
      <w:r>
        <w:rPr>
          <w:rFonts w:cs="Times New Roman"/>
          <w:color w:val="000000"/>
        </w:rPr>
        <w:t>Curtius</w:t>
      </w:r>
      <w:proofErr w:type="spellEnd"/>
      <w:r>
        <w:rPr>
          <w:rFonts w:cs="Times New Roman"/>
          <w:color w:val="000000"/>
        </w:rPr>
        <w:t xml:space="preserve"> Rufus. </w:t>
      </w:r>
      <w:r>
        <w:rPr>
          <w:rFonts w:cs="Times New Roman"/>
          <w:i/>
          <w:color w:val="000000"/>
        </w:rPr>
        <w:t xml:space="preserve">The History of Alexander. </w:t>
      </w:r>
      <w:r>
        <w:rPr>
          <w:rFonts w:cs="Times New Roman"/>
          <w:color w:val="000000"/>
        </w:rPr>
        <w:t>John Yardley (trans.). 2004. London: Penguin.</w:t>
      </w:r>
    </w:p>
    <w:p w14:paraId="0EC65DE5" w14:textId="6B0CCC9E" w:rsidR="00EC0FEF" w:rsidRDefault="00EC0FEF" w:rsidP="001753B8">
      <w:pPr>
        <w:spacing w:line="480" w:lineRule="auto"/>
      </w:pPr>
    </w:p>
    <w:p w14:paraId="6512AC9A" w14:textId="18747CAB" w:rsidR="00EC0FEF" w:rsidRDefault="00EC0FEF" w:rsidP="001753B8">
      <w:pPr>
        <w:spacing w:line="480" w:lineRule="auto"/>
      </w:pPr>
    </w:p>
    <w:sdt>
      <w:sdtPr>
        <w:id w:val="877969856"/>
        <w:docPartObj>
          <w:docPartGallery w:val="Bibliographies"/>
          <w:docPartUnique/>
        </w:docPartObj>
      </w:sdtPr>
      <w:sdtEndPr>
        <w:rPr>
          <w:rFonts w:ascii="Times New Roman" w:eastAsiaTheme="minorHAnsi" w:hAnsi="Times New Roman" w:cstheme="minorBidi"/>
          <w:color w:val="auto"/>
          <w:sz w:val="24"/>
          <w:szCs w:val="22"/>
          <w:lang w:val="en-GB"/>
        </w:rPr>
      </w:sdtEndPr>
      <w:sdtContent>
        <w:p w14:paraId="463C763D" w14:textId="3E3FDB62" w:rsidR="00EC0FEF" w:rsidRDefault="00A4621F" w:rsidP="001753B8">
          <w:pPr>
            <w:pStyle w:val="Heading1"/>
            <w:spacing w:line="480" w:lineRule="auto"/>
          </w:pPr>
          <w:r>
            <w:t>Scholarship</w:t>
          </w:r>
        </w:p>
        <w:sdt>
          <w:sdtPr>
            <w:id w:val="111145805"/>
            <w:bibliography/>
          </w:sdtPr>
          <w:sdtContent>
            <w:p w14:paraId="6617114B" w14:textId="77777777" w:rsidR="00EC0FEF" w:rsidRDefault="00EC0FEF" w:rsidP="001753B8">
              <w:pPr>
                <w:pStyle w:val="Bibliography"/>
                <w:spacing w:line="480" w:lineRule="auto"/>
                <w:rPr>
                  <w:noProof/>
                  <w:szCs w:val="24"/>
                  <w:lang w:val="en-US"/>
                </w:rPr>
              </w:pPr>
              <w:r>
                <w:fldChar w:fldCharType="begin"/>
              </w:r>
              <w:r>
                <w:instrText xml:space="preserve"> BIBLIOGRAPHY </w:instrText>
              </w:r>
              <w:r>
                <w:fldChar w:fldCharType="separate"/>
              </w:r>
              <w:r>
                <w:rPr>
                  <w:noProof/>
                  <w:lang w:val="en-US"/>
                </w:rPr>
                <w:t xml:space="preserve">Cartledge, P., 2004. Alexander the Great: Hunting For a New Past?. </w:t>
              </w:r>
              <w:r>
                <w:rPr>
                  <w:i/>
                  <w:iCs/>
                  <w:noProof/>
                  <w:lang w:val="en-US"/>
                </w:rPr>
                <w:t xml:space="preserve">History Today, </w:t>
              </w:r>
              <w:r>
                <w:rPr>
                  <w:noProof/>
                  <w:lang w:val="en-US"/>
                </w:rPr>
                <w:t>54(7), pp. 10-16.</w:t>
              </w:r>
            </w:p>
            <w:p w14:paraId="1DFF601C" w14:textId="77777777" w:rsidR="00EC0FEF" w:rsidRDefault="00EC0FEF" w:rsidP="001753B8">
              <w:pPr>
                <w:pStyle w:val="Bibliography"/>
                <w:spacing w:line="480" w:lineRule="auto"/>
                <w:rPr>
                  <w:noProof/>
                  <w:lang w:val="en-US"/>
                </w:rPr>
              </w:pPr>
              <w:r>
                <w:rPr>
                  <w:noProof/>
                  <w:lang w:val="en-US"/>
                </w:rPr>
                <w:t xml:space="preserve">Chamoux, F., 2003 (1981). </w:t>
              </w:r>
              <w:r>
                <w:rPr>
                  <w:i/>
                  <w:iCs/>
                  <w:noProof/>
                  <w:lang w:val="en-US"/>
                </w:rPr>
                <w:t xml:space="preserve">Hellenistic Civilization. </w:t>
              </w:r>
              <w:r>
                <w:rPr>
                  <w:noProof/>
                  <w:lang w:val="en-US"/>
                </w:rPr>
                <w:t>Oxford: Blackwell.</w:t>
              </w:r>
            </w:p>
            <w:p w14:paraId="6916E14B" w14:textId="77777777" w:rsidR="00EC0FEF" w:rsidRDefault="00EC0FEF" w:rsidP="001753B8">
              <w:pPr>
                <w:pStyle w:val="Bibliography"/>
                <w:spacing w:line="480" w:lineRule="auto"/>
                <w:rPr>
                  <w:noProof/>
                  <w:lang w:val="en-US"/>
                </w:rPr>
              </w:pPr>
              <w:r>
                <w:rPr>
                  <w:noProof/>
                  <w:lang w:val="en-US"/>
                </w:rPr>
                <w:t xml:space="preserve">Dillon, J., 1996. </w:t>
              </w:r>
              <w:r>
                <w:rPr>
                  <w:i/>
                  <w:iCs/>
                  <w:noProof/>
                  <w:lang w:val="en-US"/>
                </w:rPr>
                <w:t xml:space="preserve">The Middle Platonists: 80 B.C. to A.D. 220. </w:t>
              </w:r>
              <w:r>
                <w:rPr>
                  <w:noProof/>
                  <w:lang w:val="en-US"/>
                </w:rPr>
                <w:t>2nd ed. Ithaca, New York: Cornell University Press.</w:t>
              </w:r>
            </w:p>
            <w:p w14:paraId="2DCDF342" w14:textId="15647E2B" w:rsidR="00EC0FEF" w:rsidRDefault="00EC0FEF" w:rsidP="001753B8">
              <w:pPr>
                <w:pStyle w:val="Bibliography"/>
                <w:spacing w:line="480" w:lineRule="auto"/>
                <w:rPr>
                  <w:noProof/>
                  <w:lang w:val="en-US"/>
                </w:rPr>
              </w:pPr>
              <w:r>
                <w:rPr>
                  <w:noProof/>
                  <w:lang w:val="en-US"/>
                </w:rPr>
                <w:t xml:space="preserve">Fisch, M. H., 1937. Alexander and the Stoics. </w:t>
              </w:r>
              <w:r>
                <w:rPr>
                  <w:i/>
                  <w:iCs/>
                  <w:noProof/>
                  <w:lang w:val="en-US"/>
                </w:rPr>
                <w:t xml:space="preserve">The American Journal of Philology, </w:t>
              </w:r>
              <w:r>
                <w:rPr>
                  <w:noProof/>
                  <w:lang w:val="en-US"/>
                </w:rPr>
                <w:t>58(2), 129-151.</w:t>
              </w:r>
            </w:p>
            <w:p w14:paraId="50F9EBDD" w14:textId="77777777" w:rsidR="00EC0FEF" w:rsidRDefault="00EC0FEF" w:rsidP="001753B8">
              <w:pPr>
                <w:pStyle w:val="Bibliography"/>
                <w:spacing w:line="480" w:lineRule="auto"/>
                <w:rPr>
                  <w:noProof/>
                  <w:lang w:val="en-US"/>
                </w:rPr>
              </w:pPr>
              <w:r>
                <w:rPr>
                  <w:noProof/>
                  <w:lang w:val="en-US"/>
                </w:rPr>
                <w:t xml:space="preserve">Gibbon, E., 1994 (1776). </w:t>
              </w:r>
              <w:r>
                <w:rPr>
                  <w:i/>
                  <w:iCs/>
                  <w:noProof/>
                  <w:lang w:val="en-US"/>
                </w:rPr>
                <w:t xml:space="preserve">The History of the Decline and Fall of the Roman Empire Vol. 1. </w:t>
              </w:r>
              <w:r>
                <w:rPr>
                  <w:noProof/>
                  <w:lang w:val="en-US"/>
                </w:rPr>
                <w:t>London: Allen Lane.</w:t>
              </w:r>
            </w:p>
            <w:p w14:paraId="1EDA62AA" w14:textId="77777777" w:rsidR="00EC0FEF" w:rsidRDefault="00EC0FEF" w:rsidP="001753B8">
              <w:pPr>
                <w:pStyle w:val="Bibliography"/>
                <w:spacing w:line="480" w:lineRule="auto"/>
                <w:rPr>
                  <w:noProof/>
                  <w:lang w:val="en-US"/>
                </w:rPr>
              </w:pPr>
              <w:r>
                <w:rPr>
                  <w:noProof/>
                  <w:lang w:val="en-US"/>
                </w:rPr>
                <w:t xml:space="preserve">Green, P., 1990. </w:t>
              </w:r>
              <w:r>
                <w:rPr>
                  <w:i/>
                  <w:iCs/>
                  <w:noProof/>
                  <w:lang w:val="en-US"/>
                </w:rPr>
                <w:t xml:space="preserve">Alexander to Actium: The Hellenistic Age. </w:t>
              </w:r>
              <w:r>
                <w:rPr>
                  <w:noProof/>
                  <w:lang w:val="en-US"/>
                </w:rPr>
                <w:t>London: Thames and Hudson.</w:t>
              </w:r>
            </w:p>
            <w:p w14:paraId="3B07E462" w14:textId="77777777" w:rsidR="00EC0FEF" w:rsidRDefault="00EC0FEF" w:rsidP="001753B8">
              <w:pPr>
                <w:pStyle w:val="Bibliography"/>
                <w:spacing w:line="480" w:lineRule="auto"/>
                <w:rPr>
                  <w:noProof/>
                  <w:lang w:val="en-US"/>
                </w:rPr>
              </w:pPr>
              <w:r>
                <w:rPr>
                  <w:noProof/>
                  <w:lang w:val="en-US"/>
                </w:rPr>
                <w:t xml:space="preserve">Machiavelli, N., 2008 (1531). </w:t>
              </w:r>
              <w:r>
                <w:rPr>
                  <w:i/>
                  <w:iCs/>
                  <w:noProof/>
                  <w:lang w:val="en-US"/>
                </w:rPr>
                <w:t xml:space="preserve">Discourses on Livy. </w:t>
              </w:r>
              <w:r>
                <w:rPr>
                  <w:noProof/>
                  <w:lang w:val="en-US"/>
                </w:rPr>
                <w:t>Oxford: Oxford University Press.</w:t>
              </w:r>
            </w:p>
            <w:p w14:paraId="38D14829" w14:textId="77777777" w:rsidR="00EC0FEF" w:rsidRDefault="00EC0FEF" w:rsidP="001753B8">
              <w:pPr>
                <w:pStyle w:val="Bibliography"/>
                <w:spacing w:line="480" w:lineRule="auto"/>
                <w:rPr>
                  <w:noProof/>
                  <w:lang w:val="en-US"/>
                </w:rPr>
              </w:pPr>
              <w:r>
                <w:rPr>
                  <w:noProof/>
                  <w:lang w:val="en-US"/>
                </w:rPr>
                <w:lastRenderedPageBreak/>
                <w:t xml:space="preserve">Scott-Kilvert, I., 1973. Translator's Foreword. In: I. Scott-Kilvert, ed. </w:t>
              </w:r>
              <w:r>
                <w:rPr>
                  <w:i/>
                  <w:iCs/>
                  <w:noProof/>
                  <w:lang w:val="en-US"/>
                </w:rPr>
                <w:t xml:space="preserve">Plutarch: The Age of Alexander. </w:t>
              </w:r>
              <w:r>
                <w:rPr>
                  <w:noProof/>
                  <w:lang w:val="en-US"/>
                </w:rPr>
                <w:t>London: Penguin, pp. 12-17.</w:t>
              </w:r>
            </w:p>
            <w:p w14:paraId="4FCA2E73" w14:textId="77777777" w:rsidR="00EC0FEF" w:rsidRDefault="00EC0FEF" w:rsidP="001753B8">
              <w:pPr>
                <w:pStyle w:val="Bibliography"/>
                <w:spacing w:line="480" w:lineRule="auto"/>
                <w:rPr>
                  <w:noProof/>
                  <w:lang w:val="en-US"/>
                </w:rPr>
              </w:pPr>
              <w:r>
                <w:rPr>
                  <w:noProof/>
                  <w:lang w:val="en-US"/>
                </w:rPr>
                <w:t xml:space="preserve">Stadter, P. A., 2014. </w:t>
              </w:r>
              <w:r>
                <w:rPr>
                  <w:i/>
                  <w:iCs/>
                  <w:noProof/>
                  <w:lang w:val="en-US"/>
                </w:rPr>
                <w:t xml:space="preserve">Plutarch and his Roman Readers. </w:t>
              </w:r>
              <w:r>
                <w:rPr>
                  <w:noProof/>
                  <w:lang w:val="en-US"/>
                </w:rPr>
                <w:t>Oxford: Oxford University Press.</w:t>
              </w:r>
            </w:p>
            <w:p w14:paraId="1890D3C3" w14:textId="2ABE5D39" w:rsidR="00EC0FEF" w:rsidRDefault="00EC0FEF" w:rsidP="001753B8">
              <w:pPr>
                <w:spacing w:line="480" w:lineRule="auto"/>
              </w:pPr>
              <w:r>
                <w:rPr>
                  <w:b/>
                  <w:bCs/>
                  <w:noProof/>
                </w:rPr>
                <w:fldChar w:fldCharType="end"/>
              </w:r>
            </w:p>
          </w:sdtContent>
        </w:sdt>
      </w:sdtContent>
    </w:sdt>
    <w:p w14:paraId="47DF751A" w14:textId="77777777" w:rsidR="00EC0FEF" w:rsidRPr="00455128" w:rsidRDefault="00EC0FEF" w:rsidP="001753B8">
      <w:pPr>
        <w:spacing w:line="480" w:lineRule="auto"/>
      </w:pPr>
    </w:p>
    <w:sectPr w:rsidR="00EC0FEF" w:rsidRPr="004551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E226AA" w14:textId="77777777" w:rsidR="00627894" w:rsidRDefault="00627894" w:rsidP="00A6599F">
      <w:pPr>
        <w:spacing w:after="0" w:line="240" w:lineRule="auto"/>
      </w:pPr>
      <w:r>
        <w:separator/>
      </w:r>
    </w:p>
  </w:endnote>
  <w:endnote w:type="continuationSeparator" w:id="0">
    <w:p w14:paraId="696177DB" w14:textId="77777777" w:rsidR="00627894" w:rsidRDefault="00627894" w:rsidP="00A65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884D96" w14:textId="77777777" w:rsidR="00627894" w:rsidRDefault="00627894" w:rsidP="00A6599F">
      <w:pPr>
        <w:spacing w:after="0" w:line="240" w:lineRule="auto"/>
      </w:pPr>
      <w:r>
        <w:separator/>
      </w:r>
    </w:p>
  </w:footnote>
  <w:footnote w:type="continuationSeparator" w:id="0">
    <w:p w14:paraId="183758C5" w14:textId="77777777" w:rsidR="00627894" w:rsidRDefault="00627894" w:rsidP="00A6599F">
      <w:pPr>
        <w:spacing w:after="0" w:line="240" w:lineRule="auto"/>
      </w:pPr>
      <w:r>
        <w:continuationSeparator/>
      </w:r>
    </w:p>
  </w:footnote>
  <w:footnote w:id="1">
    <w:p w14:paraId="1D984D9F" w14:textId="00413A3B" w:rsidR="00A6599F" w:rsidRPr="00A6599F" w:rsidRDefault="00A6599F">
      <w:pPr>
        <w:pStyle w:val="FootnoteText"/>
      </w:pPr>
      <w:r>
        <w:rPr>
          <w:rStyle w:val="FootnoteReference"/>
        </w:rPr>
        <w:footnoteRef/>
      </w:r>
      <w:r>
        <w:t xml:space="preserve"> Machiavelli, </w:t>
      </w:r>
      <w:r>
        <w:rPr>
          <w:i/>
        </w:rPr>
        <w:t xml:space="preserve">Discourses on Livy </w:t>
      </w:r>
      <w:r>
        <w:t xml:space="preserve">1.10; Gibbon, </w:t>
      </w:r>
      <w:r>
        <w:rPr>
          <w:i/>
        </w:rPr>
        <w:t>The Decline and Fall of the Roman Empire</w:t>
      </w:r>
      <w:r>
        <w:t xml:space="preserve"> 1.78.</w:t>
      </w:r>
    </w:p>
  </w:footnote>
  <w:footnote w:id="2">
    <w:p w14:paraId="1FEBD81B" w14:textId="2CF92C2A" w:rsidR="00EC0FEF" w:rsidRDefault="00EC0FEF">
      <w:pPr>
        <w:pStyle w:val="FootnoteText"/>
      </w:pPr>
      <w:r>
        <w:rPr>
          <w:rStyle w:val="FootnoteReference"/>
        </w:rPr>
        <w:footnoteRef/>
      </w:r>
      <w:r>
        <w:t xml:space="preserve"> </w:t>
      </w:r>
      <w:r w:rsidR="00F32970">
        <w:t>Scott-</w:t>
      </w:r>
      <w:proofErr w:type="spellStart"/>
      <w:r>
        <w:t>Kilvert</w:t>
      </w:r>
      <w:proofErr w:type="spellEnd"/>
      <w:r>
        <w:t xml:space="preserve"> 1973: 13.</w:t>
      </w:r>
    </w:p>
  </w:footnote>
  <w:footnote w:id="3">
    <w:p w14:paraId="7C3176F8" w14:textId="5283142C" w:rsidR="00F32970" w:rsidRDefault="00F32970">
      <w:pPr>
        <w:pStyle w:val="FootnoteText"/>
      </w:pPr>
      <w:r>
        <w:rPr>
          <w:rStyle w:val="FootnoteReference"/>
        </w:rPr>
        <w:footnoteRef/>
      </w:r>
      <w:r>
        <w:t xml:space="preserve"> Dillon 1996: 185-6.</w:t>
      </w:r>
    </w:p>
  </w:footnote>
  <w:footnote w:id="4">
    <w:p w14:paraId="28338BB9" w14:textId="7D510011" w:rsidR="00F32970" w:rsidRDefault="00F32970">
      <w:pPr>
        <w:pStyle w:val="FootnoteText"/>
      </w:pPr>
      <w:r>
        <w:rPr>
          <w:rStyle w:val="FootnoteReference"/>
        </w:rPr>
        <w:footnoteRef/>
      </w:r>
      <w:r>
        <w:t xml:space="preserve"> </w:t>
      </w:r>
      <w:proofErr w:type="spellStart"/>
      <w:r w:rsidR="00805D8B">
        <w:t>Stadter</w:t>
      </w:r>
      <w:proofErr w:type="spellEnd"/>
      <w:r w:rsidR="00805D8B">
        <w:t xml:space="preserve"> 2014: 69; </w:t>
      </w:r>
      <w:r>
        <w:t>Scott-</w:t>
      </w:r>
      <w:proofErr w:type="spellStart"/>
      <w:r>
        <w:t>Kilvert</w:t>
      </w:r>
      <w:proofErr w:type="spellEnd"/>
      <w:r>
        <w:t xml:space="preserve"> 1973: 13.</w:t>
      </w:r>
    </w:p>
  </w:footnote>
  <w:footnote w:id="5">
    <w:p w14:paraId="378D324D" w14:textId="40EDD618" w:rsidR="00805D8B" w:rsidRDefault="00805D8B">
      <w:pPr>
        <w:pStyle w:val="FootnoteText"/>
      </w:pPr>
      <w:r>
        <w:rPr>
          <w:rStyle w:val="FootnoteReference"/>
        </w:rPr>
        <w:footnoteRef/>
      </w:r>
      <w:r>
        <w:t xml:space="preserve"> </w:t>
      </w:r>
      <w:proofErr w:type="spellStart"/>
      <w:r>
        <w:t>Chamoux</w:t>
      </w:r>
      <w:proofErr w:type="spellEnd"/>
      <w:r>
        <w:t xml:space="preserve"> 2003 (1981): 36; Green 1990: 57.</w:t>
      </w:r>
    </w:p>
  </w:footnote>
  <w:footnote w:id="6">
    <w:p w14:paraId="7B82F980" w14:textId="39760555" w:rsidR="002E55D3" w:rsidRDefault="002E55D3">
      <w:pPr>
        <w:pStyle w:val="FootnoteText"/>
      </w:pPr>
      <w:r>
        <w:rPr>
          <w:rStyle w:val="FootnoteReference"/>
        </w:rPr>
        <w:footnoteRef/>
      </w:r>
      <w:r>
        <w:t xml:space="preserve"> Fisch 1937: 138.</w:t>
      </w:r>
    </w:p>
  </w:footnote>
  <w:footnote w:id="7">
    <w:p w14:paraId="1CE27AD6" w14:textId="25146207" w:rsidR="00C15467" w:rsidRDefault="00C15467">
      <w:pPr>
        <w:pStyle w:val="FootnoteText"/>
      </w:pPr>
      <w:r>
        <w:rPr>
          <w:rStyle w:val="FootnoteReference"/>
        </w:rPr>
        <w:footnoteRef/>
      </w:r>
      <w:r>
        <w:t xml:space="preserve"> </w:t>
      </w:r>
      <w:proofErr w:type="spellStart"/>
      <w:r>
        <w:t>Chamoux</w:t>
      </w:r>
      <w:proofErr w:type="spellEnd"/>
      <w:r>
        <w:t xml:space="preserve"> 2003 (1981): 36.</w:t>
      </w:r>
    </w:p>
  </w:footnote>
  <w:footnote w:id="8">
    <w:p w14:paraId="078208CA" w14:textId="5F7069DB" w:rsidR="005A615F" w:rsidRDefault="005A615F">
      <w:pPr>
        <w:pStyle w:val="FootnoteText"/>
      </w:pPr>
      <w:r>
        <w:rPr>
          <w:rStyle w:val="FootnoteReference"/>
        </w:rPr>
        <w:footnoteRef/>
      </w:r>
      <w:r>
        <w:t xml:space="preserve"> Green 1990: 57.</w:t>
      </w:r>
    </w:p>
  </w:footnote>
  <w:footnote w:id="9">
    <w:p w14:paraId="581A037F" w14:textId="31F38D14" w:rsidR="0007539F" w:rsidRDefault="0007539F">
      <w:pPr>
        <w:pStyle w:val="FootnoteText"/>
      </w:pPr>
      <w:r>
        <w:rPr>
          <w:rStyle w:val="FootnoteReference"/>
        </w:rPr>
        <w:footnoteRef/>
      </w:r>
      <w:r>
        <w:t xml:space="preserve"> Cartledge 2004: 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128"/>
    <w:rsid w:val="0007539F"/>
    <w:rsid w:val="001753B8"/>
    <w:rsid w:val="001972D2"/>
    <w:rsid w:val="001E0381"/>
    <w:rsid w:val="002E55D3"/>
    <w:rsid w:val="003B712A"/>
    <w:rsid w:val="003F2229"/>
    <w:rsid w:val="00455128"/>
    <w:rsid w:val="005A615F"/>
    <w:rsid w:val="00627894"/>
    <w:rsid w:val="00804A40"/>
    <w:rsid w:val="00805D8B"/>
    <w:rsid w:val="00860198"/>
    <w:rsid w:val="008704D0"/>
    <w:rsid w:val="009B4D7E"/>
    <w:rsid w:val="00A4621F"/>
    <w:rsid w:val="00A6599F"/>
    <w:rsid w:val="00A65EC1"/>
    <w:rsid w:val="00BB4A35"/>
    <w:rsid w:val="00C15467"/>
    <w:rsid w:val="00C35D03"/>
    <w:rsid w:val="00CC3C87"/>
    <w:rsid w:val="00E01627"/>
    <w:rsid w:val="00E5174D"/>
    <w:rsid w:val="00EC0FEF"/>
    <w:rsid w:val="00F32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45F148"/>
  <w15:chartTrackingRefBased/>
  <w15:docId w15:val="{133B5D58-ECE9-41B0-9CBB-B072D8744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F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55128"/>
    <w:pPr>
      <w:autoSpaceDE w:val="0"/>
      <w:autoSpaceDN w:val="0"/>
      <w:adjustRightInd w:val="0"/>
      <w:spacing w:after="0" w:line="240" w:lineRule="auto"/>
    </w:pPr>
    <w:rPr>
      <w:rFonts w:cs="Times New Roman"/>
      <w:color w:val="000000"/>
      <w:szCs w:val="24"/>
    </w:rPr>
  </w:style>
  <w:style w:type="paragraph" w:styleId="FootnoteText">
    <w:name w:val="footnote text"/>
    <w:basedOn w:val="Normal"/>
    <w:link w:val="FootnoteTextChar"/>
    <w:uiPriority w:val="99"/>
    <w:semiHidden/>
    <w:unhideWhenUsed/>
    <w:rsid w:val="00A6599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599F"/>
    <w:rPr>
      <w:sz w:val="20"/>
      <w:szCs w:val="20"/>
    </w:rPr>
  </w:style>
  <w:style w:type="character" w:styleId="FootnoteReference">
    <w:name w:val="footnote reference"/>
    <w:basedOn w:val="DefaultParagraphFont"/>
    <w:uiPriority w:val="99"/>
    <w:semiHidden/>
    <w:unhideWhenUsed/>
    <w:rsid w:val="00A6599F"/>
    <w:rPr>
      <w:vertAlign w:val="superscript"/>
    </w:rPr>
  </w:style>
  <w:style w:type="character" w:customStyle="1" w:styleId="Heading1Char">
    <w:name w:val="Heading 1 Char"/>
    <w:basedOn w:val="DefaultParagraphFont"/>
    <w:link w:val="Heading1"/>
    <w:uiPriority w:val="9"/>
    <w:rsid w:val="00EC0F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C0F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34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Ian73</b:Tag>
    <b:SourceType>BookSection</b:SourceType>
    <b:Guid>{00121CCB-5B79-4111-947A-832023377DF0}</b:Guid>
    <b:Author>
      <b:Author>
        <b:NameList>
          <b:Person>
            <b:Last>Scott-Kilvert</b:Last>
            <b:First>Ian</b:First>
          </b:Person>
        </b:NameList>
      </b:Author>
      <b:Editor>
        <b:NameList>
          <b:Person>
            <b:Last>Scott-Kilvert</b:Last>
            <b:First>Ian</b:First>
          </b:Person>
        </b:NameList>
      </b:Editor>
    </b:Author>
    <b:Title>Translator's Foreword</b:Title>
    <b:BookTitle>Plutarch: The Age of Alexander</b:BookTitle>
    <b:Year>1973</b:Year>
    <b:Pages>12-17</b:Pages>
    <b:City>London</b:City>
    <b:Publisher>Penguin</b:Publisher>
    <b:RefOrder>1</b:RefOrder>
  </b:Source>
  <b:Source>
    <b:Tag>Fra81</b:Tag>
    <b:SourceType>Book</b:SourceType>
    <b:Guid>{135EBA25-6661-448C-BD60-68A9C74FAC6B}</b:Guid>
    <b:Title>Hellenistic Civilization</b:Title>
    <b:Year>2003 (1981)</b:Year>
    <b:City>Oxford</b:City>
    <b:Publisher>Blackwell</b:Publisher>
    <b:Author>
      <b:Author>
        <b:NameList>
          <b:Person>
            <b:Last>Chamoux</b:Last>
            <b:First>Francois</b:First>
          </b:Person>
        </b:NameList>
      </b:Author>
    </b:Author>
    <b:RefOrder>2</b:RefOrder>
  </b:Source>
  <b:Source>
    <b:Tag>Pet90</b:Tag>
    <b:SourceType>Book</b:SourceType>
    <b:Guid>{181FEC51-64DA-4217-BE1E-E3AC62C2C655}</b:Guid>
    <b:Author>
      <b:Author>
        <b:NameList>
          <b:Person>
            <b:Last>Green</b:Last>
            <b:First>Peter</b:First>
          </b:Person>
        </b:NameList>
      </b:Author>
    </b:Author>
    <b:Title>Alexander to Actium: The Hellenistic Age</b:Title>
    <b:Year>1990</b:Year>
    <b:City>London</b:City>
    <b:Publisher>Thames and Hudson</b:Publisher>
    <b:RefOrder>3</b:RefOrder>
  </b:Source>
  <b:Source>
    <b:Tag>Joh961</b:Tag>
    <b:SourceType>Book</b:SourceType>
    <b:Guid>{09FB55CA-5E79-4EB2-8F00-93A3FDC1505B}</b:Guid>
    <b:Author>
      <b:Author>
        <b:NameList>
          <b:Person>
            <b:Last>Dillon</b:Last>
            <b:First>John</b:First>
          </b:Person>
        </b:NameList>
      </b:Author>
    </b:Author>
    <b:Title>The Middle Platonists: 80 B.C. to A.D. 220</b:Title>
    <b:Year>1996</b:Year>
    <b:City>Ithaca, New York</b:City>
    <b:Publisher>Cornell University Press</b:Publisher>
    <b:Edition>2nd</b:Edition>
    <b:RefOrder>4</b:RefOrder>
  </b:Source>
  <b:Source>
    <b:Tag>Phi14</b:Tag>
    <b:SourceType>Book</b:SourceType>
    <b:Guid>{C00F1458-DFD9-43C2-8851-438288C484BB}</b:Guid>
    <b:Author>
      <b:Author>
        <b:NameList>
          <b:Person>
            <b:Last>Stadter</b:Last>
            <b:First>Philip</b:First>
            <b:Middle>A.</b:Middle>
          </b:Person>
        </b:NameList>
      </b:Author>
    </b:Author>
    <b:Title>Plutarch and his Roman Readers</b:Title>
    <b:Year>2014</b:Year>
    <b:City>Oxford</b:City>
    <b:Publisher>Oxford University Press</b:Publisher>
    <b:RefOrder>5</b:RefOrder>
  </b:Source>
  <b:Source>
    <b:Tag>MHF37</b:Tag>
    <b:SourceType>JournalArticle</b:SourceType>
    <b:Guid>{7785F4B0-8BA7-4E70-9E74-8999D46593F3}</b:Guid>
    <b:Title>Alexander and the Stoics</b:Title>
    <b:Year>1937</b:Year>
    <b:Author>
      <b:Author>
        <b:NameList>
          <b:Person>
            <b:Last>Fisch</b:Last>
            <b:First>M.</b:First>
            <b:Middle>H.</b:Middle>
          </b:Person>
        </b:NameList>
      </b:Author>
    </b:Author>
    <b:JournalName>The American Journal of Philology</b:JournalName>
    <b:Pages>129-151</b:Pages>
    <b:Volume>58</b:Volume>
    <b:Issue>2</b:Issue>
    <b:RefOrder>6</b:RefOrder>
  </b:Source>
  <b:Source>
    <b:Tag>Pau04</b:Tag>
    <b:SourceType>JournalArticle</b:SourceType>
    <b:Guid>{72BC56B7-2F10-4132-9DE8-EFADD95C1954}</b:Guid>
    <b:Author>
      <b:Author>
        <b:NameList>
          <b:Person>
            <b:Last>Cartledge</b:Last>
            <b:First>Paul</b:First>
          </b:Person>
        </b:NameList>
      </b:Author>
    </b:Author>
    <b:Title>Alexander the Great: Hunting For a New Past?</b:Title>
    <b:JournalName>History Today</b:JournalName>
    <b:Year>2004</b:Year>
    <b:Pages>10-16</b:Pages>
    <b:Volume>54</b:Volume>
    <b:Issue>7</b:Issue>
    <b:RefOrder>7</b:RefOrder>
  </b:Source>
  <b:Source>
    <b:Tag>Mac31</b:Tag>
    <b:SourceType>Book</b:SourceType>
    <b:Guid>{77BF1EF3-778A-4D18-832F-479ACCEB51D1}</b:Guid>
    <b:Author>
      <b:Author>
        <b:NameList>
          <b:Person>
            <b:Last>Machiavelli</b:Last>
            <b:First>Niccolo</b:First>
          </b:Person>
        </b:NameList>
      </b:Author>
    </b:Author>
    <b:Title>Discourses on Livy</b:Title>
    <b:Year>2008 (1531)</b:Year>
    <b:City>Oxford</b:City>
    <b:Publisher>Oxford University Press</b:Publisher>
    <b:RefOrder>8</b:RefOrder>
  </b:Source>
  <b:Source>
    <b:Tag>Edw76</b:Tag>
    <b:SourceType>Book</b:SourceType>
    <b:Guid>{4C62B9E2-8106-47CE-B70E-5EB2CB28FCD2}</b:Guid>
    <b:Author>
      <b:Author>
        <b:NameList>
          <b:Person>
            <b:Last>Gibbon</b:Last>
            <b:First>Edward</b:First>
          </b:Person>
        </b:NameList>
      </b:Author>
    </b:Author>
    <b:Title>The History of the Decline and Fall of the Roman Empire Vol. 1</b:Title>
    <b:Year>1994 (1776)</b:Year>
    <b:City>London</b:City>
    <b:Publisher>Allen Lane</b:Publisher>
    <b:RefOrder>9</b:RefOrder>
  </b:Source>
</b:Sources>
</file>

<file path=customXml/itemProps1.xml><?xml version="1.0" encoding="utf-8"?>
<ds:datastoreItem xmlns:ds="http://schemas.openxmlformats.org/officeDocument/2006/customXml" ds:itemID="{2A08CF95-739D-40C0-A2A7-85DCA9865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178</TotalTime>
  <Pages>6</Pages>
  <Words>1259</Words>
  <Characters>6550</Characters>
  <Application>Microsoft Office Word</Application>
  <DocSecurity>0</DocSecurity>
  <Lines>2183</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8</cp:revision>
  <dcterms:created xsi:type="dcterms:W3CDTF">2018-04-24T16:22:00Z</dcterms:created>
  <dcterms:modified xsi:type="dcterms:W3CDTF">2018-04-24T19:24:00Z</dcterms:modified>
</cp:coreProperties>
</file>