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2F7A83C6">
      <w:pPr>
        <w:pStyle w:val="style0"/>
        <w:jc w:val="center"/>
        <w:rPr>
          <w:b/>
          <w:bCs/>
          <w:sz w:val="26"/>
          <w:szCs w:val="26"/>
        </w:rPr>
      </w:pPr>
      <w:r>
        <w:rPr>
          <w:noProof/>
          <w:lang w:val="en-US" w:eastAsia="en-US"/>
        </w:rPr>
        <w:drawing>
          <wp:inline distL="0" distT="0" distB="0" distR="0">
            <wp:extent cx="2774731" cy="1237114"/>
            <wp:effectExtent l="0" t="0" r="6985" b="1270"/>
            <wp:docPr id="1026" name="Picture 1" descr="University of Wales Trinity Saint David - Sagar Consultant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774731" cy="1237114"/>
                    </a:xfrm>
                    <a:prstGeom prst="rect"/>
                    <a:ln>
                      <a:noFill/>
                    </a:ln>
                  </pic:spPr>
                </pic:pic>
              </a:graphicData>
            </a:graphic>
          </wp:inline>
        </w:drawing>
      </w:r>
    </w:p>
    <w:p w14:paraId="21135BE2">
      <w:pPr>
        <w:pStyle w:val="style0"/>
        <w:jc w:val="center"/>
        <w:rPr>
          <w:b/>
          <w:bCs/>
          <w:sz w:val="26"/>
          <w:szCs w:val="26"/>
        </w:rPr>
      </w:pPr>
    </w:p>
    <w:p w14:paraId="0143ABCC">
      <w:pPr>
        <w:pStyle w:val="style0"/>
        <w:jc w:val="center"/>
        <w:rPr/>
      </w:pPr>
      <w:r>
        <w:rPr>
          <w:b/>
          <w:bCs/>
          <w:sz w:val="26"/>
          <w:szCs w:val="26"/>
        </w:rPr>
        <w:t>MSc Public Health and Social Care in Practice</w:t>
      </w:r>
    </w:p>
    <w:p w14:paraId="1C2262A4">
      <w:pPr>
        <w:pStyle w:val="style0"/>
        <w:spacing w:before="200"/>
        <w:jc w:val="center"/>
        <w:rPr>
          <w:sz w:val="24"/>
          <w:szCs w:val="24"/>
        </w:rPr>
      </w:pPr>
      <w:r>
        <w:rPr>
          <w:sz w:val="24"/>
          <w:szCs w:val="24"/>
        </w:rPr>
        <w:t>Module: Quality Assurance and Service Improvements (LCHS7006)</w:t>
      </w:r>
    </w:p>
    <w:p w14:paraId="2D56D7D3">
      <w:pPr>
        <w:pStyle w:val="style0"/>
        <w:spacing w:before="200"/>
        <w:jc w:val="center"/>
        <w:rPr/>
      </w:pPr>
    </w:p>
    <w:p w14:paraId="6E2EE386">
      <w:pPr>
        <w:pStyle w:val="style0"/>
        <w:spacing w:lineRule="auto" w:line="276"/>
        <w:jc w:val="center"/>
        <w:rPr>
          <w:sz w:val="16"/>
        </w:rPr>
      </w:pPr>
      <w:r>
        <w:rPr>
          <w:b/>
          <w:bCs/>
          <w:sz w:val="28"/>
          <w:szCs w:val="40"/>
        </w:rPr>
        <w:t xml:space="preserve">Reducing Delayed Hospital Discharge </w:t>
      </w:r>
      <w:r>
        <w:rPr>
          <w:b/>
          <w:bCs/>
          <w:sz w:val="28"/>
          <w:szCs w:val="40"/>
        </w:rPr>
        <w:t>among</w:t>
      </w:r>
      <w:r>
        <w:rPr>
          <w:b/>
          <w:bCs/>
          <w:sz w:val="28"/>
          <w:szCs w:val="40"/>
        </w:rPr>
        <w:t xml:space="preserve"> Older Adults in NHS England: A Quality Improvement Service Improvement Report</w:t>
      </w:r>
    </w:p>
    <w:p w14:paraId="134B4AAD">
      <w:pPr>
        <w:pStyle w:val="style0"/>
        <w:jc w:val="center"/>
        <w:rPr>
          <w:i/>
          <w:iCs/>
          <w:sz w:val="24"/>
          <w:szCs w:val="24"/>
        </w:rPr>
      </w:pPr>
    </w:p>
    <w:p w14:paraId="17DB8EFF">
      <w:pPr>
        <w:pStyle w:val="style0"/>
        <w:jc w:val="center"/>
        <w:rPr/>
      </w:pPr>
      <w:r>
        <w:rPr>
          <w:iCs/>
          <w:sz w:val="24"/>
          <w:szCs w:val="24"/>
        </w:rPr>
        <w:t>Component 2: Service Improvement Report</w:t>
      </w:r>
    </w:p>
    <w:p w14:paraId="5D097984">
      <w:pPr>
        <w:pStyle w:val="style0"/>
        <w:spacing w:before="1200"/>
        <w:jc w:val="center"/>
        <w:rPr>
          <w:sz w:val="24"/>
          <w:szCs w:val="24"/>
        </w:rPr>
      </w:pPr>
      <w:r>
        <w:rPr>
          <w:sz w:val="24"/>
          <w:szCs w:val="24"/>
        </w:rPr>
        <w:t xml:space="preserve">Student Name: </w:t>
      </w:r>
      <w:r>
        <w:rPr>
          <w:sz w:val="24"/>
          <w:szCs w:val="24"/>
        </w:rPr>
        <w:t>Md</w:t>
      </w:r>
      <w:r>
        <w:rPr>
          <w:sz w:val="24"/>
          <w:szCs w:val="24"/>
        </w:rPr>
        <w:t xml:space="preserve"> </w:t>
      </w:r>
      <w:r>
        <w:rPr>
          <w:sz w:val="24"/>
          <w:szCs w:val="24"/>
        </w:rPr>
        <w:t>Aseiqur</w:t>
      </w:r>
      <w:r>
        <w:rPr>
          <w:sz w:val="24"/>
          <w:szCs w:val="24"/>
        </w:rPr>
        <w:t xml:space="preserve"> </w:t>
      </w:r>
      <w:r>
        <w:rPr>
          <w:sz w:val="24"/>
          <w:szCs w:val="24"/>
        </w:rPr>
        <w:t>Rahaman</w:t>
      </w:r>
    </w:p>
    <w:p w14:paraId="4F87B596">
      <w:pPr>
        <w:pStyle w:val="style0"/>
        <w:spacing w:before="100"/>
        <w:jc w:val="center"/>
        <w:rPr>
          <w:sz w:val="24"/>
          <w:szCs w:val="24"/>
        </w:rPr>
      </w:pPr>
      <w:r>
        <w:rPr>
          <w:sz w:val="24"/>
          <w:szCs w:val="24"/>
        </w:rPr>
        <w:t xml:space="preserve">Student Number: </w:t>
      </w:r>
      <w:r>
        <w:rPr>
          <w:sz w:val="24"/>
          <w:szCs w:val="24"/>
        </w:rPr>
        <w:t>2524402</w:t>
      </w:r>
    </w:p>
    <w:p w14:paraId="244E2644">
      <w:pPr>
        <w:pStyle w:val="style0"/>
        <w:spacing w:before="100"/>
        <w:jc w:val="center"/>
        <w:rPr/>
      </w:pPr>
      <w:r>
        <w:rPr>
          <w:sz w:val="24"/>
          <w:szCs w:val="24"/>
        </w:rPr>
        <w:t xml:space="preserve">Lecturer: </w:t>
      </w:r>
      <w:r>
        <w:rPr>
          <w:sz w:val="24"/>
          <w:szCs w:val="24"/>
        </w:rPr>
        <w:t>Dilhara</w:t>
      </w:r>
      <w:r>
        <w:rPr>
          <w:sz w:val="24"/>
          <w:szCs w:val="24"/>
        </w:rPr>
        <w:t xml:space="preserve"> </w:t>
      </w:r>
      <w:r>
        <w:rPr>
          <w:sz w:val="24"/>
          <w:szCs w:val="24"/>
        </w:rPr>
        <w:t>Mampitiya</w:t>
      </w:r>
      <w:r>
        <w:rPr>
          <w:sz w:val="24"/>
          <w:szCs w:val="24"/>
        </w:rPr>
        <w:t xml:space="preserve"> / Christopher </w:t>
      </w:r>
      <w:r>
        <w:rPr>
          <w:sz w:val="24"/>
          <w:szCs w:val="24"/>
        </w:rPr>
        <w:t>Mafuva</w:t>
      </w:r>
    </w:p>
    <w:p w14:paraId="6A7788E6">
      <w:pPr>
        <w:pStyle w:val="style0"/>
        <w:spacing w:before="100"/>
        <w:jc w:val="center"/>
        <w:rPr/>
      </w:pPr>
      <w:r>
        <w:rPr>
          <w:sz w:val="24"/>
          <w:szCs w:val="24"/>
        </w:rPr>
        <w:t xml:space="preserve">Date of submission: </w:t>
      </w:r>
    </w:p>
    <w:p w14:paraId="1E731494">
      <w:pPr>
        <w:pStyle w:val="style0"/>
        <w:rPr/>
      </w:pPr>
      <w:r>
        <w:br w:type="page"/>
      </w:r>
    </w:p>
    <w:p w14:paraId="4E447FDD">
      <w:pPr>
        <w:pStyle w:val="style266"/>
        <w:jc w:val="center"/>
        <w:rPr>
          <w:rFonts w:ascii="Arial" w:cs="Arial" w:hAnsi="Arial"/>
          <w:b/>
          <w:color w:val="auto"/>
        </w:rPr>
      </w:pPr>
      <w:r>
        <w:rPr>
          <w:rFonts w:ascii="Arial" w:cs="Arial" w:hAnsi="Arial"/>
          <w:b/>
          <w:color w:val="auto"/>
        </w:rPr>
        <w:t>Contents</w:t>
      </w:r>
    </w:p>
    <w:p w14:paraId="14796C97">
      <w:pPr>
        <w:pStyle w:val="style19"/>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TOC \o "1-3" \h \z \u </w:instrText>
      </w:r>
      <w:r>
        <w:rPr>
          <w:b w:val="false"/>
          <w:bCs w:val="false"/>
        </w:rPr>
        <w:fldChar w:fldCharType="separate"/>
      </w:r>
      <w:r>
        <w:rPr>
          <w:b w:val="false"/>
          <w:bCs w:val="false"/>
        </w:rPr>
        <w:fldChar w:fldCharType="begin"/>
      </w:r>
      <w:r>
        <w:rPr>
          <w:b w:val="false"/>
          <w:bCs w:val="false"/>
        </w:rPr>
        <w:instrText xml:space="preserve"> HYPERLINK \l "_Toc237426278" </w:instrText>
      </w:r>
      <w:r>
        <w:rPr>
          <w:b w:val="false"/>
          <w:bCs w:val="false"/>
        </w:rPr>
        <w:fldChar w:fldCharType="separate"/>
      </w:r>
      <w:r>
        <w:rPr>
          <w:rStyle w:val="style85"/>
          <w:b w:val="false"/>
          <w:bCs w:val="false"/>
          <w:noProof/>
        </w:rPr>
        <w:t>1. Introduction</w:t>
      </w:r>
      <w:r>
        <w:rPr>
          <w:b w:val="false"/>
          <w:bCs w:val="false"/>
          <w:noProof/>
          <w:webHidden/>
        </w:rPr>
        <w:tab/>
      </w:r>
      <w:r>
        <w:rPr>
          <w:b w:val="false"/>
          <w:bCs w:val="false"/>
          <w:noProof/>
          <w:webHidden/>
        </w:rPr>
        <w:fldChar w:fldCharType="begin"/>
      </w:r>
      <w:r>
        <w:rPr>
          <w:b w:val="false"/>
          <w:bCs w:val="false"/>
          <w:noProof/>
          <w:webHidden/>
        </w:rPr>
        <w:instrText xml:space="preserve"> PAGEREF _Toc237426278 \h </w:instrText>
      </w:r>
      <w:r>
        <w:rPr>
          <w:b w:val="false"/>
          <w:bCs w:val="false"/>
          <w:noProof/>
          <w:webHidden/>
        </w:rPr>
        <w:fldChar w:fldCharType="separate"/>
      </w:r>
      <w:r>
        <w:rPr>
          <w:b w:val="false"/>
          <w:bCs w:val="false"/>
          <w:noProof/>
          <w:webHidden/>
        </w:rPr>
        <w:t>1</w:t>
      </w:r>
      <w:r>
        <w:rPr>
          <w:b w:val="false"/>
          <w:bCs w:val="false"/>
          <w:noProof/>
          <w:webHidden/>
        </w:rPr>
        <w:fldChar w:fldCharType="end"/>
      </w:r>
      <w:r>
        <w:rPr>
          <w:b w:val="false"/>
          <w:bCs w:val="false"/>
        </w:rPr>
        <w:fldChar w:fldCharType="end"/>
      </w:r>
    </w:p>
    <w:p w14:paraId="1147A251">
      <w:pPr>
        <w:pStyle w:val="style19"/>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"_Toc237426279" </w:instrText>
      </w:r>
      <w:r>
        <w:rPr>
          <w:b w:val="false"/>
          <w:bCs w:val="false"/>
        </w:rPr>
        <w:fldChar w:fldCharType="separate"/>
      </w:r>
      <w:r>
        <w:rPr>
          <w:rStyle w:val="style85"/>
          <w:b w:val="false"/>
          <w:bCs w:val="false"/>
          <w:noProof/>
        </w:rPr>
        <w:t>2. Main Body: Analysis of Root Causes</w:t>
      </w:r>
      <w:r>
        <w:rPr>
          <w:b w:val="false"/>
          <w:bCs w:val="false"/>
          <w:noProof/>
          <w:webHidden/>
        </w:rPr>
        <w:tab/>
      </w:r>
      <w:r>
        <w:rPr>
          <w:b w:val="false"/>
          <w:bCs w:val="false"/>
          <w:noProof/>
          <w:webHidden/>
        </w:rPr>
        <w:fldChar w:fldCharType="begin"/>
      </w:r>
      <w:r>
        <w:rPr>
          <w:b w:val="false"/>
          <w:bCs w:val="false"/>
          <w:noProof/>
          <w:webHidden/>
        </w:rPr>
        <w:instrText xml:space="preserve"> PAGEREF _Toc237426279 \h </w:instrText>
      </w:r>
      <w:r>
        <w:rPr>
          <w:b w:val="false"/>
          <w:bCs w:val="false"/>
          <w:noProof/>
          <w:webHidden/>
        </w:rPr>
        <w:fldChar w:fldCharType="separate"/>
      </w:r>
      <w:r>
        <w:rPr>
          <w:b w:val="false"/>
          <w:bCs w:val="false"/>
          <w:noProof/>
          <w:webHidden/>
        </w:rPr>
        <w:t>2</w:t>
      </w:r>
      <w:r>
        <w:rPr>
          <w:b w:val="false"/>
          <w:bCs w:val="false"/>
          <w:noProof/>
          <w:webHidden/>
        </w:rPr>
        <w:fldChar w:fldCharType="end"/>
      </w:r>
      <w:r>
        <w:rPr>
          <w:b w:val="false"/>
          <w:bCs w:val="false"/>
        </w:rPr>
        <w:fldChar w:fldCharType="end"/>
      </w:r>
    </w:p>
    <w:p w14:paraId="042ABF84">
      <w:pPr>
        <w:pStyle w:val="style20"/>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"_Toc237426280" </w:instrText>
      </w:r>
      <w:r>
        <w:rPr>
          <w:b w:val="false"/>
          <w:bCs w:val="false"/>
        </w:rPr>
        <w:fldChar w:fldCharType="separate"/>
      </w:r>
      <w:r>
        <w:rPr>
          <w:rStyle w:val="style85"/>
          <w:b w:val="false"/>
          <w:bCs w:val="false"/>
          <w:noProof/>
        </w:rPr>
        <w:t>2.1 Rationale for the Selected Frameworks</w:t>
      </w:r>
      <w:r>
        <w:rPr>
          <w:b w:val="false"/>
          <w:bCs w:val="false"/>
          <w:noProof/>
          <w:webHidden/>
        </w:rPr>
        <w:tab/>
      </w:r>
      <w:r>
        <w:rPr>
          <w:b w:val="false"/>
          <w:bCs w:val="false"/>
          <w:noProof/>
          <w:webHidden/>
        </w:rPr>
        <w:fldChar w:fldCharType="begin"/>
      </w:r>
      <w:r>
        <w:rPr>
          <w:b w:val="false"/>
          <w:bCs w:val="false"/>
          <w:noProof/>
          <w:webHidden/>
        </w:rPr>
        <w:instrText xml:space="preserve"> PAGEREF _Toc237426280 \h </w:instrText>
      </w:r>
      <w:r>
        <w:rPr>
          <w:b w:val="false"/>
          <w:bCs w:val="false"/>
          <w:noProof/>
          <w:webHidden/>
        </w:rPr>
        <w:fldChar w:fldCharType="separate"/>
      </w:r>
      <w:r>
        <w:rPr>
          <w:b w:val="false"/>
          <w:bCs w:val="false"/>
          <w:noProof/>
          <w:webHidden/>
        </w:rPr>
        <w:t>2</w:t>
      </w:r>
      <w:r>
        <w:rPr>
          <w:b w:val="false"/>
          <w:bCs w:val="false"/>
          <w:noProof/>
          <w:webHidden/>
        </w:rPr>
        <w:fldChar w:fldCharType="end"/>
      </w:r>
      <w:r>
        <w:rPr>
          <w:b w:val="false"/>
          <w:bCs w:val="false"/>
        </w:rPr>
        <w:fldChar w:fldCharType="end"/>
      </w:r>
    </w:p>
    <w:p w14:paraId="7701E65E">
      <w:pPr>
        <w:pStyle w:val="style20"/>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"_Toc237426281" </w:instrText>
      </w:r>
      <w:r>
        <w:rPr>
          <w:b w:val="false"/>
          <w:bCs w:val="false"/>
        </w:rPr>
        <w:fldChar w:fldCharType="separate"/>
      </w:r>
      <w:r>
        <w:rPr>
          <w:rStyle w:val="style85"/>
          <w:b w:val="false"/>
          <w:bCs w:val="false"/>
          <w:noProof/>
        </w:rPr>
        <w:t>2.2 Fishbone (Ishikawa) Diagram: Root Causes of Delay</w:t>
      </w:r>
      <w:r>
        <w:rPr>
          <w:b w:val="false"/>
          <w:bCs w:val="false"/>
          <w:noProof/>
          <w:webHidden/>
        </w:rPr>
        <w:tab/>
      </w:r>
      <w:r>
        <w:rPr>
          <w:b w:val="false"/>
          <w:bCs w:val="false"/>
          <w:noProof/>
          <w:webHidden/>
        </w:rPr>
        <w:fldChar w:fldCharType="begin"/>
      </w:r>
      <w:r>
        <w:rPr>
          <w:b w:val="false"/>
          <w:bCs w:val="false"/>
          <w:noProof/>
          <w:webHidden/>
        </w:rPr>
        <w:instrText xml:space="preserve"> PAGEREF _Toc237426281 \h </w:instrText>
      </w:r>
      <w:r>
        <w:rPr>
          <w:b w:val="false"/>
          <w:bCs w:val="false"/>
          <w:noProof/>
          <w:webHidden/>
        </w:rPr>
        <w:fldChar w:fldCharType="separate"/>
      </w:r>
      <w:r>
        <w:rPr>
          <w:b w:val="false"/>
          <w:bCs w:val="false"/>
          <w:noProof/>
          <w:webHidden/>
        </w:rPr>
        <w:t>2</w:t>
      </w:r>
      <w:r>
        <w:rPr>
          <w:b w:val="false"/>
          <w:bCs w:val="false"/>
          <w:noProof/>
          <w:webHidden/>
        </w:rPr>
        <w:fldChar w:fldCharType="end"/>
      </w:r>
      <w:r>
        <w:rPr>
          <w:b w:val="false"/>
          <w:bCs w:val="false"/>
        </w:rPr>
        <w:fldChar w:fldCharType="end"/>
      </w:r>
    </w:p>
    <w:p w14:paraId="1EEFA5ED">
      <w:pPr>
        <w:pStyle w:val="style20"/>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"_Toc237426282" </w:instrText>
      </w:r>
      <w:r>
        <w:rPr>
          <w:b w:val="false"/>
          <w:bCs w:val="false"/>
        </w:rPr>
        <w:fldChar w:fldCharType="separate"/>
      </w:r>
      <w:r>
        <w:rPr>
          <w:rStyle w:val="style85"/>
          <w:b w:val="false"/>
          <w:bCs w:val="false"/>
          <w:noProof/>
        </w:rPr>
        <w:t>2.3 Five Whys Analysis</w:t>
      </w:r>
      <w:r>
        <w:rPr>
          <w:b w:val="false"/>
          <w:bCs w:val="false"/>
          <w:noProof/>
          <w:webHidden/>
        </w:rPr>
        <w:tab/>
      </w:r>
      <w:r>
        <w:rPr>
          <w:b w:val="false"/>
          <w:bCs w:val="false"/>
          <w:noProof/>
          <w:webHidden/>
        </w:rPr>
        <w:fldChar w:fldCharType="begin"/>
      </w:r>
      <w:r>
        <w:rPr>
          <w:b w:val="false"/>
          <w:bCs w:val="false"/>
          <w:noProof/>
          <w:webHidden/>
        </w:rPr>
        <w:instrText xml:space="preserve"> PAGEREF _Toc237426282 \h </w:instrText>
      </w:r>
      <w:r>
        <w:rPr>
          <w:b w:val="false"/>
          <w:bCs w:val="false"/>
          <w:noProof/>
          <w:webHidden/>
        </w:rPr>
        <w:fldChar w:fldCharType="separate"/>
      </w:r>
      <w:r>
        <w:rPr>
          <w:b w:val="false"/>
          <w:bCs w:val="false"/>
          <w:noProof/>
          <w:webHidden/>
        </w:rPr>
        <w:t>3</w:t>
      </w:r>
      <w:r>
        <w:rPr>
          <w:b w:val="false"/>
          <w:bCs w:val="false"/>
          <w:noProof/>
          <w:webHidden/>
        </w:rPr>
        <w:fldChar w:fldCharType="end"/>
      </w:r>
      <w:r>
        <w:rPr>
          <w:b w:val="false"/>
          <w:bCs w:val="false"/>
        </w:rPr>
        <w:fldChar w:fldCharType="end"/>
      </w:r>
    </w:p>
    <w:p w14:paraId="6ABD3FA6">
      <w:pPr>
        <w:pStyle w:val="style20"/>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"_Toc237426283" </w:instrText>
      </w:r>
      <w:r>
        <w:rPr>
          <w:b w:val="false"/>
          <w:bCs w:val="false"/>
        </w:rPr>
        <w:fldChar w:fldCharType="separate"/>
      </w:r>
      <w:r>
        <w:rPr>
          <w:rStyle w:val="style85"/>
          <w:b w:val="false"/>
          <w:bCs w:val="false"/>
          <w:noProof/>
        </w:rPr>
        <w:t>2.4 Donabedian Structure-Process-Outcome Model</w:t>
      </w:r>
      <w:r>
        <w:rPr>
          <w:b w:val="false"/>
          <w:bCs w:val="false"/>
          <w:noProof/>
          <w:webHidden/>
        </w:rPr>
        <w:tab/>
      </w:r>
      <w:r>
        <w:rPr>
          <w:b w:val="false"/>
          <w:bCs w:val="false"/>
          <w:noProof/>
          <w:webHidden/>
        </w:rPr>
        <w:fldChar w:fldCharType="begin"/>
      </w:r>
      <w:r>
        <w:rPr>
          <w:b w:val="false"/>
          <w:bCs w:val="false"/>
          <w:noProof/>
          <w:webHidden/>
        </w:rPr>
        <w:instrText xml:space="preserve"> PAGEREF _Toc237426283 \h </w:instrText>
      </w:r>
      <w:r>
        <w:rPr>
          <w:b w:val="false"/>
          <w:bCs w:val="false"/>
          <w:noProof/>
          <w:webHidden/>
        </w:rPr>
        <w:fldChar w:fldCharType="separate"/>
      </w:r>
      <w:r>
        <w:rPr>
          <w:b w:val="false"/>
          <w:bCs w:val="false"/>
          <w:noProof/>
          <w:webHidden/>
        </w:rPr>
        <w:t>4</w:t>
      </w:r>
      <w:r>
        <w:rPr>
          <w:b w:val="false"/>
          <w:bCs w:val="false"/>
          <w:noProof/>
          <w:webHidden/>
        </w:rPr>
        <w:fldChar w:fldCharType="end"/>
      </w:r>
      <w:r>
        <w:rPr>
          <w:b w:val="false"/>
          <w:bCs w:val="false"/>
        </w:rPr>
        <w:fldChar w:fldCharType="end"/>
      </w:r>
    </w:p>
    <w:p w14:paraId="793FB93D">
      <w:pPr>
        <w:pStyle w:val="style20"/>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"_Toc237426284" </w:instrText>
      </w:r>
      <w:r>
        <w:rPr>
          <w:b w:val="false"/>
          <w:bCs w:val="false"/>
        </w:rPr>
        <w:fldChar w:fldCharType="separate"/>
      </w:r>
      <w:r>
        <w:rPr>
          <w:rStyle w:val="style85"/>
          <w:b w:val="false"/>
          <w:bCs w:val="false"/>
          <w:noProof/>
        </w:rPr>
        <w:t>2.5 SWOT Analysis</w:t>
      </w:r>
      <w:r>
        <w:rPr>
          <w:b w:val="false"/>
          <w:bCs w:val="false"/>
          <w:noProof/>
          <w:webHidden/>
        </w:rPr>
        <w:tab/>
      </w:r>
      <w:r>
        <w:rPr>
          <w:b w:val="false"/>
          <w:bCs w:val="false"/>
          <w:noProof/>
          <w:webHidden/>
        </w:rPr>
        <w:fldChar w:fldCharType="begin"/>
      </w:r>
      <w:r>
        <w:rPr>
          <w:b w:val="false"/>
          <w:bCs w:val="false"/>
          <w:noProof/>
          <w:webHidden/>
        </w:rPr>
        <w:instrText xml:space="preserve"> PAGEREF _Toc237426284 \h </w:instrText>
      </w:r>
      <w:r>
        <w:rPr>
          <w:b w:val="false"/>
          <w:bCs w:val="false"/>
          <w:noProof/>
          <w:webHidden/>
        </w:rPr>
        <w:fldChar w:fldCharType="separate"/>
      </w:r>
      <w:r>
        <w:rPr>
          <w:b w:val="false"/>
          <w:bCs w:val="false"/>
          <w:noProof/>
          <w:webHidden/>
        </w:rPr>
        <w:t>5</w:t>
      </w:r>
      <w:r>
        <w:rPr>
          <w:b w:val="false"/>
          <w:bCs w:val="false"/>
          <w:noProof/>
          <w:webHidden/>
        </w:rPr>
        <w:fldChar w:fldCharType="end"/>
      </w:r>
      <w:r>
        <w:rPr>
          <w:b w:val="false"/>
          <w:bCs w:val="false"/>
        </w:rPr>
        <w:fldChar w:fldCharType="end"/>
      </w:r>
    </w:p>
    <w:p w14:paraId="1CB2559E">
      <w:pPr>
        <w:pStyle w:val="style20"/>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"_Toc237426285" </w:instrText>
      </w:r>
      <w:r>
        <w:rPr>
          <w:b w:val="false"/>
          <w:bCs w:val="false"/>
        </w:rPr>
        <w:fldChar w:fldCharType="separate"/>
      </w:r>
      <w:r>
        <w:rPr>
          <w:rStyle w:val="style85"/>
          <w:b w:val="false"/>
          <w:bCs w:val="false"/>
          <w:noProof/>
        </w:rPr>
        <w:t>2.6 Critical Evaluation of the Frameworks</w:t>
      </w:r>
      <w:r>
        <w:rPr>
          <w:b w:val="false"/>
          <w:bCs w:val="false"/>
          <w:noProof/>
          <w:webHidden/>
        </w:rPr>
        <w:tab/>
      </w:r>
      <w:r>
        <w:rPr>
          <w:b w:val="false"/>
          <w:bCs w:val="false"/>
          <w:noProof/>
          <w:webHidden/>
        </w:rPr>
        <w:fldChar w:fldCharType="begin"/>
      </w:r>
      <w:r>
        <w:rPr>
          <w:b w:val="false"/>
          <w:bCs w:val="false"/>
          <w:noProof/>
          <w:webHidden/>
        </w:rPr>
        <w:instrText xml:space="preserve"> PAGEREF _Toc237426285 \h </w:instrText>
      </w:r>
      <w:r>
        <w:rPr>
          <w:b w:val="false"/>
          <w:bCs w:val="false"/>
          <w:noProof/>
          <w:webHidden/>
        </w:rPr>
        <w:fldChar w:fldCharType="separate"/>
      </w:r>
      <w:r>
        <w:rPr>
          <w:b w:val="false"/>
          <w:bCs w:val="false"/>
          <w:noProof/>
          <w:webHidden/>
        </w:rPr>
        <w:t>6</w:t>
      </w:r>
      <w:r>
        <w:rPr>
          <w:b w:val="false"/>
          <w:bCs w:val="false"/>
          <w:noProof/>
          <w:webHidden/>
        </w:rPr>
        <w:fldChar w:fldCharType="end"/>
      </w:r>
      <w:r>
        <w:rPr>
          <w:b w:val="false"/>
          <w:bCs w:val="false"/>
        </w:rPr>
        <w:fldChar w:fldCharType="end"/>
      </w:r>
    </w:p>
    <w:p w14:paraId="008B5D01">
      <w:pPr>
        <w:pStyle w:val="style19"/>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"_Toc237426286" </w:instrText>
      </w:r>
      <w:r>
        <w:rPr>
          <w:b w:val="false"/>
          <w:bCs w:val="false"/>
        </w:rPr>
        <w:fldChar w:fldCharType="separate"/>
      </w:r>
      <w:r>
        <w:rPr>
          <w:rStyle w:val="style85"/>
          <w:b w:val="false"/>
          <w:bCs w:val="false"/>
          <w:noProof/>
        </w:rPr>
        <w:t>3. Recommendations</w:t>
      </w:r>
      <w:r>
        <w:rPr>
          <w:b w:val="false"/>
          <w:bCs w:val="false"/>
          <w:noProof/>
          <w:webHidden/>
        </w:rPr>
        <w:tab/>
      </w:r>
      <w:r>
        <w:rPr>
          <w:b w:val="false"/>
          <w:bCs w:val="false"/>
          <w:noProof/>
          <w:webHidden/>
        </w:rPr>
        <w:fldChar w:fldCharType="begin"/>
      </w:r>
      <w:r>
        <w:rPr>
          <w:b w:val="false"/>
          <w:bCs w:val="false"/>
          <w:noProof/>
          <w:webHidden/>
        </w:rPr>
        <w:instrText xml:space="preserve"> PAGEREF _Toc237426286 \h </w:instrText>
      </w:r>
      <w:r>
        <w:rPr>
          <w:b w:val="false"/>
          <w:bCs w:val="false"/>
          <w:noProof/>
          <w:webHidden/>
        </w:rPr>
        <w:fldChar w:fldCharType="separate"/>
      </w:r>
      <w:r>
        <w:rPr>
          <w:b w:val="false"/>
          <w:bCs w:val="false"/>
          <w:noProof/>
          <w:webHidden/>
        </w:rPr>
        <w:t>6</w:t>
      </w:r>
      <w:r>
        <w:rPr>
          <w:b w:val="false"/>
          <w:bCs w:val="false"/>
          <w:noProof/>
          <w:webHidden/>
        </w:rPr>
        <w:fldChar w:fldCharType="end"/>
      </w:r>
      <w:r>
        <w:rPr>
          <w:b w:val="false"/>
          <w:bCs w:val="false"/>
        </w:rPr>
        <w:fldChar w:fldCharType="end"/>
      </w:r>
    </w:p>
    <w:p w14:paraId="7D7B913A">
      <w:pPr>
        <w:pStyle w:val="style20"/>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"_Toc237426287" </w:instrText>
      </w:r>
      <w:r>
        <w:rPr>
          <w:b w:val="false"/>
          <w:bCs w:val="false"/>
        </w:rPr>
        <w:fldChar w:fldCharType="separate"/>
      </w:r>
      <w:r>
        <w:rPr>
          <w:rStyle w:val="style85"/>
          <w:b w:val="false"/>
          <w:bCs w:val="false"/>
          <w:noProof/>
        </w:rPr>
        <w:t>3.1 Recommendation 1: Test and Spread a Structured Discharge-Coordinator and CGA Model via PDSA</w:t>
      </w:r>
      <w:r>
        <w:rPr>
          <w:b w:val="false"/>
          <w:bCs w:val="false"/>
          <w:noProof/>
          <w:webHidden/>
        </w:rPr>
        <w:tab/>
      </w:r>
      <w:r>
        <w:rPr>
          <w:b w:val="false"/>
          <w:bCs w:val="false"/>
          <w:noProof/>
          <w:webHidden/>
        </w:rPr>
        <w:fldChar w:fldCharType="begin"/>
      </w:r>
      <w:r>
        <w:rPr>
          <w:b w:val="false"/>
          <w:bCs w:val="false"/>
          <w:noProof/>
          <w:webHidden/>
        </w:rPr>
        <w:instrText xml:space="preserve"> PAGEREF _Toc237426287 \h </w:instrText>
      </w:r>
      <w:r>
        <w:rPr>
          <w:b w:val="false"/>
          <w:bCs w:val="false"/>
          <w:noProof/>
          <w:webHidden/>
        </w:rPr>
        <w:fldChar w:fldCharType="separate"/>
      </w:r>
      <w:r>
        <w:rPr>
          <w:b w:val="false"/>
          <w:bCs w:val="false"/>
          <w:noProof/>
          <w:webHidden/>
        </w:rPr>
        <w:t>6</w:t>
      </w:r>
      <w:r>
        <w:rPr>
          <w:b w:val="false"/>
          <w:bCs w:val="false"/>
          <w:noProof/>
          <w:webHidden/>
        </w:rPr>
        <w:fldChar w:fldCharType="end"/>
      </w:r>
      <w:r>
        <w:rPr>
          <w:b w:val="false"/>
          <w:bCs w:val="false"/>
        </w:rPr>
        <w:fldChar w:fldCharType="end"/>
      </w:r>
    </w:p>
    <w:p w14:paraId="087F622C">
      <w:pPr>
        <w:pStyle w:val="style20"/>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"_Toc237426288" </w:instrText>
      </w:r>
      <w:r>
        <w:rPr>
          <w:b w:val="false"/>
          <w:bCs w:val="false"/>
        </w:rPr>
        <w:fldChar w:fldCharType="separate"/>
      </w:r>
      <w:r>
        <w:rPr>
          <w:rStyle w:val="style85"/>
          <w:b w:val="false"/>
          <w:bCs w:val="false"/>
          <w:noProof/>
        </w:rPr>
        <w:t>3.2 Recommendation 2: Standardise the "Home First"/Discharge to Assess Pathway Using PDCA</w:t>
      </w:r>
      <w:r>
        <w:rPr>
          <w:b w:val="false"/>
          <w:bCs w:val="false"/>
          <w:noProof/>
          <w:webHidden/>
        </w:rPr>
        <w:tab/>
      </w:r>
      <w:r>
        <w:rPr>
          <w:b w:val="false"/>
          <w:bCs w:val="false"/>
          <w:noProof/>
          <w:webHidden/>
        </w:rPr>
        <w:fldChar w:fldCharType="begin"/>
      </w:r>
      <w:r>
        <w:rPr>
          <w:b w:val="false"/>
          <w:bCs w:val="false"/>
          <w:noProof/>
          <w:webHidden/>
        </w:rPr>
        <w:instrText xml:space="preserve"> PAGEREF _Toc237426288 \h </w:instrText>
      </w:r>
      <w:r>
        <w:rPr>
          <w:b w:val="false"/>
          <w:bCs w:val="false"/>
          <w:noProof/>
          <w:webHidden/>
        </w:rPr>
        <w:fldChar w:fldCharType="separate"/>
      </w:r>
      <w:r>
        <w:rPr>
          <w:b w:val="false"/>
          <w:bCs w:val="false"/>
          <w:noProof/>
          <w:webHidden/>
        </w:rPr>
        <w:t>7</w:t>
      </w:r>
      <w:r>
        <w:rPr>
          <w:b w:val="false"/>
          <w:bCs w:val="false"/>
          <w:noProof/>
          <w:webHidden/>
        </w:rPr>
        <w:fldChar w:fldCharType="end"/>
      </w:r>
      <w:r>
        <w:rPr>
          <w:b w:val="false"/>
          <w:bCs w:val="false"/>
        </w:rPr>
        <w:fldChar w:fldCharType="end"/>
      </w:r>
    </w:p>
    <w:p w14:paraId="19E5F9FE">
      <w:pPr>
        <w:pStyle w:val="style20"/>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"_Toc237426289" </w:instrText>
      </w:r>
      <w:r>
        <w:rPr>
          <w:b w:val="false"/>
          <w:bCs w:val="false"/>
        </w:rPr>
        <w:fldChar w:fldCharType="separate"/>
      </w:r>
      <w:r>
        <w:rPr>
          <w:rStyle w:val="style85"/>
          <w:b w:val="false"/>
          <w:bCs w:val="false"/>
          <w:noProof/>
        </w:rPr>
        <w:t>3.3 Recommendation 3: Apply Lean Six Sigma DMAIC to Reduce Discharge Process Cycle Time</w:t>
      </w:r>
      <w:r>
        <w:rPr>
          <w:b w:val="false"/>
          <w:bCs w:val="false"/>
          <w:noProof/>
          <w:webHidden/>
        </w:rPr>
        <w:tab/>
      </w:r>
      <w:r>
        <w:rPr>
          <w:b w:val="false"/>
          <w:bCs w:val="false"/>
          <w:noProof/>
          <w:webHidden/>
        </w:rPr>
        <w:fldChar w:fldCharType="begin"/>
      </w:r>
      <w:r>
        <w:rPr>
          <w:b w:val="false"/>
          <w:bCs w:val="false"/>
          <w:noProof/>
          <w:webHidden/>
        </w:rPr>
        <w:instrText xml:space="preserve"> PAGEREF _Toc237426289 \h </w:instrText>
      </w:r>
      <w:r>
        <w:rPr>
          <w:b w:val="false"/>
          <w:bCs w:val="false"/>
          <w:noProof/>
          <w:webHidden/>
        </w:rPr>
        <w:fldChar w:fldCharType="separate"/>
      </w:r>
      <w:r>
        <w:rPr>
          <w:b w:val="false"/>
          <w:bCs w:val="false"/>
          <w:noProof/>
          <w:webHidden/>
        </w:rPr>
        <w:t>8</w:t>
      </w:r>
      <w:r>
        <w:rPr>
          <w:b w:val="false"/>
          <w:bCs w:val="false"/>
          <w:noProof/>
          <w:webHidden/>
        </w:rPr>
        <w:fldChar w:fldCharType="end"/>
      </w:r>
      <w:r>
        <w:rPr>
          <w:b w:val="false"/>
          <w:bCs w:val="false"/>
        </w:rPr>
        <w:fldChar w:fldCharType="end"/>
      </w:r>
    </w:p>
    <w:p w14:paraId="26B44E1B">
      <w:pPr>
        <w:pStyle w:val="style20"/>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"_Toc237426290" </w:instrText>
      </w:r>
      <w:r>
        <w:rPr>
          <w:b w:val="false"/>
          <w:bCs w:val="false"/>
        </w:rPr>
        <w:fldChar w:fldCharType="separate"/>
      </w:r>
      <w:r>
        <w:rPr>
          <w:rStyle w:val="style85"/>
          <w:b w:val="false"/>
          <w:bCs w:val="false"/>
          <w:noProof/>
        </w:rPr>
        <w:t>3.4 Cross-Cutting Evaluation Strategy and Critical Considerations</w:t>
      </w:r>
      <w:r>
        <w:rPr>
          <w:b w:val="false"/>
          <w:bCs w:val="false"/>
          <w:noProof/>
          <w:webHidden/>
        </w:rPr>
        <w:tab/>
      </w:r>
      <w:r>
        <w:rPr>
          <w:b w:val="false"/>
          <w:bCs w:val="false"/>
          <w:noProof/>
          <w:webHidden/>
        </w:rPr>
        <w:fldChar w:fldCharType="begin"/>
      </w:r>
      <w:r>
        <w:rPr>
          <w:b w:val="false"/>
          <w:bCs w:val="false"/>
          <w:noProof/>
          <w:webHidden/>
        </w:rPr>
        <w:instrText xml:space="preserve"> PAGEREF _Toc237426290 \h </w:instrText>
      </w:r>
      <w:r>
        <w:rPr>
          <w:b w:val="false"/>
          <w:bCs w:val="false"/>
          <w:noProof/>
          <w:webHidden/>
        </w:rPr>
        <w:fldChar w:fldCharType="separate"/>
      </w:r>
      <w:r>
        <w:rPr>
          <w:b w:val="false"/>
          <w:bCs w:val="false"/>
          <w:noProof/>
          <w:webHidden/>
        </w:rPr>
        <w:t>8</w:t>
      </w:r>
      <w:r>
        <w:rPr>
          <w:b w:val="false"/>
          <w:bCs w:val="false"/>
          <w:noProof/>
          <w:webHidden/>
        </w:rPr>
        <w:fldChar w:fldCharType="end"/>
      </w:r>
      <w:r>
        <w:rPr>
          <w:b w:val="false"/>
          <w:bCs w:val="false"/>
        </w:rPr>
        <w:fldChar w:fldCharType="end"/>
      </w:r>
    </w:p>
    <w:p w14:paraId="6E252A90">
      <w:pPr>
        <w:pStyle w:val="style19"/>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"_Toc237426291" </w:instrText>
      </w:r>
      <w:r>
        <w:rPr>
          <w:b w:val="false"/>
          <w:bCs w:val="false"/>
        </w:rPr>
        <w:fldChar w:fldCharType="separate"/>
      </w:r>
      <w:r>
        <w:rPr>
          <w:rStyle w:val="style85"/>
          <w:b w:val="false"/>
          <w:bCs w:val="false"/>
          <w:noProof/>
        </w:rPr>
        <w:t>4. Conclusion</w:t>
      </w:r>
      <w:r>
        <w:rPr>
          <w:b w:val="false"/>
          <w:bCs w:val="false"/>
          <w:noProof/>
          <w:webHidden/>
        </w:rPr>
        <w:tab/>
      </w:r>
      <w:r>
        <w:rPr>
          <w:b w:val="false"/>
          <w:bCs w:val="false"/>
          <w:noProof/>
          <w:webHidden/>
        </w:rPr>
        <w:fldChar w:fldCharType="begin"/>
      </w:r>
      <w:r>
        <w:rPr>
          <w:b w:val="false"/>
          <w:bCs w:val="false"/>
          <w:noProof/>
          <w:webHidden/>
        </w:rPr>
        <w:instrText xml:space="preserve"> PAGEREF _Toc237426291 \h </w:instrText>
      </w:r>
      <w:r>
        <w:rPr>
          <w:b w:val="false"/>
          <w:bCs w:val="false"/>
          <w:noProof/>
          <w:webHidden/>
        </w:rPr>
        <w:fldChar w:fldCharType="separate"/>
      </w:r>
      <w:r>
        <w:rPr>
          <w:b w:val="false"/>
          <w:bCs w:val="false"/>
          <w:noProof/>
          <w:webHidden/>
        </w:rPr>
        <w:t>10</w:t>
      </w:r>
      <w:r>
        <w:rPr>
          <w:b w:val="false"/>
          <w:bCs w:val="false"/>
          <w:noProof/>
          <w:webHidden/>
        </w:rPr>
        <w:fldChar w:fldCharType="end"/>
      </w:r>
      <w:r>
        <w:rPr>
          <w:b w:val="false"/>
          <w:bCs w:val="false"/>
        </w:rPr>
        <w:fldChar w:fldCharType="end"/>
      </w:r>
    </w:p>
    <w:p w14:paraId="22DEBE77">
      <w:pPr>
        <w:pStyle w:val="style19"/>
        <w:tabs>
          <w:tab w:val="right" w:leader="dot" w:pos="9016"/>
        </w:tabs>
        <w:rPr>
          <w:rFonts w:eastAsia="宋体"/>
          <w:b w:val="false"/>
          <w:bCs w:val="false"/>
          <w:noProof/>
          <w:lang w:val="en-US" w:eastAsia="en-US"/>
        </w:rPr>
      </w:pPr>
      <w:r>
        <w:rPr>
          <w:b w:val="false"/>
          <w:bCs w:val="false"/>
        </w:rPr>
        <w:fldChar w:fldCharType="begin"/>
      </w:r>
      <w:r>
        <w:rPr>
          <w:b w:val="false"/>
          <w:bCs w:val="false"/>
        </w:rPr>
        <w:instrText xml:space="preserve"> HYPERLINK \l "_Toc237426292" </w:instrText>
      </w:r>
      <w:r>
        <w:rPr>
          <w:b w:val="false"/>
          <w:bCs w:val="false"/>
        </w:rPr>
        <w:fldChar w:fldCharType="separate"/>
      </w:r>
      <w:r>
        <w:rPr>
          <w:rStyle w:val="style85"/>
          <w:b w:val="false"/>
          <w:bCs w:val="false"/>
          <w:noProof/>
        </w:rPr>
        <w:t>Reference List</w:t>
      </w:r>
      <w:r>
        <w:rPr>
          <w:b w:val="false"/>
          <w:bCs w:val="false"/>
          <w:noProof/>
          <w:webHidden/>
        </w:rPr>
        <w:tab/>
      </w:r>
      <w:r>
        <w:rPr>
          <w:b w:val="false"/>
          <w:bCs w:val="false"/>
          <w:noProof/>
          <w:webHidden/>
        </w:rPr>
        <w:fldChar w:fldCharType="begin"/>
      </w:r>
      <w:r>
        <w:rPr>
          <w:b w:val="false"/>
          <w:bCs w:val="false"/>
          <w:noProof/>
          <w:webHidden/>
        </w:rPr>
        <w:instrText xml:space="preserve"> PAGEREF _Toc237426292 \h </w:instrText>
      </w:r>
      <w:r>
        <w:rPr>
          <w:b w:val="false"/>
          <w:bCs w:val="false"/>
          <w:noProof/>
          <w:webHidden/>
        </w:rPr>
        <w:fldChar w:fldCharType="separate"/>
      </w:r>
      <w:r>
        <w:rPr>
          <w:b w:val="false"/>
          <w:bCs w:val="false"/>
          <w:noProof/>
          <w:webHidden/>
        </w:rPr>
        <w:t>11</w:t>
      </w:r>
      <w:r>
        <w:rPr>
          <w:b w:val="false"/>
          <w:bCs w:val="false"/>
          <w:noProof/>
          <w:webHidden/>
        </w:rPr>
        <w:fldChar w:fldCharType="end"/>
      </w:r>
      <w:r>
        <w:rPr>
          <w:b w:val="false"/>
          <w:bCs w:val="false"/>
        </w:rPr>
        <w:fldChar w:fldCharType="end"/>
      </w:r>
    </w:p>
    <w:p w14:paraId="34EA25B1">
      <w:pPr>
        <w:pStyle w:val="style0"/>
        <w:rPr>
          <w:b w:val="false"/>
          <w:bCs w:val="false"/>
        </w:rPr>
      </w:pPr>
      <w:r>
        <w:rPr>
          <w:b w:val="false"/>
          <w:bCs w:val="false"/>
          <w:noProof/>
        </w:rPr>
        <w:fldChar w:fldCharType="end"/>
      </w:r>
    </w:p>
    <w:p w14:paraId="55C70D7C">
      <w:pPr>
        <w:pStyle w:val="style0"/>
        <w:rPr/>
        <w:sectPr>
          <w:footerReference w:type="default" r:id="rId3"/>
          <w:pgSz w:w="11906" w:h="16838" w:orient="portrait"/>
          <w:pgMar w:top="1440" w:right="1440" w:bottom="1440" w:left="1440" w:header="708" w:footer="708" w:gutter="0"/>
          <w:cols w:space="720"/>
          <w:docGrid w:linePitch="360"/>
        </w:sectPr>
      </w:pPr>
    </w:p>
    <w:bookmarkStart w:id="0" w:name="_Toc237426278"/>
    <w:p w14:paraId="505D318D">
      <w:pPr>
        <w:pStyle w:val="style1"/>
        <w:spacing w:after="200"/>
        <w:rPr>
          <w:color w:val="auto"/>
        </w:rPr>
      </w:pPr>
      <w:r>
        <w:rPr>
          <w:b/>
          <w:bCs/>
          <w:color w:val="auto"/>
          <w:sz w:val="28"/>
          <w:szCs w:val="28"/>
        </w:rPr>
        <w:t>1. Introduction</w:t>
      </w:r>
      <w:bookmarkEnd w:id="0"/>
    </w:p>
    <w:p w14:paraId="1D006BC4">
      <w:pPr>
        <w:pStyle w:val="style0"/>
        <w:spacing w:after="200" w:lineRule="auto" w:line="360"/>
        <w:jc w:val="both"/>
        <w:rPr/>
      </w:pPr>
      <w:r>
        <w:t>The issue of delayed hospital discharge, which is where patients, who do not have the clinical criteria to live at home, remain in an acute bed, continues to be one of the most prolific quality and patient-safety problems in NHS England (NICE, 2015). There is disproportionate impact on older people: for example, on an average day, 13,000 people in England are delayed at hospitals, an increase from 12,201 per day in January 2022 to 13,750 per day in January 2026 (12% up) (Nuffield Trust, 2026; Age UK, 2026). This is linked with the broader demographic and clinical concept of frailty, which describes diminished physiological reserve, and results in an inevitable disproportionate susceptibility of older people to adverse outcomes after relatively trivial stressor events like hospital admission, (Clegg et al., 2013).</w:t>
      </w:r>
    </w:p>
    <w:p w14:paraId="3432F700">
      <w:pPr>
        <w:pStyle w:val="style0"/>
        <w:spacing w:after="200" w:lineRule="auto" w:line="360"/>
        <w:jc w:val="both"/>
        <w:rPr/>
      </w:pPr>
      <w:r>
        <w:t>The size and price of the issue has increased significantly. The most recent King's Fund analysis estimates the cost of delayed discharges to the NHS as £2.66 billion in 2025/26, an increase of 7.5% compared to 2024/25, reaching £2.7 billion (King's Fund, 2026a; Age UK, 2026). It affects the elderly and those with the weakest bodies the hardest. According to the British Geriatrics Society (2026), 30% of older people (aged 90 and above) visiting EDs are spending 12 hours or more in the system, while long system-wide delays, such as discharge, are linked to an estimated 15,000 excess deaths in 2025. Unnecessary hospital stays are estimated to cost more than £328m (Alzheimer's Society, 2025) and more than 584,000 bed days of care for people living with dementia in 2024/25 alone.</w:t>
      </w:r>
    </w:p>
    <w:p w14:paraId="223A88B4">
      <w:pPr>
        <w:pStyle w:val="style0"/>
        <w:spacing w:after="200" w:lineRule="auto" w:line="360"/>
        <w:jc w:val="both"/>
        <w:rPr/>
      </w:pPr>
      <w:r>
        <w:t>This is not just a way of working problem; it is a quality of care problem and there is strong evidence to support this. There is independent evidence that being older is associated with a longer length of stay (Majeed et al., 2012), and structured and individualised discharge planning is supported by robust evidence from randomised trials that this has a negative effect on length of stay and on readmission rates when well-implemented (Shepperd et al., 2013). Long-stay delay data from the National picture since June 2024 breaks the delay down into subcategories: hospital processes, care transfer hub processes, NHS/community care interface processes, patient wellbeing, and capacity outside hospital, and for all of these time periods the most significant is the time spent outside hospital, in community and social care (CQC, 2025a; Lowdown NHS, 2026).</w:t>
      </w:r>
    </w:p>
    <w:p w14:paraId="3A9B22BB">
      <w:pPr>
        <w:pStyle w:val="style0"/>
        <w:spacing w:after="200" w:lineRule="auto" w:line="360"/>
        <w:jc w:val="both"/>
        <w:rPr/>
      </w:pPr>
      <w:r>
        <w:t xml:space="preserve">Pressure has been put on to act because of the policy context. The Urgent and Emergency Care Plan 2025/26 recognises the connection between discharge delay and corridor care, although there is no specific national target to reduce delay (Health Foundation, 2025), and a measure of the length of discharge delay is now included in the new league tables of the NHS hospital system. NICE guideline NG27 has defined expectations for discharge planning to be </w:t>
      </w:r>
      <w:r>
        <w:t>coordinated and person-centred, with a designated named discharge coordinator (NICE, 2015) for every adult with social care needs.</w:t>
      </w:r>
    </w:p>
    <w:p w14:paraId="582F5861">
      <w:pPr>
        <w:pStyle w:val="style0"/>
        <w:spacing w:after="200" w:lineRule="auto" w:line="360"/>
        <w:jc w:val="both"/>
        <w:rPr/>
      </w:pPr>
      <w:r>
        <w:t>This report explores delayed discharge as a quality issue in a hospital and its associated health and social care providers based on the case study identified in Part 1. In Section 2, the Fishbone Diagram and the Five Whys were applied to critically examine the causes of delay (both peer-reviewed and policy evidence) and then a SWOT analysis was used to appraise the organisation's strategic position. In section 3, evidence-based, actionable recommendations are presented, in line with PDSA, PDCA, Lean &amp; Six Sigma methodologies with implementation steps, stakeholders, anticipated barriers and evaluation measures, as well as critically appraising the limitations of the methodologies. Section 4 ends with a summary of the key findings, but no evidence is introduced here.</w:t>
      </w:r>
    </w:p>
    <w:bookmarkStart w:id="1" w:name="_Toc237426279"/>
    <w:p w14:paraId="45FE9B3B">
      <w:pPr>
        <w:pStyle w:val="style1"/>
        <w:spacing w:before="300" w:after="200"/>
        <w:rPr>
          <w:color w:val="auto"/>
        </w:rPr>
      </w:pPr>
      <w:r>
        <w:rPr>
          <w:b/>
          <w:bCs/>
          <w:color w:val="auto"/>
          <w:sz w:val="28"/>
          <w:szCs w:val="28"/>
        </w:rPr>
        <w:t>2. Main Body: Analysis of Root Causes</w:t>
      </w:r>
      <w:bookmarkEnd w:id="1"/>
    </w:p>
    <w:bookmarkStart w:id="2" w:name="_Toc237426280"/>
    <w:p w14:paraId="5395F34F">
      <w:pPr>
        <w:pStyle w:val="style2"/>
        <w:spacing w:before="300" w:after="200"/>
        <w:rPr>
          <w:color w:val="auto"/>
        </w:rPr>
      </w:pPr>
      <w:r>
        <w:rPr>
          <w:b/>
          <w:bCs/>
          <w:color w:val="auto"/>
          <w:sz w:val="24"/>
          <w:szCs w:val="24"/>
        </w:rPr>
        <w:t>2.1 Rationale for the Selected Frameworks</w:t>
      </w:r>
      <w:bookmarkEnd w:id="2"/>
    </w:p>
    <w:p w14:paraId="20A2099A">
      <w:pPr>
        <w:pStyle w:val="style0"/>
        <w:spacing w:after="200" w:lineRule="auto" w:line="360"/>
        <w:jc w:val="both"/>
        <w:rPr/>
      </w:pPr>
      <w:r>
        <w:t xml:space="preserve">Root cause analysis and strategic analysis tools were chosen as they have both been used to help tackle a problem that is widely recognised as one of delayed discharge, which is a multifactorial, system level issue rather than a single failure (King's Fund, 2023). The Fishbone Diagram, created by Ishikawa (1976) for manufacturing quality control, and the Five Whys were selected to take the step from descriptive to explanatory, and to provide an account of causation, rather than description. The Donabedian model was chosen because it is the most popular model used to structure quality assessment in health care and aligns with structure-, process-, and outcome-related causes of delay (EBSCO, n.d.; De </w:t>
      </w:r>
      <w:r>
        <w:t>Rosis</w:t>
      </w:r>
      <w:r>
        <w:t xml:space="preserve"> et al., 2024). This causal understanding was then translated into an organisational position, by using a strategic planning tool developed in the 1960s-1970s, and formalized by Humphrey (2005), known as SWOT analysis. A multiple approach (more than one of these frameworks) also reduces the “deficiencies” of individual tools described in more detail in Section 2.6. </w:t>
      </w:r>
    </w:p>
    <w:bookmarkStart w:id="3" w:name="_Toc237426281"/>
    <w:p w14:paraId="4172E2C0">
      <w:pPr>
        <w:pStyle w:val="style2"/>
        <w:spacing w:before="300" w:after="200"/>
        <w:rPr>
          <w:color w:val="auto"/>
        </w:rPr>
      </w:pPr>
      <w:r>
        <w:rPr>
          <w:b/>
          <w:bCs/>
          <w:color w:val="auto"/>
          <w:sz w:val="24"/>
          <w:szCs w:val="24"/>
        </w:rPr>
        <w:t>2.2 Fishbone (Ishikawa) Diagram: Root Causes of Delay</w:t>
      </w:r>
      <w:bookmarkEnd w:id="3"/>
    </w:p>
    <w:p w14:paraId="7D1EFF48">
      <w:pPr>
        <w:pStyle w:val="style0"/>
        <w:spacing w:after="200" w:lineRule="auto" w:line="360"/>
        <w:jc w:val="both"/>
        <w:rPr/>
      </w:pPr>
      <w:r>
        <w:t>The Fishbone technique was applied to the case study organisation and the causes of delayed discharge group together in five categories summarised in Table 1. This is based on national data, which, from June 2024, has been mandatory for acute trusts to share with NHS England (Lowdown NHS, 2026) on a daily basis the reasons for delays for 14 days or more.</w:t>
      </w:r>
    </w:p>
    <w:p w14:paraId="0185364A">
      <w:pPr>
        <w:pStyle w:val="style0"/>
        <w:spacing w:after="200" w:lineRule="auto" w:line="360"/>
        <w:jc w:val="both"/>
        <w:rPr/>
      </w:pPr>
    </w:p>
    <w:p w14:paraId="4E8C8A77">
      <w:pPr>
        <w:pStyle w:val="style0"/>
        <w:spacing w:after="200" w:lineRule="auto" w:line="360"/>
        <w:jc w:val="both"/>
        <w:rPr/>
      </w:pP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7200"/>
      </w:tblGrid>
      <w:tr w14:paraId="750FD42C">
        <w:trPr/>
        <w:tc>
          <w:tcPr>
            <w:tcW w:w="2400" w:type="dxa"/>
            <w:tcBorders/>
            <w:shd w:val="clear" w:color="auto" w:fill="d9e2f3"/>
            <w:tcMar>
              <w:top w:w="100" w:type="dxa"/>
              <w:left w:w="100" w:type="dxa"/>
              <w:bottom w:w="100" w:type="dxa"/>
              <w:right w:w="100" w:type="dxa"/>
            </w:tcMar>
          </w:tcPr>
          <w:p w14:paraId="78F52702">
            <w:pPr>
              <w:pStyle w:val="style0"/>
              <w:spacing w:lineRule="auto" w:line="276"/>
              <w:rPr/>
            </w:pPr>
            <w:r>
              <w:rPr>
                <w:b/>
                <w:bCs/>
              </w:rPr>
              <w:t>Cause category</w:t>
            </w:r>
          </w:p>
        </w:tc>
        <w:tc>
          <w:tcPr>
            <w:tcW w:w="7200" w:type="dxa"/>
            <w:tcBorders/>
            <w:shd w:val="clear" w:color="auto" w:fill="d9e2f3"/>
            <w:tcMar>
              <w:top w:w="100" w:type="dxa"/>
              <w:left w:w="100" w:type="dxa"/>
              <w:bottom w:w="100" w:type="dxa"/>
              <w:right w:w="100" w:type="dxa"/>
            </w:tcMar>
          </w:tcPr>
          <w:p w14:paraId="6FE66724">
            <w:pPr>
              <w:pStyle w:val="style0"/>
              <w:spacing w:lineRule="auto" w:line="276"/>
              <w:rPr/>
            </w:pPr>
            <w:r>
              <w:rPr>
                <w:b/>
                <w:bCs/>
              </w:rPr>
              <w:t>Contributing factors (evidenced)</w:t>
            </w:r>
          </w:p>
        </w:tc>
      </w:tr>
      <w:tr w14:paraId="1F562164">
        <w:tblPrEx/>
        <w:trPr/>
        <w:tc>
          <w:tcPr>
            <w:tcW w:w="2400" w:type="dxa"/>
            <w:tcBorders/>
            <w:tcMar>
              <w:top w:w="100" w:type="dxa"/>
              <w:left w:w="100" w:type="dxa"/>
              <w:bottom w:w="100" w:type="dxa"/>
              <w:right w:w="100" w:type="dxa"/>
            </w:tcMar>
          </w:tcPr>
          <w:p w14:paraId="7B4BA52D">
            <w:pPr>
              <w:pStyle w:val="style0"/>
              <w:spacing w:lineRule="auto" w:line="276"/>
              <w:rPr/>
            </w:pPr>
            <w:r>
              <w:t>People / Workforce</w:t>
            </w:r>
          </w:p>
        </w:tc>
        <w:tc>
          <w:tcPr>
            <w:tcW w:w="7200" w:type="dxa"/>
            <w:tcBorders/>
            <w:tcMar>
              <w:top w:w="100" w:type="dxa"/>
              <w:left w:w="100" w:type="dxa"/>
              <w:bottom w:w="100" w:type="dxa"/>
              <w:right w:w="100" w:type="dxa"/>
            </w:tcMar>
          </w:tcPr>
          <w:p w14:paraId="200C9FAB">
            <w:pPr>
              <w:pStyle w:val="style0"/>
              <w:spacing w:lineRule="auto" w:line="276"/>
              <w:jc w:val="both"/>
              <w:rPr/>
            </w:pPr>
            <w:r>
              <w:t>In spite of the best efforts of the sector to reduce vacancy rates they remain at around 96,000 at 6.2% of all adult social care jobs in 2025/26, three times the wider economy vacancy rate, and the sector will require an additional 410,000 jobs by 2040 to cope with the demands from an ageing population (Skills for Care, 2025); there is also a dependency on a senior clinician sign-off for discharge that contributes to delay (Majeed et al., 2012).</w:t>
            </w:r>
          </w:p>
        </w:tc>
      </w:tr>
      <w:tr w14:paraId="5B8B51C9">
        <w:tblPrEx/>
        <w:trPr/>
        <w:tc>
          <w:tcPr>
            <w:tcW w:w="2400" w:type="dxa"/>
            <w:tcBorders/>
            <w:tcMar>
              <w:top w:w="100" w:type="dxa"/>
              <w:left w:w="100" w:type="dxa"/>
              <w:bottom w:w="100" w:type="dxa"/>
              <w:right w:w="100" w:type="dxa"/>
            </w:tcMar>
          </w:tcPr>
          <w:p w14:paraId="464BAAA2">
            <w:pPr>
              <w:pStyle w:val="style0"/>
              <w:spacing w:lineRule="auto" w:line="276"/>
              <w:rPr/>
            </w:pPr>
            <w:r>
              <w:t>Process</w:t>
            </w:r>
          </w:p>
        </w:tc>
        <w:tc>
          <w:tcPr>
            <w:tcW w:w="7200" w:type="dxa"/>
            <w:tcBorders/>
            <w:tcMar>
              <w:top w:w="100" w:type="dxa"/>
              <w:left w:w="100" w:type="dxa"/>
              <w:bottom w:w="100" w:type="dxa"/>
              <w:right w:w="100" w:type="dxa"/>
            </w:tcMar>
          </w:tcPr>
          <w:p w14:paraId="5FDDD042">
            <w:pPr>
              <w:pStyle w:val="style0"/>
              <w:spacing w:lineRule="auto" w:line="276"/>
              <w:jc w:val="both"/>
              <w:rPr/>
            </w:pPr>
            <w:r>
              <w:t>Sequential (not parallel) assessments; late initiation of discharge planning; poor communication and medicines-information transfer between professionals at the time of discharge (NICE, 2015).</w:t>
            </w:r>
          </w:p>
        </w:tc>
      </w:tr>
      <w:tr w14:paraId="12C0A36F">
        <w:tblPrEx/>
        <w:trPr/>
        <w:tc>
          <w:tcPr>
            <w:tcW w:w="2400" w:type="dxa"/>
            <w:tcBorders/>
            <w:tcMar>
              <w:top w:w="100" w:type="dxa"/>
              <w:left w:w="100" w:type="dxa"/>
              <w:bottom w:w="100" w:type="dxa"/>
              <w:right w:w="100" w:type="dxa"/>
            </w:tcMar>
          </w:tcPr>
          <w:p w14:paraId="0ACD75BF">
            <w:pPr>
              <w:pStyle w:val="style0"/>
              <w:spacing w:lineRule="auto" w:line="276"/>
              <w:rPr/>
            </w:pPr>
            <w:r>
              <w:t>Policy / System</w:t>
            </w:r>
          </w:p>
        </w:tc>
        <w:tc>
          <w:tcPr>
            <w:tcW w:w="7200" w:type="dxa"/>
            <w:tcBorders/>
            <w:tcMar>
              <w:top w:w="100" w:type="dxa"/>
              <w:left w:w="100" w:type="dxa"/>
              <w:bottom w:w="100" w:type="dxa"/>
              <w:right w:w="100" w:type="dxa"/>
            </w:tcMar>
          </w:tcPr>
          <w:p w14:paraId="072ADF2E">
            <w:pPr>
              <w:pStyle w:val="style0"/>
              <w:spacing w:lineRule="auto" w:line="276"/>
              <w:jc w:val="both"/>
              <w:rPr/>
            </w:pPr>
            <w:r>
              <w:t>Short-term funding only for discharge schemes to prevent system redesign; lack of common local understanding of root causes between health and social care partners (King's Fund 2023).</w:t>
            </w:r>
          </w:p>
        </w:tc>
      </w:tr>
      <w:tr w14:paraId="408839D8">
        <w:tblPrEx/>
        <w:trPr/>
        <w:tc>
          <w:tcPr>
            <w:tcW w:w="2400" w:type="dxa"/>
            <w:tcBorders/>
            <w:tcMar>
              <w:top w:w="100" w:type="dxa"/>
              <w:left w:w="100" w:type="dxa"/>
              <w:bottom w:w="100" w:type="dxa"/>
              <w:right w:w="100" w:type="dxa"/>
            </w:tcMar>
          </w:tcPr>
          <w:p w14:paraId="034A83E3">
            <w:pPr>
              <w:pStyle w:val="style0"/>
              <w:spacing w:lineRule="auto" w:line="276"/>
              <w:rPr/>
            </w:pPr>
            <w:r>
              <w:t>Capacity (community)</w:t>
            </w:r>
          </w:p>
        </w:tc>
        <w:tc>
          <w:tcPr>
            <w:tcW w:w="7200" w:type="dxa"/>
            <w:tcBorders/>
            <w:tcMar>
              <w:top w:w="100" w:type="dxa"/>
              <w:left w:w="100" w:type="dxa"/>
              <w:bottom w:w="100" w:type="dxa"/>
              <w:right w:w="100" w:type="dxa"/>
            </w:tcMar>
          </w:tcPr>
          <w:p w14:paraId="5CB25588">
            <w:pPr>
              <w:pStyle w:val="style0"/>
              <w:spacing w:lineRule="auto" w:line="276"/>
              <w:jc w:val="both"/>
              <w:rPr/>
            </w:pPr>
            <w:r>
              <w:t>Lack of home-care hours, reablement places and residential/nursing care home beds; regional variation, for example the North East region has the lowest number of homecare services per 100,000 older people in England (CQC, 2024).</w:t>
            </w:r>
          </w:p>
        </w:tc>
      </w:tr>
      <w:tr w14:paraId="0004BD5C">
        <w:tblPrEx/>
        <w:trPr/>
        <w:tc>
          <w:tcPr>
            <w:tcW w:w="2400" w:type="dxa"/>
            <w:tcBorders/>
            <w:tcMar>
              <w:top w:w="100" w:type="dxa"/>
              <w:left w:w="100" w:type="dxa"/>
              <w:bottom w:w="100" w:type="dxa"/>
              <w:right w:w="100" w:type="dxa"/>
            </w:tcMar>
          </w:tcPr>
          <w:p w14:paraId="451FF27A">
            <w:pPr>
              <w:pStyle w:val="style0"/>
              <w:spacing w:lineRule="auto" w:line="276"/>
              <w:rPr/>
            </w:pPr>
            <w:r>
              <w:t>Patient / Family</w:t>
            </w:r>
          </w:p>
        </w:tc>
        <w:tc>
          <w:tcPr>
            <w:tcW w:w="7200" w:type="dxa"/>
            <w:tcBorders/>
            <w:tcMar>
              <w:top w:w="100" w:type="dxa"/>
              <w:left w:w="100" w:type="dxa"/>
              <w:bottom w:w="100" w:type="dxa"/>
              <w:right w:w="100" w:type="dxa"/>
            </w:tcMar>
          </w:tcPr>
          <w:p w14:paraId="75A61872">
            <w:pPr>
              <w:pStyle w:val="style0"/>
              <w:spacing w:lineRule="auto" w:line="276"/>
              <w:jc w:val="both"/>
              <w:rPr/>
            </w:pPr>
            <w:r>
              <w:t>Delays in decision making within family, in providing housing adaptations, equipment and/or eligibility for funding; patient or family preferences that cause disagreement about discharge destination (King's Fund, 2018).</w:t>
            </w:r>
          </w:p>
        </w:tc>
      </w:tr>
    </w:tbl>
    <w:p w14:paraId="50E13448">
      <w:pPr>
        <w:pStyle w:val="style0"/>
        <w:spacing w:after="200" w:lineRule="auto" w:line="360"/>
        <w:jc w:val="both"/>
        <w:rPr/>
      </w:pPr>
    </w:p>
    <w:p w14:paraId="00EC9DE9">
      <w:pPr>
        <w:pStyle w:val="style0"/>
        <w:spacing w:after="200" w:lineRule="auto" w:line="360"/>
        <w:jc w:val="both"/>
        <w:rPr/>
      </w:pPr>
      <w:r>
        <w:t>This categorisation shows that although hospital-based factors (workforce, process) are important, the largest single driver of long-stay delay (14 days or more) is external to the hospital: waits for home-based care and care home beds accounted for 45% of long-stay delays in April 2024, rising to a combined 49% for capacity and rehabilitation/reablement access by March 2025 (CQC, 2024; CQC, 2025b).</w:t>
      </w:r>
    </w:p>
    <w:bookmarkStart w:id="4" w:name="_Toc237426282"/>
    <w:p w14:paraId="08FF9555">
      <w:pPr>
        <w:pStyle w:val="style2"/>
        <w:spacing w:before="300" w:after="200"/>
        <w:rPr>
          <w:color w:val="auto"/>
        </w:rPr>
      </w:pPr>
      <w:r>
        <w:rPr>
          <w:b/>
          <w:bCs/>
          <w:color w:val="auto"/>
          <w:sz w:val="24"/>
          <w:szCs w:val="24"/>
        </w:rPr>
        <w:t>2.3 Five Whys Analysis</w:t>
      </w:r>
      <w:bookmarkEnd w:id="4"/>
    </w:p>
    <w:p w14:paraId="7A0C1F42">
      <w:pPr>
        <w:pStyle w:val="style0"/>
        <w:spacing w:after="200" w:lineRule="auto" w:line="360"/>
        <w:jc w:val="both"/>
        <w:rPr/>
      </w:pPr>
      <w:r>
        <w:t>The Five Whys technique was applied to the recurring issue of an older patient (those who are medically fit) staying in an acute bed and it was used to uncover a systemic root cause, as listed in Table 2.</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00"/>
        <w:gridCol w:w="6000"/>
      </w:tblGrid>
      <w:tr w14:paraId="12E45CA1">
        <w:trPr/>
        <w:tc>
          <w:tcPr>
            <w:tcW w:w="3600" w:type="dxa"/>
            <w:tcBorders/>
            <w:shd w:val="clear" w:color="auto" w:fill="d9e2f3"/>
            <w:tcMar>
              <w:top w:w="100" w:type="dxa"/>
              <w:left w:w="100" w:type="dxa"/>
              <w:bottom w:w="100" w:type="dxa"/>
              <w:right w:w="100" w:type="dxa"/>
            </w:tcMar>
          </w:tcPr>
          <w:p w14:paraId="27A7D618">
            <w:pPr>
              <w:pStyle w:val="style0"/>
              <w:spacing w:lineRule="auto" w:line="276"/>
              <w:rPr/>
            </w:pPr>
            <w:r>
              <w:rPr>
                <w:b/>
                <w:bCs/>
                <w:sz w:val="20"/>
                <w:szCs w:val="20"/>
              </w:rPr>
              <w:t>Question</w:t>
            </w:r>
          </w:p>
        </w:tc>
        <w:tc>
          <w:tcPr>
            <w:tcW w:w="6000" w:type="dxa"/>
            <w:tcBorders/>
            <w:shd w:val="clear" w:color="auto" w:fill="d9e2f3"/>
            <w:tcMar>
              <w:top w:w="100" w:type="dxa"/>
              <w:left w:w="100" w:type="dxa"/>
              <w:bottom w:w="100" w:type="dxa"/>
              <w:right w:w="100" w:type="dxa"/>
            </w:tcMar>
          </w:tcPr>
          <w:p w14:paraId="6CCD167B">
            <w:pPr>
              <w:pStyle w:val="style0"/>
              <w:spacing w:lineRule="auto" w:line="276"/>
              <w:rPr/>
            </w:pPr>
            <w:r>
              <w:rPr>
                <w:b/>
                <w:bCs/>
                <w:sz w:val="20"/>
                <w:szCs w:val="20"/>
              </w:rPr>
              <w:t>Response</w:t>
            </w:r>
          </w:p>
        </w:tc>
      </w:tr>
      <w:tr w14:paraId="1DAA8BD1">
        <w:tblPrEx/>
        <w:trPr/>
        <w:tc>
          <w:tcPr>
            <w:tcW w:w="3600" w:type="dxa"/>
            <w:tcBorders/>
            <w:tcMar>
              <w:top w:w="100" w:type="dxa"/>
              <w:left w:w="100" w:type="dxa"/>
              <w:bottom w:w="100" w:type="dxa"/>
              <w:right w:w="100" w:type="dxa"/>
            </w:tcMar>
          </w:tcPr>
          <w:p w14:paraId="5DC24E59">
            <w:pPr>
              <w:pStyle w:val="style0"/>
              <w:spacing w:lineRule="auto" w:line="276"/>
              <w:rPr/>
            </w:pPr>
            <w:r>
              <w:rPr>
                <w:sz w:val="20"/>
                <w:szCs w:val="20"/>
              </w:rPr>
              <w:t>1. Why is the patient still in hospital?</w:t>
            </w:r>
          </w:p>
        </w:tc>
        <w:tc>
          <w:tcPr>
            <w:tcW w:w="6000" w:type="dxa"/>
            <w:tcBorders/>
            <w:tcMar>
              <w:top w:w="100" w:type="dxa"/>
              <w:left w:w="100" w:type="dxa"/>
              <w:bottom w:w="100" w:type="dxa"/>
              <w:right w:w="100" w:type="dxa"/>
            </w:tcMar>
          </w:tcPr>
          <w:p w14:paraId="02449F93">
            <w:pPr>
              <w:pStyle w:val="style0"/>
              <w:spacing w:lineRule="auto" w:line="276"/>
              <w:jc w:val="both"/>
              <w:rPr/>
            </w:pPr>
            <w:r>
              <w:rPr>
                <w:sz w:val="20"/>
                <w:szCs w:val="20"/>
              </w:rPr>
              <w:t xml:space="preserve">They are physically healthy but home care package or reablement placement is not in place. </w:t>
            </w:r>
          </w:p>
        </w:tc>
      </w:tr>
      <w:tr w14:paraId="52313701">
        <w:tblPrEx/>
        <w:trPr/>
        <w:tc>
          <w:tcPr>
            <w:tcW w:w="3600" w:type="dxa"/>
            <w:tcBorders/>
            <w:tcMar>
              <w:top w:w="100" w:type="dxa"/>
              <w:left w:w="100" w:type="dxa"/>
              <w:bottom w:w="100" w:type="dxa"/>
              <w:right w:w="100" w:type="dxa"/>
            </w:tcMar>
          </w:tcPr>
          <w:p w14:paraId="32C29A5C">
            <w:pPr>
              <w:pStyle w:val="style0"/>
              <w:spacing w:lineRule="auto" w:line="276"/>
              <w:jc w:val="both"/>
              <w:rPr/>
            </w:pPr>
            <w:r>
              <w:rPr>
                <w:sz w:val="20"/>
                <w:szCs w:val="20"/>
              </w:rPr>
              <w:t>2. Why has the care package not been arranged?</w:t>
            </w:r>
          </w:p>
        </w:tc>
        <w:tc>
          <w:tcPr>
            <w:tcW w:w="6000" w:type="dxa"/>
            <w:tcBorders/>
            <w:tcMar>
              <w:top w:w="100" w:type="dxa"/>
              <w:left w:w="100" w:type="dxa"/>
              <w:bottom w:w="100" w:type="dxa"/>
              <w:right w:w="100" w:type="dxa"/>
            </w:tcMar>
          </w:tcPr>
          <w:p w14:paraId="6EA88633">
            <w:pPr>
              <w:pStyle w:val="style0"/>
              <w:spacing w:lineRule="auto" w:line="276"/>
              <w:jc w:val="both"/>
              <w:rPr/>
            </w:pPr>
            <w:r>
              <w:t>The community provider will not be able to take on a new referral immediately.</w:t>
            </w:r>
          </w:p>
        </w:tc>
      </w:tr>
      <w:tr w14:paraId="17E1701F">
        <w:tblPrEx/>
        <w:trPr/>
        <w:tc>
          <w:tcPr>
            <w:tcW w:w="3600" w:type="dxa"/>
            <w:tcBorders/>
            <w:tcMar>
              <w:top w:w="100" w:type="dxa"/>
              <w:left w:w="100" w:type="dxa"/>
              <w:bottom w:w="100" w:type="dxa"/>
              <w:right w:w="100" w:type="dxa"/>
            </w:tcMar>
          </w:tcPr>
          <w:p w14:paraId="45181188">
            <w:pPr>
              <w:pStyle w:val="style0"/>
              <w:spacing w:lineRule="auto" w:line="276"/>
              <w:jc w:val="both"/>
              <w:rPr/>
            </w:pPr>
            <w:r>
              <w:rPr>
                <w:sz w:val="20"/>
                <w:szCs w:val="20"/>
              </w:rPr>
              <w:t>3. Why is community capacity insufficient?</w:t>
            </w:r>
          </w:p>
        </w:tc>
        <w:tc>
          <w:tcPr>
            <w:tcW w:w="6000" w:type="dxa"/>
            <w:tcBorders/>
            <w:tcMar>
              <w:top w:w="100" w:type="dxa"/>
              <w:left w:w="100" w:type="dxa"/>
              <w:bottom w:w="100" w:type="dxa"/>
              <w:right w:w="100" w:type="dxa"/>
            </w:tcMar>
          </w:tcPr>
          <w:p w14:paraId="47656506">
            <w:pPr>
              <w:pStyle w:val="style0"/>
              <w:spacing w:lineRule="auto" w:line="276"/>
              <w:jc w:val="both"/>
              <w:rPr/>
            </w:pPr>
            <w:r>
              <w:rPr>
                <w:sz w:val="20"/>
                <w:szCs w:val="20"/>
              </w:rPr>
              <w:t>Local domiciliary and reablement services are not providing the service required to meet demand (CQC, 2024).</w:t>
            </w:r>
          </w:p>
        </w:tc>
      </w:tr>
      <w:tr w14:paraId="296B9644">
        <w:tblPrEx/>
        <w:trPr/>
        <w:tc>
          <w:tcPr>
            <w:tcW w:w="3600" w:type="dxa"/>
            <w:tcBorders/>
            <w:tcMar>
              <w:top w:w="100" w:type="dxa"/>
              <w:left w:w="100" w:type="dxa"/>
              <w:bottom w:w="100" w:type="dxa"/>
              <w:right w:w="100" w:type="dxa"/>
            </w:tcMar>
          </w:tcPr>
          <w:p w14:paraId="3E97200A">
            <w:pPr>
              <w:pStyle w:val="style0"/>
              <w:spacing w:lineRule="auto" w:line="276"/>
              <w:jc w:val="both"/>
              <w:rPr/>
            </w:pPr>
            <w:r>
              <w:rPr>
                <w:sz w:val="20"/>
                <w:szCs w:val="20"/>
              </w:rPr>
              <w:t>4. Why is capacity below required levels?</w:t>
            </w:r>
          </w:p>
        </w:tc>
        <w:tc>
          <w:tcPr>
            <w:tcW w:w="6000" w:type="dxa"/>
            <w:tcBorders/>
            <w:tcMar>
              <w:top w:w="100" w:type="dxa"/>
              <w:left w:w="100" w:type="dxa"/>
              <w:bottom w:w="100" w:type="dxa"/>
              <w:right w:w="100" w:type="dxa"/>
            </w:tcMar>
          </w:tcPr>
          <w:p w14:paraId="46B5041D">
            <w:pPr>
              <w:pStyle w:val="style0"/>
              <w:spacing w:lineRule="auto" w:line="276"/>
              <w:jc w:val="both"/>
              <w:rPr/>
            </w:pPr>
            <w:r>
              <w:rPr>
                <w:sz w:val="20"/>
                <w:szCs w:val="20"/>
              </w:rPr>
              <w:t>There is still a higher proportion of social care staff who are on average paid less than the wider economy, and while the number of vacancies and turnover have been improving, these rates are still structurally higher than the wider economy (Skills for Care, 2025; King's Fund, 2023). However, short term, non-recurrent funding to support the provision of social care over the winter months does not lead to the permanent expansion of provision.</w:t>
            </w:r>
          </w:p>
        </w:tc>
      </w:tr>
      <w:tr w14:paraId="1B4B1FE2">
        <w:tblPrEx/>
        <w:trPr/>
        <w:tc>
          <w:tcPr>
            <w:tcW w:w="3600" w:type="dxa"/>
            <w:tcBorders/>
            <w:tcMar>
              <w:top w:w="100" w:type="dxa"/>
              <w:left w:w="100" w:type="dxa"/>
              <w:bottom w:w="100" w:type="dxa"/>
              <w:right w:w="100" w:type="dxa"/>
            </w:tcMar>
          </w:tcPr>
          <w:p w14:paraId="1F707E5B">
            <w:pPr>
              <w:pStyle w:val="style0"/>
              <w:spacing w:lineRule="auto" w:line="276"/>
              <w:jc w:val="both"/>
              <w:rPr/>
            </w:pPr>
            <w:r>
              <w:rPr>
                <w:sz w:val="20"/>
                <w:szCs w:val="20"/>
              </w:rPr>
              <w:t>5. Why does funding remain short-term?</w:t>
            </w:r>
          </w:p>
        </w:tc>
        <w:tc>
          <w:tcPr>
            <w:tcW w:w="6000" w:type="dxa"/>
            <w:tcBorders/>
            <w:tcMar>
              <w:top w:w="100" w:type="dxa"/>
              <w:left w:w="100" w:type="dxa"/>
              <w:bottom w:w="100" w:type="dxa"/>
              <w:right w:w="100" w:type="dxa"/>
            </w:tcMar>
          </w:tcPr>
          <w:p w14:paraId="39AC1FC2">
            <w:pPr>
              <w:pStyle w:val="style0"/>
              <w:spacing w:lineRule="auto" w:line="276"/>
              <w:jc w:val="both"/>
              <w:rPr/>
            </w:pPr>
            <w:r>
              <w:rPr>
                <w:sz w:val="20"/>
                <w:szCs w:val="20"/>
              </w:rPr>
              <w:t>One-off in-year discharge funding has been provided in the past – rather than long-term ring-fenced investment in community and social care infrastructure – as part of national policy (King's Fund, 2023).</w:t>
            </w:r>
          </w:p>
        </w:tc>
      </w:tr>
    </w:tbl>
    <w:p w14:paraId="2C12E2BE">
      <w:pPr>
        <w:pStyle w:val="style0"/>
        <w:spacing w:after="200" w:lineRule="auto" w:line="360"/>
        <w:jc w:val="both"/>
        <w:rPr/>
      </w:pPr>
    </w:p>
    <w:p w14:paraId="6AA3B004">
      <w:pPr>
        <w:pStyle w:val="style0"/>
        <w:spacing w:after="200" w:lineRule="auto" w:line="360"/>
        <w:jc w:val="both"/>
        <w:rPr/>
      </w:pPr>
      <w:r>
        <w:t>This analysis suggests that many individual delays identified as operational issues at ward level stem from a lack of structural investment in the capacity of community and social care to address these issues, which offers support to King's Fund (2023) analysis that short-term funding models are not allowing the necessary long-term system redesign to solve discharge delays sustainably. It also highlights an overarching problem with the 5 Whys approach – it assumes that the problem has one linear chain of cause which may not actually be the case, as there are likely to be several other causes, both workforce and funding, process and patient, working simultaneously rather than sequentially (King's Fund, 2017).</w:t>
      </w:r>
    </w:p>
    <w:bookmarkStart w:id="5" w:name="_Toc237426283"/>
    <w:p w14:paraId="3FF6E66A">
      <w:pPr>
        <w:pStyle w:val="style2"/>
        <w:spacing w:before="300" w:after="200"/>
        <w:rPr>
          <w:color w:val="auto"/>
        </w:rPr>
      </w:pPr>
      <w:r>
        <w:rPr>
          <w:b/>
          <w:bCs/>
          <w:color w:val="auto"/>
          <w:sz w:val="24"/>
          <w:szCs w:val="24"/>
        </w:rPr>
        <w:t>2.4 Donabedian Structure-Process-Outcome Model</w:t>
      </w:r>
      <w:bookmarkEnd w:id="5"/>
    </w:p>
    <w:p w14:paraId="643255DC">
      <w:pPr>
        <w:pStyle w:val="style0"/>
        <w:spacing w:after="200" w:lineRule="auto" w:line="360"/>
        <w:jc w:val="both"/>
        <w:rPr/>
      </w:pPr>
      <w:r>
        <w:t xml:space="preserve">The Donabedian model provides a framework to assess quality in three interrelated areas: structure (resources and organisational context), process (interactions and activities providing care) and outcomes (effects of care on patients) (EBSCO, n.d.; De </w:t>
      </w:r>
      <w:r>
        <w:t>Rosis</w:t>
      </w:r>
      <w:r>
        <w:t xml:space="preserve"> et al., 2024). Table 3 is an application of the model to the case of delayed discharge.</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7800"/>
      </w:tblGrid>
      <w:tr w14:paraId="0C36480B">
        <w:trPr/>
        <w:tc>
          <w:tcPr>
            <w:tcW w:w="1800" w:type="dxa"/>
            <w:tcBorders/>
            <w:shd w:val="clear" w:color="auto" w:fill="d9e2f3"/>
            <w:tcMar>
              <w:top w:w="100" w:type="dxa"/>
              <w:left w:w="100" w:type="dxa"/>
              <w:bottom w:w="100" w:type="dxa"/>
              <w:right w:w="100" w:type="dxa"/>
            </w:tcMar>
          </w:tcPr>
          <w:p w14:paraId="50802802">
            <w:pPr>
              <w:pStyle w:val="style0"/>
              <w:spacing w:lineRule="auto" w:line="276"/>
              <w:rPr/>
            </w:pPr>
            <w:r>
              <w:rPr>
                <w:b/>
                <w:bCs/>
                <w:sz w:val="20"/>
                <w:szCs w:val="20"/>
              </w:rPr>
              <w:t>Dimension</w:t>
            </w:r>
          </w:p>
        </w:tc>
        <w:tc>
          <w:tcPr>
            <w:tcW w:w="7800" w:type="dxa"/>
            <w:tcBorders/>
            <w:shd w:val="clear" w:color="auto" w:fill="d9e2f3"/>
            <w:tcMar>
              <w:top w:w="100" w:type="dxa"/>
              <w:left w:w="100" w:type="dxa"/>
              <w:bottom w:w="100" w:type="dxa"/>
              <w:right w:w="100" w:type="dxa"/>
            </w:tcMar>
          </w:tcPr>
          <w:p w14:paraId="5F8BAB44">
            <w:pPr>
              <w:pStyle w:val="style0"/>
              <w:spacing w:lineRule="auto" w:line="276"/>
              <w:rPr/>
            </w:pPr>
            <w:r>
              <w:rPr>
                <w:b/>
                <w:bCs/>
                <w:sz w:val="20"/>
                <w:szCs w:val="20"/>
              </w:rPr>
              <w:t>Application to delayed discharge</w:t>
            </w:r>
          </w:p>
        </w:tc>
      </w:tr>
      <w:tr w14:paraId="639525D7">
        <w:tblPrEx/>
        <w:trPr/>
        <w:tc>
          <w:tcPr>
            <w:tcW w:w="1800" w:type="dxa"/>
            <w:tcBorders/>
            <w:tcMar>
              <w:top w:w="100" w:type="dxa"/>
              <w:left w:w="100" w:type="dxa"/>
              <w:bottom w:w="100" w:type="dxa"/>
              <w:right w:w="100" w:type="dxa"/>
            </w:tcMar>
          </w:tcPr>
          <w:p w14:paraId="19767689">
            <w:pPr>
              <w:pStyle w:val="style0"/>
              <w:spacing w:lineRule="auto" w:line="276"/>
              <w:rPr/>
            </w:pPr>
            <w:r>
              <w:rPr>
                <w:sz w:val="20"/>
                <w:szCs w:val="20"/>
              </w:rPr>
              <w:t>Structure</w:t>
            </w:r>
          </w:p>
        </w:tc>
        <w:tc>
          <w:tcPr>
            <w:tcW w:w="7800" w:type="dxa"/>
            <w:tcBorders/>
            <w:tcMar>
              <w:top w:w="100" w:type="dxa"/>
              <w:left w:w="100" w:type="dxa"/>
              <w:bottom w:w="100" w:type="dxa"/>
              <w:right w:w="100" w:type="dxa"/>
            </w:tcMar>
          </w:tcPr>
          <w:p w14:paraId="70AE2382">
            <w:pPr>
              <w:pStyle w:val="style0"/>
              <w:spacing w:lineRule="auto" w:line="276"/>
              <w:jc w:val="both"/>
              <w:rPr/>
            </w:pPr>
            <w:r>
              <w:rPr>
                <w:sz w:val="20"/>
                <w:szCs w:val="20"/>
              </w:rPr>
              <w:t>Capacity for community beds and domiciliary care services; establishment of the social care workforce (Skills for Care, 2025); interoperability between hospital and community information technology systems; regional variation in the availability of services (CQC, 2024; Nuffield Trust, 2026).</w:t>
            </w:r>
          </w:p>
        </w:tc>
      </w:tr>
      <w:tr w14:paraId="5458EFB9">
        <w:tblPrEx/>
        <w:trPr/>
        <w:tc>
          <w:tcPr>
            <w:tcW w:w="1800" w:type="dxa"/>
            <w:tcBorders/>
            <w:tcMar>
              <w:top w:w="100" w:type="dxa"/>
              <w:left w:w="100" w:type="dxa"/>
              <w:bottom w:w="100" w:type="dxa"/>
              <w:right w:w="100" w:type="dxa"/>
            </w:tcMar>
          </w:tcPr>
          <w:p w14:paraId="6BD98D6F">
            <w:pPr>
              <w:pStyle w:val="style0"/>
              <w:spacing w:lineRule="auto" w:line="276"/>
              <w:rPr/>
            </w:pPr>
            <w:r>
              <w:rPr>
                <w:sz w:val="20"/>
                <w:szCs w:val="20"/>
              </w:rPr>
              <w:t>Process</w:t>
            </w:r>
          </w:p>
        </w:tc>
        <w:tc>
          <w:tcPr>
            <w:tcW w:w="7800" w:type="dxa"/>
            <w:tcBorders/>
            <w:tcMar>
              <w:top w:w="100" w:type="dxa"/>
              <w:left w:w="100" w:type="dxa"/>
              <w:bottom w:w="100" w:type="dxa"/>
              <w:right w:w="100" w:type="dxa"/>
            </w:tcMar>
          </w:tcPr>
          <w:p w14:paraId="1413BD7C">
            <w:pPr>
              <w:pStyle w:val="style0"/>
              <w:spacing w:lineRule="auto" w:line="276"/>
              <w:jc w:val="both"/>
              <w:rPr/>
            </w:pPr>
            <w:r>
              <w:rPr>
                <w:sz w:val="20"/>
                <w:szCs w:val="20"/>
              </w:rPr>
              <w:t xml:space="preserve">Admissibility of multidisciplinary and comprehensive assessment of patients; presence of named discharge coordinator; quality of communication and medicines reconciliation </w:t>
            </w:r>
            <w:r>
              <w:rPr>
                <w:sz w:val="20"/>
                <w:szCs w:val="20"/>
              </w:rPr>
              <w:t>at the time of handover; adoption of “Home First” and “Discharge to Assess” pathways (NICE, 2015; CQC, 2025a; Ellis et al., 2011).</w:t>
            </w:r>
          </w:p>
        </w:tc>
      </w:tr>
      <w:tr w14:paraId="02E51E6E">
        <w:tblPrEx/>
        <w:trPr/>
        <w:tc>
          <w:tcPr>
            <w:tcW w:w="1800" w:type="dxa"/>
            <w:tcBorders/>
            <w:tcMar>
              <w:top w:w="100" w:type="dxa"/>
              <w:left w:w="100" w:type="dxa"/>
              <w:bottom w:w="100" w:type="dxa"/>
              <w:right w:w="100" w:type="dxa"/>
            </w:tcMar>
          </w:tcPr>
          <w:p w14:paraId="72F17674">
            <w:pPr>
              <w:pStyle w:val="style0"/>
              <w:spacing w:lineRule="auto" w:line="276"/>
              <w:rPr/>
            </w:pPr>
            <w:r>
              <w:rPr>
                <w:sz w:val="20"/>
                <w:szCs w:val="20"/>
              </w:rPr>
              <w:t>Outcome</w:t>
            </w:r>
          </w:p>
        </w:tc>
        <w:tc>
          <w:tcPr>
            <w:tcW w:w="7800" w:type="dxa"/>
            <w:tcBorders/>
            <w:tcMar>
              <w:top w:w="100" w:type="dxa"/>
              <w:left w:w="100" w:type="dxa"/>
              <w:bottom w:w="100" w:type="dxa"/>
              <w:right w:w="100" w:type="dxa"/>
            </w:tcMar>
          </w:tcPr>
          <w:p w14:paraId="345A2FB6">
            <w:pPr>
              <w:pStyle w:val="style0"/>
              <w:spacing w:lineRule="auto" w:line="276"/>
              <w:jc w:val="both"/>
              <w:rPr/>
            </w:pPr>
            <w:r>
              <w:rPr>
                <w:sz w:val="20"/>
                <w:szCs w:val="20"/>
              </w:rPr>
              <w:t xml:space="preserve">6.75 million bed days lost due to delays of 7 days or more in 2025/26; financial cost of £2.66 - 2.7 billion; deconditioning, infection, and loss of patient's independence; patient reported experience of discharge </w:t>
            </w:r>
            <w:r>
              <w:rPr>
                <w:sz w:val="20"/>
                <w:szCs w:val="20"/>
              </w:rPr>
              <w:t>(Age UK, 2026; King's Fund, 2026a; Majeed et al., 2012; CQC, 2025a).</w:t>
            </w:r>
          </w:p>
        </w:tc>
      </w:tr>
    </w:tbl>
    <w:p w14:paraId="2ACD161D">
      <w:pPr>
        <w:pStyle w:val="style0"/>
        <w:spacing w:after="200" w:lineRule="auto" w:line="360"/>
        <w:jc w:val="both"/>
        <w:rPr/>
      </w:pPr>
    </w:p>
    <w:p w14:paraId="613CA35C">
      <w:pPr>
        <w:pStyle w:val="style0"/>
        <w:spacing w:after="200" w:lineRule="auto" w:line="360"/>
        <w:jc w:val="both"/>
        <w:rPr/>
      </w:pPr>
      <w:r>
        <w:t>The model shows us that a lack of structural capacity limits process performance and that process performance leads to poor outcomes, which is what the Fishbone and Five Whys showed us above. Such a structure-process-outcome logic is backed by good individual-discharge-planning clinical-trial evidence: a Cochrane review of individual-discharge-planning involving a tailored, structured plan suggested that there were likely to be a reduction in length of hospital stay and readmission when the process quality was improved (Shepperd et al., 2013); a BMJ meta-analysis of individual-discharge-planning, which included a multidisciplinary, structured process, demonstrated that patients receiving individual-discharge-planning were significantly more likely to be alive and living at home at follow-up than patients receiving standard care (Ellis et al., 2011). These results collectively indicate that investments in process quality (in addition to structural capacity) yield measurable outcome benefits and further support the recommendations in Section 3.</w:t>
      </w:r>
    </w:p>
    <w:bookmarkStart w:id="6" w:name="_Toc237426284"/>
    <w:p w14:paraId="68B7E1D4">
      <w:pPr>
        <w:pStyle w:val="style2"/>
        <w:spacing w:before="300" w:after="200"/>
        <w:rPr>
          <w:color w:val="auto"/>
        </w:rPr>
      </w:pPr>
      <w:r>
        <w:rPr>
          <w:b/>
          <w:bCs/>
          <w:color w:val="auto"/>
          <w:sz w:val="24"/>
          <w:szCs w:val="24"/>
        </w:rPr>
        <w:t>2.5 SWOT Analysis</w:t>
      </w:r>
      <w:bookmarkEnd w:id="6"/>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800"/>
        <w:gridCol w:w="4800"/>
      </w:tblGrid>
      <w:tr w14:paraId="1B33962D">
        <w:trPr/>
        <w:tc>
          <w:tcPr>
            <w:tcW w:w="4800" w:type="dxa"/>
            <w:tcBorders/>
            <w:shd w:val="clear" w:color="auto" w:fill="d9e2f3"/>
            <w:tcMar>
              <w:top w:w="100" w:type="dxa"/>
              <w:left w:w="100" w:type="dxa"/>
              <w:bottom w:w="100" w:type="dxa"/>
              <w:right w:w="100" w:type="dxa"/>
            </w:tcMar>
          </w:tcPr>
          <w:p w14:paraId="715F70E8">
            <w:pPr>
              <w:pStyle w:val="style0"/>
              <w:spacing w:lineRule="auto" w:line="276"/>
              <w:rPr/>
            </w:pPr>
            <w:r>
              <w:rPr>
                <w:b/>
                <w:bCs/>
                <w:sz w:val="20"/>
                <w:szCs w:val="20"/>
              </w:rPr>
              <w:t>Strengths</w:t>
            </w:r>
          </w:p>
        </w:tc>
        <w:tc>
          <w:tcPr>
            <w:tcW w:w="4800" w:type="dxa"/>
            <w:tcBorders/>
            <w:shd w:val="clear" w:color="auto" w:fill="d9e2f3"/>
            <w:tcMar>
              <w:top w:w="100" w:type="dxa"/>
              <w:left w:w="100" w:type="dxa"/>
              <w:bottom w:w="100" w:type="dxa"/>
              <w:right w:w="100" w:type="dxa"/>
            </w:tcMar>
          </w:tcPr>
          <w:p w14:paraId="757B6DE3">
            <w:pPr>
              <w:pStyle w:val="style0"/>
              <w:spacing w:lineRule="auto" w:line="276"/>
              <w:rPr/>
            </w:pPr>
            <w:r>
              <w:rPr>
                <w:b/>
                <w:bCs/>
                <w:sz w:val="20"/>
                <w:szCs w:val="20"/>
              </w:rPr>
              <w:t>Weaknesses</w:t>
            </w:r>
          </w:p>
        </w:tc>
      </w:tr>
      <w:tr w14:paraId="4DC4FD8E">
        <w:tblPrEx/>
        <w:trPr/>
        <w:tc>
          <w:tcPr>
            <w:tcW w:w="4800" w:type="dxa"/>
            <w:tcBorders/>
            <w:tcMar>
              <w:top w:w="100" w:type="dxa"/>
              <w:left w:w="100" w:type="dxa"/>
              <w:bottom w:w="100" w:type="dxa"/>
              <w:right w:w="100" w:type="dxa"/>
            </w:tcMar>
          </w:tcPr>
          <w:p w14:paraId="251507CD">
            <w:pPr>
              <w:pStyle w:val="style0"/>
              <w:spacing w:lineRule="auto" w:line="276"/>
              <w:jc w:val="both"/>
              <w:rPr/>
            </w:pPr>
            <w:r>
              <w:rPr>
                <w:sz w:val="20"/>
                <w:szCs w:val="20"/>
              </w:rPr>
              <w:t>Home First"/Discharge to Assess models already established in many systems; clear evidence-based national guidance provided in NICE NG27; current multidisciplinary team arrangements; strong evidence base (CGA, individualised discharge planning) for effective interventions (NICE, 2015; CQC, 2025a; Ellis et al., 2011; Shepperd et al., 2013).</w:t>
            </w:r>
          </w:p>
        </w:tc>
        <w:tc>
          <w:tcPr>
            <w:tcW w:w="4800" w:type="dxa"/>
            <w:tcBorders/>
            <w:tcMar>
              <w:top w:w="100" w:type="dxa"/>
              <w:left w:w="100" w:type="dxa"/>
              <w:bottom w:w="100" w:type="dxa"/>
              <w:right w:w="100" w:type="dxa"/>
            </w:tcMar>
          </w:tcPr>
          <w:p w14:paraId="32D919F1">
            <w:pPr>
              <w:pStyle w:val="style0"/>
              <w:spacing w:lineRule="auto" w:line="276"/>
              <w:jc w:val="both"/>
              <w:rPr/>
            </w:pPr>
            <w:r>
              <w:rPr>
                <w:sz w:val="20"/>
                <w:szCs w:val="20"/>
              </w:rPr>
              <w:t>Fragmented process of interface between hospital and community/social care; inconsistent approach to appointing discharge coordinators; social care vacancies and churn still high, despite recent improvements, compared to the wider economy (Lowdown NHS, 2026; Skills for Care, 2025).</w:t>
            </w:r>
          </w:p>
        </w:tc>
      </w:tr>
      <w:tr w14:paraId="261A9168">
        <w:tblPrEx/>
        <w:trPr/>
        <w:tc>
          <w:tcPr>
            <w:tcW w:w="4800" w:type="dxa"/>
            <w:tcBorders/>
            <w:tcMar>
              <w:top w:w="100" w:type="dxa"/>
              <w:left w:w="100" w:type="dxa"/>
              <w:bottom w:w="100" w:type="dxa"/>
              <w:right w:w="100" w:type="dxa"/>
            </w:tcMar>
          </w:tcPr>
          <w:p w14:paraId="1940039C">
            <w:pPr>
              <w:pStyle w:val="style0"/>
              <w:spacing w:lineRule="auto" w:line="276"/>
              <w:jc w:val="both"/>
              <w:rPr/>
            </w:pPr>
            <w:r>
              <w:rPr>
                <w:sz w:val="20"/>
                <w:szCs w:val="20"/>
              </w:rPr>
              <w:t>Opportunities</w:t>
            </w:r>
          </w:p>
        </w:tc>
        <w:tc>
          <w:tcPr>
            <w:tcW w:w="4800" w:type="dxa"/>
            <w:tcBorders/>
            <w:tcMar>
              <w:top w:w="100" w:type="dxa"/>
              <w:left w:w="100" w:type="dxa"/>
              <w:bottom w:w="100" w:type="dxa"/>
              <w:right w:w="100" w:type="dxa"/>
            </w:tcMar>
          </w:tcPr>
          <w:p w14:paraId="47D7350A">
            <w:pPr>
              <w:pStyle w:val="style0"/>
              <w:spacing w:lineRule="auto" w:line="276"/>
              <w:jc w:val="both"/>
              <w:rPr/>
            </w:pPr>
            <w:r>
              <w:rPr>
                <w:sz w:val="20"/>
                <w:szCs w:val="20"/>
              </w:rPr>
              <w:t>Threats</w:t>
            </w:r>
          </w:p>
        </w:tc>
      </w:tr>
      <w:tr w14:paraId="4C09DF6E">
        <w:tblPrEx/>
        <w:trPr/>
        <w:tc>
          <w:tcPr>
            <w:tcW w:w="4800" w:type="dxa"/>
            <w:tcBorders/>
            <w:tcMar>
              <w:top w:w="100" w:type="dxa"/>
              <w:left w:w="100" w:type="dxa"/>
              <w:bottom w:w="100" w:type="dxa"/>
              <w:right w:w="100" w:type="dxa"/>
            </w:tcMar>
          </w:tcPr>
          <w:p w14:paraId="64491547">
            <w:pPr>
              <w:pStyle w:val="style0"/>
              <w:spacing w:lineRule="auto" w:line="276"/>
              <w:jc w:val="both"/>
              <w:rPr/>
            </w:pPr>
            <w:r>
              <w:rPr>
                <w:sz w:val="20"/>
                <w:szCs w:val="20"/>
              </w:rPr>
              <w:t>Integrated Care Systems offer a means for joint ownership of the issue at the system level; including discharge delay indicators in the new hospital league tables raises awareness and accountability (Health Foundation, 2025); shared care records via digital means; the decreasing social care vacancy rate presents an opportunity (Skills for Care, 2025).</w:t>
            </w:r>
          </w:p>
        </w:tc>
        <w:tc>
          <w:tcPr>
            <w:tcW w:w="4800" w:type="dxa"/>
            <w:tcBorders/>
            <w:tcMar>
              <w:top w:w="100" w:type="dxa"/>
              <w:left w:w="100" w:type="dxa"/>
              <w:bottom w:w="100" w:type="dxa"/>
              <w:right w:w="100" w:type="dxa"/>
            </w:tcMar>
          </w:tcPr>
          <w:p w14:paraId="62C21E1B">
            <w:pPr>
              <w:pStyle w:val="style0"/>
              <w:spacing w:lineRule="auto" w:line="276"/>
              <w:jc w:val="both"/>
              <w:rPr/>
            </w:pPr>
            <w:r>
              <w:rPr>
                <w:sz w:val="20"/>
                <w:szCs w:val="20"/>
              </w:rPr>
              <w:t>Short-term, non-recurrent winter funding; increased demand due to older populations with multimorbidity and frailty (Clegg et al., 2013); stricter immigration controls hindering international recruitment to social care; fragile market conditions (King's Fund, 2023; King's Fund, 2026b).</w:t>
            </w:r>
          </w:p>
        </w:tc>
      </w:tr>
    </w:tbl>
    <w:p w14:paraId="64703330">
      <w:pPr>
        <w:pStyle w:val="style0"/>
        <w:spacing w:after="200" w:lineRule="auto" w:line="360"/>
        <w:jc w:val="both"/>
        <w:rPr/>
      </w:pPr>
    </w:p>
    <w:bookmarkStart w:id="7" w:name="_Toc237426285"/>
    <w:p w14:paraId="2C563359">
      <w:pPr>
        <w:pStyle w:val="style2"/>
        <w:spacing w:before="300" w:after="200"/>
        <w:rPr>
          <w:color w:val="auto"/>
        </w:rPr>
      </w:pPr>
      <w:r>
        <w:rPr>
          <w:b/>
          <w:bCs/>
          <w:color w:val="auto"/>
          <w:sz w:val="24"/>
          <w:szCs w:val="24"/>
        </w:rPr>
        <w:t>2.6 Critical Evaluation of the Frameworks</w:t>
      </w:r>
      <w:bookmarkEnd w:id="7"/>
    </w:p>
    <w:p w14:paraId="27F93714">
      <w:pPr>
        <w:pStyle w:val="style0"/>
        <w:spacing w:after="200" w:lineRule="auto" w:line="360"/>
        <w:jc w:val="both"/>
        <w:rPr/>
      </w:pPr>
      <w:r>
        <w:t xml:space="preserve">These are all lenses with their own strengths and weaknesses that need to be recognised at a Level 7 analysis. The Fishbone and Five Whys techniques can help to build a visual and common understanding of cause but can easily become tools for a ‘‘blame game'’ if not used appropriately, as the King's Fund (2017) has previously noted, where ‘‘just the blame game'’ is a failure in the system as a whole because problems are blamed on a single agency rather than on the failure in the system. Criticism of the Donabedian model has been voiced because it disproportionately emphasizes the provider's point of view, with the outcome dimension emphasizing ‘hard’ outcomes like bed days and readmissions rather than patient-reported outcomes and experiences (De </w:t>
      </w:r>
      <w:r>
        <w:t>Rosis</w:t>
      </w:r>
      <w:r>
        <w:t xml:space="preserve"> et al., 2024). However SWOT analysis is a strategic snapshot which is static and does not provide information on the relative importance of each factor or on the interaction between them over time, and therefore should be used in conjunction with, rather than as a replacement for, causal tools like the Fishbone Diagram.</w:t>
      </w:r>
    </w:p>
    <w:p w14:paraId="322AEDF7">
      <w:pPr>
        <w:pStyle w:val="style0"/>
        <w:spacing w:after="200" w:lineRule="auto" w:line="360"/>
        <w:jc w:val="both"/>
        <w:rPr/>
      </w:pPr>
      <w:r>
        <w:t>Another, cross-cutting constraint is the quality of the evidence base for improving quality. While quality improvement is generally promoted as a goal for healthcare, the results are truly mixed, and in part because quality improvement programs are often small-scale, short-term projects managed by employees who may not have the authority or resources needed to drive change in the long term (Dixon-Woods and Martin, 2016). This caveat is specifically applicable to the recommendations put forward in Section 3 and is covered in more detail in Section 3.4.</w:t>
      </w:r>
    </w:p>
    <w:bookmarkStart w:id="8" w:name="_Toc237426286"/>
    <w:p w14:paraId="2E4464FD">
      <w:pPr>
        <w:pStyle w:val="style1"/>
        <w:spacing w:before="300" w:after="200"/>
        <w:rPr>
          <w:color w:val="auto"/>
        </w:rPr>
      </w:pPr>
      <w:r>
        <w:rPr>
          <w:b/>
          <w:bCs/>
          <w:color w:val="auto"/>
          <w:sz w:val="28"/>
          <w:szCs w:val="28"/>
        </w:rPr>
        <w:t>3. Recommendations</w:t>
      </w:r>
      <w:bookmarkEnd w:id="8"/>
    </w:p>
    <w:p w14:paraId="30830093">
      <w:pPr>
        <w:pStyle w:val="style0"/>
        <w:spacing w:after="200" w:lineRule="auto" w:line="360"/>
        <w:jc w:val="both"/>
        <w:rPr/>
      </w:pPr>
      <w:r>
        <w:t>The following recommendations are directly from the root causes identified in Section 2, and are organised in the context of two recognised methodologies for quality improvement, PDSA/PDCA (iterative, small-scale testing) and Lean Six Sigma (process efficiency redesign). Published clinical and organisational evidence of effectiveness is also used as a basis for each recommendation.</w:t>
      </w:r>
    </w:p>
    <w:bookmarkStart w:id="9" w:name="_Toc237426287"/>
    <w:p w14:paraId="7132E804">
      <w:pPr>
        <w:pStyle w:val="style2"/>
        <w:spacing w:before="300" w:after="200"/>
        <w:rPr>
          <w:color w:val="auto"/>
        </w:rPr>
      </w:pPr>
      <w:r>
        <w:rPr>
          <w:b/>
          <w:bCs/>
          <w:color w:val="auto"/>
          <w:sz w:val="24"/>
          <w:szCs w:val="24"/>
        </w:rPr>
        <w:t>3.1 Recommendation 1: Test and Spread a Structured Discharge-Coordinator and CGA Model via PDSA</w:t>
      </w:r>
      <w:bookmarkEnd w:id="9"/>
    </w:p>
    <w:p w14:paraId="2FB6E08D">
      <w:pPr>
        <w:pStyle w:val="style0"/>
        <w:spacing w:after="200" w:lineRule="auto" w:line="360"/>
        <w:jc w:val="both"/>
        <w:rPr/>
      </w:pPr>
      <w:r>
        <w:t xml:space="preserve">The single named discharge coordinator for all older patients with social care needs outlined in NICE NG27 and early comprehensive geriatric assessment (CGA) should be piloted on a small scale before being rolled out trust-wide. This is supported by strong evidence: the BMJ meta-analysis of RCTs by Ellis et al. (2011) showed that the discharge of older medical patients using CGA was associated with a significantly shorter hospital length of stay at follow-up compared to those discharged by general medical care; the Cochrane review by Shepperd </w:t>
      </w:r>
      <w:r>
        <w:t>et al. (2013) indicated that individualised discharge planning may lead to a reduction in the length of stay of older medical patients at follow-up.</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7800"/>
      </w:tblGrid>
      <w:tr w14:paraId="4B612029">
        <w:trPr/>
        <w:tc>
          <w:tcPr>
            <w:tcW w:w="1800" w:type="dxa"/>
            <w:tcBorders/>
            <w:shd w:val="clear" w:color="auto" w:fill="d9e2f3"/>
            <w:tcMar>
              <w:top w:w="100" w:type="dxa"/>
              <w:left w:w="100" w:type="dxa"/>
              <w:bottom w:w="100" w:type="dxa"/>
              <w:right w:w="100" w:type="dxa"/>
            </w:tcMar>
          </w:tcPr>
          <w:p w14:paraId="01A260A4">
            <w:pPr>
              <w:pStyle w:val="style0"/>
              <w:spacing w:lineRule="auto" w:line="276"/>
              <w:rPr/>
            </w:pPr>
            <w:r>
              <w:rPr>
                <w:b/>
                <w:bCs/>
                <w:sz w:val="20"/>
                <w:szCs w:val="20"/>
              </w:rPr>
              <w:t>PDSA stage</w:t>
            </w:r>
          </w:p>
        </w:tc>
        <w:tc>
          <w:tcPr>
            <w:tcW w:w="7800" w:type="dxa"/>
            <w:tcBorders/>
            <w:shd w:val="clear" w:color="auto" w:fill="d9e2f3"/>
            <w:tcMar>
              <w:top w:w="100" w:type="dxa"/>
              <w:left w:w="100" w:type="dxa"/>
              <w:bottom w:w="100" w:type="dxa"/>
              <w:right w:w="100" w:type="dxa"/>
            </w:tcMar>
          </w:tcPr>
          <w:p w14:paraId="4D623391">
            <w:pPr>
              <w:pStyle w:val="style0"/>
              <w:spacing w:lineRule="auto" w:line="276"/>
              <w:rPr/>
            </w:pPr>
            <w:r>
              <w:rPr>
                <w:b/>
                <w:bCs/>
                <w:sz w:val="20"/>
                <w:szCs w:val="20"/>
              </w:rPr>
              <w:t>Action</w:t>
            </w:r>
          </w:p>
        </w:tc>
      </w:tr>
      <w:tr w14:paraId="3EEE9B06">
        <w:tblPrEx/>
        <w:trPr/>
        <w:tc>
          <w:tcPr>
            <w:tcW w:w="1800" w:type="dxa"/>
            <w:tcBorders/>
            <w:tcMar>
              <w:top w:w="100" w:type="dxa"/>
              <w:left w:w="100" w:type="dxa"/>
              <w:bottom w:w="100" w:type="dxa"/>
              <w:right w:w="100" w:type="dxa"/>
            </w:tcMar>
          </w:tcPr>
          <w:p w14:paraId="681BAC12">
            <w:pPr>
              <w:pStyle w:val="style0"/>
              <w:spacing w:lineRule="auto" w:line="276"/>
              <w:rPr/>
            </w:pPr>
            <w:r>
              <w:rPr>
                <w:sz w:val="20"/>
                <w:szCs w:val="20"/>
              </w:rPr>
              <w:t>Plan</w:t>
            </w:r>
          </w:p>
        </w:tc>
        <w:tc>
          <w:tcPr>
            <w:tcW w:w="7800" w:type="dxa"/>
            <w:tcBorders/>
            <w:tcMar>
              <w:top w:w="100" w:type="dxa"/>
              <w:left w:w="100" w:type="dxa"/>
              <w:bottom w:w="100" w:type="dxa"/>
              <w:right w:w="100" w:type="dxa"/>
            </w:tcMar>
          </w:tcPr>
          <w:p w14:paraId="08A50CF4">
            <w:pPr>
              <w:pStyle w:val="style0"/>
              <w:spacing w:lineRule="auto" w:line="276"/>
              <w:rPr/>
            </w:pPr>
            <w:r>
              <w:rPr>
                <w:sz w:val="20"/>
                <w:szCs w:val="20"/>
              </w:rPr>
              <w:t>Identify 2 wards with significant numbers of older patients admitted; specify a change to the system (a named coordinator and CGA screen within 24 hours of admission); establish measurable target (average delay for medically fit patients by 20% within 12 weeks) and predict the impact (Langley et al., 2009).</w:t>
            </w:r>
          </w:p>
        </w:tc>
      </w:tr>
      <w:tr w14:paraId="7E627E65">
        <w:tblPrEx/>
        <w:trPr/>
        <w:tc>
          <w:tcPr>
            <w:tcW w:w="1800" w:type="dxa"/>
            <w:tcBorders/>
            <w:tcMar>
              <w:top w:w="100" w:type="dxa"/>
              <w:left w:w="100" w:type="dxa"/>
              <w:bottom w:w="100" w:type="dxa"/>
              <w:right w:w="100" w:type="dxa"/>
            </w:tcMar>
          </w:tcPr>
          <w:p w14:paraId="62BDF95D">
            <w:pPr>
              <w:pStyle w:val="style0"/>
              <w:spacing w:lineRule="auto" w:line="276"/>
              <w:rPr/>
            </w:pPr>
            <w:r>
              <w:rPr>
                <w:sz w:val="20"/>
                <w:szCs w:val="20"/>
              </w:rPr>
              <w:t>Do</w:t>
            </w:r>
          </w:p>
        </w:tc>
        <w:tc>
          <w:tcPr>
            <w:tcW w:w="7800" w:type="dxa"/>
            <w:tcBorders/>
            <w:tcMar>
              <w:top w:w="100" w:type="dxa"/>
              <w:left w:w="100" w:type="dxa"/>
              <w:bottom w:w="100" w:type="dxa"/>
              <w:right w:w="100" w:type="dxa"/>
            </w:tcMar>
          </w:tcPr>
          <w:p w14:paraId="2D1449DD">
            <w:pPr>
              <w:pStyle w:val="style0"/>
              <w:spacing w:lineRule="auto" w:line="276"/>
              <w:rPr/>
            </w:pPr>
            <w:r>
              <w:rPr>
                <w:sz w:val="20"/>
                <w:szCs w:val="20"/>
              </w:rPr>
              <w:t>Implement coordinator and CGA process on the pilot wards for a specific test period and gather data on time-to-assessment and time-to-discharge on a daily basis.</w:t>
            </w:r>
          </w:p>
        </w:tc>
      </w:tr>
      <w:tr w14:paraId="194EE08C">
        <w:tblPrEx/>
        <w:trPr/>
        <w:tc>
          <w:tcPr>
            <w:tcW w:w="1800" w:type="dxa"/>
            <w:tcBorders/>
            <w:tcMar>
              <w:top w:w="100" w:type="dxa"/>
              <w:left w:w="100" w:type="dxa"/>
              <w:bottom w:w="100" w:type="dxa"/>
              <w:right w:w="100" w:type="dxa"/>
            </w:tcMar>
          </w:tcPr>
          <w:p w14:paraId="2397E41A">
            <w:pPr>
              <w:pStyle w:val="style0"/>
              <w:spacing w:lineRule="auto" w:line="276"/>
              <w:rPr/>
            </w:pPr>
            <w:r>
              <w:rPr>
                <w:sz w:val="20"/>
                <w:szCs w:val="20"/>
              </w:rPr>
              <w:t>Study</w:t>
            </w:r>
          </w:p>
        </w:tc>
        <w:tc>
          <w:tcPr>
            <w:tcW w:w="7800" w:type="dxa"/>
            <w:tcBorders/>
            <w:tcMar>
              <w:top w:w="100" w:type="dxa"/>
              <w:left w:w="100" w:type="dxa"/>
              <w:bottom w:w="100" w:type="dxa"/>
              <w:right w:w="100" w:type="dxa"/>
            </w:tcMar>
          </w:tcPr>
          <w:p w14:paraId="15167338">
            <w:pPr>
              <w:pStyle w:val="style0"/>
              <w:spacing w:lineRule="auto" w:line="276"/>
              <w:rPr/>
            </w:pPr>
            <w:r>
              <w:rPr>
                <w:sz w:val="20"/>
                <w:szCs w:val="20"/>
              </w:rPr>
              <w:t>Compare pilot-ward performance to non-pilot wards and to baseline; examine if the predicted improvement was realised and why, in line with recognised standards of PDSA reporting (Taylor et al., 2014).</w:t>
            </w:r>
          </w:p>
        </w:tc>
      </w:tr>
      <w:tr w14:paraId="3DBCDA5E">
        <w:tblPrEx/>
        <w:trPr/>
        <w:tc>
          <w:tcPr>
            <w:tcW w:w="1800" w:type="dxa"/>
            <w:tcBorders/>
            <w:tcMar>
              <w:top w:w="100" w:type="dxa"/>
              <w:left w:w="100" w:type="dxa"/>
              <w:bottom w:w="100" w:type="dxa"/>
              <w:right w:w="100" w:type="dxa"/>
            </w:tcMar>
          </w:tcPr>
          <w:p w14:paraId="02090CFE">
            <w:pPr>
              <w:pStyle w:val="style0"/>
              <w:spacing w:lineRule="auto" w:line="276"/>
              <w:rPr/>
            </w:pPr>
            <w:r>
              <w:rPr>
                <w:sz w:val="20"/>
                <w:szCs w:val="20"/>
              </w:rPr>
              <w:t>Act</w:t>
            </w:r>
          </w:p>
        </w:tc>
        <w:tc>
          <w:tcPr>
            <w:tcW w:w="7800" w:type="dxa"/>
            <w:tcBorders/>
            <w:tcMar>
              <w:top w:w="100" w:type="dxa"/>
              <w:left w:w="100" w:type="dxa"/>
              <w:bottom w:w="100" w:type="dxa"/>
              <w:right w:w="100" w:type="dxa"/>
            </w:tcMar>
          </w:tcPr>
          <w:p w14:paraId="30440D3E">
            <w:pPr>
              <w:pStyle w:val="style0"/>
              <w:spacing w:lineRule="auto" w:line="276"/>
              <w:rPr/>
            </w:pPr>
            <w:r>
              <w:rPr>
                <w:sz w:val="20"/>
                <w:szCs w:val="20"/>
              </w:rPr>
              <w:t>To adapt the model based on learning (e.g. reduce coordinator caseload) and then sequentially spread to other wards in the project area through PDSA cycles (</w:t>
            </w:r>
            <w:r>
              <w:rPr>
                <w:sz w:val="20"/>
                <w:szCs w:val="20"/>
              </w:rPr>
              <w:t>AQuA</w:t>
            </w:r>
            <w:r>
              <w:rPr>
                <w:sz w:val="20"/>
                <w:szCs w:val="20"/>
              </w:rPr>
              <w:t xml:space="preserve">/NHS England and NHS Improvement, 2023). </w:t>
            </w:r>
          </w:p>
        </w:tc>
      </w:tr>
    </w:tbl>
    <w:p w14:paraId="111226A3">
      <w:pPr>
        <w:pStyle w:val="style0"/>
        <w:spacing w:after="200" w:lineRule="auto" w:line="360"/>
        <w:jc w:val="both"/>
        <w:rPr/>
      </w:pPr>
    </w:p>
    <w:p w14:paraId="12160F0A">
      <w:pPr>
        <w:pStyle w:val="style0"/>
        <w:spacing w:after="200" w:lineRule="auto" w:line="360"/>
        <w:jc w:val="both"/>
        <w:rPr/>
      </w:pPr>
      <w:r>
        <w:t>Stakeholders are ward nursing and medical staff, geriatricians, social workers, care transfer hub, patients and family, and the improvement/quality team who will be aiding in the collection of data. Staff capacity to accept a role as a coordinator and resistance to change role are anticipated as barriers which can be overcome through backfill funding and early clinical engagement (King's Fund, 2023). Median delay in days, percentage discharged by noon, 30 day readmission and patient/carer-reported experience of coordination should be tracked for evaluation.</w:t>
      </w:r>
    </w:p>
    <w:bookmarkStart w:id="10" w:name="_Toc237426288"/>
    <w:p w14:paraId="21F9AABE">
      <w:pPr>
        <w:pStyle w:val="style2"/>
        <w:spacing w:before="300" w:after="200"/>
        <w:rPr>
          <w:color w:val="auto"/>
        </w:rPr>
      </w:pPr>
      <w:r>
        <w:rPr>
          <w:b/>
          <w:bCs/>
          <w:color w:val="auto"/>
          <w:sz w:val="24"/>
          <w:szCs w:val="24"/>
        </w:rPr>
        <w:t>3.2 Recommendation 2: Standardise the "Home First"/Discharge to Assess Pathway Using PDCA</w:t>
      </w:r>
      <w:bookmarkEnd w:id="10"/>
    </w:p>
    <w:p w14:paraId="181F581F">
      <w:pPr>
        <w:pStyle w:val="style0"/>
        <w:spacing w:after="200" w:lineRule="auto" w:line="360"/>
        <w:jc w:val="both"/>
        <w:rPr/>
      </w:pPr>
      <w:r>
        <w:t xml:space="preserve">The patient should be discharged from hospital to their own home or a short term location in the community for the purpose of assessing the needs, which should be continuous, according to the national ‘discharge to assess’ practice (CQC, 2025a). The Plan-Do-Check-Act cycle is suitable here as it is a pathway that is already in place in many systems that needs to be standardised and controlled, not explored. Plan: agree pathway (standard operating procedure) and eligibility with ICB and LA; Do: implement the pathway across all relevant specialities; Check: review how well the pathway is being adhered to and how effective it is, monthly, against agreed key performance indicators; Act: integrate good practice into standard practice; ensure that any persistent capacity gaps are raised with system leadership. The key stakeholders are those of the ICB, local authority commissioners, domiciliary/care providers and those responsible for discharge. The greatest challenge is related to the limited capacity </w:t>
      </w:r>
      <w:r>
        <w:t>available downstream, a system-wide issue and will require jointly developed investment cases to the Integrated Care Board (ICB) to support with work force data from Skills for Care (2025) and King's Fund (2025).</w:t>
      </w:r>
    </w:p>
    <w:bookmarkStart w:id="11" w:name="_Toc237426289"/>
    <w:p w14:paraId="6CE31083">
      <w:pPr>
        <w:pStyle w:val="style2"/>
        <w:spacing w:before="300" w:after="200"/>
        <w:rPr>
          <w:color w:val="auto"/>
        </w:rPr>
      </w:pPr>
      <w:r>
        <w:rPr>
          <w:b/>
          <w:bCs/>
          <w:color w:val="auto"/>
          <w:sz w:val="24"/>
          <w:szCs w:val="24"/>
        </w:rPr>
        <w:t>3.3 Recommendation 3: Apply Lean Six Sigma DMAIC to Reduce Discharge Process Cycle Time</w:t>
      </w:r>
      <w:bookmarkEnd w:id="11"/>
    </w:p>
    <w:p w14:paraId="0A2A420C">
      <w:pPr>
        <w:pStyle w:val="style0"/>
        <w:spacing w:after="200" w:lineRule="auto" w:line="360"/>
        <w:jc w:val="both"/>
        <w:rPr/>
      </w:pPr>
      <w:r>
        <w:t>Lean SIX Sigma (DMAIC) should be applied to deal with inefficiency in the internal hospital process. This approach has been shown to be effective in other comparable settings: a 627-bed US academic medical centre that applied it saw a statistically significant increase of 7.5 percentage points in the proportion of patients discharged by noon, compared to a control group (Molla et al., 2018); and a Dutch level-1 trauma centre that redesigned its discharge procedure using Lean Six Sigma saw a sustainable reduction in average length of stay (</w:t>
      </w:r>
      <w:r>
        <w:t>Niemeijer</w:t>
      </w:r>
      <w:r>
        <w:t xml:space="preserve"> et al., 2010). Improvement actions: Introduce geographic consultant </w:t>
      </w:r>
      <w:r>
        <w:t>cohorting</w:t>
      </w:r>
      <w:r>
        <w:t xml:space="preserve"> and pre-noon multidisciplinary huddles; Control by implementing statistical process control charts that measure disch</w:t>
      </w:r>
      <w:r>
        <w:t>arge time against target; Analys</w:t>
      </w:r>
      <w:r>
        <w:t>e root causes – sequential ward-round and pharmacy and transport processes; Measure discharge-time distribution.</w:t>
      </w:r>
    </w:p>
    <w:p w14:paraId="39535AF3">
      <w:pPr>
        <w:pStyle w:val="style0"/>
        <w:spacing w:after="200" w:lineRule="auto" w:line="360"/>
        <w:jc w:val="both"/>
        <w:rPr/>
      </w:pPr>
      <w:r>
        <w:t>The stakeholders involved are ward consultants, nursing teams, the pharmacy, transport and hospital operations management. Enablers that are acknowledged to support successful Lean Six Sigma implementation in healthcare include clinician time to attend huddles and initial resistance to standardised ward rounds, highlighting the need for clinical leadership and a visible level of senior clinician support (Molla et al., 2018). The expected outcomes of the project are based on similar published research projects and are likely to be a greater proportion of discharges before 12pm, reduced bed days lost to delay and an impact downstream of the project on corridor care and ambulance handover delay, as has been seen in comparable projects (Health Foundation, 2025; King's Fund, 2026a).</w:t>
      </w:r>
    </w:p>
    <w:bookmarkStart w:id="12" w:name="_Toc237426290"/>
    <w:p w14:paraId="06E76A7F">
      <w:pPr>
        <w:pStyle w:val="style2"/>
        <w:spacing w:before="300" w:after="200"/>
        <w:rPr>
          <w:color w:val="auto"/>
        </w:rPr>
      </w:pPr>
      <w:r>
        <w:rPr>
          <w:b/>
          <w:bCs/>
          <w:color w:val="auto"/>
          <w:sz w:val="24"/>
          <w:szCs w:val="24"/>
        </w:rPr>
        <w:t>3.4 Cross-Cutting Evaluation Strategy and Critical Considerations</w:t>
      </w:r>
      <w:bookmarkEnd w:id="12"/>
    </w:p>
    <w:p w14:paraId="242A819E">
      <w:pPr>
        <w:pStyle w:val="style0"/>
        <w:spacing w:after="200" w:lineRule="auto" w:line="360"/>
        <w:jc w:val="both"/>
        <w:rPr/>
      </w:pPr>
      <w:r>
        <w:t>In each of the three recommendations, a range of process measures (percentage of patients who have a coordinator assigned before 24 hours, percentage of patients discharged by noon), outcome measures (bed days lost due to delays of 7 days or more, the percentage of patients readmitted within 30-days) and patient-experience measures (a brief survey of the discharge experience (CQC, 2025a); a survey of older people's post-discharge experience) are recommended (CQC, 2025a). The local improvement will be reported to the trust's quality and safety committee and to the Integrated Care Board, ensuring alignment with the national discharge metrics included in the league tables of NHS hospitals (Health Foundation, 2025).</w:t>
      </w:r>
    </w:p>
    <w:p w14:paraId="208B45E2">
      <w:pPr>
        <w:pStyle w:val="style0"/>
        <w:spacing w:after="200" w:lineRule="auto" w:line="360"/>
        <w:jc w:val="both"/>
        <w:rPr/>
      </w:pPr>
      <w:r>
        <w:t>The weaknesses of the PDSA approach in the broader literature should be considered when governing such cycles, however. In summary, few published PDSA projects included true iterative cycles and even fewer followed the recommended sequence of small-scale testing to large-scale testing as detailed by Taylor et al. (2014), rendering the application of PDSA sometimes ill-understood and therefore its evidence for impact very unclear. Similarly, Dixon-Woods and Martin (2016) warn that quality improvement initiatives tend to be time constrained and under-resourced in terms of the amount of change they seek to achieve. To curb this, the recommendations above include measurable objectives, specific data collection periods and a clear progression of cycles of escalating levels of action, and are best conducted by staff with a specific time allotted to improve and with authority to act, instead of a one-off, informal exercise.</w:t>
      </w:r>
    </w:p>
    <w:p w14:paraId="4BA8FA6E">
      <w:pPr>
        <w:pStyle w:val="style0"/>
        <w:spacing w:after="200" w:lineRule="auto" w:line="360"/>
        <w:jc w:val="both"/>
        <w:rPr/>
      </w:pPr>
    </w:p>
    <w:p w14:paraId="7C11C7C4">
      <w:pPr>
        <w:pStyle w:val="style0"/>
        <w:spacing w:after="200" w:lineRule="auto" w:line="360"/>
        <w:jc w:val="both"/>
        <w:rPr/>
      </w:pPr>
    </w:p>
    <w:p w14:paraId="435C0D7B">
      <w:pPr>
        <w:pStyle w:val="style0"/>
        <w:spacing w:after="200" w:lineRule="auto" w:line="360"/>
        <w:jc w:val="both"/>
        <w:rPr/>
      </w:pPr>
    </w:p>
    <w:p w14:paraId="263E2128">
      <w:pPr>
        <w:pStyle w:val="style0"/>
        <w:spacing w:after="200" w:lineRule="auto" w:line="360"/>
        <w:jc w:val="both"/>
        <w:rPr/>
      </w:pPr>
    </w:p>
    <w:p w14:paraId="3C5746AA">
      <w:pPr>
        <w:pStyle w:val="style0"/>
        <w:spacing w:after="200" w:lineRule="auto" w:line="360"/>
        <w:jc w:val="both"/>
        <w:rPr/>
      </w:pPr>
    </w:p>
    <w:p w14:paraId="32003778">
      <w:pPr>
        <w:pStyle w:val="style0"/>
        <w:spacing w:after="200" w:lineRule="auto" w:line="360"/>
        <w:jc w:val="both"/>
        <w:rPr/>
      </w:pPr>
    </w:p>
    <w:p w14:paraId="7CCC02F5">
      <w:pPr>
        <w:pStyle w:val="style0"/>
        <w:spacing w:after="200" w:lineRule="auto" w:line="360"/>
        <w:jc w:val="both"/>
        <w:rPr/>
      </w:pPr>
    </w:p>
    <w:p w14:paraId="75B38776">
      <w:pPr>
        <w:pStyle w:val="style0"/>
        <w:spacing w:after="200" w:lineRule="auto" w:line="360"/>
        <w:jc w:val="both"/>
        <w:rPr/>
      </w:pPr>
    </w:p>
    <w:p w14:paraId="3144F0E9">
      <w:pPr>
        <w:pStyle w:val="style0"/>
        <w:spacing w:after="200" w:lineRule="auto" w:line="360"/>
        <w:jc w:val="both"/>
        <w:rPr/>
      </w:pPr>
    </w:p>
    <w:p w14:paraId="347DC644">
      <w:pPr>
        <w:pStyle w:val="style0"/>
        <w:spacing w:after="200" w:lineRule="auto" w:line="360"/>
        <w:jc w:val="both"/>
        <w:rPr/>
      </w:pPr>
    </w:p>
    <w:p w14:paraId="292A26D6">
      <w:pPr>
        <w:pStyle w:val="style0"/>
        <w:spacing w:after="200" w:lineRule="auto" w:line="360"/>
        <w:jc w:val="both"/>
        <w:rPr/>
      </w:pPr>
    </w:p>
    <w:p w14:paraId="6ACDB0BA">
      <w:pPr>
        <w:pStyle w:val="style0"/>
        <w:spacing w:after="200" w:lineRule="auto" w:line="360"/>
        <w:jc w:val="both"/>
        <w:rPr/>
      </w:pPr>
    </w:p>
    <w:p w14:paraId="0F4D9EF6">
      <w:pPr>
        <w:pStyle w:val="style0"/>
        <w:spacing w:after="200" w:lineRule="auto" w:line="360"/>
        <w:jc w:val="both"/>
        <w:rPr/>
      </w:pPr>
    </w:p>
    <w:p w14:paraId="0AA713D6">
      <w:pPr>
        <w:pStyle w:val="style0"/>
        <w:spacing w:after="200" w:lineRule="auto" w:line="360"/>
        <w:jc w:val="both"/>
        <w:rPr/>
      </w:pPr>
    </w:p>
    <w:p w14:paraId="5AD1A058">
      <w:pPr>
        <w:pStyle w:val="style0"/>
        <w:spacing w:after="200" w:lineRule="auto" w:line="360"/>
        <w:jc w:val="both"/>
        <w:rPr/>
      </w:pPr>
    </w:p>
    <w:p w14:paraId="41D62592">
      <w:pPr>
        <w:pStyle w:val="style0"/>
        <w:spacing w:after="200" w:lineRule="auto" w:line="360"/>
        <w:jc w:val="both"/>
        <w:rPr/>
      </w:pPr>
    </w:p>
    <w:bookmarkStart w:id="13" w:name="_Toc237426291"/>
    <w:p w14:paraId="64112C4B">
      <w:pPr>
        <w:pStyle w:val="style1"/>
        <w:spacing w:before="300" w:after="200"/>
        <w:rPr>
          <w:color w:val="auto"/>
        </w:rPr>
      </w:pPr>
      <w:r>
        <w:rPr>
          <w:b/>
          <w:bCs/>
          <w:color w:val="auto"/>
          <w:sz w:val="28"/>
          <w:szCs w:val="28"/>
        </w:rPr>
        <w:t>4. Conclusion</w:t>
      </w:r>
      <w:bookmarkEnd w:id="13"/>
    </w:p>
    <w:p w14:paraId="39315CE0">
      <w:pPr>
        <w:pStyle w:val="style0"/>
        <w:spacing w:after="200" w:lineRule="auto" w:line="360"/>
        <w:jc w:val="both"/>
        <w:rPr/>
      </w:pPr>
      <w:r>
        <w:t>Around 13,750 older adults wait in hospital unnecessarily every day, on average, in January 2026, and this represents a significant financial cost of NHS England – estimated to be close to £2.7 billion in 2025/26 – as well as being a longstanding, quality issue. Utilising the Fishbone Diagram and Five Whys techniques, it was identified that there is a lack of capacity in the community and social care sector, which is often poorly funded, short-term funded and of poor quality, and that this is the most important factor to address as it is the biggest factor causing delay and is most prevalent; it was also identified that the social care workforce, although it has recently been improved, is structurally under pressure. The Donabedian model illustrated the relationship between weaknesses in structural capacity as they are manifested in the discharge processes, leading to poor patient and system outcomes, and emphasized the magnitude of strong evidence at the trial level that quality efforts in the process (comprehensive geriatric assessment and individualised planning for discharge) had measurable benefits on survival, independence, and length of stay. SWOT analysis revealed that although the strong national guidance, evidence base and existing evidence-based discharge to assess models are strengths, they are shadowed by workforce and funding issues and are threatened by the increasing ageing population.</w:t>
      </w:r>
    </w:p>
    <w:p w14:paraId="1AFF7980">
      <w:pPr>
        <w:pStyle w:val="style0"/>
        <w:spacing w:after="200" w:lineRule="auto" w:line="360"/>
        <w:jc w:val="both"/>
        <w:rPr/>
      </w:pPr>
      <w:r>
        <w:t>Each of the recommendations in this report is based on published evidence of effectiveness in similar settings, and also moderated by a realistic evaluation of the mixed evidence of effectiveness for quality improvement methods when implemented at low fidelity, as it would be in this setting.</w:t>
      </w:r>
      <w:r>
        <w:t xml:space="preserve"> </w:t>
      </w:r>
      <w:r>
        <w:t>Each of the recommendations in this report is supported by published evidence of effectiveness in similar settings, but also tempered by the honest assessment of the mixed quality-improvement fidelity evidence when applied. They together represent the internal, hospital-controllable causes of delay, and also the external drivers of community-capacity delay, which the evidence base indicates are the main causes of long-stay delayed discharge, through a system-level approach to engaging stakeholders in the community. Sustained improvement will however require the broader policy context, such as moving from a one-off funding approach in the winter to long-term investment in community and social care infrastructure and workforce.</w:t>
      </w:r>
    </w:p>
    <w:p w14:paraId="749130AE">
      <w:pPr>
        <w:pStyle w:val="style0"/>
        <w:spacing w:after="200" w:lineRule="auto" w:line="360"/>
        <w:jc w:val="both"/>
        <w:rPr/>
      </w:pPr>
    </w:p>
    <w:p w14:paraId="472E3DB1">
      <w:pPr>
        <w:pStyle w:val="style0"/>
        <w:spacing w:after="200" w:lineRule="auto" w:line="360"/>
        <w:jc w:val="both"/>
        <w:rPr/>
      </w:pPr>
    </w:p>
    <w:p w14:paraId="5A55E2F2">
      <w:pPr>
        <w:pStyle w:val="style0"/>
        <w:spacing w:after="200" w:lineRule="auto" w:line="360"/>
        <w:jc w:val="both"/>
        <w:rPr/>
      </w:pPr>
    </w:p>
    <w:p w14:paraId="3AF0A944">
      <w:pPr>
        <w:pStyle w:val="style0"/>
        <w:spacing w:after="200" w:lineRule="auto" w:line="360"/>
        <w:jc w:val="both"/>
        <w:rPr/>
      </w:pPr>
    </w:p>
    <w:bookmarkStart w:id="14" w:name="_Toc237426292"/>
    <w:p w14:paraId="7BA3E8E2">
      <w:pPr>
        <w:pStyle w:val="style1"/>
        <w:spacing w:before="300" w:after="200"/>
        <w:rPr>
          <w:color w:val="auto"/>
        </w:rPr>
      </w:pPr>
      <w:r>
        <w:rPr>
          <w:b/>
          <w:bCs/>
          <w:color w:val="auto"/>
          <w:sz w:val="28"/>
          <w:szCs w:val="28"/>
        </w:rPr>
        <w:t>Reference List</w:t>
      </w:r>
      <w:bookmarkEnd w:id="14"/>
    </w:p>
    <w:p w14:paraId="5A2A19F0">
      <w:pPr>
        <w:pStyle w:val="style0"/>
        <w:spacing w:after="160" w:lineRule="auto" w:line="360"/>
        <w:ind w:left="720" w:hanging="720"/>
        <w:jc w:val="both"/>
        <w:rPr/>
      </w:pPr>
      <w:r>
        <w:t>Age UK (2026) The longest wait to leave. Available at: https://www.ageuk.org.uk/siteassets/documents/reports-and-publications/reports-and-briefings/care--support/the-longest-wait-to-leave.pdf (Accessed: 8 August 2026).</w:t>
      </w:r>
    </w:p>
    <w:p w14:paraId="1C320580">
      <w:pPr>
        <w:pStyle w:val="style0"/>
        <w:spacing w:after="160" w:lineRule="auto" w:line="360"/>
        <w:ind w:left="720" w:hanging="720"/>
        <w:jc w:val="both"/>
        <w:rPr/>
      </w:pPr>
      <w:r>
        <w:t>Alzheimer's Society (2025) Delayed discharge from hospital. Available at: https://www.alzheimers.org.uk/get-involved/our-campaigns/reports-briefings/delayed-discharge-from-hospital (Accessed: 8 August 2026).</w:t>
      </w:r>
    </w:p>
    <w:p w14:paraId="4609B5E6">
      <w:pPr>
        <w:pStyle w:val="style0"/>
        <w:spacing w:after="160" w:lineRule="auto" w:line="360"/>
        <w:ind w:left="720" w:hanging="720"/>
        <w:jc w:val="both"/>
        <w:rPr/>
      </w:pPr>
      <w:r>
        <w:t>AQuA</w:t>
      </w:r>
      <w:r>
        <w:t xml:space="preserve"> / NHS England and NHS Improvement (2023) Plan, Do, Study, Act (PDSA) cycles and the model for improvement. Online library of Quality, Service Improvement and Redesign tools. Available at: https://aqua.nhs.uk/wp-content/uploads/2023/07/qsir-pdsa-cycles-model-for-improvement.pdf (Accessed: 8 August 2026).</w:t>
      </w:r>
    </w:p>
    <w:p w14:paraId="7D940D72">
      <w:pPr>
        <w:pStyle w:val="style0"/>
        <w:spacing w:after="160" w:lineRule="auto" w:line="360"/>
        <w:ind w:left="720" w:hanging="720"/>
        <w:jc w:val="both"/>
        <w:rPr/>
      </w:pPr>
      <w:r>
        <w:t>British Geriatrics Society (2026) BGS responds to Age UK delayed discharge report. Available at: https://www.bgs.org.uk/bgs-responds-to-age-uk-delayed-discharge-report (Accessed: 8 August 2026).</w:t>
      </w:r>
    </w:p>
    <w:p w14:paraId="33D4C6E6">
      <w:pPr>
        <w:pStyle w:val="style0"/>
        <w:spacing w:after="160" w:lineRule="auto" w:line="360"/>
        <w:ind w:left="720" w:hanging="720"/>
        <w:jc w:val="both"/>
        <w:rPr/>
      </w:pPr>
      <w:r>
        <w:t>Care Quality Commission (2024) State of health care and adult social care in England 2023/24: Adult social care. Available at: https://www.cqc.org.uk/publications/major-report/state-care/2023-2024/access/asc (Accessed: 8 August 2026).</w:t>
      </w:r>
    </w:p>
    <w:p w14:paraId="04DF4265">
      <w:pPr>
        <w:pStyle w:val="style0"/>
        <w:spacing w:after="160" w:lineRule="auto" w:line="360"/>
        <w:ind w:left="720" w:hanging="720"/>
        <w:jc w:val="both"/>
        <w:rPr/>
      </w:pPr>
      <w:r>
        <w:t>Care Quality Commission (2025a) Health and care for frail and older people. State of Care 2024/25. Available at: https://www.cqc.org.uk/publications/major-report/state-care/2024-2025/focus/older (Accessed: 8 August 2026).</w:t>
      </w:r>
    </w:p>
    <w:p w14:paraId="0402D232">
      <w:pPr>
        <w:pStyle w:val="style0"/>
        <w:spacing w:after="160" w:lineRule="auto" w:line="360"/>
        <w:ind w:left="720" w:hanging="720"/>
        <w:jc w:val="both"/>
        <w:rPr/>
      </w:pPr>
      <w:r>
        <w:t>Care Quality Commission (2025b) Local authority assessments. State of Care 2024/25. Available at: https://www.cqc.org.uk/publications/major-report/state-care/2024-2025/systems/laa (Accessed: 8 August 2026).</w:t>
      </w:r>
    </w:p>
    <w:p w14:paraId="7B466FCC">
      <w:pPr>
        <w:pStyle w:val="style0"/>
        <w:spacing w:after="160" w:lineRule="auto" w:line="360"/>
        <w:ind w:left="720" w:hanging="720"/>
        <w:jc w:val="both"/>
        <w:rPr/>
      </w:pPr>
      <w:r>
        <w:t xml:space="preserve">Clegg, A., Young, J., Iliffe, S., Rikkert, M.O. and Rockwood, K. (2013) 'Frailty in elderly people', The Lancet, 381(9868), pp. 752-762. </w:t>
      </w:r>
      <w:r>
        <w:t>doi</w:t>
      </w:r>
      <w:r>
        <w:t>: 10.1016/S0140-6736(12)62167-9.</w:t>
      </w:r>
    </w:p>
    <w:p w14:paraId="583BE8AF">
      <w:pPr>
        <w:pStyle w:val="style0"/>
        <w:spacing w:after="160" w:lineRule="auto" w:line="360"/>
        <w:ind w:left="720" w:hanging="720"/>
        <w:jc w:val="both"/>
        <w:rPr/>
      </w:pPr>
      <w:r>
        <w:t xml:space="preserve">De </w:t>
      </w:r>
      <w:r>
        <w:t>Rosis</w:t>
      </w:r>
      <w:r>
        <w:t xml:space="preserve">, S. et al. (2024) 'Performance measurement and user-centeredness in the healthcare sector: opening the black box adapting the framework of Donabedian', The International Journal of Health Planning and Management, 39(4), pp. 1172-1182. </w:t>
      </w:r>
      <w:r>
        <w:t>doi</w:t>
      </w:r>
      <w:r>
        <w:t>: 10.1002/hpm.3732.</w:t>
      </w:r>
    </w:p>
    <w:p w14:paraId="0D5A59EB">
      <w:pPr>
        <w:pStyle w:val="style0"/>
        <w:spacing w:after="160" w:lineRule="auto" w:line="360"/>
        <w:ind w:left="720" w:hanging="720"/>
        <w:jc w:val="both"/>
        <w:rPr/>
      </w:pPr>
      <w:r>
        <w:t xml:space="preserve">Dixon-Woods, M. and Martin, G.P. (2016) 'Does quality improvement improve quality?', Future Hospital Journal, 3(3), pp. 191-194. </w:t>
      </w:r>
      <w:r>
        <w:t>doi</w:t>
      </w:r>
      <w:r>
        <w:t>: 10.7861/futurehosp.3-3-191.</w:t>
      </w:r>
    </w:p>
    <w:p w14:paraId="5E3845C4">
      <w:pPr>
        <w:pStyle w:val="style0"/>
        <w:spacing w:after="160" w:lineRule="auto" w:line="360"/>
        <w:ind w:left="720" w:hanging="720"/>
        <w:jc w:val="both"/>
        <w:rPr/>
      </w:pPr>
      <w:r>
        <w:t>EBSCO Research Starters (n.d.) Donabedian model. Available at: https://www.ebsco.com/research-starters/social-sciences-and-humanities/donabedian-model (Accessed: 8 August 2026).</w:t>
      </w:r>
    </w:p>
    <w:p w14:paraId="2FD94F4A">
      <w:pPr>
        <w:pStyle w:val="style0"/>
        <w:spacing w:after="160" w:lineRule="auto" w:line="360"/>
        <w:ind w:left="720" w:hanging="720"/>
        <w:jc w:val="both"/>
        <w:rPr/>
      </w:pPr>
      <w:r>
        <w:t xml:space="preserve">Ellis, G., Whitehead, M.A., Robinson, D., O'Neill, D. and Langhorne, P. (2011) 'Comprehensive geriatric assessment for older adults admitted to hospital: meta-analysis of randomised controlled trials', BMJ, 343, d6553. </w:t>
      </w:r>
      <w:r>
        <w:t>doi</w:t>
      </w:r>
      <w:r>
        <w:t>: 10.1136/bmj.d6553.</w:t>
      </w:r>
    </w:p>
    <w:p w14:paraId="3EC3909E">
      <w:pPr>
        <w:pStyle w:val="style0"/>
        <w:spacing w:after="160" w:lineRule="auto" w:line="360"/>
        <w:ind w:left="720" w:hanging="720"/>
        <w:jc w:val="both"/>
        <w:rPr/>
      </w:pPr>
      <w:r>
        <w:t>Health Foundation (2025) Delayed discharges from hospital: comparing performance this year and last. Available at: https://www.health.org.uk/reports-and-analysis/analysis/delayed-discharges-from-hospital-comparing-performance (Accessed: 8 August 2026).</w:t>
      </w:r>
    </w:p>
    <w:p w14:paraId="6F8FC2DB">
      <w:pPr>
        <w:pStyle w:val="style0"/>
        <w:spacing w:after="160" w:lineRule="auto" w:line="360"/>
        <w:ind w:left="720" w:hanging="720"/>
        <w:jc w:val="both"/>
        <w:rPr/>
      </w:pPr>
      <w:r>
        <w:t>Humphrey, A. (2005) 'SWOT analysis for management consulting', SRI Alumni Newsletter. Menlo Park, CA: SRI International.</w:t>
      </w:r>
    </w:p>
    <w:p w14:paraId="79333401">
      <w:pPr>
        <w:pStyle w:val="style0"/>
        <w:spacing w:after="160" w:lineRule="auto" w:line="360"/>
        <w:ind w:left="720" w:hanging="720"/>
        <w:jc w:val="both"/>
        <w:rPr/>
      </w:pPr>
      <w:r>
        <w:t>Ishikawa, K. (1976) Guide to Quality Control. Tokyo: Asian Productivity Organization.</w:t>
      </w:r>
    </w:p>
    <w:p w14:paraId="3C5F12A9">
      <w:pPr>
        <w:pStyle w:val="style0"/>
        <w:spacing w:after="160" w:lineRule="auto" w:line="360"/>
        <w:ind w:left="720" w:hanging="720"/>
        <w:jc w:val="both"/>
        <w:rPr/>
      </w:pPr>
      <w:r>
        <w:t>King's Fund (2017) Stopping the blame game on delayed discharges. Available at: https://www.kingsfund.org.uk/insight-and-analysis/blogs/stopping-blame-game-delayed-transfers-care (Accessed: 8 August 2026).</w:t>
      </w:r>
    </w:p>
    <w:p w14:paraId="265BA075">
      <w:pPr>
        <w:pStyle w:val="style0"/>
        <w:spacing w:after="160" w:lineRule="auto" w:line="360"/>
        <w:ind w:left="720" w:hanging="720"/>
        <w:jc w:val="both"/>
        <w:rPr/>
      </w:pPr>
      <w:r>
        <w:t>King's Fund (2018) Delayed transfers of care: a quick guide. Available at: https://www.kingsfund.org.uk/publications/delayed-transfers-care-quick-guide (Accessed: 8 August 2026).</w:t>
      </w:r>
    </w:p>
    <w:p w14:paraId="242771C9">
      <w:pPr>
        <w:pStyle w:val="style0"/>
        <w:spacing w:after="160" w:lineRule="auto" w:line="360"/>
        <w:ind w:left="720" w:hanging="720"/>
        <w:jc w:val="both"/>
        <w:rPr/>
      </w:pPr>
      <w:r>
        <w:t>King's Fund (2023) Short-term funding does not allow for the long-term work needed to solve hospital discharge delays. Available at: https://www.kingsfund.org.uk/press/press-releases/short-term-funding-does-not-allow-long-term-work-needed-solve-hospital (Accessed: 8 August 2026).</w:t>
      </w:r>
    </w:p>
    <w:p w14:paraId="1844F839">
      <w:pPr>
        <w:pStyle w:val="style0"/>
        <w:spacing w:after="160" w:lineRule="auto" w:line="360"/>
        <w:ind w:left="720" w:hanging="720"/>
        <w:jc w:val="both"/>
        <w:rPr/>
      </w:pPr>
      <w:r>
        <w:t>King's Fund (2025) Delayed discharges: why it's hard to say how many are due to social care capacity. Available at: https://www.kingsfund.org.uk/insight-and-analysis/blogs/delayed-discharges-social-care-capacity (Accessed: 8 August 2026).</w:t>
      </w:r>
    </w:p>
    <w:p w14:paraId="28F37222">
      <w:pPr>
        <w:pStyle w:val="style0"/>
        <w:spacing w:after="160" w:lineRule="auto" w:line="360"/>
        <w:ind w:left="720" w:hanging="720"/>
        <w:jc w:val="both"/>
        <w:rPr/>
      </w:pPr>
      <w:r>
        <w:t>King's Fund (2026a) New research from The King's Fund finds that delayed discharges cost NHS £2.7bn, up 7.5% on previous year. Available at: https://www.kingsfund.org.uk/insight-and-analysis/press-releases/delayed-discharges-cost-to-nhs-rises-7-5-to-pound2-7bn (Accessed: 8 August 2026).</w:t>
      </w:r>
    </w:p>
    <w:p w14:paraId="1E6E4A83">
      <w:pPr>
        <w:pStyle w:val="style0"/>
        <w:spacing w:after="160" w:lineRule="auto" w:line="360"/>
        <w:ind w:left="720" w:hanging="720"/>
        <w:jc w:val="both"/>
        <w:rPr/>
      </w:pPr>
      <w:r>
        <w:t>King's Fund (2026b) Social Care 360: workforce and carers. Available at: https://www.kingsfund.org.uk/insight-and-analysis/long-reads/social-care-360-workforce-carers (Accessed: 8 August 2026).</w:t>
      </w:r>
    </w:p>
    <w:p w14:paraId="082D33FF">
      <w:pPr>
        <w:pStyle w:val="style0"/>
        <w:spacing w:after="160" w:lineRule="auto" w:line="360"/>
        <w:ind w:left="720" w:hanging="720"/>
        <w:jc w:val="both"/>
        <w:rPr/>
      </w:pPr>
      <w:r>
        <w:t xml:space="preserve">Langley, G.L., Moen, R., Nolan, K.M., Nolan, T.W., Norman, C.L. and Provost, L.P. (2009) The Improvement Guide: A Practical Approach to Enhancing Organizational Performance. 2nd </w:t>
      </w:r>
      <w:r>
        <w:t>edn</w:t>
      </w:r>
      <w:r>
        <w:t>. San Francisco: Jossey-Bass.</w:t>
      </w:r>
    </w:p>
    <w:p w14:paraId="49307E26">
      <w:pPr>
        <w:pStyle w:val="style0"/>
        <w:spacing w:after="160" w:lineRule="auto" w:line="360"/>
        <w:ind w:left="720" w:hanging="720"/>
        <w:jc w:val="both"/>
        <w:rPr/>
      </w:pPr>
      <w:r>
        <w:t>Lowdown NHS (2026) Delayed discharge explainer: health and care pressure. Available at: https://lowdownnhs.info/social-care/delayed-discharge-explainer-health-and-care-pressure/ (Accessed: 8 August 2026).</w:t>
      </w:r>
    </w:p>
    <w:p w14:paraId="646460B4">
      <w:pPr>
        <w:pStyle w:val="style0"/>
        <w:spacing w:after="160" w:lineRule="auto" w:line="360"/>
        <w:ind w:left="720" w:hanging="720"/>
        <w:jc w:val="both"/>
        <w:rPr/>
      </w:pPr>
      <w:r>
        <w:t xml:space="preserve">Majeed, M.U., Williams, D.T., Pollock, R., Amir, F., Liam, M., Foong, K.S. and Whitaker, C.J. (2012) 'Delay in discharge and its impact on unnecessary hospital bed occupancy', BMC Health Services Research, 12, article 410. </w:t>
      </w:r>
      <w:r>
        <w:t>doi</w:t>
      </w:r>
      <w:r>
        <w:t>: 10.1186/1472-6963-12-410.</w:t>
      </w:r>
    </w:p>
    <w:p w14:paraId="79DEBE9E">
      <w:pPr>
        <w:pStyle w:val="style0"/>
        <w:spacing w:after="160" w:lineRule="auto" w:line="360"/>
        <w:ind w:left="720" w:hanging="720"/>
        <w:jc w:val="both"/>
        <w:rPr/>
      </w:pPr>
      <w:r>
        <w:t xml:space="preserve">Molla, M., Warren, D.S., Stewart, S.L., Stocking, J., Johl, H. and </w:t>
      </w:r>
      <w:r>
        <w:t>Sinigayan</w:t>
      </w:r>
      <w:r>
        <w:t xml:space="preserve">, V. (2018) 'A Lean Six Sigma quality improvement project improves timeliness of discharge from the hospital', The Joint Commission Journal on Quality and Patient Safety, 44(7), pp. 401-412. </w:t>
      </w:r>
      <w:r>
        <w:t>doi</w:t>
      </w:r>
      <w:r>
        <w:t>: 10.1016/j.jcjq.2018.02.006.</w:t>
      </w:r>
    </w:p>
    <w:p w14:paraId="71439C72">
      <w:pPr>
        <w:pStyle w:val="style0"/>
        <w:spacing w:after="160" w:lineRule="auto" w:line="360"/>
        <w:ind w:left="720" w:hanging="720"/>
        <w:jc w:val="both"/>
        <w:rPr/>
      </w:pPr>
      <w:r>
        <w:t>National Institute for Health and Care Excellence (2015) Transition between inpatient hospital settings and community or care home settings for adults with social care needs (NG27). Available at: https://www.nice.org.uk/guidance/ng27 (Accessed: 8 August 2026).</w:t>
      </w:r>
    </w:p>
    <w:p w14:paraId="49D5B4BA">
      <w:pPr>
        <w:pStyle w:val="style0"/>
        <w:spacing w:after="160" w:lineRule="auto" w:line="360"/>
        <w:ind w:left="720" w:hanging="720"/>
        <w:jc w:val="both"/>
        <w:rPr/>
      </w:pPr>
      <w:r>
        <w:t>NHS England (2014) A simple guide to improving services: first steps towards quality improvement. Available at: https://www.england.nhs.uk/improvement-hub/wp-content/uploads/sites/44/2011/06/service_improvement_guide_2014.pdf (Accessed: 8 August 2026).</w:t>
      </w:r>
    </w:p>
    <w:p w14:paraId="26833264">
      <w:pPr>
        <w:pStyle w:val="style0"/>
        <w:spacing w:after="160" w:lineRule="auto" w:line="360"/>
        <w:ind w:left="720" w:hanging="720"/>
        <w:jc w:val="both"/>
        <w:rPr/>
      </w:pPr>
      <w:r>
        <w:t>Niemeijer</w:t>
      </w:r>
      <w:r>
        <w:t xml:space="preserve">, G.C., Trip, A., Ahaus, K.T.B., Does, R.J.M.M. and Wendt, K.W. (2010) 'Quality in trauma care: improving the discharge procedure of patients by means of Lean Six Sigma', Journal of Trauma, 69(3), pp. 614-619. </w:t>
      </w:r>
      <w:r>
        <w:t>doi</w:t>
      </w:r>
      <w:r>
        <w:t>: 10.1097/TA.0b013e3181e70f90.</w:t>
      </w:r>
    </w:p>
    <w:p w14:paraId="1230F29C">
      <w:pPr>
        <w:pStyle w:val="style0"/>
        <w:spacing w:after="160" w:lineRule="auto" w:line="360"/>
        <w:ind w:left="720" w:hanging="720"/>
        <w:jc w:val="both"/>
        <w:rPr/>
      </w:pPr>
      <w:r>
        <w:t>Nuffield Trust (2026) Delayed discharges from hospital. Available at: https://www.nuffieldtrust.org.uk/resource/delayed-discharges-from-hospital (Accessed: 8 August 2026).</w:t>
      </w:r>
    </w:p>
    <w:p w14:paraId="7AD7FAB3">
      <w:pPr>
        <w:pStyle w:val="style0"/>
        <w:spacing w:after="160" w:lineRule="auto" w:line="360"/>
        <w:ind w:left="720" w:hanging="720"/>
        <w:jc w:val="both"/>
        <w:rPr/>
      </w:pPr>
      <w:r>
        <w:t xml:space="preserve">Shepperd, S., Lannin, N.A., Clemson, L.M., McCluskey, A., Cameron, I.D. and Barras, S.L. (2013) 'Discharge planning from hospital to home', Cochrane Database of Systematic Reviews, Issue 1, Art. No. CD000313. </w:t>
      </w:r>
      <w:r>
        <w:t>doi</w:t>
      </w:r>
      <w:r>
        <w:t>: 10.1002/14651858.CD000313.pub4.</w:t>
      </w:r>
    </w:p>
    <w:p w14:paraId="4AB98F6D">
      <w:pPr>
        <w:pStyle w:val="style0"/>
        <w:spacing w:after="160" w:lineRule="auto" w:line="360"/>
        <w:ind w:left="720" w:hanging="720"/>
        <w:jc w:val="both"/>
        <w:rPr/>
      </w:pPr>
      <w:r>
        <w:t>Skills for Care (2025) The state of the adult social care sector and workforce in England 2025. Available at: https://www.skillsforcare.org.uk/Adult-Social-Care-Workforce-Data/workforceintelligence/resources/Reports/National/The-state-of-the-adult-social-care-sector-and-workforce-in-England-2025.pdf (Accessed: 8 August 2026).</w:t>
      </w:r>
    </w:p>
    <w:p w14:paraId="4BC01FBD">
      <w:pPr>
        <w:pStyle w:val="style0"/>
        <w:spacing w:after="160" w:lineRule="auto" w:line="360"/>
        <w:ind w:left="720" w:hanging="720"/>
        <w:jc w:val="both"/>
        <w:rPr/>
      </w:pPr>
      <w:r>
        <w:t xml:space="preserve">Taylor, M.J., McNicholas, C., Nicolay, C., Darzi, A., Bell, D. and Reed, J.E. (2014) 'Systematic review of the application of the plan-do-study-act method to improve quality in healthcare', BMJ Quality &amp; Safety, 23(4), pp. 290-298. </w:t>
      </w:r>
      <w:r>
        <w:t>doi</w:t>
      </w:r>
      <w:r>
        <w:t>: 10.1136/bmjqs-2013-001862.</w:t>
      </w:r>
      <w:bookmarkStart w:id="15" w:name="_GoBack"/>
      <w:bookmarkEnd w:id="15"/>
    </w:p>
    <w:sectPr>
      <w:footerReference w:type="default" r:id="rId4"/>
      <w:pgSz w:w="11906" w:h="16838" w:orient="portrait"/>
      <w:pgMar w:top="1440" w:right="1440" w:bottom="1440" w:left="1440" w:header="708" w:footer="708"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60A1D772">
    <w:pPr>
      <w:pStyle w:val="style32"/>
      <w:jc w:val="center"/>
      <w:rPr/>
    </w:pPr>
  </w:p>
  <w:p w14:paraId="2149CBED">
    <w:pPr>
      <w:pStyle w:val="style32"/>
      <w:rPr/>
    </w:pP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3573074E">
    <w:pPr>
      <w:pStyle w:val="style32"/>
      <w:jc w:val="center"/>
      <w:rPr/>
    </w:pPr>
    <w:r>
      <w:rPr/>
      <w:fldChar w:fldCharType="begin"/>
    </w:r>
    <w:r>
      <w:instrText xml:space="preserve"> PAGE   \* MERGEFORMAT </w:instrText>
    </w:r>
    <w:r>
      <w:rPr/>
      <w:fldChar w:fldCharType="separate"/>
    </w:r>
    <w:r>
      <w:rPr>
        <w:noProof/>
      </w:rPr>
      <w:t>11</w:t>
    </w:r>
    <w:r>
      <w:rPr>
        <w:noProof/>
      </w:rPr>
      <w:fldChar w:fldCharType="end"/>
    </w:r>
  </w:p>
  <w:p w14:paraId="18EBFE66">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64824DBE"/>
    <w:lvl w:ilvl="0" w:tplc="D1704688">
      <w:start w:val="1"/>
      <w:numFmt w:val="bullet"/>
      <w:lvlText w:val="●"/>
      <w:lvlJc w:val="left"/>
      <w:pPr>
        <w:ind w:left="720" w:hanging="360"/>
      </w:pPr>
    </w:lvl>
    <w:lvl w:ilvl="1" w:tplc="49444440">
      <w:start w:val="1"/>
      <w:numFmt w:val="bullet"/>
      <w:lvlText w:val="○"/>
      <w:lvlJc w:val="left"/>
      <w:pPr>
        <w:ind w:left="1440" w:hanging="360"/>
      </w:pPr>
    </w:lvl>
    <w:lvl w:ilvl="2" w:tplc="DCB25A00">
      <w:start w:val="1"/>
      <w:numFmt w:val="bullet"/>
      <w:lvlText w:val="■"/>
      <w:lvlJc w:val="left"/>
      <w:pPr>
        <w:ind w:left="2160" w:hanging="360"/>
      </w:pPr>
    </w:lvl>
    <w:lvl w:ilvl="3" w:tplc="363ADEB4">
      <w:start w:val="1"/>
      <w:numFmt w:val="bullet"/>
      <w:lvlText w:val="●"/>
      <w:lvlJc w:val="left"/>
      <w:pPr>
        <w:ind w:left="2880" w:hanging="360"/>
      </w:pPr>
    </w:lvl>
    <w:lvl w:ilvl="4" w:tplc="2D603388">
      <w:start w:val="1"/>
      <w:numFmt w:val="bullet"/>
      <w:lvlText w:val="○"/>
      <w:lvlJc w:val="left"/>
      <w:pPr>
        <w:ind w:left="3600" w:hanging="360"/>
      </w:pPr>
    </w:lvl>
    <w:lvl w:ilvl="5" w:tplc="51B02090">
      <w:start w:val="1"/>
      <w:numFmt w:val="bullet"/>
      <w:lvlText w:val="■"/>
      <w:lvlJc w:val="left"/>
      <w:pPr>
        <w:ind w:left="4320" w:hanging="360"/>
      </w:pPr>
    </w:lvl>
    <w:lvl w:ilvl="6" w:tplc="839A2E86">
      <w:start w:val="1"/>
      <w:numFmt w:val="bullet"/>
      <w:lvlText w:val="●"/>
      <w:lvlJc w:val="left"/>
      <w:pPr>
        <w:ind w:left="5040" w:hanging="360"/>
      </w:pPr>
    </w:lvl>
    <w:lvl w:ilvl="7" w:tplc="1E668B96">
      <w:start w:val="1"/>
      <w:numFmt w:val="bullet"/>
      <w:lvlText w:val="●"/>
      <w:lvlJc w:val="left"/>
      <w:pPr>
        <w:ind w:left="5760" w:hanging="360"/>
      </w:pPr>
    </w:lvl>
    <w:lvl w:ilvl="8" w:tplc="99141C5E">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1"/>
  <w:displayBackgroundShape/>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GB" w:bidi="ar-SA" w:eastAsia="en-GB"/>
      </w:rPr>
    </w:rPrDefault>
    <w:pPrDefault>
      <w:pPr/>
    </w:pPrDefault>
  </w:docDefaults>
  <w:style w:type="paragraph" w:default="1" w:styleId="style0">
    <w:name w:val="Normal"/>
    <w:next w:val="style0"/>
    <w:qFormat/>
    <w:pPr/>
  </w:style>
  <w:style w:type="paragraph" w:styleId="style1">
    <w:name w:val="heading 1"/>
    <w:next w:val="style1"/>
    <w:qFormat/>
    <w:uiPriority w:val="9"/>
    <w:pPr>
      <w:outlineLvl w:val="0"/>
    </w:pPr>
    <w:rPr>
      <w:color w:val="2e74b5"/>
      <w:sz w:val="32"/>
      <w:szCs w:val="32"/>
    </w:rPr>
  </w:style>
  <w:style w:type="paragraph" w:styleId="style2">
    <w:name w:val="heading 2"/>
    <w:next w:val="style2"/>
    <w:qFormat/>
    <w:uiPriority w:val="9"/>
    <w:pPr>
      <w:outlineLvl w:val="1"/>
    </w:pPr>
    <w:rPr>
      <w:color w:val="2e74b5"/>
      <w:sz w:val="26"/>
      <w:szCs w:val="26"/>
    </w:rPr>
  </w:style>
  <w:style w:type="paragraph" w:styleId="style3">
    <w:name w:val="heading 3"/>
    <w:next w:val="style3"/>
    <w:qFormat/>
    <w:uiPriority w:val="9"/>
    <w:pPr>
      <w:outlineLvl w:val="2"/>
    </w:pPr>
    <w:rPr>
      <w:color w:val="1f4d78"/>
      <w:sz w:val="24"/>
      <w:szCs w:val="24"/>
    </w:rPr>
  </w:style>
  <w:style w:type="paragraph" w:styleId="style4">
    <w:name w:val="heading 4"/>
    <w:next w:val="style4"/>
    <w:qFormat/>
    <w:uiPriority w:val="9"/>
    <w:pPr>
      <w:outlineLvl w:val="3"/>
    </w:pPr>
    <w:rPr>
      <w:i/>
      <w:iCs/>
      <w:color w:val="2e74b5"/>
    </w:rPr>
  </w:style>
  <w:style w:type="paragraph" w:styleId="style5">
    <w:name w:val="heading 5"/>
    <w:next w:val="style5"/>
    <w:qFormat/>
    <w:uiPriority w:val="9"/>
    <w:pPr>
      <w:outlineLvl w:val="4"/>
    </w:pPr>
    <w:rPr>
      <w:color w:val="2e74b5"/>
    </w:rPr>
  </w:style>
  <w:style w:type="paragraph" w:styleId="style6">
    <w:name w:val="heading 6"/>
    <w:next w:val="style6"/>
    <w:qFormat/>
    <w:uiPriority w:val="9"/>
    <w:pPr>
      <w:outlineLvl w:val="5"/>
    </w:pPr>
    <w:rPr>
      <w:color w:val="1f4d7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next w:val="style62"/>
    <w:qFormat/>
    <w:uiPriority w:val="10"/>
    <w:pPr/>
    <w:rPr>
      <w:sz w:val="56"/>
      <w:szCs w:val="56"/>
    </w:rPr>
  </w:style>
  <w:style w:type="paragraph" w:customStyle="1" w:styleId="style4097">
    <w:name w:val="Strong1"/>
    <w:next w:val="style4097"/>
    <w:qFormat/>
    <w:pPr/>
    <w:rPr>
      <w:b/>
      <w:bCs/>
    </w:rPr>
  </w:style>
  <w:style w:type="paragraph" w:styleId="style179">
    <w:name w:val="List Paragraph"/>
    <w:next w:val="style179"/>
    <w:qFormat/>
    <w:pPr/>
  </w:style>
  <w:style w:type="character" w:styleId="style85">
    <w:name w:val="Hyperlink"/>
    <w:next w:val="style85"/>
    <w:uiPriority w:val="99"/>
    <w:rPr>
      <w:color w:val="0563c1"/>
      <w:u w:val="single"/>
    </w:rPr>
  </w:style>
  <w:style w:type="character" w:styleId="style38">
    <w:name w:val="footnote reference"/>
    <w:next w:val="style38"/>
    <w:uiPriority w:val="99"/>
    <w:rPr>
      <w:vertAlign w:val="superscript"/>
    </w:rPr>
  </w:style>
  <w:style w:type="paragraph" w:styleId="style29">
    <w:name w:val="footnote text"/>
    <w:next w:val="style29"/>
    <w:link w:val="style4098"/>
    <w:uiPriority w:val="99"/>
    <w:pPr/>
    <w:rPr>
      <w:sz w:val="20"/>
      <w:szCs w:val="20"/>
    </w:rPr>
  </w:style>
  <w:style w:type="character" w:customStyle="1" w:styleId="style4098">
    <w:name w:val="Footnote Text Char"/>
    <w:next w:val="style4098"/>
    <w:link w:val="style29"/>
    <w:uiPriority w:val="99"/>
    <w:rPr>
      <w:sz w:val="20"/>
      <w:szCs w:val="20"/>
    </w:rPr>
  </w:style>
  <w:style w:type="character" w:styleId="style42">
    <w:name w:val="endnote reference"/>
    <w:next w:val="style42"/>
    <w:uiPriority w:val="99"/>
    <w:rPr>
      <w:vertAlign w:val="superscript"/>
    </w:rPr>
  </w:style>
  <w:style w:type="paragraph" w:styleId="style43">
    <w:name w:val="endnote text"/>
    <w:next w:val="style43"/>
    <w:link w:val="style4099"/>
    <w:uiPriority w:val="99"/>
    <w:pPr/>
    <w:rPr>
      <w:sz w:val="20"/>
      <w:szCs w:val="20"/>
    </w:rPr>
  </w:style>
  <w:style w:type="character" w:customStyle="1" w:styleId="style4099">
    <w:name w:val="Endnote Text Char"/>
    <w:next w:val="style4099"/>
    <w:link w:val="style43"/>
    <w:uiPriority w:val="99"/>
    <w:rPr>
      <w:sz w:val="20"/>
      <w:szCs w:val="20"/>
    </w:rPr>
  </w:style>
  <w:style w:type="paragraph" w:styleId="style31">
    <w:name w:val="header"/>
    <w:basedOn w:val="style0"/>
    <w:next w:val="style31"/>
    <w:link w:val="style4100"/>
    <w:uiPriority w:val="99"/>
    <w:pPr>
      <w:tabs>
        <w:tab w:val="center" w:leader="none" w:pos="4513"/>
        <w:tab w:val="right" w:leader="none" w:pos="9026"/>
      </w:tabs>
    </w:pPr>
    <w:rPr/>
  </w:style>
  <w:style w:type="character" w:customStyle="1" w:styleId="style4100">
    <w:name w:val="Header Char_1a3fb035-c957-4ccb-8a4f-c18cc05c3b87"/>
    <w:basedOn w:val="style65"/>
    <w:next w:val="style4100"/>
    <w:link w:val="style31"/>
    <w:uiPriority w:val="99"/>
  </w:style>
  <w:style w:type="paragraph" w:styleId="style32">
    <w:name w:val="footer"/>
    <w:basedOn w:val="style0"/>
    <w:next w:val="style32"/>
    <w:link w:val="style4101"/>
    <w:uiPriority w:val="99"/>
    <w:pPr>
      <w:tabs>
        <w:tab w:val="center" w:leader="none" w:pos="4513"/>
        <w:tab w:val="right" w:leader="none" w:pos="9026"/>
      </w:tabs>
    </w:pPr>
    <w:rPr/>
  </w:style>
  <w:style w:type="character" w:customStyle="1" w:styleId="style4101">
    <w:name w:val="Footer Char_bc5f2382-c00d-4e09-8833-9f7746390a34"/>
    <w:basedOn w:val="style65"/>
    <w:next w:val="style4101"/>
    <w:link w:val="style32"/>
    <w:uiPriority w:val="99"/>
  </w:style>
  <w:style w:type="paragraph" w:styleId="style266">
    <w:name w:val="TOC Heading"/>
    <w:basedOn w:val="style1"/>
    <w:next w:val="style0"/>
    <w:qFormat/>
    <w:uiPriority w:val="39"/>
    <w:pPr>
      <w:keepNext/>
      <w:keepLines/>
      <w:spacing w:before="240" w:lineRule="auto" w:line="259"/>
      <w:outlineLvl w:val="9"/>
    </w:pPr>
    <w:rPr>
      <w:rFonts w:ascii="Calibri Light" w:cs="宋体" w:eastAsia="宋体" w:hAnsi="Calibri Light"/>
      <w:color w:val="2f5496"/>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footer" Target="footer1.xml"/><Relationship Id="rId4" Type="http://schemas.openxmlformats.org/officeDocument/2006/relationships/footer" Target="footer2.xml"/><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8A7EAE-E5BA-4528-A8FB-3B87F841C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Words>4664</Words>
  <Pages>16</Pages>
  <Characters>28366</Characters>
  <Application>WPS Office</Application>
  <DocSecurity>0</DocSecurity>
  <Paragraphs>210</Paragraphs>
  <ScaleCrop>false</ScaleCrop>
  <LinksUpToDate>false</LinksUpToDate>
  <CharactersWithSpaces>32888</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2026-08-08T18:07:00Z</dcterms:created>
  <dc:creator>WPS Office</dc:creator>
  <lastModifiedBy>SM-A156E</lastModifiedBy>
  <dcterms:modified xsi:type="dcterms:W3CDTF">2026-08-13T21:14:58Z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19798418-f30e-417f-89a2-f9e60463fe02</vt:lpwstr>
  </property>
  <property fmtid="{D5CDD505-2E9C-101B-9397-08002B2CF9AE}" pid="3" name="ICV">
    <vt:lpwstr>53c9b21e0456438c860f6c28d3b17a4c_23</vt:lpwstr>
  </property>
</Properties>
</file>