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jpeg" ContentType="image/jpeg"/>
  <Default Extension="JPG" ContentType="image/.jp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566489740"/>
        <w:docPartObj>
          <w:docPartGallery w:val="AutoText"/>
        </w:docPartObj>
      </w:sdtPr>
      <w:sdtEndPr>
        <w:rPr>
          <w:rFonts w:cs="Arial"/>
          <w:b/>
          <w:shd w:val="clear" w:color="auto" w:fill="FFFFFF"/>
        </w:rPr>
      </w:sdtEndPr>
      <w:sdtContent>
        <w:p>
          <w:r>
            <w:drawing>
              <wp:anchor distT="0" distB="0" distL="114300" distR="114300" simplePos="0" relativeHeight="251660288" behindDoc="0" locked="0" layoutInCell="1" allowOverlap="1">
                <wp:simplePos x="0" y="0"/>
                <wp:positionH relativeFrom="column">
                  <wp:posOffset>-450850</wp:posOffset>
                </wp:positionH>
                <wp:positionV relativeFrom="paragraph">
                  <wp:posOffset>152400</wp:posOffset>
                </wp:positionV>
                <wp:extent cx="2284095" cy="953135"/>
                <wp:effectExtent l="0" t="0" r="1905" b="6985"/>
                <wp:wrapSquare wrapText="bothSides"/>
                <wp:docPr id="6" name="Picture 6"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284095" cy="953135"/>
                        </a:xfrm>
                        <a:prstGeom prst="rect">
                          <a:avLst/>
                        </a:prstGeom>
                        <a:noFill/>
                        <a:ln>
                          <a:noFill/>
                        </a:ln>
                      </pic:spPr>
                    </pic:pic>
                  </a:graphicData>
                </a:graphic>
              </wp:anchor>
            </w:drawing>
          </w: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center"/>
            <w:rPr>
              <w:rFonts w:ascii="Arial" w:hAnsi="Arial" w:cs="Arial"/>
              <w:b/>
              <w:sz w:val="24"/>
              <w:szCs w:val="24"/>
              <w:shd w:val="clear" w:color="auto" w:fill="FFFFFF"/>
            </w:rPr>
          </w:pPr>
        </w:p>
        <w:p>
          <w:pPr>
            <w:spacing w:after="0" w:line="240" w:lineRule="auto"/>
            <w:jc w:val="both"/>
            <w:rPr>
              <w:rFonts w:ascii="Arial" w:hAnsi="Arial" w:cs="Arial"/>
              <w:b/>
              <w:sz w:val="24"/>
              <w:szCs w:val="24"/>
              <w:shd w:val="clear" w:color="auto" w:fill="FFFFFF"/>
            </w:rPr>
          </w:pPr>
        </w:p>
        <w:p>
          <w:pPr>
            <w:spacing w:before="200" w:line="216" w:lineRule="auto"/>
            <w:jc w:val="center"/>
            <w:rPr>
              <w:rFonts w:hint="default" w:ascii="Arial" w:hAnsi="Arial" w:eastAsia="Times New Roman" w:cs="Arial"/>
              <w:b/>
              <w:bCs/>
              <w:color w:val="000000" w:themeColor="text1"/>
              <w:sz w:val="24"/>
              <w:szCs w:val="24"/>
              <w:lang w:val="en-GB"/>
              <w14:textFill>
                <w14:solidFill>
                  <w14:schemeClr w14:val="tx1"/>
                </w14:solidFill>
              </w14:textFill>
            </w:rPr>
          </w:pPr>
          <w:r>
            <w:rPr>
              <w:rFonts w:ascii="Arial" w:hAnsi="Arial" w:cs="Arial"/>
              <w:b/>
              <w:bCs/>
              <w:color w:val="000000" w:themeColor="text1"/>
              <w:kern w:val="24"/>
              <w:sz w:val="24"/>
              <w:szCs w:val="24"/>
              <w14:textFill>
                <w14:solidFill>
                  <w14:schemeClr w14:val="tx1"/>
                </w14:solidFill>
              </w14:textFill>
            </w:rPr>
            <w:t>P</w:t>
          </w:r>
          <w:r>
            <w:rPr>
              <w:rFonts w:hint="default" w:ascii="Arial" w:hAnsi="Arial" w:cs="Arial"/>
              <w:b/>
              <w:bCs/>
              <w:color w:val="000000" w:themeColor="text1"/>
              <w:kern w:val="24"/>
              <w:sz w:val="24"/>
              <w:szCs w:val="24"/>
              <w:lang w:val="en-GB"/>
              <w14:textFill>
                <w14:solidFill>
                  <w14:schemeClr w14:val="tx1"/>
                </w14:solidFill>
              </w14:textFill>
            </w:rPr>
            <w:t>erofessionel Development within Health and Social Care</w:t>
          </w:r>
        </w:p>
        <w:p>
          <w:pPr>
            <w:spacing w:before="200" w:line="216" w:lineRule="auto"/>
            <w:jc w:val="center"/>
            <w:rPr>
              <w:rFonts w:ascii="Arial" w:hAnsi="Arial" w:cs="Arial"/>
              <w:b/>
              <w:bCs/>
              <w:color w:val="000000" w:themeColor="text1"/>
              <w:kern w:val="24"/>
              <w:sz w:val="24"/>
              <w:szCs w:val="24"/>
              <w14:textFill>
                <w14:solidFill>
                  <w14:schemeClr w14:val="tx1"/>
                </w14:solidFill>
              </w14:textFill>
            </w:rPr>
          </w:pPr>
          <w:r>
            <w:rPr>
              <w:rFonts w:ascii="Arial" w:hAnsi="Arial" w:cs="Arial"/>
              <w:b/>
              <w:bCs/>
              <w:color w:val="000000" w:themeColor="text1"/>
              <w:kern w:val="24"/>
              <w:sz w:val="24"/>
              <w:szCs w:val="24"/>
              <w14:textFill>
                <w14:solidFill>
                  <w14:schemeClr w14:val="tx1"/>
                </w14:solidFill>
              </w14:textFill>
            </w:rPr>
            <w:t>(LCHS400</w:t>
          </w:r>
          <w:r>
            <w:rPr>
              <w:rFonts w:hint="default" w:ascii="Arial" w:hAnsi="Arial" w:cs="Arial"/>
              <w:b/>
              <w:bCs/>
              <w:color w:val="000000" w:themeColor="text1"/>
              <w:kern w:val="24"/>
              <w:sz w:val="24"/>
              <w:szCs w:val="24"/>
              <w:lang w:val="en-GB"/>
              <w14:textFill>
                <w14:solidFill>
                  <w14:schemeClr w14:val="tx1"/>
                </w14:solidFill>
              </w14:textFill>
            </w:rPr>
            <w:t>5</w:t>
          </w:r>
          <w:r>
            <w:rPr>
              <w:rFonts w:ascii="Arial" w:hAnsi="Arial" w:cs="Arial"/>
              <w:b/>
              <w:bCs/>
              <w:color w:val="000000" w:themeColor="text1"/>
              <w:kern w:val="24"/>
              <w:sz w:val="24"/>
              <w:szCs w:val="24"/>
              <w14:textFill>
                <w14:solidFill>
                  <w14:schemeClr w14:val="tx1"/>
                </w14:solidFill>
              </w14:textFill>
            </w:rPr>
            <w:t>_LON)</w:t>
          </w:r>
        </w:p>
        <w:p>
          <w:pPr>
            <w:spacing w:before="200" w:line="216" w:lineRule="auto"/>
            <w:jc w:val="center"/>
            <w:rPr>
              <w:rFonts w:ascii="Arial" w:hAnsi="Arial" w:eastAsia="Times New Roman" w:cs="Arial"/>
              <w:b/>
              <w:bCs/>
              <w:color w:val="000000" w:themeColor="text1"/>
              <w:sz w:val="24"/>
              <w:szCs w:val="24"/>
              <w14:textFill>
                <w14:solidFill>
                  <w14:schemeClr w14:val="tx1"/>
                </w14:solidFill>
              </w14:textFill>
            </w:rPr>
          </w:pPr>
        </w:p>
        <w:p>
          <w:pPr>
            <w:jc w:val="center"/>
            <w:rPr>
              <w:rFonts w:hint="default" w:ascii="Arial" w:hAnsi="Arial" w:cs="Arial"/>
              <w:b/>
              <w:bCs/>
              <w:color w:val="000000" w:themeColor="text1"/>
              <w:kern w:val="24"/>
              <w:sz w:val="24"/>
              <w:szCs w:val="24"/>
              <w:lang w:val="en-GB"/>
              <w14:textFill>
                <w14:solidFill>
                  <w14:schemeClr w14:val="tx1"/>
                </w14:solidFill>
              </w14:textFill>
            </w:rPr>
          </w:pPr>
          <w:r>
            <w:rPr>
              <w:rFonts w:ascii="Arial" w:hAnsi="Arial" w:cs="Arial"/>
              <w:b/>
              <w:bCs/>
              <w:color w:val="000000" w:themeColor="text1"/>
              <w:kern w:val="24"/>
              <w:sz w:val="24"/>
              <w:szCs w:val="24"/>
              <w:lang w:val="en-GB"/>
              <w14:textFill>
                <w14:solidFill>
                  <w14:schemeClr w14:val="tx1"/>
                </w14:solidFill>
              </w14:textFill>
            </w:rPr>
            <w:t>Lecturer:</w:t>
          </w:r>
          <w:r>
            <w:rPr>
              <w:rFonts w:ascii="Arial" w:hAnsi="Arial" w:cs="Arial"/>
              <w:b w:val="0"/>
              <w:bCs w:val="0"/>
              <w:color w:val="000000" w:themeColor="text1"/>
              <w:kern w:val="24"/>
              <w:sz w:val="24"/>
              <w:szCs w:val="24"/>
              <w:lang w:val="en-GB"/>
              <w14:textFill>
                <w14:solidFill>
                  <w14:schemeClr w14:val="tx1"/>
                </w14:solidFill>
              </w14:textFill>
            </w:rPr>
            <w:t xml:space="preserve"> </w:t>
          </w:r>
          <w:r>
            <w:rPr>
              <w:rFonts w:hint="default" w:ascii="Arial" w:hAnsi="Arial" w:cs="Arial"/>
              <w:b/>
              <w:bCs/>
              <w:color w:val="000000" w:themeColor="text1"/>
              <w:kern w:val="24"/>
              <w:sz w:val="24"/>
              <w:szCs w:val="24"/>
              <w:lang w:val="en-GB"/>
              <w14:textFill>
                <w14:solidFill>
                  <w14:schemeClr w14:val="tx1"/>
                </w14:solidFill>
              </w14:textFill>
            </w:rPr>
            <w:t>Lloyd Beharry</w:t>
          </w:r>
        </w:p>
        <w:p>
          <w:pPr>
            <w:jc w:val="center"/>
            <w:rPr>
              <w:rFonts w:ascii="Arial" w:hAnsi="Arial" w:cs="Arial"/>
              <w:b/>
              <w:bCs/>
              <w:color w:val="000000" w:themeColor="text1"/>
              <w:kern w:val="24"/>
              <w:sz w:val="24"/>
              <w:szCs w:val="24"/>
              <w14:textFill>
                <w14:solidFill>
                  <w14:schemeClr w14:val="tx1"/>
                </w14:solidFill>
              </w14:textFill>
            </w:rPr>
          </w:pPr>
        </w:p>
        <w:p>
          <w:pPr>
            <w:rPr>
              <w:sz w:val="24"/>
              <w:szCs w:val="24"/>
              <w:lang w:val="en-GB"/>
            </w:rPr>
          </w:pPr>
        </w:p>
        <w:p>
          <w:pPr>
            <w:jc w:val="both"/>
            <w:rPr>
              <w:rFonts w:ascii="Arial" w:hAnsi="Arial" w:cs="Arial"/>
              <w:b/>
              <w:bCs/>
              <w:sz w:val="24"/>
              <w:szCs w:val="24"/>
              <w:lang w:val="en-GB"/>
            </w:rPr>
          </w:pPr>
        </w:p>
        <w:p>
          <w:pPr>
            <w:jc w:val="both"/>
            <w:rPr>
              <w:rFonts w:ascii="Arial" w:hAnsi="Arial" w:cs="Arial"/>
              <w:b/>
              <w:bCs/>
              <w:sz w:val="24"/>
              <w:szCs w:val="24"/>
              <w:lang w:val="en-GB"/>
            </w:rPr>
          </w:pPr>
        </w:p>
        <w:p>
          <w:pPr>
            <w:jc w:val="center"/>
            <w:rPr>
              <w:rFonts w:ascii="Arial" w:hAnsi="Arial" w:cs="Arial"/>
              <w:b/>
              <w:bCs/>
              <w:sz w:val="24"/>
              <w:szCs w:val="24"/>
              <w:lang w:val="en-GB"/>
            </w:rPr>
          </w:pPr>
          <w:r>
            <w:rPr>
              <w:rFonts w:ascii="Arial" w:hAnsi="Arial" w:cs="Arial"/>
              <w:b/>
              <w:bCs/>
              <w:sz w:val="24"/>
              <w:szCs w:val="24"/>
              <w:lang w:val="en-GB"/>
            </w:rPr>
            <w:t xml:space="preserve">Student </w:t>
          </w:r>
          <w:r>
            <w:rPr>
              <w:rFonts w:ascii="Arial" w:hAnsi="Arial" w:cs="Arial"/>
              <w:b/>
              <w:bCs/>
              <w:sz w:val="24"/>
              <w:szCs w:val="24"/>
            </w:rPr>
            <w:t xml:space="preserve">Name: </w:t>
          </w:r>
          <w:r>
            <w:rPr>
              <w:rFonts w:ascii="Arial" w:hAnsi="Arial" w:cs="Arial"/>
              <w:sz w:val="24"/>
              <w:szCs w:val="24"/>
              <w:lang w:val="en-GB"/>
            </w:rPr>
            <w:t>Gyulten Harla</w:t>
          </w:r>
        </w:p>
        <w:p>
          <w:pPr>
            <w:jc w:val="center"/>
            <w:rPr>
              <w:rFonts w:ascii="Arial" w:hAnsi="Arial" w:cs="Arial"/>
              <w:b/>
              <w:bCs/>
              <w:sz w:val="24"/>
              <w:szCs w:val="24"/>
              <w:lang w:val="en-GB"/>
            </w:rPr>
          </w:pPr>
          <w:r>
            <w:rPr>
              <w:rFonts w:ascii="Arial" w:hAnsi="Arial" w:cs="Arial"/>
              <w:b/>
              <w:bCs/>
              <w:sz w:val="24"/>
              <w:szCs w:val="24"/>
              <w:lang w:val="en-GB"/>
            </w:rPr>
            <w:t xml:space="preserve">Student </w:t>
          </w:r>
          <w:r>
            <w:rPr>
              <w:rFonts w:ascii="Arial" w:hAnsi="Arial" w:cs="Arial"/>
              <w:b/>
              <w:bCs/>
              <w:sz w:val="24"/>
              <w:szCs w:val="24"/>
            </w:rPr>
            <w:t xml:space="preserve">ID: </w:t>
          </w:r>
          <w:r>
            <w:rPr>
              <w:rFonts w:ascii="Arial" w:hAnsi="Arial" w:cs="Arial"/>
              <w:b/>
              <w:bCs/>
              <w:sz w:val="24"/>
              <w:szCs w:val="24"/>
              <w:lang w:val="en-GB"/>
            </w:rPr>
            <w:t xml:space="preserve">       </w:t>
          </w:r>
          <w:r>
            <w:rPr>
              <w:rFonts w:ascii="Arial" w:hAnsi="Arial" w:cs="Arial"/>
              <w:sz w:val="24"/>
              <w:szCs w:val="24"/>
              <w:lang w:val="en-GB"/>
            </w:rPr>
            <w:t>2133453</w:t>
          </w:r>
        </w:p>
        <w:p>
          <w:pPr>
            <w:jc w:val="center"/>
            <w:rPr>
              <w:rFonts w:ascii="Arial" w:hAnsi="Arial" w:cs="Arial"/>
              <w:b/>
              <w:bCs/>
              <w:sz w:val="24"/>
              <w:szCs w:val="24"/>
            </w:rPr>
          </w:pPr>
          <w:r>
            <w:rPr>
              <w:rFonts w:ascii="Arial" w:hAnsi="Arial" w:cs="Arial"/>
              <w:b/>
              <w:bCs/>
              <w:sz w:val="24"/>
              <w:szCs w:val="24"/>
            </w:rPr>
            <w:t xml:space="preserve">Submission Date: </w:t>
          </w:r>
          <w:r>
            <w:rPr>
              <w:rFonts w:hint="default" w:ascii="Arial" w:hAnsi="Arial" w:cs="Arial"/>
              <w:b w:val="0"/>
              <w:bCs w:val="0"/>
              <w:sz w:val="24"/>
              <w:szCs w:val="24"/>
              <w:lang w:val="en-GB"/>
            </w:rPr>
            <w:t>10</w:t>
          </w:r>
          <w:r>
            <w:rPr>
              <w:rFonts w:ascii="Arial" w:hAnsi="Arial" w:cs="Arial"/>
              <w:sz w:val="24"/>
              <w:szCs w:val="24"/>
            </w:rPr>
            <w:t xml:space="preserve"> May 2023</w:t>
          </w:r>
        </w:p>
        <w:p>
          <w:pPr>
            <w:jc w:val="center"/>
            <w:rPr>
              <w:sz w:val="24"/>
              <w:szCs w:val="24"/>
              <w:lang w:val="en-GB"/>
            </w:rPr>
          </w:pPr>
        </w:p>
        <w:p>
          <w:pPr>
            <w:rPr>
              <w:lang w:val="en-GB"/>
            </w:rPr>
          </w:pPr>
        </w:p>
        <w:p>
          <w:pPr>
            <w:rPr>
              <w:rFonts w:hint="default"/>
              <w:lang w:val="en-GB"/>
            </w:rPr>
          </w:pPr>
        </w:p>
        <w:p>
          <w:pPr>
            <w:jc w:val="center"/>
            <w:rPr>
              <w:rFonts w:hint="default" w:ascii="Arial" w:hAnsi="Arial" w:cs="Arial"/>
              <w:sz w:val="24"/>
              <w:szCs w:val="24"/>
              <w:lang w:val="en-GB"/>
            </w:rPr>
          </w:pPr>
          <w:r>
            <w:rPr>
              <w:rFonts w:ascii="Arial" w:hAnsi="Arial" w:cs="Arial"/>
              <w:b/>
              <w:bCs/>
              <w:sz w:val="24"/>
              <w:szCs w:val="24"/>
              <w:lang w:val="en-GB"/>
            </w:rPr>
            <w:t xml:space="preserve">Word count: </w:t>
          </w:r>
          <w:r>
            <w:rPr>
              <w:rFonts w:hint="default" w:ascii="Arial" w:hAnsi="Arial" w:cs="Arial"/>
              <w:b w:val="0"/>
              <w:bCs w:val="0"/>
              <w:sz w:val="24"/>
              <w:szCs w:val="24"/>
              <w:lang w:val="en-GB"/>
            </w:rPr>
            <w:t>1959</w:t>
          </w:r>
        </w:p>
        <w:p>
          <w:pPr>
            <w:rPr>
              <w:rFonts w:ascii="Arial" w:hAnsi="Arial" w:cs="Arial"/>
              <w:b/>
              <w:bCs/>
              <w:sz w:val="24"/>
              <w:szCs w:val="24"/>
              <w:lang w:val="en-GB"/>
            </w:rPr>
          </w:pPr>
        </w:p>
        <w:p>
          <w:pPr>
            <w:spacing w:after="0" w:line="240" w:lineRule="auto"/>
            <w:jc w:val="center"/>
            <w:rPr>
              <w:rFonts w:cs="Arial"/>
              <w:b/>
              <w:shd w:val="clear" w:color="auto" w:fill="FFFFFF"/>
            </w:rPr>
          </w:pPr>
          <w:r>
            <w:rPr>
              <w:rFonts w:cs="Arial"/>
              <w:b/>
              <w:shd w:val="clear" w:color="auto" w:fill="FFFFFF"/>
            </w:rPr>
            <w:br w:type="page"/>
          </w:r>
        </w:p>
        <w:p>
          <w:pPr>
            <w:spacing w:after="0" w:line="240" w:lineRule="auto"/>
            <w:rPr>
              <w:rFonts w:ascii="Arial" w:hAnsi="Arial" w:cs="Arial"/>
              <w:color w:val="000000" w:themeColor="text1"/>
              <w:shd w:val="clear" w:color="auto" w:fill="FFFFFF"/>
              <w14:textFill>
                <w14:solidFill>
                  <w14:schemeClr w14:val="tx1"/>
                </w14:solidFill>
              </w14:textFill>
            </w:rPr>
          </w:pPr>
        </w:p>
      </w:sdtContent>
    </w:sdt>
    <w:sdt>
      <w:sdtPr>
        <w:id w:val="-922484237"/>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25"/>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Table of Contents</w:t>
          </w:r>
        </w:p>
        <w:p>
          <w:pPr>
            <w:rPr>
              <w:lang w:val="en-US"/>
            </w:rPr>
          </w:pP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TOC \o "1-3" \h \z \u </w:instrText>
          </w:r>
          <w:r>
            <w:rPr>
              <w:rFonts w:ascii="Arial" w:hAnsi="Arial" w:cs="Arial"/>
              <w:color w:val="000000" w:themeColor="text1"/>
              <w14:textFill>
                <w14:solidFill>
                  <w14:schemeClr w14:val="tx1"/>
                </w14:solidFill>
              </w14:textFill>
            </w:rPr>
            <w:fldChar w:fldCharType="separate"/>
          </w:r>
          <w:r>
            <w:fldChar w:fldCharType="begin"/>
          </w:r>
          <w:r>
            <w:instrText xml:space="preserve"> HYPERLINK \l "_Toc134035417" </w:instrText>
          </w:r>
          <w:r>
            <w:fldChar w:fldCharType="separate"/>
          </w:r>
          <w:r>
            <w:rPr>
              <w:rStyle w:val="12"/>
              <w:rFonts w:ascii="Arial" w:hAnsi="Arial" w:cs="Arial"/>
              <w:color w:val="000000" w:themeColor="text1"/>
              <w14:textFill>
                <w14:solidFill>
                  <w14:schemeClr w14:val="tx1"/>
                </w14:solidFill>
              </w14:textFill>
            </w:rPr>
            <w:t>Introduction</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_Toc134035417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2</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"_Toc134035418" </w:instrText>
          </w:r>
          <w:r>
            <w:fldChar w:fldCharType="separate"/>
          </w:r>
          <w:r>
            <w:rPr>
              <w:rStyle w:val="12"/>
              <w:rFonts w:ascii="Arial" w:hAnsi="Arial" w:cs="Arial"/>
              <w:color w:val="000000" w:themeColor="text1"/>
              <w14:textFill>
                <w14:solidFill>
                  <w14:schemeClr w14:val="tx1"/>
                </w14:solidFill>
              </w14:textFill>
            </w:rPr>
            <w:t>Reflection</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_Toc134035418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2</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"_Toc134035419" </w:instrText>
          </w:r>
          <w:r>
            <w:fldChar w:fldCharType="separate"/>
          </w:r>
          <w:r>
            <w:rPr>
              <w:rStyle w:val="12"/>
              <w:rFonts w:ascii="Arial" w:hAnsi="Arial" w:cs="Arial"/>
              <w:color w:val="000000" w:themeColor="text1"/>
              <w14:textFill>
                <w14:solidFill>
                  <w14:schemeClr w14:val="tx1"/>
                </w14:solidFill>
              </w14:textFill>
            </w:rPr>
            <w:t>Gibbs’ reflective cycle</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_Toc134035419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2</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"_Toc134035420" </w:instrText>
          </w:r>
          <w:r>
            <w:fldChar w:fldCharType="separate"/>
          </w:r>
          <w:r>
            <w:rPr>
              <w:rStyle w:val="12"/>
              <w:rFonts w:ascii="Arial" w:hAnsi="Arial" w:cs="Arial"/>
              <w:color w:val="000000" w:themeColor="text1"/>
              <w:shd w:val="clear" w:color="auto" w:fill="FFFFFF"/>
              <w14:textFill>
                <w14:solidFill>
                  <w14:schemeClr w14:val="tx1"/>
                </w14:solidFill>
              </w14:textFill>
            </w:rPr>
            <w:t>Employment Relationship</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_Toc134035420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3</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"_Toc134035421" </w:instrText>
          </w:r>
          <w:r>
            <w:fldChar w:fldCharType="separate"/>
          </w:r>
          <w:r>
            <w:rPr>
              <w:rStyle w:val="12"/>
              <w:rFonts w:ascii="Arial" w:hAnsi="Arial" w:cs="Arial"/>
              <w:color w:val="000000" w:themeColor="text1"/>
              <w14:textFill>
                <w14:solidFill>
                  <w14:schemeClr w14:val="tx1"/>
                </w14:solidFill>
              </w14:textFill>
            </w:rPr>
            <w:t>Employment and employability skills</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_Toc134035421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3</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"_Toc134035422" </w:instrText>
          </w:r>
          <w:r>
            <w:fldChar w:fldCharType="separate"/>
          </w:r>
          <w:r>
            <w:rPr>
              <w:rStyle w:val="12"/>
              <w:rFonts w:ascii="Arial" w:hAnsi="Arial" w:cs="Arial"/>
              <w:color w:val="000000" w:themeColor="text1"/>
              <w14:textFill>
                <w14:solidFill>
                  <w14:schemeClr w14:val="tx1"/>
                </w14:solidFill>
              </w14:textFill>
            </w:rPr>
            <w:t>Legislation</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_Toc134035422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3</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8"/>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"_Toc134035423" </w:instrText>
          </w:r>
          <w:r>
            <w:fldChar w:fldCharType="separate"/>
          </w:r>
          <w:r>
            <w:rPr>
              <w:rStyle w:val="12"/>
              <w:rFonts w:ascii="Arial" w:hAnsi="Arial" w:cs="Arial"/>
              <w:color w:val="000000" w:themeColor="text1"/>
              <w14:textFill>
                <w14:solidFill>
                  <w14:schemeClr w14:val="tx1"/>
                </w14:solidFill>
              </w14:textFill>
            </w:rPr>
            <w:t>Health and Safety at Work Act 1974 (HSWA)</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_Toc134035423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4</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8"/>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"_Toc134035424" </w:instrText>
          </w:r>
          <w:r>
            <w:fldChar w:fldCharType="separate"/>
          </w:r>
          <w:r>
            <w:rPr>
              <w:rStyle w:val="12"/>
              <w:rFonts w:ascii="Arial" w:hAnsi="Arial" w:cs="Arial"/>
              <w:color w:val="000000" w:themeColor="text1"/>
              <w14:textFill>
                <w14:solidFill>
                  <w14:schemeClr w14:val="tx1"/>
                </w14:solidFill>
              </w14:textFill>
            </w:rPr>
            <w:t>The Employment Rights Act (1996)</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_Toc134035424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5</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8"/>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"_Toc134035425" </w:instrText>
          </w:r>
          <w:r>
            <w:fldChar w:fldCharType="separate"/>
          </w:r>
          <w:r>
            <w:rPr>
              <w:rStyle w:val="12"/>
              <w:rFonts w:ascii="Arial" w:hAnsi="Arial" w:cs="Arial"/>
              <w:color w:val="000000" w:themeColor="text1"/>
              <w14:textFill>
                <w14:solidFill>
                  <w14:schemeClr w14:val="tx1"/>
                </w14:solidFill>
              </w14:textFill>
            </w:rPr>
            <w:t>Equality Act 2010</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_Toc134035425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5</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"_Toc134035426" </w:instrText>
          </w:r>
          <w:r>
            <w:fldChar w:fldCharType="separate"/>
          </w:r>
          <w:r>
            <w:rPr>
              <w:rStyle w:val="12"/>
              <w:rFonts w:ascii="Arial" w:hAnsi="Arial" w:cs="Arial"/>
              <w:color w:val="000000" w:themeColor="text1"/>
              <w14:textFill>
                <w14:solidFill>
                  <w14:schemeClr w14:val="tx1"/>
                </w14:solidFill>
              </w14:textFill>
            </w:rPr>
            <w:t>The recruitment process</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_Toc134035426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5</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"_Toc134035427" </w:instrText>
          </w:r>
          <w:r>
            <w:fldChar w:fldCharType="separate"/>
          </w:r>
          <w:r>
            <w:rPr>
              <w:rStyle w:val="12"/>
              <w:rFonts w:ascii="Arial" w:hAnsi="Arial" w:cs="Arial"/>
              <w:color w:val="000000" w:themeColor="text1"/>
              <w14:textFill>
                <w14:solidFill>
                  <w14:schemeClr w14:val="tx1"/>
                </w14:solidFill>
              </w14:textFill>
            </w:rPr>
            <w:t>Career development</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_Toc134035427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7</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"_Toc134035428" </w:instrText>
          </w:r>
          <w:r>
            <w:fldChar w:fldCharType="separate"/>
          </w:r>
          <w:r>
            <w:rPr>
              <w:rStyle w:val="12"/>
              <w:rFonts w:ascii="Arial" w:hAnsi="Arial" w:cs="Arial"/>
              <w:color w:val="000000" w:themeColor="text1"/>
              <w14:textFill>
                <w14:solidFill>
                  <w14:schemeClr w14:val="tx1"/>
                </w14:solidFill>
              </w14:textFill>
            </w:rPr>
            <w:t>Career Path</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_Toc134035428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7</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7"/>
            <w:tabs>
              <w:tab w:val="right" w:leader="dot" w:pos="9016"/>
            </w:tabs>
            <w:rPr>
              <w:rFonts w:ascii="Arial" w:hAnsi="Arial" w:cs="Arial"/>
              <w:color w:val="000000" w:themeColor="text1"/>
              <w14:textFill>
                <w14:solidFill>
                  <w14:schemeClr w14:val="tx1"/>
                </w14:solidFill>
              </w14:textFill>
            </w:rPr>
          </w:pPr>
          <w:r>
            <w:fldChar w:fldCharType="begin"/>
          </w:r>
          <w:r>
            <w:instrText xml:space="preserve"> HYPERLINK \l "_Toc134035429" </w:instrText>
          </w:r>
          <w:r>
            <w:fldChar w:fldCharType="separate"/>
          </w:r>
          <w:r>
            <w:rPr>
              <w:rStyle w:val="12"/>
              <w:rFonts w:ascii="Arial" w:hAnsi="Arial" w:cs="Arial"/>
              <w:color w:val="000000" w:themeColor="text1"/>
              <w14:textFill>
                <w14:solidFill>
                  <w14:schemeClr w14:val="tx1"/>
                </w14:solidFill>
              </w14:textFill>
            </w:rPr>
            <w:t>SWOT Analysis</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_Toc134035429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7</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"_Toc134035430" </w:instrText>
          </w:r>
          <w:r>
            <w:fldChar w:fldCharType="separate"/>
          </w:r>
          <w:r>
            <w:rPr>
              <w:rStyle w:val="12"/>
              <w:rFonts w:ascii="Arial" w:hAnsi="Arial" w:cs="Arial"/>
              <w:color w:val="000000" w:themeColor="text1"/>
              <w14:textFill>
                <w14:solidFill>
                  <w14:schemeClr w14:val="tx1"/>
                </w14:solidFill>
              </w14:textFill>
            </w:rPr>
            <w:t>Professional development plan</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_Toc134035430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8</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pPr>
            <w:pStyle w:val="16"/>
            <w:tabs>
              <w:tab w:val="right" w:leader="dot" w:pos="9016"/>
            </w:tabs>
            <w:rPr>
              <w:rFonts w:ascii="Arial" w:hAnsi="Arial" w:cs="Arial" w:eastAsiaTheme="minorEastAsia"/>
              <w:color w:val="000000" w:themeColor="text1"/>
              <w:lang w:eastAsia="en-GB"/>
              <w14:textFill>
                <w14:solidFill>
                  <w14:schemeClr w14:val="tx1"/>
                </w14:solidFill>
              </w14:textFill>
            </w:rPr>
          </w:pPr>
          <w:r>
            <w:fldChar w:fldCharType="begin"/>
          </w:r>
          <w:r>
            <w:instrText xml:space="preserve"> HYPERLINK \l "_Toc134035431" </w:instrText>
          </w:r>
          <w:r>
            <w:fldChar w:fldCharType="separate"/>
          </w:r>
          <w:r>
            <w:rPr>
              <w:rStyle w:val="12"/>
              <w:rFonts w:ascii="Arial" w:hAnsi="Arial" w:cs="Arial"/>
              <w:color w:val="000000" w:themeColor="text1"/>
              <w14:textFill>
                <w14:solidFill>
                  <w14:schemeClr w14:val="tx1"/>
                </w14:solidFill>
              </w14:textFill>
            </w:rPr>
            <w:t>References</w:t>
          </w:r>
          <w:r>
            <w:rPr>
              <w:rFonts w:ascii="Arial" w:hAnsi="Arial" w:cs="Arial"/>
              <w:color w:val="000000" w:themeColor="text1"/>
              <w14:textFill>
                <w14:solidFill>
                  <w14:schemeClr w14:val="tx1"/>
                </w14:solidFill>
              </w14:textFill>
            </w:rPr>
            <w:tab/>
          </w:r>
          <w:r>
            <w:rPr>
              <w:rFonts w:ascii="Arial" w:hAnsi="Arial" w:cs="Arial"/>
              <w:color w:val="000000" w:themeColor="text1"/>
              <w14:textFill>
                <w14:solidFill>
                  <w14:schemeClr w14:val="tx1"/>
                </w14:solidFill>
              </w14:textFill>
            </w:rPr>
            <w:fldChar w:fldCharType="begin"/>
          </w:r>
          <w:r>
            <w:rPr>
              <w:rFonts w:ascii="Arial" w:hAnsi="Arial" w:cs="Arial"/>
              <w:color w:val="000000" w:themeColor="text1"/>
              <w14:textFill>
                <w14:solidFill>
                  <w14:schemeClr w14:val="tx1"/>
                </w14:solidFill>
              </w14:textFill>
            </w:rPr>
            <w:instrText xml:space="preserve"> PAGEREF _Toc134035431 \h </w:instrText>
          </w:r>
          <w:r>
            <w:rPr>
              <w:rFonts w:ascii="Arial" w:hAnsi="Arial" w:cs="Arial"/>
              <w:color w:val="000000" w:themeColor="text1"/>
              <w14:textFill>
                <w14:solidFill>
                  <w14:schemeClr w14:val="tx1"/>
                </w14:solidFill>
              </w14:textFill>
            </w:rPr>
            <w:fldChar w:fldCharType="separate"/>
          </w:r>
          <w:r>
            <w:rPr>
              <w:rFonts w:ascii="Arial" w:hAnsi="Arial" w:cs="Arial"/>
              <w:color w:val="000000" w:themeColor="text1"/>
              <w14:textFill>
                <w14:solidFill>
                  <w14:schemeClr w14:val="tx1"/>
                </w14:solidFill>
              </w14:textFill>
            </w:rPr>
            <w:t>9</w:t>
          </w:r>
          <w:r>
            <w:rPr>
              <w:rFonts w:ascii="Arial" w:hAnsi="Arial" w:cs="Arial"/>
              <w:color w:val="000000" w:themeColor="text1"/>
              <w14:textFill>
                <w14:solidFill>
                  <w14:schemeClr w14:val="tx1"/>
                </w14:solidFill>
              </w14:textFill>
            </w:rPr>
            <w:fldChar w:fldCharType="end"/>
          </w:r>
          <w:r>
            <w:rPr>
              <w:rFonts w:ascii="Arial" w:hAnsi="Arial" w:cs="Arial"/>
              <w:color w:val="000000" w:themeColor="text1"/>
              <w14:textFill>
                <w14:solidFill>
                  <w14:schemeClr w14:val="tx1"/>
                </w14:solidFill>
              </w14:textFill>
            </w:rPr>
            <w:fldChar w:fldCharType="end"/>
          </w:r>
        </w:p>
        <w:p>
          <w:r>
            <w:rPr>
              <w:rFonts w:ascii="Arial" w:hAnsi="Arial" w:cs="Arial"/>
              <w:b/>
              <w:bCs/>
              <w:color w:val="000000" w:themeColor="text1"/>
              <w14:textFill>
                <w14:solidFill>
                  <w14:schemeClr w14:val="tx1"/>
                </w14:solidFill>
              </w14:textFill>
            </w:rPr>
            <w:fldChar w:fldCharType="end"/>
          </w:r>
        </w:p>
      </w:sdtContent>
    </w:sdt>
    <w:p>
      <w:pPr>
        <w:spacing w:after="0" w:line="240" w:lineRule="auto"/>
        <w:rPr>
          <w:rFonts w:ascii="Arial" w:hAnsi="Arial" w:eastAsiaTheme="majorEastAsia" w:cstheme="majorBidi"/>
          <w:b/>
          <w:color w:val="000000" w:themeColor="text1"/>
          <w:szCs w:val="32"/>
          <w14:textFill>
            <w14:solidFill>
              <w14:schemeClr w14:val="tx1"/>
            </w14:solidFill>
          </w14:textFill>
        </w:rPr>
      </w:pPr>
      <w:r>
        <w:br w:type="page"/>
      </w:r>
    </w:p>
    <w:p>
      <w:pPr>
        <w:pStyle w:val="2"/>
      </w:pPr>
      <w:bookmarkStart w:id="0" w:name="_Toc134035417"/>
      <w:r>
        <w:t>Introduction</w:t>
      </w:r>
      <w:bookmarkEnd w:id="0"/>
    </w:p>
    <w:p>
      <w:pPr>
        <w:spacing w:line="360" w:lineRule="auto"/>
        <w:ind w:firstLine="720"/>
        <w:rPr>
          <w:rFonts w:ascii="Arial" w:hAnsi="Arial" w:cs="Arial"/>
          <w:color w:val="000000" w:themeColor="text1"/>
          <w:shd w:val="clear" w:color="auto" w:fill="FFFFFF"/>
          <w14:textFill>
            <w14:solidFill>
              <w14:schemeClr w14:val="tx1"/>
            </w14:solidFill>
          </w14:textFill>
        </w:rPr>
      </w:pPr>
      <w:r>
        <w:rPr>
          <w:rFonts w:ascii="Arial" w:hAnsi="Arial" w:cs="Arial"/>
          <w:color w:val="000000" w:themeColor="text1"/>
          <w:shd w:val="clear" w:color="auto" w:fill="FFFFFF"/>
          <w14:textFill>
            <w14:solidFill>
              <w14:schemeClr w14:val="tx1"/>
            </w14:solidFill>
          </w14:textFill>
        </w:rPr>
        <w:t>This personal reflection report provides an overview of my personal career development. The report will define the reflection process and employability skills. It will discuss the employment relationship including the legislation related to employability in health and social care. It will also describe the recruitment and selection process and reflect on the interview role-play exercise done in week 9. Finally, it will discuss my career development process and my own position will be presented.</w:t>
      </w:r>
    </w:p>
    <w:p>
      <w:pPr>
        <w:pStyle w:val="2"/>
      </w:pPr>
      <w:bookmarkStart w:id="1" w:name="_Toc134035418"/>
      <w:r>
        <w:t>Reflection</w:t>
      </w:r>
      <w:bookmarkEnd w:id="1"/>
    </w:p>
    <w:p>
      <w:pPr>
        <w:shd w:val="clear" w:color="auto" w:fill="FFFFFF"/>
        <w:spacing w:after="150" w:line="360" w:lineRule="auto"/>
        <w:ind w:firstLine="720"/>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process of career development includes reflection which enables the employee to reflect on their experiences and learnings, return to their values, interests, and abilities, and refocus their plan for the future. The reflection process is described in Gibb’s reflective cycle (Figure 1). While presenting my career development paths, I will use the steps of this reflective cycle.</w:t>
      </w:r>
    </w:p>
    <w:p>
      <w:pPr>
        <w:pStyle w:val="3"/>
        <w:rPr>
          <w:b w:val="0"/>
          <w:bCs w:val="0"/>
        </w:rPr>
      </w:pPr>
      <w:bookmarkStart w:id="2" w:name="_Toc134035419"/>
      <w:r>
        <w:rPr>
          <w:b w:val="0"/>
          <w:bCs w:val="0"/>
        </w:rPr>
        <w:t>Gibbs’ reflective cycle</w:t>
      </w:r>
      <w:bookmarkEnd w:id="2"/>
    </w:p>
    <w:p>
      <w:pPr>
        <w:shd w:val="clear" w:color="auto" w:fill="FFFFFF"/>
        <w:spacing w:after="150" w:line="360" w:lineRule="auto"/>
        <w:ind w:firstLine="720"/>
        <w:jc w:val="both"/>
        <w:rPr>
          <w:rFonts w:ascii="Arial" w:hAnsi="Arial" w:eastAsia="Times New Roman" w:cs="Arial"/>
          <w:color w:val="000000" w:themeColor="text1"/>
          <w:lang w:eastAsia="en-GB"/>
          <w14:textFill>
            <w14:solidFill>
              <w14:schemeClr w14:val="tx1"/>
            </w14:solidFill>
          </w14:textFill>
        </w:rPr>
      </w:pPr>
      <w:r>
        <w:rPr>
          <w:rFonts w:ascii="Arial" w:hAnsi="Arial" w:eastAsia="Times New Roman" w:cs="Arial"/>
          <w:color w:val="000000" w:themeColor="text1"/>
          <w:lang w:eastAsia="en-GB"/>
          <w14:textFill>
            <w14:solidFill>
              <w14:schemeClr w14:val="tx1"/>
            </w14:solidFill>
          </w14:textFill>
        </w:rPr>
        <w:t xml:space="preserve">The reflective cycle model developed by Gibbs (1988) enables users to organize their prior experiences, feelings, and conclusions to assist their further growth and learning. I will use it to explain my career development planning. </w:t>
      </w:r>
      <w:bookmarkStart w:id="3" w:name="_Toc22835911"/>
      <w:bookmarkEnd w:id="3"/>
    </w:p>
    <w:p>
      <w:pPr>
        <w:jc w:val="center"/>
        <w:rPr>
          <w:b/>
          <w:sz w:val="28"/>
          <w:szCs w:val="28"/>
        </w:rPr>
      </w:pPr>
      <w:r>
        <w:rPr>
          <w:lang w:eastAsia="en-GB"/>
        </w:rPr>
        <w:drawing>
          <wp:inline distT="0" distB="0" distL="0" distR="0">
            <wp:extent cx="3613150" cy="3481705"/>
            <wp:effectExtent l="0" t="0" r="6350" b="4445"/>
            <wp:docPr id="2" name="Picture 2" descr="Figure 1-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igure 1- Gibbs’ 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629665" cy="3497964"/>
                    </a:xfrm>
                    <a:prstGeom prst="rect">
                      <a:avLst/>
                    </a:prstGeom>
                    <a:noFill/>
                    <a:ln>
                      <a:noFill/>
                    </a:ln>
                  </pic:spPr>
                </pic:pic>
              </a:graphicData>
            </a:graphic>
          </wp:inline>
        </w:drawing>
      </w:r>
    </w:p>
    <w:p>
      <w:pPr>
        <w:spacing w:line="360" w:lineRule="auto"/>
        <w:rPr>
          <w:rFonts w:ascii="Arial" w:hAnsi="Arial" w:eastAsia="Times New Roman" w:cs="Arial"/>
          <w:color w:val="000000" w:themeColor="text1"/>
          <w:lang w:eastAsia="en-GB"/>
          <w14:textFill>
            <w14:solidFill>
              <w14:schemeClr w14:val="tx1"/>
            </w14:solidFill>
          </w14:textFill>
        </w:rPr>
      </w:pPr>
      <w:r>
        <w:rPr>
          <w:rFonts w:ascii="Arial" w:hAnsi="Arial" w:eastAsia="Times New Roman" w:cs="Arial"/>
          <w:b/>
          <w:bCs/>
          <w:color w:val="000000" w:themeColor="text1"/>
          <w:lang w:eastAsia="en-GB"/>
          <w14:textFill>
            <w14:solidFill>
              <w14:schemeClr w14:val="tx1"/>
            </w14:solidFill>
          </w14:textFill>
        </w:rPr>
        <w:t>Figure 1</w:t>
      </w:r>
      <w:r>
        <w:rPr>
          <w:rFonts w:ascii="Arial" w:hAnsi="Arial" w:eastAsia="Times New Roman" w:cs="Arial"/>
          <w:color w:val="000000" w:themeColor="text1"/>
          <w:lang w:eastAsia="en-GB"/>
          <w14:textFill>
            <w14:solidFill>
              <w14:schemeClr w14:val="tx1"/>
            </w14:solidFill>
          </w14:textFill>
        </w:rPr>
        <w:t>: Gibbs’ Reflective Cycle (</w:t>
      </w:r>
      <w:r>
        <w:rPr>
          <w:rFonts w:ascii="Arial" w:hAnsi="Arial" w:cs="Arial"/>
          <w:color w:val="000000" w:themeColor="text1"/>
          <w:shd w:val="clear" w:color="auto" w:fill="FFFFFF"/>
          <w14:textFill>
            <w14:solidFill>
              <w14:schemeClr w14:val="tx1"/>
            </w14:solidFill>
          </w14:textFill>
        </w:rPr>
        <w:t>Bottomley et al., 2019, p.23)</w:t>
      </w:r>
    </w:p>
    <w:p>
      <w:pPr>
        <w:rPr>
          <w:rFonts w:ascii="proxima-nova" w:hAnsi="proxima-nova"/>
          <w:b/>
          <w:color w:val="333333"/>
          <w:sz w:val="28"/>
          <w:szCs w:val="28"/>
          <w:highlight w:val="yellow"/>
          <w:shd w:val="clear" w:color="auto" w:fill="FFFFFF"/>
        </w:rPr>
      </w:pPr>
    </w:p>
    <w:p>
      <w:pPr>
        <w:pStyle w:val="2"/>
        <w:rPr>
          <w:shd w:val="clear" w:color="auto" w:fill="FFFFFF"/>
        </w:rPr>
      </w:pPr>
      <w:bookmarkStart w:id="4" w:name="_Toc134035420"/>
      <w:r>
        <w:rPr>
          <w:shd w:val="clear" w:color="auto" w:fill="FFFFFF"/>
        </w:rPr>
        <w:t>Employment Relationship</w:t>
      </w:r>
      <w:bookmarkEnd w:id="4"/>
    </w:p>
    <w:p>
      <w:pPr>
        <w:pStyle w:val="3"/>
        <w:rPr>
          <w:rFonts w:hint="default"/>
        </w:rPr>
      </w:pPr>
      <w:bookmarkStart w:id="5" w:name="_Toc134035421"/>
      <w:r>
        <w:t>Employment</w:t>
      </w:r>
      <w:r>
        <w:rPr>
          <w:rFonts w:hint="default"/>
        </w:rPr>
        <w:t xml:space="preserve"> and employability skills</w:t>
      </w:r>
      <w:bookmarkEnd w:id="5"/>
    </w:p>
    <w:p>
      <w:pPr>
        <w:spacing w:line="360" w:lineRule="auto"/>
        <w:ind w:firstLine="720"/>
        <w:rPr>
          <w:rFonts w:ascii="Arial" w:hAnsi="Arial" w:cs="Arial"/>
          <w:color w:val="000000" w:themeColor="text1"/>
          <w:shd w:val="clear" w:color="auto" w:fill="FFFFFF"/>
          <w14:textFill>
            <w14:solidFill>
              <w14:schemeClr w14:val="tx1"/>
            </w14:solidFill>
          </w14:textFill>
        </w:rPr>
      </w:pPr>
      <w:r>
        <w:rPr>
          <w:rFonts w:ascii="Arial" w:hAnsi="Arial" w:cs="Arial"/>
          <w:color w:val="000000" w:themeColor="text1"/>
          <w:shd w:val="clear" w:color="auto" w:fill="FFFFFF"/>
          <w14:textFill>
            <w14:solidFill>
              <w14:schemeClr w14:val="tx1"/>
            </w14:solidFill>
          </w14:textFill>
        </w:rPr>
        <w:t>Employment is the most effective way to guarantee social security and equal rights. The quality of employment is management quality, which considers elements like job satisfaction, opportunities for advancement, stable employment, level of responsibility, interest in a position, training and improvement opportunities, a healthy work-life balance, and relationships with co-workers (</w:t>
      </w:r>
      <w:r>
        <w:rPr>
          <w:rFonts w:ascii="Arial" w:hAnsi="Arial" w:cs="Arial"/>
          <w:color w:val="000000" w:themeColor="text1"/>
          <w14:textFill>
            <w14:solidFill>
              <w14:schemeClr w14:val="tx1"/>
            </w14:solidFill>
          </w14:textFill>
        </w:rPr>
        <w:t>Bilevičienė, Bilevičiūtė &amp; Drakšas, 2016</w:t>
      </w:r>
      <w:r>
        <w:rPr>
          <w:rFonts w:ascii="Arial" w:hAnsi="Arial" w:cs="Arial"/>
          <w:color w:val="000000" w:themeColor="text1"/>
          <w:shd w:val="clear" w:color="auto" w:fill="FFFFFF"/>
          <w14:textFill>
            <w14:solidFill>
              <w14:schemeClr w14:val="tx1"/>
            </w14:solidFill>
          </w14:textFill>
        </w:rPr>
        <w:t>). Surveys of the general population can be used to measure the quality of employment. The job quality indicators, including job satisfaction, remuneration, working hours, abilities and education, career possibilities, job description, and appropriate potential, are the most crucial employment indicators, according to the European Foundation. Indicators for the labor market include diversity, employee engagement in social conversations, flexibility, security, job availability, equality, health and safety, and productivity (</w:t>
      </w:r>
      <w:r>
        <w:rPr>
          <w:rFonts w:ascii="Arial" w:hAnsi="Arial" w:cs="Arial"/>
          <w:color w:val="000000" w:themeColor="text1"/>
          <w14:textFill>
            <w14:solidFill>
              <w14:schemeClr w14:val="tx1"/>
            </w14:solidFill>
          </w14:textFill>
        </w:rPr>
        <w:t>Bilevičienė, Bilevičiūtė &amp; Drakšas, 2016</w:t>
      </w:r>
      <w:r>
        <w:rPr>
          <w:rFonts w:ascii="Arial" w:hAnsi="Arial" w:cs="Arial"/>
          <w:color w:val="000000" w:themeColor="text1"/>
          <w:shd w:val="clear" w:color="auto" w:fill="FFFFFF"/>
          <w14:textFill>
            <w14:solidFill>
              <w14:schemeClr w14:val="tx1"/>
            </w14:solidFill>
          </w14:textFill>
        </w:rPr>
        <w:t xml:space="preserve">). </w:t>
      </w:r>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Employability are the skills that make candidates "employable". They are essential and  they  are candidates’  personal characteristics. Employability skills differ from our technical knowledge and work experience, and are sometimes called "soft skills" or "transferable skills" because they can be used in almost any job in any industry. Yorke (2006, cited in Trought, 2017) drscribes employability skills as</w:t>
      </w:r>
    </w:p>
    <w:p>
      <w:pPr>
        <w:pStyle w:val="20"/>
        <w:spacing w:line="360" w:lineRule="auto"/>
        <w:rPr>
          <w:rFonts w:ascii="Arial" w:hAnsi="Arial" w:cs="Arial"/>
          <w:color w:val="000000" w:themeColor="text1"/>
          <w:u w:val="single"/>
          <w:shd w:val="clear" w:color="auto" w:fill="FFFFFF"/>
          <w14:textFill>
            <w14:solidFill>
              <w14:schemeClr w14:val="tx1"/>
            </w14:solidFill>
          </w14:textFill>
        </w:rPr>
      </w:pPr>
      <w:r>
        <w:rPr>
          <w:rFonts w:ascii="Arial" w:hAnsi="Arial" w:cs="Arial"/>
          <w:color w:val="000000" w:themeColor="text1"/>
          <w14:textFill>
            <w14:solidFill>
              <w14:schemeClr w14:val="tx1"/>
            </w14:solidFill>
          </w14:textFill>
        </w:rPr>
        <w:t>“a set of achievements – skills, understandings and personal attributes – that makes graduates more likely to gain employment and be successful in their chosen occupations, which benefits themselves, the workforce, the community and the economy.” (p. 8)</w:t>
      </w:r>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Employers want reliable workers who will work hard and get along with others. There are a few essential employability skills such as communication and teamwork, organization and management, critical thinking, and leadership, which managers would like to see in their employees.‌ A hiring manager might choose employees if they can show that they have strong employability skills.</w:t>
      </w:r>
    </w:p>
    <w:p>
      <w:pPr>
        <w:pStyle w:val="3"/>
      </w:pPr>
      <w:bookmarkStart w:id="6" w:name="_Toc134035422"/>
      <w:r>
        <w:rPr>
          <w:rFonts w:hint="default"/>
        </w:rPr>
        <w:t>Legislation</w:t>
      </w:r>
      <w:bookmarkEnd w:id="6"/>
    </w:p>
    <w:p>
      <w:pPr>
        <w:pStyle w:val="13"/>
        <w:spacing w:line="360" w:lineRule="auto"/>
        <w:ind w:firstLine="720"/>
        <w:rPr>
          <w:rFonts w:ascii="Arial" w:hAnsi="Arial" w:cs="Arial"/>
          <w:bCs/>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Some legislations related to the employment relationship were created  to  </w:t>
      </w:r>
      <w:r>
        <w:rPr>
          <w:rFonts w:ascii="Arial" w:hAnsi="Arial" w:cs="Arial"/>
          <w:color w:val="000000" w:themeColor="text1"/>
          <w:sz w:val="22"/>
          <w:szCs w:val="22"/>
          <w:shd w:val="clear" w:color="auto" w:fill="FFFFFF"/>
          <w14:textFill>
            <w14:solidFill>
              <w14:schemeClr w14:val="tx1"/>
            </w14:solidFill>
          </w14:textFill>
        </w:rPr>
        <w:t>regulate </w:t>
      </w:r>
      <w:r>
        <w:rPr>
          <w:rStyle w:val="8"/>
          <w:rFonts w:ascii="Arial" w:hAnsi="Arial" w:cs="Arial"/>
          <w:bCs/>
          <w:i w:val="0"/>
          <w:iCs w:val="0"/>
          <w:color w:val="000000" w:themeColor="text1"/>
          <w:sz w:val="22"/>
          <w:szCs w:val="22"/>
          <w:shd w:val="clear" w:color="auto" w:fill="FFFFFF"/>
          <w14:textFill>
            <w14:solidFill>
              <w14:schemeClr w14:val="tx1"/>
            </w14:solidFill>
          </w14:textFill>
        </w:rPr>
        <w:t>relationships</w:t>
      </w:r>
      <w:r>
        <w:rPr>
          <w:rFonts w:ascii="Arial" w:hAnsi="Arial" w:cs="Arial"/>
          <w:color w:val="000000" w:themeColor="text1"/>
          <w:sz w:val="22"/>
          <w:szCs w:val="22"/>
          <w:shd w:val="clear" w:color="auto" w:fill="FFFFFF"/>
          <w14:textFill>
            <w14:solidFill>
              <w14:schemeClr w14:val="tx1"/>
            </w14:solidFill>
          </w14:textFill>
        </w:rPr>
        <w:t> and interactions between employers and </w:t>
      </w:r>
      <w:r>
        <w:rPr>
          <w:rStyle w:val="8"/>
          <w:rFonts w:ascii="Arial" w:hAnsi="Arial" w:cs="Arial"/>
          <w:bCs/>
          <w:i w:val="0"/>
          <w:iCs w:val="0"/>
          <w:color w:val="000000" w:themeColor="text1"/>
          <w:sz w:val="22"/>
          <w:szCs w:val="22"/>
          <w:shd w:val="clear" w:color="auto" w:fill="FFFFFF"/>
          <w14:textFill>
            <w14:solidFill>
              <w14:schemeClr w14:val="tx1"/>
            </w14:solidFill>
          </w14:textFill>
        </w:rPr>
        <w:t xml:space="preserve">their employee. </w:t>
      </w:r>
      <w:r>
        <w:rPr>
          <w:rFonts w:ascii="Arial" w:hAnsi="Arial" w:cs="Arial"/>
          <w:bCs/>
          <w:color w:val="000000" w:themeColor="text1"/>
          <w:sz w:val="22"/>
          <w:szCs w:val="22"/>
          <w14:textFill>
            <w14:solidFill>
              <w14:schemeClr w14:val="tx1"/>
            </w14:solidFill>
          </w14:textFill>
        </w:rPr>
        <w:t xml:space="preserve">The main acts are </w:t>
      </w:r>
      <w:r>
        <w:rPr>
          <w:rStyle w:val="14"/>
          <w:rFonts w:ascii="Arial" w:hAnsi="Arial" w:eastAsia="Helvetica" w:cs="Arial"/>
          <w:b w:val="0"/>
          <w:color w:val="000000" w:themeColor="text1"/>
          <w:sz w:val="22"/>
          <w:szCs w:val="22"/>
          <w:shd w:val="clear" w:color="auto" w:fill="FFFFFF"/>
          <w14:textFill>
            <w14:solidFill>
              <w14:schemeClr w14:val="tx1"/>
            </w14:solidFill>
          </w14:textFill>
        </w:rPr>
        <w:t>Health and Safety at Work Act 1974 (HSWA),</w:t>
      </w:r>
      <w:r>
        <w:rPr>
          <w:rStyle w:val="14"/>
          <w:rFonts w:ascii="Arial" w:hAnsi="Arial" w:eastAsia="Helvetica" w:cs="Arial"/>
          <w:bCs w:val="0"/>
          <w:color w:val="000000" w:themeColor="text1"/>
          <w:sz w:val="22"/>
          <w:szCs w:val="22"/>
          <w:shd w:val="clear" w:color="auto" w:fill="FFFFFF"/>
          <w14:textFill>
            <w14:solidFill>
              <w14:schemeClr w14:val="tx1"/>
            </w14:solidFill>
          </w14:textFill>
        </w:rPr>
        <w:t xml:space="preserve"> </w:t>
      </w:r>
      <w:r>
        <w:rPr>
          <w:rFonts w:ascii="Arial" w:hAnsi="Arial" w:cs="Arial"/>
          <w:bCs/>
          <w:color w:val="000000" w:themeColor="text1"/>
          <w:sz w:val="22"/>
          <w:szCs w:val="22"/>
          <w14:textFill>
            <w14:solidFill>
              <w14:schemeClr w14:val="tx1"/>
            </w14:solidFill>
          </w14:textFill>
        </w:rPr>
        <w:t xml:space="preserve">The Employment Rights Act (1996), and </w:t>
      </w:r>
      <w:r>
        <w:rPr>
          <w:rStyle w:val="14"/>
          <w:rFonts w:ascii="Arial" w:hAnsi="Arial" w:eastAsia="Helvetica" w:cs="Arial"/>
          <w:b w:val="0"/>
          <w:color w:val="000000" w:themeColor="text1"/>
          <w:sz w:val="22"/>
          <w:szCs w:val="22"/>
          <w:shd w:val="clear" w:color="auto" w:fill="FFFFFF"/>
          <w14:textFill>
            <w14:solidFill>
              <w14:schemeClr w14:val="tx1"/>
            </w14:solidFill>
          </w14:textFill>
        </w:rPr>
        <w:t>Equality Act 2010.</w:t>
      </w:r>
    </w:p>
    <w:p>
      <w:pPr>
        <w:pStyle w:val="4"/>
      </w:pPr>
      <w:bookmarkStart w:id="7" w:name="_Toc134035423"/>
      <w:r>
        <w:rPr>
          <w:rStyle w:val="14"/>
          <w:rFonts w:hint="default"/>
          <w:b/>
          <w:bCs/>
        </w:rPr>
        <w:t>Health and Safety at Work Act 1974 (HSWA)</w:t>
      </w:r>
      <w:bookmarkEnd w:id="7"/>
    </w:p>
    <w:p>
      <w:pPr>
        <w:pStyle w:val="13"/>
        <w:spacing w:before="240" w:beforeAutospacing="0" w:after="210" w:afterAutospacing="0" w:line="360" w:lineRule="auto"/>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b/>
      </w:r>
      <w:r>
        <w:rPr>
          <w:rFonts w:ascii="Arial" w:hAnsi="Arial" w:cs="Arial"/>
          <w:color w:val="000000" w:themeColor="text1"/>
          <w:sz w:val="22"/>
          <w:szCs w:val="22"/>
          <w14:textFill>
            <w14:solidFill>
              <w14:schemeClr w14:val="tx1"/>
            </w14:solidFill>
          </w14:textFill>
        </w:rPr>
        <w:t>The Health and Safety Work Act (1974) (HASWA) is the primary legislation covering occupational health and safety in the UK. The Health and Safety at Work Act was introduced in 1974, allowing female workers to fight for equality and be empowered by trade union membership. That  led to a change in how people work, with the intention of more control over their work.  Under the HASWA, employers are responsible for ensuring the health, welfare, and safety of all employees, including temporary and contract workers, casual employees, self-employed people, clients, and members of the general public</w:t>
      </w:r>
      <w:r>
        <w:rPr>
          <w:rFonts w:ascii="Arial" w:hAnsi="Arial" w:cs="Arial"/>
          <w:color w:val="000000" w:themeColor="text1"/>
          <w:sz w:val="22"/>
          <w:szCs w:val="22"/>
          <w:highlight w:val="none"/>
          <w14:textFill>
            <w14:solidFill>
              <w14:schemeClr w14:val="tx1"/>
            </w14:solidFill>
          </w14:textFill>
        </w:rPr>
        <w:t xml:space="preserve"> (UK Parliament Acts, 2023).</w:t>
      </w:r>
      <w:r>
        <w:rPr>
          <w:rFonts w:ascii="Arial" w:hAnsi="Arial" w:cs="Arial"/>
          <w:color w:val="000000" w:themeColor="text1"/>
          <w:sz w:val="22"/>
          <w:szCs w:val="22"/>
          <w14:textFill>
            <w14:solidFill>
              <w14:schemeClr w14:val="tx1"/>
            </w14:solidFill>
          </w14:textFill>
        </w:rPr>
        <w:t xml:space="preserve"> HASWA allows employers to create regulations, guidance, and approved Codes of Practice (ACOPs) to protect employees in all workplace health and safety aspects. It also requires the employers to pay close attention to any workplace dangers that could endanger the employees or their unborn children. The primary health and safety laws cover personal protective equipment, manual handling operations, and reporting injuries, diseases, and dangerous occurrences, among other things </w:t>
      </w:r>
      <w:r>
        <w:rPr>
          <w:rFonts w:ascii="Arial" w:hAnsi="Arial" w:cs="Arial"/>
          <w:color w:val="000000" w:themeColor="text1"/>
          <w:sz w:val="22"/>
          <w:szCs w:val="22"/>
          <w:highlight w:val="none"/>
          <w14:textFill>
            <w14:solidFill>
              <w14:schemeClr w14:val="tx1"/>
            </w14:solidFill>
          </w14:textFill>
        </w:rPr>
        <w:t>(Safety and Health Practitioner, 2017</w:t>
      </w:r>
      <w:r>
        <w:rPr>
          <w:rFonts w:ascii="Arial" w:hAnsi="Arial" w:cs="Arial"/>
          <w:color w:val="000000" w:themeColor="text1"/>
          <w:sz w:val="22"/>
          <w:szCs w:val="22"/>
          <w14:textFill>
            <w14:solidFill>
              <w14:schemeClr w14:val="tx1"/>
            </w14:solidFill>
          </w14:textFill>
        </w:rPr>
        <w:t xml:space="preserve">). </w:t>
      </w:r>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According to HSWA, employers are required to evaluate workplace dangers. It means figuring out which parts of the job could cause illness or injury and taking steps to lower the risk or get rid of the hazard if that's not possible. Employers must advise employees on the dangers present at work, how to protect them from such risks, and how to manage them. Employers in the UK also are required to provide safe working conditions, legal pay, equal pay, contracts, protection from discrimination, and work hours </w:t>
      </w:r>
      <w:r>
        <w:rPr>
          <w:rFonts w:ascii="Arial" w:hAnsi="Arial" w:cs="Arial"/>
          <w:color w:val="000000" w:themeColor="text1"/>
          <w:sz w:val="22"/>
          <w:szCs w:val="22"/>
          <w:highlight w:val="none"/>
          <w14:textFill>
            <w14:solidFill>
              <w14:schemeClr w14:val="tx1"/>
            </w14:solidFill>
          </w14:textFill>
        </w:rPr>
        <w:t>(General Medical Council, 2023</w:t>
      </w:r>
      <w:r>
        <w:rPr>
          <w:rFonts w:ascii="Arial" w:hAnsi="Arial" w:cs="Arial"/>
          <w:color w:val="000000" w:themeColor="text1"/>
          <w:sz w:val="22"/>
          <w:szCs w:val="22"/>
          <w14:textFill>
            <w14:solidFill>
              <w14:schemeClr w14:val="tx1"/>
            </w14:solidFill>
          </w14:textFill>
        </w:rPr>
        <w:t xml:space="preserve">). These protections include the national minimum wage, defence against unauthorized wage deductions, statutory minimum paid holiday and rest periods, insurance, whistle-blower protection, and the right not to work more than 48 hours on average per week. Employers are obligated to protect their workers' rights and are in charge of doing. Employers must give employees an employment contract that specifies their obligations and rights until it is cancelled or altered with both sides' consent. </w:t>
      </w:r>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On the other hand, employees also have some responsibilities at the workplace. Employees may have the responsibility to keep the workplace safe. The Health and Safety at Work Act 1974 outlines legal information on health and safety responsibilities for employees, and tips for creating a safer workplace are discussed (</w:t>
      </w:r>
      <w:r>
        <w:rPr>
          <w:rFonts w:hint="default" w:ascii="Arial" w:hAnsi="Arial" w:cs="Arial"/>
          <w:color w:val="000000" w:themeColor="text1"/>
          <w:sz w:val="22"/>
          <w:szCs w:val="22"/>
          <w:lang w:val="en-GB"/>
          <w14:textFill>
            <w14:solidFill>
              <w14:schemeClr w14:val="tx1"/>
            </w14:solidFill>
          </w14:textFill>
        </w:rPr>
        <w:t>Jones, 2002</w:t>
      </w:r>
      <w:r>
        <w:rPr>
          <w:rFonts w:ascii="Arial" w:hAnsi="Arial" w:cs="Arial"/>
          <w:color w:val="000000" w:themeColor="text1"/>
          <w:sz w:val="22"/>
          <w:szCs w:val="22"/>
          <w14:textFill>
            <w14:solidFill>
              <w14:schemeClr w14:val="tx1"/>
            </w14:solidFill>
          </w14:textFill>
        </w:rPr>
        <w:t xml:space="preserve">). Safety responsibility guarantees a comfortable working environment for team members, clients, and anyone interacting with staff during working hours. It is critical to assume responsibility for workplace safety to comprehend the consequences of actions and establish a secure workplace. Additionally, it enables people to concentrate on their duties and end pointless side thoughts like questioning security while working. The risk of accidents can be decreased, and productivity can be increased by understanding workplace safety regulations. </w:t>
      </w:r>
    </w:p>
    <w:p>
      <w:pPr>
        <w:pStyle w:val="4"/>
        <w:rPr>
          <w:rFonts w:hint="default"/>
        </w:rPr>
      </w:pPr>
      <w:bookmarkStart w:id="8" w:name="_Toc134035424"/>
      <w:r>
        <w:rPr>
          <w:rFonts w:hint="default"/>
        </w:rPr>
        <w:t>The Employment Rights Act (1996)</w:t>
      </w:r>
      <w:bookmarkEnd w:id="8"/>
    </w:p>
    <w:p>
      <w:pPr>
        <w:spacing w:line="360" w:lineRule="auto"/>
        <w:ind w:firstLine="720"/>
        <w:rPr>
          <w:rFonts w:ascii="Arial" w:hAnsi="Arial" w:cs="Arial"/>
          <w:color w:val="000000" w:themeColor="text1"/>
          <w:highlight w:val="none"/>
          <w14:textFill>
            <w14:solidFill>
              <w14:schemeClr w14:val="tx1"/>
            </w14:solidFill>
          </w14:textFill>
        </w:rPr>
      </w:pPr>
      <w:r>
        <w:rPr>
          <w:rFonts w:ascii="Arial" w:hAnsi="Arial" w:cs="Arial"/>
          <w:color w:val="000000" w:themeColor="text1"/>
          <w14:textFill>
            <w14:solidFill>
              <w14:schemeClr w14:val="tx1"/>
            </w14:solidFill>
          </w14:textFill>
        </w:rPr>
        <w:t>Another important act related to the employment relationships is the Employment Rights Act (1996) (ERA). The ERA protects the rights of workers and employees, especially when it comes to being laid off, taking maternity leave, and being dismissed unfairly. This act also covers areas like “</w:t>
      </w:r>
      <w:r>
        <w:rPr>
          <w:rFonts w:ascii="Arial" w:hAnsi="Arial" w:eastAsia="Arial" w:cs="Arial"/>
          <w:color w:val="000000" w:themeColor="text1"/>
          <w14:textFill>
            <w14:solidFill>
              <w14:schemeClr w14:val="tx1"/>
            </w14:solidFill>
          </w14:textFill>
        </w:rPr>
        <w:t>protection of wages, zero hour contracts, Sunday working, suspension from work, flexible working and termination of employment.</w:t>
      </w:r>
      <w:r>
        <w:rPr>
          <w:rFonts w:ascii="Arial" w:hAnsi="Arial" w:cs="Arial"/>
          <w:color w:val="000000" w:themeColor="text1"/>
          <w14:textFill>
            <w14:solidFill>
              <w14:schemeClr w14:val="tx1"/>
            </w14:solidFill>
          </w14:textFill>
        </w:rPr>
        <w:t xml:space="preserve">“ </w:t>
      </w:r>
      <w:r>
        <w:rPr>
          <w:rFonts w:ascii="Arial" w:hAnsi="Arial" w:cs="Arial"/>
          <w:color w:val="000000" w:themeColor="text1"/>
          <w:highlight w:val="none"/>
          <w14:textFill>
            <w14:solidFill>
              <w14:schemeClr w14:val="tx1"/>
            </w14:solidFill>
          </w14:textFill>
        </w:rPr>
        <w:t xml:space="preserve">(UK Parliament Acts, 2023).  </w:t>
      </w:r>
    </w:p>
    <w:p>
      <w:pPr>
        <w:spacing w:line="360" w:lineRule="auto"/>
        <w:ind w:firstLine="720"/>
        <w:rPr>
          <w:rFonts w:ascii="Arial" w:hAnsi="Arial" w:cs="Arial"/>
          <w:color w:val="000000" w:themeColor="text1"/>
          <w14:textFill>
            <w14:solidFill>
              <w14:schemeClr w14:val="tx1"/>
            </w14:solidFill>
          </w14:textFill>
        </w:rPr>
      </w:pPr>
      <w:r>
        <w:rPr>
          <w:rStyle w:val="12"/>
          <w:rFonts w:ascii="Arial" w:hAnsi="Arial" w:cs="Arial"/>
          <w:color w:val="000000" w:themeColor="text1"/>
          <w:u w:val="none"/>
          <w14:textFill>
            <w14:solidFill>
              <w14:schemeClr w14:val="tx1"/>
            </w14:solidFill>
          </w14:textFill>
        </w:rPr>
        <w:t>Workers have the right to be paid at least the federally mandated minimum wage, to get paid holidays and sufficient vacation time, to have their work schedules adhere to the Working Time Regulations, to be free from unlawful discrimination, bullying, and harassment, and to not be discriminated against because they work fewer than full-time hours (Wolny, 2018). Workers should be paid and given time off according to the schedule and conditions outlined in their employment contracts. Employees are entitled to some benefits from their employers, such as a detailed written employment agreement, a salary that meets the National Minimum Wage, reasonable scheduling accommodations, and safety from unlawful discrimination, bullying, and harassment.</w:t>
      </w:r>
    </w:p>
    <w:p>
      <w:pPr>
        <w:pStyle w:val="4"/>
      </w:pPr>
      <w:bookmarkStart w:id="9" w:name="_Toc134035425"/>
      <w:r>
        <w:rPr>
          <w:rStyle w:val="14"/>
          <w:rFonts w:hint="default"/>
          <w:b/>
          <w:bCs/>
        </w:rPr>
        <w:t>Equality Act 2010</w:t>
      </w:r>
      <w:bookmarkEnd w:id="9"/>
    </w:p>
    <w:p>
      <w:pPr>
        <w:pStyle w:val="13"/>
        <w:spacing w:line="360" w:lineRule="auto"/>
        <w:ind w:firstLine="7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An act that protects people from discrimination in the workplace and broader society, replacing previous anti-discrimination laws with a single act is the Equality Act of 2010 (EA). The EA makes it illegal to treat people differently because of nine protected characteristics, such as sex, religion, pregnancy, race, sexual preference, reversal of gender, disability, age, or being born in the wrong body </w:t>
      </w:r>
      <w:r>
        <w:rPr>
          <w:rFonts w:ascii="Arial" w:hAnsi="Arial" w:cs="Arial"/>
          <w:color w:val="000000" w:themeColor="text1"/>
          <w:sz w:val="22"/>
          <w:szCs w:val="22"/>
          <w:highlight w:val="none"/>
          <w14:textFill>
            <w14:solidFill>
              <w14:schemeClr w14:val="tx1"/>
            </w14:solidFill>
          </w14:textFill>
        </w:rPr>
        <w:t>(Government Equalities Office, 2013).</w:t>
      </w:r>
      <w:r>
        <w:rPr>
          <w:rFonts w:ascii="Arial" w:hAnsi="Arial" w:cs="Arial"/>
          <w:color w:val="000000" w:themeColor="text1"/>
          <w:sz w:val="22"/>
          <w:szCs w:val="22"/>
          <w14:textFill>
            <w14:solidFill>
              <w14:schemeClr w14:val="tx1"/>
            </w14:solidFill>
          </w14:textFill>
        </w:rPr>
        <w:t xml:space="preserve">  EA It lays out the different ways in which to treat someone and strengthens protection in some cases. </w:t>
      </w:r>
    </w:p>
    <w:p>
      <w:pPr>
        <w:pStyle w:val="2"/>
      </w:pPr>
      <w:bookmarkStart w:id="10" w:name="_Toc134035426"/>
      <w:r>
        <w:t>The recruitment process</w:t>
      </w:r>
      <w:bookmarkEnd w:id="10"/>
    </w:p>
    <w:p>
      <w:pPr>
        <w:spacing w:line="360" w:lineRule="auto"/>
        <w:ind w:firstLine="720"/>
        <w:rPr>
          <w:rFonts w:ascii="Arial" w:hAnsi="Arial" w:cs="Arial"/>
          <w:bCs/>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t>The recruitment process involves several components which are job advertisement, job description, person specification, application forms and shortlisting. The candidates need to complete all these steps to get the job (Figure 2).</w:t>
      </w:r>
    </w:p>
    <w:p>
      <w:pPr>
        <w:spacing w:line="360" w:lineRule="auto"/>
        <w:jc w:val="center"/>
        <w:rPr>
          <w:rFonts w:ascii="Arial" w:hAnsi="Arial" w:cs="Arial"/>
          <w:bCs/>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drawing>
          <wp:inline distT="0" distB="0" distL="0" distR="0">
            <wp:extent cx="2362200" cy="1671320"/>
            <wp:effectExtent l="0" t="0" r="0" b="5080"/>
            <wp:docPr id="91594301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pPr>
        <w:spacing w:line="360" w:lineRule="auto"/>
        <w:rPr>
          <w:rFonts w:ascii="Arial" w:hAnsi="Arial" w:cs="Arial"/>
          <w:b/>
          <w:i/>
          <w:iCs/>
          <w:color w:val="000000" w:themeColor="text1"/>
          <w14:textFill>
            <w14:solidFill>
              <w14:schemeClr w14:val="tx1"/>
            </w14:solidFill>
          </w14:textFill>
        </w:rPr>
      </w:pPr>
      <w:r>
        <w:rPr>
          <w:rFonts w:ascii="Arial" w:hAnsi="Arial" w:cs="Arial"/>
          <w:b/>
          <w:i/>
          <w:iCs/>
          <w:color w:val="000000" w:themeColor="text1"/>
          <w14:textFill>
            <w14:solidFill>
              <w14:schemeClr w14:val="tx1"/>
            </w14:solidFill>
          </w14:textFill>
        </w:rPr>
        <w:t xml:space="preserve">Figure 2: </w:t>
      </w:r>
      <w:r>
        <w:rPr>
          <w:rFonts w:ascii="Arial" w:hAnsi="Arial" w:cs="Arial"/>
          <w:bCs/>
          <w:color w:val="000000" w:themeColor="text1"/>
          <w14:textFill>
            <w14:solidFill>
              <w14:schemeClr w14:val="tx1"/>
            </w14:solidFill>
          </w14:textFill>
        </w:rPr>
        <w:t>The Recruitment Process</w:t>
      </w:r>
    </w:p>
    <w:p>
      <w:pPr>
        <w:spacing w:line="360" w:lineRule="auto"/>
        <w:ind w:firstLine="720"/>
        <w:rPr>
          <w:rFonts w:ascii="Arial" w:hAnsi="Arial" w:cs="Arial"/>
          <w:bCs/>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t>The productivity of a company can be traced back to its workers. When hiring new employees, thinking about the entire recruitment and selection process is essential (BBC, 2023).  A thorough job analysis is conducted to determine whether a vacant position must be filled. The information is then utilized to create a job description and candidate specifications. A job description is a written summary of the duties and responsibilities of an open position and the qualifications and experience the ideal candidate must have. A "person specification" is a document used to evaluate candidates for open positions by detailing the necessary and desirable characteristics for success in the work. Then, the vacant position is advertised using the job description, person specification and application form. Each company has their unique application forms that the candidate needs to complete. The person specification is used with the application form and resumes to evaluate the applicant pool. It aids in narrowing down the pool of applicants to those with the most relevant abilities for the position. A shortlist of suitable candidates is created to reduce the number of candidates interviewed. Application forms are compared to the person's specifications and job description to determine the most suitable candidates. These candidates are then invited to interview. The use of technology in the hiring process is becoming more common. Online applications, internet-based advertising, a database housing information on applicants, video conferencing via computer or mobile device, and online tests and assessments can all play a role in the modern hiring process (BBC, 2023).</w:t>
      </w:r>
    </w:p>
    <w:p>
      <w:pPr>
        <w:jc w:val="center"/>
        <w:rPr>
          <w:b/>
          <w:sz w:val="24"/>
          <w:szCs w:val="24"/>
        </w:rPr>
      </w:pPr>
      <w:r>
        <w:rPr>
          <w:b/>
          <w:sz w:val="24"/>
          <w:szCs w:val="24"/>
        </w:rPr>
        <w:t>Reflection of the interview role play</w:t>
      </w:r>
    </w:p>
    <w:p>
      <w:pPr>
        <w:spacing w:line="360" w:lineRule="auto"/>
        <w:ind w:firstLine="720"/>
        <w:rPr>
          <w:rFonts w:ascii="Arial" w:hAnsi="Arial" w:cs="Arial"/>
          <w:bCs/>
        </w:rPr>
      </w:pPr>
      <w:r>
        <w:rPr>
          <w:rFonts w:ascii="Arial" w:hAnsi="Arial" w:cs="Arial"/>
          <w:bCs/>
        </w:rPr>
        <w:t>I took part in a role play of a job interview. I was nervous and excited during the interview, yet I enjoyed it. This role play helped me gain some experience with a real job interview. This also helped me feel confident for a future job application. I felt that I was good at communicating my answers and expressing myself clearly. I also used body language to communicate the messages clearly. I was a little bit disappointed because the interviewer could have asked more questions as I was prepared well for the interview. This role play also helped me realize that too much anxiety may hinder my communication with the interviewer. In conclusion, this role play was a meaningful experience for me that helped me improve my teamwork and communication skills.</w:t>
      </w:r>
    </w:p>
    <w:p>
      <w:pPr>
        <w:pStyle w:val="2"/>
      </w:pPr>
      <w:bookmarkStart w:id="11" w:name="_Toc134035427"/>
      <w:r>
        <w:t>Career development</w:t>
      </w:r>
      <w:bookmarkEnd w:id="11"/>
    </w:p>
    <w:p>
      <w:pPr>
        <w:pStyle w:val="3"/>
        <w:rPr>
          <w:rFonts w:hint="default"/>
        </w:rPr>
      </w:pPr>
      <w:bookmarkStart w:id="12" w:name="_Toc134035428"/>
      <w:r>
        <w:rPr>
          <w:rFonts w:hint="default"/>
        </w:rPr>
        <w:t>Career Path</w:t>
      </w:r>
      <w:bookmarkEnd w:id="12"/>
    </w:p>
    <w:p>
      <w:pPr>
        <w:spacing w:line="360" w:lineRule="auto"/>
        <w:ind w:firstLine="720"/>
        <w:rPr>
          <w:rFonts w:ascii="Arial" w:hAnsi="Arial" w:cs="Arial"/>
          <w:bCs/>
          <w:color w:val="000000" w:themeColor="text1"/>
          <w:highlight w:val="none"/>
          <w14:textFill>
            <w14:solidFill>
              <w14:schemeClr w14:val="tx1"/>
            </w14:solidFill>
          </w14:textFill>
        </w:rPr>
      </w:pPr>
      <w:r>
        <w:rPr>
          <w:rFonts w:ascii="Arial" w:hAnsi="Arial" w:cs="Arial"/>
          <w:bCs/>
          <w:color w:val="000000" w:themeColor="text1"/>
          <w14:textFill>
            <w14:solidFill>
              <w14:schemeClr w14:val="tx1"/>
            </w14:solidFill>
          </w14:textFill>
        </w:rPr>
        <w:t xml:space="preserve">Healthcare assistants work in various healthcare settings, including general practitioners' offices, hospitals, and NHS trusts, and assist with patients' overall care. They help people in multiple settings, including hospitals, nursing homes, and private residences, and their responsibilities vary according to the nature of the place. Working as a healthcare assistant provides transferrable skills that can be used in other fields </w:t>
      </w:r>
      <w:r>
        <w:rPr>
          <w:rFonts w:ascii="Arial" w:hAnsi="Arial" w:cs="Arial"/>
          <w:bCs/>
          <w:color w:val="000000" w:themeColor="text1"/>
          <w:highlight w:val="none"/>
          <w14:textFill>
            <w14:solidFill>
              <w14:schemeClr w14:val="tx1"/>
            </w14:solidFill>
          </w14:textFill>
        </w:rPr>
        <w:t>(</w:t>
      </w:r>
      <w:r>
        <w:rPr>
          <w:rFonts w:ascii="Arial" w:hAnsi="Arial" w:cs="Arial"/>
          <w:color w:val="000000" w:themeColor="text1"/>
          <w:highlight w:val="none"/>
          <w14:textFill>
            <w14:solidFill>
              <w14:schemeClr w14:val="tx1"/>
            </w14:solidFill>
          </w14:textFill>
        </w:rPr>
        <w:t>National Careers Service, 2023</w:t>
      </w:r>
      <w:r>
        <w:rPr>
          <w:rFonts w:ascii="Arial" w:hAnsi="Arial" w:cs="Arial"/>
          <w:bCs/>
          <w:color w:val="000000" w:themeColor="text1"/>
          <w:highlight w:val="none"/>
          <w14:textFill>
            <w14:solidFill>
              <w14:schemeClr w14:val="tx1"/>
            </w14:solidFill>
          </w14:textFill>
        </w:rPr>
        <w:t>).</w:t>
      </w:r>
    </w:p>
    <w:p>
      <w:pPr>
        <w:pStyle w:val="3"/>
        <w:rPr>
          <w:rFonts w:hint="default"/>
        </w:rPr>
      </w:pPr>
      <w:bookmarkStart w:id="13" w:name="_Toc134035429"/>
      <w:r>
        <w:rPr>
          <w:rFonts w:hint="default"/>
        </w:rPr>
        <w:t>SWOT Analysis</w:t>
      </w:r>
      <w:bookmarkEnd w:id="13"/>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pPr>
              <w:spacing w:after="0" w:line="360" w:lineRule="auto"/>
              <w:jc w:val="center"/>
              <w:rPr>
                <w:rFonts w:ascii="Arial" w:hAnsi="Arial" w:cs="Arial"/>
                <w:b/>
                <w:color w:val="000000" w:themeColor="text1"/>
                <w14:textFill>
                  <w14:solidFill>
                    <w14:schemeClr w14:val="tx1"/>
                  </w14:solidFill>
                </w14:textFill>
              </w:rPr>
            </w:pPr>
            <w:r>
              <w:rPr>
                <w:rFonts w:ascii="Arial" w:hAnsi="Arial" w:cs="Arial"/>
                <w:b/>
                <w:color w:val="000000" w:themeColor="text1"/>
                <w14:textFill>
                  <w14:solidFill>
                    <w14:schemeClr w14:val="tx1"/>
                  </w14:solidFill>
                </w14:textFill>
              </w:rPr>
              <w:t>Strengths</w:t>
            </w:r>
          </w:p>
        </w:tc>
        <w:tc>
          <w:tcPr>
            <w:tcW w:w="4508" w:type="dxa"/>
          </w:tcPr>
          <w:p>
            <w:pPr>
              <w:spacing w:after="0" w:line="360" w:lineRule="auto"/>
              <w:jc w:val="center"/>
              <w:rPr>
                <w:rFonts w:ascii="Arial" w:hAnsi="Arial" w:cs="Arial"/>
                <w:b/>
                <w:color w:val="000000" w:themeColor="text1"/>
                <w14:textFill>
                  <w14:solidFill>
                    <w14:schemeClr w14:val="tx1"/>
                  </w14:solidFill>
                </w14:textFill>
              </w:rPr>
            </w:pPr>
            <w:r>
              <w:rPr>
                <w:rFonts w:ascii="Arial" w:hAnsi="Arial" w:cs="Arial"/>
                <w:b/>
                <w:color w:val="000000" w:themeColor="text1"/>
                <w14:textFill>
                  <w14:solidFill>
                    <w14:schemeClr w14:val="tx1"/>
                  </w14:solidFill>
                </w14:textFill>
              </w:rPr>
              <w:t>Weaknesses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Communication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Organization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Adaptability and flexibility</w:t>
            </w:r>
          </w:p>
        </w:tc>
        <w:tc>
          <w:tcPr>
            <w:tcW w:w="4508" w:type="dxa"/>
          </w:tcPr>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Problem solving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Decision making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Digital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Detail-oriented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Teamwork leadership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Active listening skills</w:t>
            </w:r>
          </w:p>
          <w:p>
            <w:pPr>
              <w:spacing w:after="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Critical thinking skills</w:t>
            </w:r>
          </w:p>
        </w:tc>
      </w:tr>
    </w:tbl>
    <w:p>
      <w:pPr>
        <w:spacing w:line="360" w:lineRule="auto"/>
        <w:rPr>
          <w:rFonts w:ascii="Arial" w:hAnsi="Arial" w:cs="Arial"/>
          <w:b/>
          <w:color w:val="000000" w:themeColor="text1"/>
          <w14:textFill>
            <w14:solidFill>
              <w14:schemeClr w14:val="tx1"/>
            </w14:solidFill>
          </w14:textFill>
        </w:rPr>
      </w:pPr>
    </w:p>
    <w:p>
      <w:pPr>
        <w:spacing w:line="360" w:lineRule="auto"/>
        <w:ind w:firstLine="720"/>
        <w:rPr>
          <w:rFonts w:ascii="Arial" w:hAnsi="Arial" w:cs="Arial"/>
          <w:bCs/>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t xml:space="preserve">Employability skills that I possess are good communication and organization skills. I am good at organizing things at work and home. Moreover, I have strong communication skills that help me interact with people at work and with friends. In addition, I am flexible, and I can adapt easily to new environments. I am open to learning new things and new skills. </w:t>
      </w:r>
    </w:p>
    <w:p>
      <w:pPr>
        <w:spacing w:line="360" w:lineRule="auto"/>
        <w:ind w:firstLine="720"/>
        <w:rPr>
          <w:rFonts w:ascii="Arial" w:hAnsi="Arial" w:cs="Arial"/>
          <w:color w:val="000000" w:themeColor="text1"/>
          <w14:textFill>
            <w14:solidFill>
              <w14:schemeClr w14:val="tx1"/>
            </w14:solidFill>
          </w14:textFill>
        </w:rPr>
      </w:pPr>
      <w:r>
        <w:rPr>
          <w:rFonts w:ascii="Arial" w:hAnsi="Arial" w:cs="Arial"/>
          <w:bCs/>
          <w:color w:val="000000" w:themeColor="text1"/>
          <w14:textFill>
            <w14:solidFill>
              <w14:schemeClr w14:val="tx1"/>
            </w14:solidFill>
          </w14:textFill>
        </w:rPr>
        <w:t xml:space="preserve">As the SWOT analysis shows, I need to improve my problem-solving skills to be able to </w:t>
      </w:r>
      <w:r>
        <w:rPr>
          <w:rFonts w:ascii="Arial" w:hAnsi="Arial" w:cs="Arial"/>
          <w:color w:val="000000" w:themeColor="text1"/>
          <w14:textFill>
            <w14:solidFill>
              <w14:schemeClr w14:val="tx1"/>
            </w14:solidFill>
          </w14:textFill>
        </w:rPr>
        <w:t>recognise the issue, isolate its core components, consider potential solutions, take appropriate action to address the issu (Abazov, 2016). I also need to develop my decision-making skills to  make sound and effective decisions at work using my creativity and critical thinking skills (Bortz, 2023). Critical thinking skills may also help me understand difficult tasks and procede with them (</w:t>
      </w:r>
      <w:r>
        <w:rPr>
          <w:rFonts w:hint="default" w:ascii="Arial" w:hAnsi="Arial" w:cs="Arial"/>
          <w:color w:val="000000" w:themeColor="text1"/>
          <w:lang w:val="en-GB"/>
          <w14:textFill>
            <w14:solidFill>
              <w14:schemeClr w14:val="tx1"/>
            </w14:solidFill>
          </w14:textFill>
        </w:rPr>
        <w:t>Woll, 2022</w:t>
      </w:r>
      <w:r>
        <w:rPr>
          <w:rFonts w:ascii="Arial" w:hAnsi="Arial" w:cs="Arial"/>
          <w:color w:val="000000" w:themeColor="text1"/>
          <w14:textFill>
            <w14:solidFill>
              <w14:schemeClr w14:val="tx1"/>
            </w14:solidFill>
          </w14:textFill>
        </w:rPr>
        <w:t>). Moreover, I need to improve my active listening skills to be able to communicate effectively with patients and colleagues. Furthermore, I need to improve my digital skills to be able to use technology competently at the workplace. I also need to improve my detail-oriented skills to be able to focus on a given task, detecting any inaccuracies, mistakes, or modifications before they escalate into a more significant predicament (</w:t>
      </w:r>
      <w:r>
        <w:rPr>
          <w:rFonts w:ascii="Arial" w:hAnsi="Arial" w:cs="Arial"/>
          <w:color w:val="000000" w:themeColor="text1"/>
          <w:highlight w:val="none"/>
          <w14:textFill>
            <w14:solidFill>
              <w14:schemeClr w14:val="tx1"/>
            </w14:solidFill>
          </w14:textFill>
        </w:rPr>
        <w:t>St</w:t>
      </w:r>
      <w:r>
        <w:rPr>
          <w:rFonts w:hint="default" w:ascii="Arial" w:hAnsi="Arial" w:cs="Arial"/>
          <w:color w:val="000000" w:themeColor="text1"/>
          <w:highlight w:val="none"/>
          <w:lang w:val="en-GB"/>
          <w14:textFill>
            <w14:solidFill>
              <w14:schemeClr w14:val="tx1"/>
            </w14:solidFill>
          </w14:textFill>
        </w:rPr>
        <w:t>re</w:t>
      </w:r>
      <w:r>
        <w:rPr>
          <w:rFonts w:ascii="Arial" w:hAnsi="Arial" w:cs="Arial"/>
          <w:color w:val="000000" w:themeColor="text1"/>
          <w:highlight w:val="none"/>
          <w14:textFill>
            <w14:solidFill>
              <w14:schemeClr w14:val="tx1"/>
            </w14:solidFill>
          </w14:textFill>
        </w:rPr>
        <w:t>iff, 2023)</w:t>
      </w:r>
      <w:r>
        <w:rPr>
          <w:rFonts w:ascii="Arial" w:hAnsi="Arial" w:cs="Arial"/>
          <w:color w:val="000000" w:themeColor="text1"/>
          <w14:textFill>
            <w14:solidFill>
              <w14:schemeClr w14:val="tx1"/>
            </w14:solidFill>
          </w14:textFill>
        </w:rPr>
        <w:t>. Finally, I need to develop my teamwork leadership skills to be able to  cooperate with colleagues and work together to achieve a common goal (</w:t>
      </w:r>
      <w:r>
        <w:rPr>
          <w:rFonts w:hint="default" w:ascii="Arial" w:hAnsi="Arial" w:cs="Arial"/>
          <w:color w:val="000000" w:themeColor="text1"/>
          <w:lang w:val="en-GB"/>
          <w14:textFill>
            <w14:solidFill>
              <w14:schemeClr w14:val="tx1"/>
            </w14:solidFill>
          </w14:textFill>
        </w:rPr>
        <w:t>Scully, 2022</w:t>
      </w:r>
      <w:r>
        <w:rPr>
          <w:rFonts w:ascii="Arial" w:hAnsi="Arial" w:cs="Arial"/>
          <w:color w:val="000000" w:themeColor="text1"/>
          <w14:textFill>
            <w14:solidFill>
              <w14:schemeClr w14:val="tx1"/>
            </w14:solidFill>
          </w14:textFill>
        </w:rPr>
        <w:t>).</w:t>
      </w:r>
    </w:p>
    <w:p>
      <w:pPr>
        <w:pStyle w:val="2"/>
      </w:pPr>
      <w:bookmarkStart w:id="14" w:name="_Toc134035430"/>
      <w:r>
        <w:t>Professional development plan</w:t>
      </w:r>
      <w:bookmarkEnd w:id="14"/>
    </w:p>
    <w:p/>
    <w:tbl>
      <w:tblPr>
        <w:tblStyle w:val="15"/>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71"/>
        <w:gridCol w:w="3237"/>
        <w:gridCol w:w="2575"/>
        <w:gridCol w:w="269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pPr>
              <w:spacing w:after="0" w:line="240" w:lineRule="auto"/>
              <w:rPr>
                <w:rFonts w:ascii="Arial" w:hAnsi="Arial" w:cs="Arial"/>
              </w:rPr>
            </w:pPr>
          </w:p>
          <w:p>
            <w:pPr>
              <w:spacing w:after="0" w:line="240" w:lineRule="auto"/>
              <w:rPr>
                <w:rFonts w:ascii="Arial" w:hAnsi="Arial" w:cs="Arial"/>
                <w:b/>
                <w:bCs/>
              </w:rPr>
            </w:pPr>
            <w:r>
              <w:rPr>
                <w:rFonts w:ascii="Arial" w:hAnsi="Arial" w:cs="Arial"/>
              </w:rPr>
              <w:t xml:space="preserve"> </w:t>
            </w:r>
            <w:r>
              <w:rPr>
                <w:rFonts w:ascii="Arial" w:hAnsi="Arial" w:cs="Arial"/>
                <w:b/>
                <w:bCs/>
              </w:rPr>
              <w:t>NAME</w:t>
            </w:r>
          </w:p>
          <w:p>
            <w:pPr>
              <w:spacing w:after="0" w:line="240" w:lineRule="auto"/>
              <w:rPr>
                <w:rFonts w:ascii="Arial" w:hAnsi="Arial" w:cs="Arial"/>
              </w:rPr>
            </w:pPr>
          </w:p>
        </w:tc>
        <w:tc>
          <w:tcPr>
            <w:tcW w:w="3237" w:type="dxa"/>
          </w:tcPr>
          <w:p>
            <w:pPr>
              <w:spacing w:after="0" w:line="240" w:lineRule="auto"/>
              <w:rPr>
                <w:rFonts w:ascii="Arial" w:hAnsi="Arial" w:cs="Arial"/>
              </w:rPr>
            </w:pPr>
            <w:r>
              <w:rPr>
                <w:rFonts w:ascii="Arial" w:hAnsi="Arial" w:cs="Arial"/>
              </w:rPr>
              <w:t>Gyulten Harla</w:t>
            </w:r>
          </w:p>
        </w:tc>
        <w:tc>
          <w:tcPr>
            <w:tcW w:w="2575" w:type="dxa"/>
          </w:tcPr>
          <w:p>
            <w:pPr>
              <w:spacing w:after="0" w:line="240" w:lineRule="auto"/>
              <w:rPr>
                <w:rFonts w:ascii="Arial" w:hAnsi="Arial" w:cs="Arial"/>
                <w:b/>
                <w:bCs/>
              </w:rPr>
            </w:pPr>
            <w:r>
              <w:rPr>
                <w:rFonts w:ascii="Arial" w:hAnsi="Arial" w:cs="Arial"/>
                <w:b/>
                <w:bCs/>
              </w:rPr>
              <w:t>Target Job/career</w:t>
            </w:r>
          </w:p>
          <w:p>
            <w:pPr>
              <w:spacing w:after="0" w:line="240" w:lineRule="auto"/>
              <w:rPr>
                <w:rFonts w:ascii="Arial" w:hAnsi="Arial" w:cs="Arial"/>
              </w:rPr>
            </w:pPr>
            <w:r>
              <w:rPr>
                <w:rFonts w:ascii="Arial" w:hAnsi="Arial" w:cs="Arial"/>
                <w:b/>
                <w:bCs/>
              </w:rPr>
              <w:t xml:space="preserve">Example: </w:t>
            </w:r>
            <w:r>
              <w:rPr>
                <w:rFonts w:ascii="Arial" w:hAnsi="Arial" w:cs="Arial"/>
                <w:i/>
                <w:iCs/>
              </w:rPr>
              <w:t>Teacher, Manager, Business Person</w:t>
            </w:r>
          </w:p>
        </w:tc>
        <w:tc>
          <w:tcPr>
            <w:tcW w:w="2693" w:type="dxa"/>
          </w:tcPr>
          <w:p>
            <w:pPr>
              <w:spacing w:after="0" w:line="240" w:lineRule="auto"/>
              <w:rPr>
                <w:rFonts w:ascii="Arial" w:hAnsi="Arial" w:cs="Arial"/>
              </w:rPr>
            </w:pPr>
            <w:r>
              <w:rPr>
                <w:rFonts w:ascii="Arial" w:hAnsi="Arial" w:cs="Arial"/>
              </w:rPr>
              <w:t>Healthcare assistant</w:t>
            </w:r>
          </w:p>
        </w:tc>
      </w:tr>
    </w:tbl>
    <w:p/>
    <w:tbl>
      <w:tblPr>
        <w:tblStyle w:val="15"/>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2"/>
        <w:gridCol w:w="3685"/>
        <w:gridCol w:w="39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pPr>
              <w:spacing w:after="0" w:line="240" w:lineRule="auto"/>
              <w:rPr>
                <w:rFonts w:ascii="Arial" w:hAnsi="Arial" w:cs="Arial"/>
              </w:rPr>
            </w:pPr>
          </w:p>
          <w:p>
            <w:pPr>
              <w:spacing w:after="0" w:line="240" w:lineRule="auto"/>
              <w:rPr>
                <w:rFonts w:ascii="Arial" w:hAnsi="Arial" w:cs="Arial"/>
                <w:b/>
                <w:bCs/>
              </w:rPr>
            </w:pPr>
            <w:r>
              <w:rPr>
                <w:rFonts w:ascii="Arial" w:hAnsi="Arial" w:cs="Arial"/>
                <w:b/>
                <w:bCs/>
              </w:rPr>
              <w:t>TIME PERIOD</w:t>
            </w:r>
          </w:p>
        </w:tc>
        <w:tc>
          <w:tcPr>
            <w:tcW w:w="3685" w:type="dxa"/>
          </w:tcPr>
          <w:p>
            <w:pPr>
              <w:spacing w:after="0" w:line="240" w:lineRule="auto"/>
              <w:rPr>
                <w:rFonts w:ascii="Arial" w:hAnsi="Arial" w:cs="Arial"/>
              </w:rPr>
            </w:pPr>
          </w:p>
          <w:p>
            <w:pPr>
              <w:spacing w:after="0" w:line="240" w:lineRule="auto"/>
              <w:rPr>
                <w:rFonts w:ascii="Arial" w:hAnsi="Arial" w:cs="Arial"/>
                <w:b/>
                <w:bCs/>
              </w:rPr>
            </w:pPr>
            <w:r>
              <w:rPr>
                <w:rFonts w:ascii="Arial" w:hAnsi="Arial" w:cs="Arial"/>
                <w:b/>
                <w:bCs/>
              </w:rPr>
              <w:t xml:space="preserve">From:  </w:t>
            </w:r>
            <w:r>
              <w:rPr>
                <w:rFonts w:ascii="Arial" w:hAnsi="Arial" w:cs="Arial"/>
              </w:rPr>
              <w:t>May 2023</w:t>
            </w:r>
          </w:p>
        </w:tc>
        <w:tc>
          <w:tcPr>
            <w:tcW w:w="3969" w:type="dxa"/>
          </w:tcPr>
          <w:p>
            <w:pPr>
              <w:spacing w:after="0" w:line="240" w:lineRule="auto"/>
              <w:rPr>
                <w:rFonts w:ascii="Arial" w:hAnsi="Arial" w:cs="Arial"/>
              </w:rPr>
            </w:pPr>
          </w:p>
          <w:p>
            <w:pPr>
              <w:spacing w:after="0" w:line="240" w:lineRule="auto"/>
              <w:rPr>
                <w:rFonts w:ascii="Arial" w:hAnsi="Arial" w:cs="Arial"/>
                <w:b/>
                <w:bCs/>
              </w:rPr>
            </w:pPr>
            <w:r>
              <w:rPr>
                <w:rFonts w:ascii="Arial" w:hAnsi="Arial" w:cs="Arial"/>
                <w:b/>
                <w:bCs/>
              </w:rPr>
              <w:t xml:space="preserve">To: </w:t>
            </w:r>
            <w:r>
              <w:rPr>
                <w:rFonts w:ascii="Arial" w:hAnsi="Arial" w:cs="Arial"/>
              </w:rPr>
              <w:t>June 2025</w:t>
            </w:r>
          </w:p>
        </w:tc>
      </w:tr>
    </w:tbl>
    <w:p/>
    <w:p>
      <w:pPr>
        <w:rPr>
          <w:rFonts w:ascii="Arial" w:hAnsi="Arial" w:cs="Arial"/>
          <w:b/>
          <w:bCs/>
          <w:i/>
          <w:iCs/>
        </w:rPr>
      </w:pPr>
      <w:r>
        <w:rPr>
          <w:rFonts w:ascii="Arial" w:hAnsi="Arial" w:cs="Arial"/>
          <w:b/>
          <w:bCs/>
          <w:i/>
          <w:iCs/>
        </w:rPr>
        <w:t>What Skills do I need to achieve my goal?</w:t>
      </w:r>
    </w:p>
    <w:tbl>
      <w:tblPr>
        <w:tblStyle w:val="15"/>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03"/>
        <w:gridCol w:w="1803"/>
        <w:gridCol w:w="2059"/>
        <w:gridCol w:w="2127"/>
        <w:gridCol w:w="198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 xml:space="preserve">       SKILLS</w:t>
            </w:r>
          </w:p>
        </w:tc>
        <w:tc>
          <w:tcPr>
            <w:tcW w:w="1803" w:type="dxa"/>
          </w:tcPr>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How will I get them</w:t>
            </w:r>
          </w:p>
        </w:tc>
        <w:tc>
          <w:tcPr>
            <w:tcW w:w="2059" w:type="dxa"/>
          </w:tcPr>
          <w:p>
            <w:pPr>
              <w:spacing w:after="0" w:line="240" w:lineRule="auto"/>
              <w:jc w:val="center"/>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What resources or support will I need?</w:t>
            </w: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What can prevent me from achieving my goals: (unemployment, illness</w:t>
            </w:r>
          </w:p>
        </w:tc>
        <w:tc>
          <w:tcPr>
            <w:tcW w:w="1984" w:type="dxa"/>
          </w:tcPr>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How long should it take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0"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Problem-solving skills</w:t>
            </w:r>
          </w:p>
          <w:p>
            <w:pPr>
              <w:spacing w:after="0" w:line="240" w:lineRule="auto"/>
              <w:rPr>
                <w:rFonts w:ascii="Arial" w:hAnsi="Arial" w:cs="Arial"/>
                <w:color w:val="000000" w:themeColor="text1"/>
                <w14:textFill>
                  <w14:solidFill>
                    <w14:schemeClr w14:val="tx1"/>
                  </w14:solidFill>
                </w14:textFill>
              </w:rPr>
            </w:pP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problem-solving module in the Health and Social Care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My lecturers’ support</w:t>
            </w: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Illness that can prevent me from completing my course</w:t>
            </w: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10 weeks for this module</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June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98"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Digital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digital skills module in the Health and Social Care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My lecturers’ and my supervisor’s support</w:t>
            </w: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Illness that can prevent me from completing my course</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Lack of good technological equipment</w:t>
            </w: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10 weeks for this module</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June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37"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Decision making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Critical thinking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decision making  skills module (the Health and Social Care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My lecturers’ and my supervisor’s support</w:t>
            </w: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Illness that can prevent me from completing my course</w:t>
            </w:r>
          </w:p>
          <w:p>
            <w:pPr>
              <w:spacing w:after="0" w:line="240" w:lineRule="auto"/>
              <w:rPr>
                <w:rFonts w:ascii="Arial" w:hAnsi="Arial" w:cs="Arial"/>
                <w:color w:val="000000" w:themeColor="text1"/>
                <w14:textFill>
                  <w14:solidFill>
                    <w14:schemeClr w14:val="tx1"/>
                  </w14:solidFill>
                </w14:textFill>
              </w:rPr>
            </w:pP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10 weeks for this module</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June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Time management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Active listening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Interpersonal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Organization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Caring for the Elderly (online course)</w:t>
            </w: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p>
            <w:pPr>
              <w:spacing w:after="0" w:line="240" w:lineRule="auto"/>
              <w:rPr>
                <w:rFonts w:ascii="Arial" w:hAnsi="Arial" w:cs="Arial"/>
                <w:color w:val="000000" w:themeColor="text1"/>
                <w14:textFill>
                  <w14:solidFill>
                    <w14:schemeClr w14:val="tx1"/>
                  </w14:solidFill>
                </w14:textFill>
              </w:rPr>
            </w:pP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Internet and computer</w:t>
            </w: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Breakdown of the technological equipment or lack of Internet connection</w:t>
            </w: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6 months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December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59"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Organization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Communication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Administration management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Safeguarding Adults at Risk (online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Internet and computer</w:t>
            </w: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Breakdown of the technological equipment or lack of Internet connection</w:t>
            </w: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 month</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March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72" w:hRule="atLeast"/>
        </w:trPr>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Detail-oriented skills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Teamwork leadership skills</w:t>
            </w:r>
          </w:p>
        </w:tc>
        <w:tc>
          <w:tcPr>
            <w:tcW w:w="1803"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First Aid course</w:t>
            </w:r>
          </w:p>
        </w:tc>
        <w:tc>
          <w:tcPr>
            <w:tcW w:w="2059"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Internet and computer</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Notebook and pens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Transporation</w:t>
            </w:r>
          </w:p>
        </w:tc>
        <w:tc>
          <w:tcPr>
            <w:tcW w:w="2127"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Illness that can prevent me from completing my course</w:t>
            </w:r>
          </w:p>
          <w:p>
            <w:pPr>
              <w:spacing w:after="0" w:line="240" w:lineRule="auto"/>
              <w:rPr>
                <w:rFonts w:ascii="Arial" w:hAnsi="Arial" w:cs="Arial"/>
                <w:color w:val="000000" w:themeColor="text1"/>
                <w14:textFill>
                  <w14:solidFill>
                    <w14:schemeClr w14:val="tx1"/>
                  </w14:solidFill>
                </w14:textFill>
              </w:rPr>
            </w:pPr>
          </w:p>
        </w:tc>
        <w:tc>
          <w:tcPr>
            <w:tcW w:w="1984" w:type="dxa"/>
          </w:tcPr>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 weeks</w:t>
            </w:r>
          </w:p>
          <w:p>
            <w:pPr>
              <w:spacing w:after="0" w:line="24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By April 2023</w:t>
            </w:r>
          </w:p>
        </w:tc>
      </w:tr>
    </w:tbl>
    <w:p>
      <w:pPr>
        <w:rPr>
          <w:b/>
          <w:sz w:val="24"/>
          <w:szCs w:val="24"/>
        </w:rPr>
      </w:pPr>
    </w:p>
    <w:p>
      <w:pPr>
        <w:rPr>
          <w:b/>
          <w:sz w:val="24"/>
          <w:szCs w:val="24"/>
        </w:rPr>
      </w:pPr>
    </w:p>
    <w:p>
      <w:pPr>
        <w:rPr>
          <w:b/>
          <w:sz w:val="24"/>
          <w:szCs w:val="24"/>
        </w:rPr>
      </w:pPr>
      <w:r>
        <w:rPr>
          <w:b/>
          <w:sz w:val="24"/>
          <w:szCs w:val="24"/>
        </w:rPr>
        <w:object>
          <v:shape id="_x0000_i1027" o:spt="75" type="#_x0000_t75" style="height:392.1pt;width:392.65pt;" o:ole="t" filled="f" o:preferrelative="t" stroked="f" coordsize="21600,21600">
            <v:path/>
            <v:fill on="f" focussize="0,0"/>
            <v:stroke on="f"/>
            <v:imagedata r:id="rId16" o:title=""/>
            <o:lock v:ext="edit" aspectratio="f"/>
            <w10:wrap type="none"/>
            <w10:anchorlock/>
          </v:shape>
          <o:OLEObject Type="Embed" ProgID="Word.Document.12" ShapeID="_x0000_i1027" DrawAspect="Content" ObjectID="_1468075725" r:id="rId15">
            <o:LockedField>false</o:LockedField>
          </o:OLEObject>
        </w:object>
      </w:r>
    </w:p>
    <w:p>
      <w:pPr>
        <w:rPr>
          <w:rFonts w:ascii="proxima-nova" w:hAnsi="proxima-nova"/>
          <w:color w:val="333333"/>
          <w:shd w:val="clear" w:color="auto" w:fill="FFFFFF"/>
        </w:rPr>
      </w:pPr>
    </w:p>
    <w:p>
      <w:pPr>
        <w:rPr>
          <w:rFonts w:ascii="proxima-nova" w:hAnsi="proxima-nova"/>
          <w:color w:val="333333"/>
          <w:shd w:val="clear" w:color="auto" w:fill="FFFFFF"/>
        </w:rPr>
      </w:pPr>
      <w:r>
        <w:rPr>
          <w:rFonts w:ascii="proxima-nova" w:hAnsi="proxima-nova"/>
          <w:color w:val="333333"/>
          <w:shd w:val="clear" w:color="auto" w:fill="FFFFFF"/>
        </w:rPr>
        <w:object>
          <v:shape id="_x0000_i1028" o:spt="75" type="#_x0000_t75" style="height:683.8pt;width:451.1pt;" o:ole="t" filled="f" o:preferrelative="t" stroked="f" coordsize="21600,21600">
            <v:path/>
            <v:fill on="f" focussize="0,0"/>
            <v:stroke on="f"/>
            <v:imagedata r:id="rId18" o:title=""/>
            <o:lock v:ext="edit" aspectratio="f"/>
            <w10:wrap type="none"/>
            <w10:anchorlock/>
          </v:shape>
          <o:OLEObject Type="Embed" ProgID="Word.Document.12" ShapeID="_x0000_i1028" DrawAspect="Content" ObjectID="_1468075726" r:id="rId17">
            <o:LockedField>false</o:LockedField>
          </o:OLEObject>
        </w:object>
      </w:r>
    </w:p>
    <w:p>
      <w:pPr>
        <w:rPr>
          <w:rFonts w:ascii="proxima-nova" w:hAnsi="proxima-nova"/>
          <w:color w:val="333333"/>
          <w:shd w:val="clear" w:color="auto" w:fill="FFFFFF"/>
        </w:rPr>
      </w:pPr>
      <w:r>
        <w:rPr>
          <w:rFonts w:ascii="proxima-nova" w:hAnsi="proxima-nova"/>
          <w:color w:val="333333"/>
          <w:shd w:val="clear" w:color="auto" w:fill="FFFFFF"/>
        </w:rPr>
        <w:object>
          <v:shape id="_x0000_i1029" o:spt="75" type="#_x0000_t75" style="height:696.25pt;width:451.1pt;" o:ole="t" filled="f" o:preferrelative="t" stroked="f" coordsize="21600,21600">
            <v:path/>
            <v:fill on="f" focussize="0,0"/>
            <v:stroke on="f"/>
            <v:imagedata r:id="rId20" o:title=""/>
            <o:lock v:ext="edit" aspectratio="f"/>
            <w10:wrap type="none"/>
            <w10:anchorlock/>
          </v:shape>
          <o:OLEObject Type="Embed" ProgID="Word.Document.12" ShapeID="_x0000_i1029" DrawAspect="Content" ObjectID="_1468075727" r:id="rId19">
            <o:LockedField>false</o:LockedField>
          </o:OLEObject>
        </w:object>
      </w:r>
    </w:p>
    <w:p>
      <w:pPr>
        <w:rPr>
          <w:rFonts w:ascii="proxima-nova" w:hAnsi="proxima-nova"/>
          <w:color w:val="333333"/>
          <w:shd w:val="clear" w:color="auto" w:fill="FFFFFF"/>
        </w:rPr>
      </w:pPr>
      <w:r>
        <w:rPr>
          <w:rFonts w:ascii="proxima-nova" w:hAnsi="proxima-nova"/>
          <w:color w:val="333333"/>
          <w:shd w:val="clear" w:color="auto" w:fill="FFFFFF"/>
        </w:rPr>
        <w:object>
          <v:shape id="_x0000_i1030" o:spt="75" type="#_x0000_t75" style="height:338.75pt;width:451.1pt;" o:ole="t" filled="f" o:preferrelative="t" stroked="f" coordsize="21600,21600">
            <v:path/>
            <v:fill on="f" focussize="0,0"/>
            <v:stroke on="f"/>
            <v:imagedata r:id="rId22" o:title=""/>
            <o:lock v:ext="edit" aspectratio="f"/>
            <w10:wrap type="none"/>
            <w10:anchorlock/>
          </v:shape>
          <o:OLEObject Type="Embed" ProgID="Word.Document.12" ShapeID="_x0000_i1030" DrawAspect="Content" ObjectID="_1468075728" r:id="rId21">
            <o:LockedField>false</o:LockedField>
          </o:OLEObject>
        </w:object>
      </w:r>
    </w:p>
    <w:p>
      <w:pPr>
        <w:rPr>
          <w:rFonts w:ascii="proxima-nova" w:hAnsi="proxima-nova"/>
          <w:color w:val="333333"/>
          <w:shd w:val="clear" w:color="auto" w:fill="FFFFFF"/>
        </w:rPr>
      </w:pPr>
    </w:p>
    <w:p>
      <w:p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b/>
          <w:bCs/>
          <w:color w:val="000000" w:themeColor="text1"/>
          <w:sz w:val="22"/>
          <w:szCs w:val="22"/>
          <w:shd w:val="clear" w:color="auto" w:fill="FFFFFF"/>
          <w:lang w:val="en-GB"/>
          <w14:textFill>
            <w14:solidFill>
              <w14:schemeClr w14:val="tx1"/>
            </w14:solidFill>
          </w14:textFill>
        </w:rPr>
        <w:t>Interview Questions</w:t>
      </w:r>
      <w:r>
        <w:rPr>
          <w:rFonts w:hint="default" w:ascii="Arial" w:hAnsi="Arial" w:cs="Arial"/>
          <w:color w:val="000000" w:themeColor="text1"/>
          <w:sz w:val="22"/>
          <w:szCs w:val="22"/>
          <w:shd w:val="clear" w:color="auto" w:fill="FFFFFF"/>
          <w:lang w:val="en-GB"/>
          <w14:textFill>
            <w14:solidFill>
              <w14:schemeClr w14:val="tx1"/>
            </w14:solidFill>
          </w14:textFill>
        </w:rPr>
        <w:t>:</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How did younhear about our company?</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Why should we hire you?</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What do you look for in a job?</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In your present job, what problems have you identified that had previously been overlooked?</w:t>
      </w:r>
    </w:p>
    <w:p>
      <w:pPr>
        <w:numPr>
          <w:ilvl w:val="0"/>
          <w:numId w:val="1"/>
        </w:numPr>
        <w:spacing w:line="360" w:lineRule="auto"/>
        <w:rPr>
          <w:rFonts w:hint="default" w:ascii="Arial" w:hAnsi="Arial" w:cs="Arial"/>
          <w:color w:val="000000" w:themeColor="text1"/>
          <w:sz w:val="22"/>
          <w:szCs w:val="22"/>
          <w:shd w:val="clear" w:color="auto" w:fill="FFFFFF"/>
          <w:lang w:val="en-GB"/>
          <w14:textFill>
            <w14:solidFill>
              <w14:schemeClr w14:val="tx1"/>
            </w14:solidFill>
          </w14:textFill>
        </w:rPr>
      </w:pPr>
      <w:r>
        <w:rPr>
          <w:rFonts w:hint="default" w:ascii="Arial" w:hAnsi="Arial" w:cs="Arial"/>
          <w:color w:val="000000" w:themeColor="text1"/>
          <w:sz w:val="22"/>
          <w:szCs w:val="22"/>
          <w:shd w:val="clear" w:color="auto" w:fill="FFFFFF"/>
          <w:lang w:val="en-GB"/>
          <w14:textFill>
            <w14:solidFill>
              <w14:schemeClr w14:val="tx1"/>
            </w14:solidFill>
          </w14:textFill>
        </w:rPr>
        <w:t>How would you describe your own personality?</w:t>
      </w: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rPr>
          <w:rFonts w:ascii="proxima-nova" w:hAnsi="proxima-nova"/>
          <w:color w:val="333333"/>
          <w:shd w:val="clear" w:color="auto" w:fill="FFFFFF"/>
        </w:rPr>
      </w:pPr>
    </w:p>
    <w:p>
      <w:pPr>
        <w:pStyle w:val="2"/>
        <w:rPr>
          <w:rFonts w:hint="default" w:ascii="Arial" w:hAnsi="Arial" w:cs="Arial"/>
          <w:sz w:val="22"/>
          <w:szCs w:val="22"/>
        </w:rPr>
      </w:pPr>
      <w:bookmarkStart w:id="15" w:name="_Toc134035431"/>
      <w:r>
        <w:rPr>
          <w:rFonts w:hint="default" w:ascii="Arial" w:hAnsi="Arial" w:cs="Arial"/>
          <w:sz w:val="22"/>
          <w:szCs w:val="22"/>
        </w:rPr>
        <w:t>References</w:t>
      </w:r>
      <w:bookmarkEnd w:id="15"/>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Abazov, R. (2016). </w:t>
      </w:r>
      <w:r>
        <w:rPr>
          <w:rFonts w:hint="default" w:ascii="Arial" w:hAnsi="Arial" w:cs="Arial"/>
          <w:i/>
          <w:iCs/>
          <w:color w:val="000000" w:themeColor="text1"/>
          <w:sz w:val="22"/>
          <w:szCs w:val="22"/>
          <w14:textFill>
            <w14:solidFill>
              <w14:schemeClr w14:val="tx1"/>
            </w14:solidFill>
          </w14:textFill>
        </w:rPr>
        <w:t>How to improve your problem-solving skills</w:t>
      </w:r>
      <w:r>
        <w:rPr>
          <w:rFonts w:hint="default" w:ascii="Arial" w:hAnsi="Arial" w:cs="Arial"/>
          <w:color w:val="000000" w:themeColor="text1"/>
          <w:sz w:val="22"/>
          <w:szCs w:val="22"/>
          <w14:textFill>
            <w14:solidFill>
              <w14:schemeClr w14:val="tx1"/>
            </w14:solidFill>
          </w14:textFill>
        </w:rPr>
        <w:t xml:space="preserve"> [online]</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"https://www.topuniversities.com/blog/how-improve-your-problem-solving-skills."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https://www.topuniversities.com/blog/how-improve-your-problem-solving-skills.</w:t>
      </w:r>
      <w:r>
        <w:rPr>
          <w:rStyle w:val="12"/>
          <w:rFonts w:hint="default" w:ascii="Arial" w:hAnsi="Arial" w:cs="Arial"/>
          <w:color w:val="000000" w:themeColor="text1"/>
          <w:sz w:val="22"/>
          <w:szCs w:val="22"/>
          <w14:textFill>
            <w14:solidFill>
              <w14:schemeClr w14:val="tx1"/>
            </w14:solidFill>
          </w14:textFill>
        </w:rPr>
        <w:fldChar w:fldCharType="end"/>
      </w:r>
      <w:r>
        <w:rPr>
          <w:rStyle w:val="12"/>
          <w:rFonts w:hint="default" w:ascii="Arial" w:hAnsi="Arial" w:cs="Arial"/>
          <w:color w:val="000000" w:themeColor="text1"/>
          <w:sz w:val="22"/>
          <w:szCs w:val="22"/>
          <w:lang w:val="en-GB"/>
          <w14:textFill>
            <w14:solidFill>
              <w14:schemeClr w14:val="tx1"/>
            </w14:solidFill>
          </w14:textFill>
        </w:rPr>
        <w:t xml:space="preserve"> (Accessed 2 April 2023).</w:t>
      </w: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Bilevičienė T., Bilevičiūtė E., &amp; Drakšas R. (2016). Employment as a factor of life quality, </w:t>
      </w:r>
      <w:r>
        <w:rPr>
          <w:rFonts w:hint="default" w:ascii="Arial" w:hAnsi="Arial" w:cs="Arial"/>
          <w:i/>
          <w:iCs/>
          <w:color w:val="000000" w:themeColor="text1"/>
          <w:sz w:val="22"/>
          <w:szCs w:val="22"/>
          <w14:textFill>
            <w14:solidFill>
              <w14:schemeClr w14:val="tx1"/>
            </w14:solidFill>
          </w14:textFill>
        </w:rPr>
        <w:t>Journal of International Studies</w:t>
      </w:r>
      <w:r>
        <w:rPr>
          <w:rFonts w:hint="default" w:ascii="Arial" w:hAnsi="Arial" w:cs="Arial"/>
          <w:color w:val="000000" w:themeColor="text1"/>
          <w:sz w:val="22"/>
          <w:szCs w:val="22"/>
          <w14:textFill>
            <w14:solidFill>
              <w14:schemeClr w14:val="tx1"/>
            </w14:solidFill>
          </w14:textFill>
        </w:rPr>
        <w:t>, 9(3), 203-216. DOI: 10.14254/2071-8330.2016/9-3/16</w:t>
      </w:r>
    </w:p>
    <w:p>
      <w:pPr>
        <w:spacing w:line="360" w:lineRule="auto"/>
        <w:rPr>
          <w:rFonts w:hint="default" w:ascii="Arial" w:hAnsi="Arial" w:cs="Arial"/>
          <w:color w:val="000000" w:themeColor="text1"/>
          <w:sz w:val="22"/>
          <w:szCs w:val="22"/>
          <w:shd w:val="clear" w:color="auto" w:fill="FFFFFF"/>
          <w14:textFill>
            <w14:solidFill>
              <w14:schemeClr w14:val="tx1"/>
            </w14:solidFill>
          </w14:textFill>
        </w:rPr>
      </w:pPr>
      <w:r>
        <w:rPr>
          <w:rFonts w:hint="default" w:ascii="Arial" w:hAnsi="Arial" w:cs="Arial"/>
          <w:color w:val="000000" w:themeColor="text1"/>
          <w:sz w:val="22"/>
          <w:szCs w:val="22"/>
          <w:shd w:val="clear" w:color="auto" w:fill="FFFFFF"/>
          <w14:textFill>
            <w14:solidFill>
              <w14:schemeClr w14:val="tx1"/>
            </w14:solidFill>
          </w14:textFill>
        </w:rPr>
        <w:t>Bottomley, J., Cartney, P. and Pryjmachuk, S. (2019) </w:t>
      </w:r>
      <w:r>
        <w:rPr>
          <w:rStyle w:val="8"/>
          <w:rFonts w:hint="default" w:ascii="Arial" w:hAnsi="Arial" w:cs="Arial"/>
          <w:color w:val="000000" w:themeColor="text1"/>
          <w:sz w:val="22"/>
          <w:szCs w:val="22"/>
          <w:shd w:val="clear" w:color="auto" w:fill="FFFFFF"/>
          <w14:textFill>
            <w14:solidFill>
              <w14:schemeClr w14:val="tx1"/>
            </w14:solidFill>
          </w14:textFill>
        </w:rPr>
        <w:t>Critical Thinking Skills for your Social Work Degree</w:t>
      </w:r>
      <w:r>
        <w:rPr>
          <w:rFonts w:hint="default" w:ascii="Arial" w:hAnsi="Arial" w:cs="Arial"/>
          <w:color w:val="000000" w:themeColor="text1"/>
          <w:sz w:val="22"/>
          <w:szCs w:val="22"/>
          <w:shd w:val="clear" w:color="auto" w:fill="FFFFFF"/>
          <w14:textFill>
            <w14:solidFill>
              <w14:schemeClr w14:val="tx1"/>
            </w14:solidFill>
          </w14:textFill>
        </w:rPr>
        <w:t xml:space="preserve">, New York: Critical Publishing. </w:t>
      </w:r>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Bortz, D. (2023). </w:t>
      </w:r>
      <w:r>
        <w:rPr>
          <w:rFonts w:hint="default" w:ascii="Arial" w:hAnsi="Arial" w:cs="Arial"/>
          <w:i/>
          <w:iCs/>
          <w:color w:val="000000" w:themeColor="text1"/>
          <w:sz w:val="22"/>
          <w:szCs w:val="22"/>
          <w14:textFill>
            <w14:solidFill>
              <w14:schemeClr w14:val="tx1"/>
            </w14:solidFill>
          </w14:textFill>
        </w:rPr>
        <w:t xml:space="preserve">Steps to Improve Your Decision-Making Skills </w:t>
      </w:r>
      <w:r>
        <w:rPr>
          <w:rFonts w:hint="default" w:ascii="Arial" w:hAnsi="Arial" w:cs="Arial"/>
          <w:color w:val="000000" w:themeColor="text1"/>
          <w:sz w:val="22"/>
          <w:szCs w:val="22"/>
          <w14:textFill>
            <w14:solidFill>
              <w14:schemeClr w14:val="tx1"/>
            </w14:solidFill>
          </w14:textFill>
        </w:rPr>
        <w:t>[online]</w:t>
      </w:r>
      <w:r>
        <w:rPr>
          <w:rFonts w:hint="default" w:ascii="Arial" w:hAnsi="Arial" w:cs="Arial"/>
          <w:color w:val="000000" w:themeColor="text1"/>
          <w:sz w:val="22"/>
          <w:szCs w:val="22"/>
          <w:lang w:val="en-GB"/>
          <w14:textFill>
            <w14:solidFill>
              <w14:schemeClr w14:val="tx1"/>
            </w14:solidFill>
          </w14:textFill>
        </w:rPr>
        <w:t xml:space="preserve">. </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"https://www.monster.com/career-advice/article/decision-making-skills."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https://www.monster.com/career-advice/article/decision-making-skills.</w:t>
      </w:r>
      <w:r>
        <w:rPr>
          <w:rStyle w:val="12"/>
          <w:rFonts w:hint="default" w:ascii="Arial" w:hAnsi="Arial" w:cs="Arial"/>
          <w:color w:val="000000" w:themeColor="text1"/>
          <w:sz w:val="22"/>
          <w:szCs w:val="22"/>
          <w14:textFill>
            <w14:solidFill>
              <w14:schemeClr w14:val="tx1"/>
            </w14:solidFill>
          </w14:textFill>
        </w:rPr>
        <w:fldChar w:fldCharType="end"/>
      </w:r>
      <w:r>
        <w:rPr>
          <w:rStyle w:val="12"/>
          <w:rFonts w:hint="default" w:ascii="Arial" w:hAnsi="Arial" w:cs="Arial"/>
          <w:color w:val="000000" w:themeColor="text1"/>
          <w:sz w:val="22"/>
          <w:szCs w:val="22"/>
          <w:lang w:val="en-GB"/>
          <w14:textFill>
            <w14:solidFill>
              <w14:schemeClr w14:val="tx1"/>
            </w14:solidFill>
          </w14:textFill>
        </w:rPr>
        <w:t xml:space="preserve">  (Accessed 22 April 2023).</w:t>
      </w:r>
    </w:p>
    <w:p>
      <w:pPr>
        <w:pStyle w:val="13"/>
        <w:spacing w:before="0" w:beforeAutospacing="0" w:after="210" w:afterAutospacing="0" w:line="360" w:lineRule="auto"/>
        <w:rPr>
          <w:rStyle w:val="12"/>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BBC (2023). </w:t>
      </w:r>
      <w:r>
        <w:rPr>
          <w:rFonts w:hint="default" w:ascii="Arial" w:hAnsi="Arial" w:cs="Arial"/>
          <w:i/>
          <w:iCs/>
          <w:color w:val="000000" w:themeColor="text1"/>
          <w:sz w:val="22"/>
          <w:szCs w:val="22"/>
          <w14:textFill>
            <w14:solidFill>
              <w14:schemeClr w14:val="tx1"/>
            </w14:solidFill>
          </w14:textFill>
        </w:rPr>
        <w:t>The role of technology in recruitment and selection - Recruitment and selection -</w:t>
      </w:r>
      <w:r>
        <w:rPr>
          <w:rFonts w:hint="default" w:ascii="Arial" w:hAnsi="Arial" w:cs="Arial"/>
          <w:color w:val="000000" w:themeColor="text1"/>
          <w:sz w:val="22"/>
          <w:szCs w:val="22"/>
          <w14:textFill>
            <w14:solidFill>
              <w14:schemeClr w14:val="tx1"/>
            </w14:solidFill>
          </w14:textFill>
        </w:rPr>
        <w:t xml:space="preserve"> National 5 Business management Revision [online].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"https://www.bbc.co.uk/bitesize/guides/z3s9fcw/revision/4."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https://www.bbc.co.uk/bitesize/guides/z3s9fcw/revision/4.</w:t>
      </w:r>
      <w:r>
        <w:rPr>
          <w:rStyle w:val="12"/>
          <w:rFonts w:hint="default" w:ascii="Arial" w:hAnsi="Arial" w:cs="Arial"/>
          <w:color w:val="000000" w:themeColor="text1"/>
          <w:sz w:val="22"/>
          <w:szCs w:val="22"/>
          <w14:textFill>
            <w14:solidFill>
              <w14:schemeClr w14:val="tx1"/>
            </w14:solidFill>
          </w14:textFill>
        </w:rPr>
        <w:fldChar w:fldCharType="end"/>
      </w:r>
    </w:p>
    <w:p>
      <w:pPr>
        <w:pStyle w:val="13"/>
        <w:spacing w:before="0" w:beforeAutospacing="0" w:after="210" w:afterAutospacing="0" w:line="360" w:lineRule="auto"/>
        <w:rPr>
          <w:rStyle w:val="12"/>
          <w:rFonts w:hint="default"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Government Equalities Office (2013). </w:t>
      </w:r>
      <w:r>
        <w:rPr>
          <w:rFonts w:hint="default" w:ascii="Arial" w:hAnsi="Arial" w:cs="Arial"/>
          <w:i/>
          <w:iCs/>
          <w:color w:val="000000" w:themeColor="text1"/>
          <w:sz w:val="22"/>
          <w:szCs w:val="22"/>
          <w14:textFill>
            <w14:solidFill>
              <w14:schemeClr w14:val="tx1"/>
            </w14:solidFill>
          </w14:textFill>
        </w:rPr>
        <w:t xml:space="preserve">Equality Act 2010: guidance </w:t>
      </w:r>
      <w:r>
        <w:rPr>
          <w:rFonts w:hint="default" w:ascii="Arial" w:hAnsi="Arial" w:cs="Arial"/>
          <w:color w:val="000000" w:themeColor="text1"/>
          <w:sz w:val="22"/>
          <w:szCs w:val="22"/>
          <w14:textFill>
            <w14:solidFill>
              <w14:schemeClr w14:val="tx1"/>
            </w14:solidFill>
          </w14:textFill>
        </w:rPr>
        <w:t xml:space="preserve"> [online]. GOV.UK. Available at: </w:t>
      </w:r>
      <w:r>
        <w:rPr>
          <w:rFonts w:hint="default" w:ascii="Arial" w:hAnsi="Arial" w:cs="Arial"/>
          <w:sz w:val="22"/>
          <w:szCs w:val="22"/>
        </w:rPr>
        <w:fldChar w:fldCharType="begin"/>
      </w:r>
      <w:r>
        <w:rPr>
          <w:rFonts w:hint="default" w:ascii="Arial" w:hAnsi="Arial" w:cs="Arial"/>
          <w:sz w:val="22"/>
          <w:szCs w:val="22"/>
        </w:rPr>
        <w:instrText xml:space="preserve"> HYPERLINK "https://www.gov.uk/guidance/equality-act-2010-guidance#equalities-act-2010-legislation."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https://www.gov.uk/guidance/equality-act-2010-guidance#equalities-act-2010-legislation.</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8 April 2023).</w:t>
      </w: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General Medical Council (2023). </w:t>
      </w:r>
      <w:r>
        <w:rPr>
          <w:rFonts w:hint="default" w:ascii="Arial" w:hAnsi="Arial" w:cs="Arial"/>
          <w:i/>
          <w:iCs/>
          <w:color w:val="000000" w:themeColor="text1"/>
          <w:sz w:val="22"/>
          <w:szCs w:val="22"/>
          <w14:textFill>
            <w14:solidFill>
              <w14:schemeClr w14:val="tx1"/>
            </w14:solidFill>
          </w14:textFill>
        </w:rPr>
        <w:t xml:space="preserve"> Responsibilities of Employers </w:t>
      </w:r>
      <w:r>
        <w:rPr>
          <w:rFonts w:hint="default" w:ascii="Arial" w:hAnsi="Arial" w:cs="Arial"/>
          <w:color w:val="000000" w:themeColor="text1"/>
          <w:sz w:val="22"/>
          <w:szCs w:val="22"/>
          <w14:textFill>
            <w14:solidFill>
              <w14:schemeClr w14:val="tx1"/>
            </w14:solidFill>
          </w14:textFill>
        </w:rPr>
        <w:t xml:space="preserve">[online].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"https://www.gmc-uk.org/."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https://www.gmc-uk.org/.</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2 April 2023).</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Health and Safety Executive (2023). </w:t>
      </w:r>
      <w:r>
        <w:rPr>
          <w:rFonts w:hint="default" w:ascii="Arial" w:hAnsi="Arial" w:cs="Arial"/>
          <w:i/>
          <w:iCs/>
          <w:color w:val="000000" w:themeColor="text1"/>
          <w:sz w:val="22"/>
          <w:szCs w:val="22"/>
          <w14:textFill>
            <w14:solidFill>
              <w14:schemeClr w14:val="tx1"/>
            </w14:solidFill>
          </w14:textFill>
        </w:rPr>
        <w:t xml:space="preserve">Employer’s responsibilities: Workers’ Health and Safety </w:t>
      </w:r>
      <w:r>
        <w:rPr>
          <w:rFonts w:hint="default" w:ascii="Arial" w:hAnsi="Arial" w:cs="Arial"/>
          <w:color w:val="000000" w:themeColor="text1"/>
          <w:sz w:val="22"/>
          <w:szCs w:val="22"/>
          <w14:textFill>
            <w14:solidFill>
              <w14:schemeClr w14:val="tx1"/>
            </w14:solidFill>
          </w14:textFill>
        </w:rPr>
        <w:t xml:space="preserve">[online].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"https://www.hse.gov.uk/workers/employers.htm."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https://www.hse.gov.uk/workers/employers.htm.</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25 March 2023)</w:t>
      </w:r>
      <w:r>
        <w:rPr>
          <w:rFonts w:hint="default" w:ascii="Arial" w:hAnsi="Arial" w:cs="Arial"/>
          <w:color w:val="000000" w:themeColor="text1"/>
          <w:sz w:val="22"/>
          <w:szCs w:val="22"/>
          <w:lang w:val="en-GB"/>
          <w14:textFill>
            <w14:solidFill>
              <w14:schemeClr w14:val="tx1"/>
            </w14:solidFill>
          </w14:textFill>
        </w:rPr>
        <w:t>.</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Jones, S.</w:t>
      </w:r>
      <w:r>
        <w:rPr>
          <w:rFonts w:hint="default" w:ascii="Arial" w:hAnsi="Arial" w:eastAsia="Segoe UI" w:cs="Arial"/>
          <w:i w:val="0"/>
          <w:iCs w:val="0"/>
          <w:caps w:val="0"/>
          <w:color w:val="000000" w:themeColor="text1"/>
          <w:spacing w:val="0"/>
          <w:sz w:val="22"/>
          <w:szCs w:val="22"/>
          <w:shd w:val="clear" w:fill="FCFCFC"/>
          <w:lang w:val="en-GB"/>
          <w14:textFill>
            <w14:solidFill>
              <w14:schemeClr w14:val="tx1"/>
            </w14:solidFill>
          </w14:textFill>
        </w:rPr>
        <w:t>( 2002).</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xml:space="preserve"> Employee Rights, Employee Responsibilities and Knowledge Sharing in Intelligent Organization. </w:t>
      </w:r>
      <w:r>
        <w:rPr>
          <w:rFonts w:hint="default" w:ascii="Arial" w:hAnsi="Arial" w:eastAsia="Segoe UI" w:cs="Arial"/>
          <w:i/>
          <w:iCs/>
          <w:caps w:val="0"/>
          <w:color w:val="000000" w:themeColor="text1"/>
          <w:spacing w:val="0"/>
          <w:sz w:val="22"/>
          <w:szCs w:val="22"/>
          <w:shd w:val="clear" w:fill="FCFCFC"/>
          <w14:textFill>
            <w14:solidFill>
              <w14:schemeClr w14:val="tx1"/>
            </w14:solidFill>
          </w14:textFill>
        </w:rPr>
        <w:t>Employee Responsibilities and Rights Journal</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w:t>
      </w:r>
      <w:r>
        <w:rPr>
          <w:rFonts w:hint="default" w:ascii="Arial" w:hAnsi="Arial" w:eastAsia="Segoe UI" w:cs="Arial"/>
          <w:b/>
          <w:bCs/>
          <w:i w:val="0"/>
          <w:iCs w:val="0"/>
          <w:caps w:val="0"/>
          <w:color w:val="000000" w:themeColor="text1"/>
          <w:spacing w:val="0"/>
          <w:sz w:val="22"/>
          <w:szCs w:val="22"/>
          <w:shd w:val="clear" w:fill="FCFCFC"/>
          <w14:textFill>
            <w14:solidFill>
              <w14:schemeClr w14:val="tx1"/>
            </w14:solidFill>
          </w14:textFill>
        </w:rPr>
        <w:t>14</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(2002). https://doi.org/10.1023/A:1021119503782</w:t>
      </w:r>
      <w:r>
        <w:rPr>
          <w:rFonts w:hint="default" w:ascii="Arial" w:hAnsi="Arial" w:eastAsia="Segoe UI" w:cs="Arial"/>
          <w:i w:val="0"/>
          <w:iCs w:val="0"/>
          <w:caps w:val="0"/>
          <w:color w:val="000000" w:themeColor="text1"/>
          <w:spacing w:val="0"/>
          <w:sz w:val="22"/>
          <w:szCs w:val="22"/>
          <w:shd w:val="clear" w:fill="FCFCFC"/>
          <w:lang w:val="en-GB"/>
          <w14:textFill>
            <w14:solidFill>
              <w14:schemeClr w14:val="tx1"/>
            </w14:solidFill>
          </w14:textFill>
        </w:rPr>
        <w:t>.</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National Careers Service (2023). </w:t>
      </w:r>
      <w:r>
        <w:rPr>
          <w:rFonts w:hint="default" w:ascii="Arial" w:hAnsi="Arial" w:cs="Arial"/>
          <w:i/>
          <w:iCs/>
          <w:color w:val="000000" w:themeColor="text1"/>
          <w:sz w:val="22"/>
          <w:szCs w:val="22"/>
          <w14:textFill>
            <w14:solidFill>
              <w14:schemeClr w14:val="tx1"/>
            </w14:solidFill>
          </w14:textFill>
        </w:rPr>
        <w:t xml:space="preserve">Healthcare assistant </w:t>
      </w:r>
      <w:r>
        <w:rPr>
          <w:rFonts w:hint="default" w:ascii="Arial" w:hAnsi="Arial" w:cs="Arial"/>
          <w:color w:val="000000" w:themeColor="text1"/>
          <w:sz w:val="22"/>
          <w:szCs w:val="22"/>
          <w14:textFill>
            <w14:solidFill>
              <w14:schemeClr w14:val="tx1"/>
            </w14:solidFill>
          </w14:textFill>
        </w:rPr>
        <w:t xml:space="preserve"> [online].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"https://nationalcareers.service.gov.uk/job-profiles/healthcare-assistant#:~:text=With%20training%2C%20you%20could%20become"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https://nationalcareers.service.gov.uk/job-profiles/healthcare-assistant#:~:text=With%20training%2C%20you%20could%20become</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28 March 2023).</w:t>
      </w:r>
    </w:p>
    <w:p>
      <w:pPr>
        <w:pStyle w:val="13"/>
        <w:spacing w:before="0" w:beforeAutospacing="0" w:after="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Safety and Health Practitioner (2017). </w:t>
      </w:r>
      <w:r>
        <w:rPr>
          <w:rFonts w:hint="default" w:ascii="Arial" w:hAnsi="Arial" w:cs="Arial"/>
          <w:i/>
          <w:iCs/>
          <w:color w:val="000000" w:themeColor="text1"/>
          <w:sz w:val="22"/>
          <w:szCs w:val="22"/>
          <w14:textFill>
            <w14:solidFill>
              <w14:schemeClr w14:val="tx1"/>
            </w14:solidFill>
          </w14:textFill>
        </w:rPr>
        <w:t>Health and Safety at Work Act 1974 explained.</w:t>
      </w:r>
      <w:r>
        <w:rPr>
          <w:rFonts w:hint="default" w:ascii="Arial" w:hAnsi="Arial" w:cs="Arial"/>
          <w:color w:val="000000" w:themeColor="text1"/>
          <w:sz w:val="22"/>
          <w:szCs w:val="22"/>
          <w14:textFill>
            <w14:solidFill>
              <w14:schemeClr w14:val="tx1"/>
            </w14:solidFill>
          </w14:textFill>
        </w:rPr>
        <w:t xml:space="preserve"> SHP - Health and Safety News, Legislation, PPE, CPD and Resources.[online]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"https://www.shponline.co.uk/legislation-and-guidance/health-and-safety-at-work-1974/"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https://www.shponline.co.uk/legislation-and-guidance/health-and-safety-at-work-1974/</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12 March 2023).</w:t>
      </w:r>
    </w:p>
    <w:p>
      <w:pPr>
        <w:pStyle w:val="13"/>
        <w:spacing w:before="0" w:beforeAutospacing="0" w:after="0" w:afterAutospacing="0" w:line="360" w:lineRule="auto"/>
        <w:rPr>
          <w:rFonts w:hint="default" w:ascii="Arial" w:hAnsi="Arial" w:cs="Arial"/>
          <w:color w:val="000000" w:themeColor="text1"/>
          <w:sz w:val="22"/>
          <w:szCs w:val="22"/>
          <w14:textFill>
            <w14:solidFill>
              <w14:schemeClr w14:val="tx1"/>
            </w14:solidFill>
          </w14:textFill>
        </w:rPr>
      </w:pPr>
    </w:p>
    <w:p>
      <w:pPr>
        <w:pStyle w:val="13"/>
        <w:keepNext w:val="0"/>
        <w:keepLines w:val="0"/>
        <w:widowControl/>
        <w:suppressLineNumbers w:val="0"/>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cs="Arial"/>
          <w:sz w:val="22"/>
          <w:szCs w:val="22"/>
        </w:rPr>
        <w:t xml:space="preserve">Scully, D. (2022). </w:t>
      </w:r>
      <w:r>
        <w:rPr>
          <w:rFonts w:hint="default" w:ascii="Arial" w:hAnsi="Arial" w:cs="Arial"/>
          <w:i/>
          <w:iCs/>
          <w:sz w:val="22"/>
          <w:szCs w:val="22"/>
        </w:rPr>
        <w:t>Leadership &amp; Teamwork</w:t>
      </w:r>
      <w:r>
        <w:rPr>
          <w:rFonts w:hint="default" w:ascii="Arial" w:hAnsi="Arial" w:cs="Arial"/>
          <w:i/>
          <w:iCs/>
          <w:sz w:val="22"/>
          <w:szCs w:val="22"/>
          <w:lang w:val="en-GB"/>
        </w:rPr>
        <w:t xml:space="preserve"> </w:t>
      </w:r>
      <w:r>
        <w:rPr>
          <w:rFonts w:hint="default" w:ascii="Arial" w:hAnsi="Arial" w:cs="Arial"/>
          <w:sz w:val="22"/>
          <w:szCs w:val="22"/>
        </w:rPr>
        <w:t>[online]</w:t>
      </w:r>
      <w:r>
        <w:rPr>
          <w:rFonts w:hint="default" w:ascii="Arial" w:hAnsi="Arial" w:cs="Arial"/>
          <w:sz w:val="22"/>
          <w:szCs w:val="22"/>
          <w:lang w:val="en-GB"/>
        </w:rPr>
        <w:t>.</w:t>
      </w:r>
      <w:r>
        <w:rPr>
          <w:rFonts w:hint="default" w:ascii="Arial" w:hAnsi="Arial" w:cs="Arial"/>
          <w:sz w:val="22"/>
          <w:szCs w:val="22"/>
        </w:rPr>
        <w:t xml:space="preserve"> Available at: </w:t>
      </w:r>
      <w:r>
        <w:rPr>
          <w:rFonts w:hint="default" w:ascii="Arial" w:hAnsi="Arial" w:cs="Arial"/>
          <w:color w:val="000000" w:themeColor="text1"/>
          <w:sz w:val="22"/>
          <w:szCs w:val="22"/>
          <w14:textFill>
            <w14:solidFill>
              <w14:schemeClr w14:val="tx1"/>
            </w14:solidFill>
          </w14:textFill>
        </w:rPr>
        <w:fldChar w:fldCharType="begin"/>
      </w:r>
      <w:r>
        <w:rPr>
          <w:rFonts w:hint="default" w:ascii="Arial" w:hAnsi="Arial" w:cs="Arial"/>
          <w:color w:val="000000" w:themeColor="text1"/>
          <w:sz w:val="22"/>
          <w:szCs w:val="22"/>
          <w14:textFill>
            <w14:solidFill>
              <w14:schemeClr w14:val="tx1"/>
            </w14:solidFill>
          </w14:textFill>
        </w:rPr>
        <w:instrText xml:space="preserve"> HYPERLINK "https://www.teamwork.com/blog/10-ways-leaders-teams/." </w:instrText>
      </w:r>
      <w:r>
        <w:rPr>
          <w:rFonts w:hint="default" w:ascii="Arial" w:hAnsi="Arial" w:cs="Arial"/>
          <w:color w:val="000000" w:themeColor="text1"/>
          <w:sz w:val="22"/>
          <w:szCs w:val="22"/>
          <w14:textFill>
            <w14:solidFill>
              <w14:schemeClr w14:val="tx1"/>
            </w14:solidFill>
          </w14:textFill>
        </w:rPr>
        <w:fldChar w:fldCharType="separate"/>
      </w:r>
      <w:r>
        <w:rPr>
          <w:rStyle w:val="12"/>
          <w:rFonts w:hint="default" w:ascii="Arial" w:hAnsi="Arial" w:cs="Arial"/>
          <w:color w:val="000000" w:themeColor="text1"/>
          <w:sz w:val="22"/>
          <w:szCs w:val="22"/>
          <w14:textFill>
            <w14:solidFill>
              <w14:schemeClr w14:val="tx1"/>
            </w14:solidFill>
          </w14:textFill>
        </w:rPr>
        <w:t>https://www.teamwork.com/blog/10-ways-leaders-teams/.</w:t>
      </w:r>
      <w:r>
        <w:rPr>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lang w:val="en-GB"/>
          <w14:textFill>
            <w14:solidFill>
              <w14:schemeClr w14:val="tx1"/>
            </w14:solidFill>
          </w14:textFill>
        </w:rPr>
        <w:t xml:space="preserve"> (Accessed 23 April 2023).</w:t>
      </w: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Streiff, C. (2023). </w:t>
      </w:r>
      <w:r>
        <w:rPr>
          <w:rFonts w:hint="default" w:ascii="Arial" w:hAnsi="Arial" w:cs="Arial"/>
          <w:i/>
          <w:iCs/>
          <w:color w:val="000000" w:themeColor="text1"/>
          <w:sz w:val="22"/>
          <w:szCs w:val="22"/>
          <w14:textFill>
            <w14:solidFill>
              <w14:schemeClr w14:val="tx1"/>
            </w14:solidFill>
          </w14:textFill>
        </w:rPr>
        <w:t>Detail-Oriented: Why You Need to Show Off This Job Skill</w:t>
      </w:r>
      <w:r>
        <w:rPr>
          <w:rFonts w:hint="default" w:ascii="Arial" w:hAnsi="Arial" w:cs="Arial"/>
          <w:color w:val="000000" w:themeColor="text1"/>
          <w:sz w:val="22"/>
          <w:szCs w:val="22"/>
          <w14:textFill>
            <w14:solidFill>
              <w14:schemeClr w14:val="tx1"/>
            </w14:solidFill>
          </w14:textFill>
        </w:rPr>
        <w:t xml:space="preserve"> [online]</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"https://zety.com/blog/detail-oriented#:~:text=Detail-oriented%20is%20a%20character."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https://zety.com/blog/detail-oriented#:~:text=Detail-oriented%20is%20a%20character.</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Accessed 30 Apr. 2023</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w:t>
      </w:r>
    </w:p>
    <w:p>
      <w:pPr>
        <w:spacing w:line="360" w:lineRule="auto"/>
        <w:rPr>
          <w:rFonts w:hint="default" w:ascii="Arial" w:hAnsi="Arial" w:cs="Arial"/>
          <w:color w:val="000000" w:themeColor="text1"/>
          <w:sz w:val="22"/>
          <w:szCs w:val="22"/>
          <w:shd w:val="clear" w:color="auto" w:fill="FFFFFF"/>
          <w14:textFill>
            <w14:solidFill>
              <w14:schemeClr w14:val="tx1"/>
            </w14:solidFill>
          </w14:textFill>
        </w:rPr>
      </w:pPr>
      <w:r>
        <w:rPr>
          <w:rFonts w:hint="default" w:ascii="Arial" w:hAnsi="Arial" w:cs="Arial"/>
          <w:color w:val="000000" w:themeColor="text1"/>
          <w:sz w:val="22"/>
          <w:szCs w:val="22"/>
          <w:shd w:val="clear" w:color="auto" w:fill="FFFFFF"/>
          <w14:textFill>
            <w14:solidFill>
              <w14:schemeClr w14:val="tx1"/>
            </w14:solidFill>
          </w14:textFill>
        </w:rPr>
        <w:t xml:space="preserve">Trought, F. (2017). </w:t>
      </w:r>
      <w:r>
        <w:rPr>
          <w:rFonts w:hint="default" w:ascii="Arial" w:hAnsi="Arial" w:cs="Arial"/>
          <w:i/>
          <w:color w:val="000000" w:themeColor="text1"/>
          <w:sz w:val="22"/>
          <w:szCs w:val="22"/>
          <w:shd w:val="clear" w:color="auto" w:fill="FFFFFF"/>
          <w14:textFill>
            <w14:solidFill>
              <w14:schemeClr w14:val="tx1"/>
            </w14:solidFill>
          </w14:textFill>
        </w:rPr>
        <w:t>Brilliant employability skills</w:t>
      </w:r>
      <w:r>
        <w:rPr>
          <w:rFonts w:hint="default" w:ascii="Arial" w:hAnsi="Arial" w:cs="Arial"/>
          <w:color w:val="000000" w:themeColor="text1"/>
          <w:sz w:val="22"/>
          <w:szCs w:val="22"/>
          <w:shd w:val="clear" w:color="auto" w:fill="FFFFFF"/>
          <w14:textFill>
            <w14:solidFill>
              <w14:schemeClr w14:val="tx1"/>
            </w14:solidFill>
          </w14:textFill>
        </w:rPr>
        <w:t>. Harlow: Pearson.</w:t>
      </w:r>
    </w:p>
    <w:p>
      <w:pPr>
        <w:spacing w:line="360" w:lineRule="auto"/>
        <w:rPr>
          <w:rFonts w:hint="default" w:ascii="Arial" w:hAnsi="Arial" w:cs="Arial"/>
          <w:color w:val="000000" w:themeColor="text1"/>
          <w:sz w:val="22"/>
          <w:szCs w:val="22"/>
          <w:shd w:val="clear" w:color="auto" w:fill="FFFFFF"/>
          <w14:textFill>
            <w14:solidFill>
              <w14:schemeClr w14:val="tx1"/>
            </w14:solidFill>
          </w14:textFill>
        </w:rPr>
      </w:pPr>
    </w:p>
    <w:p>
      <w:pPr>
        <w:pStyle w:val="13"/>
        <w:spacing w:before="0" w:beforeAutospacing="0" w:after="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UK Parliament Acts (2023). </w:t>
      </w:r>
      <w:r>
        <w:rPr>
          <w:rFonts w:hint="default" w:ascii="Arial" w:hAnsi="Arial" w:cs="Arial"/>
          <w:i/>
          <w:iCs/>
          <w:color w:val="000000" w:themeColor="text1"/>
          <w:sz w:val="22"/>
          <w:szCs w:val="22"/>
          <w14:textFill>
            <w14:solidFill>
              <w14:schemeClr w14:val="tx1"/>
            </w14:solidFill>
          </w14:textFill>
        </w:rPr>
        <w:t xml:space="preserve">Employment Rights Act 1996 </w:t>
      </w:r>
      <w:r>
        <w:rPr>
          <w:rFonts w:hint="default" w:ascii="Arial" w:hAnsi="Arial" w:cs="Arial"/>
          <w:color w:val="000000" w:themeColor="text1"/>
          <w:sz w:val="22"/>
          <w:szCs w:val="22"/>
          <w14:textFill>
            <w14:solidFill>
              <w14:schemeClr w14:val="tx1"/>
            </w14:solidFill>
          </w14:textFill>
        </w:rPr>
        <w:t xml:space="preserve"> [online]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"https://www.lexisnexis.co.uk/legal/legislation/uk-parliament-acts/employment-rights-act-1996-c18"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https://www.lexisnexis.co.uk/legal/legislation/uk-parliament-acts/employment-rights-act-1996-c18</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9 April 2023)</w:t>
      </w:r>
      <w:r>
        <w:rPr>
          <w:rFonts w:hint="default" w:ascii="Arial" w:hAnsi="Arial" w:cs="Arial"/>
          <w:color w:val="000000" w:themeColor="text1"/>
          <w:sz w:val="22"/>
          <w:szCs w:val="22"/>
          <w:lang w:val="en-GB"/>
          <w14:textFill>
            <w14:solidFill>
              <w14:schemeClr w14:val="tx1"/>
            </w14:solidFill>
          </w14:textFill>
        </w:rPr>
        <w:t>.</w:t>
      </w:r>
    </w:p>
    <w:p>
      <w:pPr>
        <w:pStyle w:val="13"/>
        <w:spacing w:before="0" w:beforeAutospacing="0" w:after="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Wolny, A. (2018.). </w:t>
      </w:r>
      <w:r>
        <w:rPr>
          <w:rFonts w:hint="default" w:ascii="Arial" w:hAnsi="Arial" w:cs="Arial"/>
          <w:i/>
          <w:iCs/>
          <w:color w:val="000000" w:themeColor="text1"/>
          <w:sz w:val="22"/>
          <w:szCs w:val="22"/>
          <w14:textFill>
            <w14:solidFill>
              <w14:schemeClr w14:val="tx1"/>
            </w14:solidFill>
          </w14:textFill>
        </w:rPr>
        <w:t xml:space="preserve">The facts: Employee rights and responsibilities </w:t>
      </w:r>
      <w:r>
        <w:rPr>
          <w:rFonts w:hint="default" w:ascii="Arial" w:hAnsi="Arial" w:cs="Arial"/>
          <w:color w:val="000000" w:themeColor="text1"/>
          <w:sz w:val="22"/>
          <w:szCs w:val="22"/>
          <w14:textFill>
            <w14:solidFill>
              <w14:schemeClr w14:val="tx1"/>
            </w14:solidFill>
          </w14:textFill>
        </w:rPr>
        <w:t xml:space="preserve">[online]. Available at: </w:t>
      </w:r>
      <w:r>
        <w:rPr>
          <w:rFonts w:hint="default" w:ascii="Arial" w:hAnsi="Arial" w:cs="Arial"/>
          <w:sz w:val="22"/>
          <w:szCs w:val="22"/>
        </w:rPr>
        <w:fldChar w:fldCharType="begin"/>
      </w:r>
      <w:r>
        <w:rPr>
          <w:rFonts w:hint="default" w:ascii="Arial" w:hAnsi="Arial" w:cs="Arial"/>
          <w:sz w:val="22"/>
          <w:szCs w:val="22"/>
        </w:rPr>
        <w:instrText xml:space="preserve"> HYPERLINK "https://www.iris.co.uk/blog/hr/the-facts-employee-rights-and-responsibilities/" </w:instrText>
      </w:r>
      <w:r>
        <w:rPr>
          <w:rFonts w:hint="default" w:ascii="Arial" w:hAnsi="Arial" w:cs="Arial"/>
          <w:sz w:val="22"/>
          <w:szCs w:val="22"/>
        </w:rPr>
        <w:fldChar w:fldCharType="separate"/>
      </w:r>
      <w:r>
        <w:rPr>
          <w:rStyle w:val="12"/>
          <w:rFonts w:hint="default" w:ascii="Arial" w:hAnsi="Arial" w:cs="Arial"/>
          <w:color w:val="000000" w:themeColor="text1"/>
          <w:sz w:val="22"/>
          <w:szCs w:val="22"/>
          <w14:textFill>
            <w14:solidFill>
              <w14:schemeClr w14:val="tx1"/>
            </w14:solidFill>
          </w14:textFill>
        </w:rPr>
        <w:t>https://www.iris.co.uk/blog/hr/the-facts-employee-rights-and-responsibilities/</w:t>
      </w:r>
      <w:r>
        <w:rPr>
          <w:rStyle w:val="12"/>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xml:space="preserve">  (Accessed 28 5 April 2023).</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Wooll, M. (2022).</w:t>
      </w:r>
      <w:r>
        <w:rPr>
          <w:rFonts w:hint="default" w:ascii="Arial" w:hAnsi="Arial" w:cs="Arial"/>
          <w:i/>
          <w:iCs/>
          <w:color w:val="000000" w:themeColor="text1"/>
          <w:sz w:val="22"/>
          <w:szCs w:val="22"/>
          <w14:textFill>
            <w14:solidFill>
              <w14:schemeClr w14:val="tx1"/>
            </w14:solidFill>
          </w14:textFill>
        </w:rPr>
        <w:t xml:space="preserve"> 6 important critical thinking skills you should master</w:t>
      </w:r>
      <w:r>
        <w:rPr>
          <w:rFonts w:hint="default" w:ascii="Arial" w:hAnsi="Arial" w:cs="Arial"/>
          <w:i/>
          <w:iCs/>
          <w:color w:val="000000" w:themeColor="text1"/>
          <w:sz w:val="22"/>
          <w:szCs w:val="22"/>
          <w:lang w:val="en-GB"/>
          <w14:textFill>
            <w14:solidFill>
              <w14:schemeClr w14:val="tx1"/>
            </w14:solidFill>
          </w14:textFill>
        </w:rPr>
        <w:t xml:space="preserve"> </w:t>
      </w:r>
      <w:r>
        <w:rPr>
          <w:rFonts w:hint="default" w:ascii="Arial" w:hAnsi="Arial" w:cs="Arial"/>
          <w:color w:val="000000" w:themeColor="text1"/>
          <w:sz w:val="22"/>
          <w:szCs w:val="22"/>
          <w14:textFill>
            <w14:solidFill>
              <w14:schemeClr w14:val="tx1"/>
            </w14:solidFill>
          </w14:textFill>
        </w:rPr>
        <w:t>[online]</w:t>
      </w:r>
      <w:r>
        <w:rPr>
          <w:rFonts w:hint="default" w:ascii="Arial" w:hAnsi="Arial" w:cs="Arial"/>
          <w:color w:val="000000" w:themeColor="text1"/>
          <w:sz w:val="22"/>
          <w:szCs w:val="22"/>
          <w:lang w:val="en-GB"/>
          <w14:textFill>
            <w14:solidFill>
              <w14:schemeClr w14:val="tx1"/>
            </w14:solidFill>
          </w14:textFill>
        </w:rPr>
        <w:t>.</w:t>
      </w:r>
      <w:r>
        <w:rPr>
          <w:rFonts w:hint="default" w:ascii="Arial" w:hAnsi="Arial" w:cs="Arial"/>
          <w:color w:val="000000" w:themeColor="text1"/>
          <w:sz w:val="22"/>
          <w:szCs w:val="22"/>
          <w14:textFill>
            <w14:solidFill>
              <w14:schemeClr w14:val="tx1"/>
            </w14:solidFill>
          </w14:textFill>
        </w:rPr>
        <w:t xml:space="preserve"> Available at: </w:t>
      </w:r>
      <w:r>
        <w:rPr>
          <w:rFonts w:hint="default" w:ascii="Arial" w:hAnsi="Arial" w:cs="Arial"/>
          <w:color w:val="000000" w:themeColor="text1"/>
          <w:sz w:val="22"/>
          <w:szCs w:val="22"/>
          <w14:textFill>
            <w14:solidFill>
              <w14:schemeClr w14:val="tx1"/>
            </w14:solidFill>
          </w14:textFill>
        </w:rPr>
        <w:fldChar w:fldCharType="begin"/>
      </w:r>
      <w:r>
        <w:rPr>
          <w:rFonts w:hint="default" w:ascii="Arial" w:hAnsi="Arial" w:cs="Arial"/>
          <w:color w:val="000000" w:themeColor="text1"/>
          <w:sz w:val="22"/>
          <w:szCs w:val="22"/>
          <w14:textFill>
            <w14:solidFill>
              <w14:schemeClr w14:val="tx1"/>
            </w14:solidFill>
          </w14:textFill>
        </w:rPr>
        <w:instrText xml:space="preserve"> HYPERLINK "https://www.betterup.com/blog/critical-thinking-skills." </w:instrText>
      </w:r>
      <w:r>
        <w:rPr>
          <w:rFonts w:hint="default" w:ascii="Arial" w:hAnsi="Arial" w:cs="Arial"/>
          <w:color w:val="000000" w:themeColor="text1"/>
          <w:sz w:val="22"/>
          <w:szCs w:val="22"/>
          <w14:textFill>
            <w14:solidFill>
              <w14:schemeClr w14:val="tx1"/>
            </w14:solidFill>
          </w14:textFill>
        </w:rPr>
        <w:fldChar w:fldCharType="separate"/>
      </w:r>
      <w:r>
        <w:rPr>
          <w:rStyle w:val="12"/>
          <w:rFonts w:hint="default" w:ascii="Arial" w:hAnsi="Arial" w:cs="Arial"/>
          <w:color w:val="000000" w:themeColor="text1"/>
          <w:sz w:val="22"/>
          <w:szCs w:val="22"/>
          <w14:textFill>
            <w14:solidFill>
              <w14:schemeClr w14:val="tx1"/>
            </w14:solidFill>
          </w14:textFill>
        </w:rPr>
        <w:t>https://www.betterup.com/blog/critical-thinking-skills.</w:t>
      </w:r>
      <w:r>
        <w:rPr>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lang w:val="en-GB"/>
          <w14:textFill>
            <w14:solidFill>
              <w14:schemeClr w14:val="tx1"/>
            </w14:solidFill>
          </w14:textFill>
        </w:rPr>
        <w:t>(Accessed  14 April 2023).</w:t>
      </w:r>
    </w:p>
    <w:p>
      <w:pPr>
        <w:pStyle w:val="13"/>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bookmarkStart w:id="16" w:name="_GoBack"/>
      <w:bookmarkEnd w:id="16"/>
    </w:p>
    <w:p>
      <w:pPr>
        <w:pStyle w:val="13"/>
        <w:spacing w:before="0" w:beforeAutospacing="0" w:after="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keepNext w:val="0"/>
        <w:keepLines w:val="0"/>
        <w:widowControl/>
        <w:suppressLineNumbers w:val="0"/>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keepNext w:val="0"/>
        <w:keepLines w:val="0"/>
        <w:widowControl/>
        <w:suppressLineNumbers w:val="0"/>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Style w:val="12"/>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Style w:val="12"/>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p>
    <w:p/>
    <w:p/>
    <w:p>
      <w:pPr>
        <w:pStyle w:val="13"/>
        <w:spacing w:before="0" w:beforeAutospacing="0" w:after="210" w:afterAutospacing="0" w:line="360" w:lineRule="auto"/>
        <w:rPr>
          <w:rFonts w:hint="default" w:ascii="Arial" w:hAnsi="Arial" w:cs="Arial"/>
          <w:color w:val="000000" w:themeColor="text1"/>
          <w:sz w:val="22"/>
          <w:szCs w:val="22"/>
          <w14:textFill>
            <w14:solidFill>
              <w14:schemeClr w14:val="tx1"/>
            </w14:solidFill>
          </w14:textFill>
        </w:rPr>
      </w:pP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Jones, S.</w:t>
      </w:r>
      <w:r>
        <w:rPr>
          <w:rFonts w:hint="default" w:ascii="Arial" w:hAnsi="Arial" w:eastAsia="Segoe UI" w:cs="Arial"/>
          <w:i w:val="0"/>
          <w:iCs w:val="0"/>
          <w:caps w:val="0"/>
          <w:color w:val="000000" w:themeColor="text1"/>
          <w:spacing w:val="0"/>
          <w:sz w:val="22"/>
          <w:szCs w:val="22"/>
          <w:shd w:val="clear" w:fill="FCFCFC"/>
          <w:lang w:val="en-GB"/>
          <w14:textFill>
            <w14:solidFill>
              <w14:schemeClr w14:val="tx1"/>
            </w14:solidFill>
          </w14:textFill>
        </w:rPr>
        <w:t>( 2002).</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xml:space="preserve"> Employee Rights, Employee Responsibilities and Knowledge Sharing in Intelligent Organization. </w:t>
      </w:r>
      <w:r>
        <w:rPr>
          <w:rFonts w:hint="default" w:ascii="Arial" w:hAnsi="Arial" w:eastAsia="Segoe UI" w:cs="Arial"/>
          <w:i/>
          <w:iCs/>
          <w:caps w:val="0"/>
          <w:color w:val="000000" w:themeColor="text1"/>
          <w:spacing w:val="0"/>
          <w:sz w:val="22"/>
          <w:szCs w:val="22"/>
          <w:shd w:val="clear" w:fill="FCFCFC"/>
          <w14:textFill>
            <w14:solidFill>
              <w14:schemeClr w14:val="tx1"/>
            </w14:solidFill>
          </w14:textFill>
        </w:rPr>
        <w:t>Employee Responsibilities and Rights Journal</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w:t>
      </w:r>
      <w:r>
        <w:rPr>
          <w:rFonts w:hint="default" w:ascii="Arial" w:hAnsi="Arial" w:eastAsia="Segoe UI" w:cs="Arial"/>
          <w:b/>
          <w:bCs/>
          <w:i w:val="0"/>
          <w:iCs w:val="0"/>
          <w:caps w:val="0"/>
          <w:color w:val="000000" w:themeColor="text1"/>
          <w:spacing w:val="0"/>
          <w:sz w:val="22"/>
          <w:szCs w:val="22"/>
          <w:shd w:val="clear" w:fill="FCFCFC"/>
          <w14:textFill>
            <w14:solidFill>
              <w14:schemeClr w14:val="tx1"/>
            </w14:solidFill>
          </w14:textFill>
        </w:rPr>
        <w:t>14</w:t>
      </w:r>
      <w:r>
        <w:rPr>
          <w:rFonts w:hint="default" w:ascii="Arial" w:hAnsi="Arial" w:eastAsia="Segoe UI" w:cs="Arial"/>
          <w:i w:val="0"/>
          <w:iCs w:val="0"/>
          <w:caps w:val="0"/>
          <w:color w:val="000000" w:themeColor="text1"/>
          <w:spacing w:val="0"/>
          <w:sz w:val="22"/>
          <w:szCs w:val="22"/>
          <w:shd w:val="clear" w:fill="FCFCFC"/>
          <w14:textFill>
            <w14:solidFill>
              <w14:schemeClr w14:val="tx1"/>
            </w14:solidFill>
          </w14:textFill>
        </w:rPr>
        <w:t>,  (2002). https://doi.org/10.1023/A:1021119503782</w:t>
      </w:r>
    </w:p>
    <w:p>
      <w:pPr>
        <w:spacing w:line="360" w:lineRule="auto"/>
        <w:rPr>
          <w:rFonts w:ascii="Arial" w:hAnsi="Arial" w:cs="Arial"/>
          <w:color w:val="000000" w:themeColor="text1"/>
          <w:shd w:val="clear" w:color="auto" w:fill="FFFFFF"/>
          <w14:textFill>
            <w14:solidFill>
              <w14:schemeClr w14:val="tx1"/>
            </w14:solidFill>
          </w14:textFill>
        </w:rPr>
      </w:pPr>
    </w:p>
    <w:p>
      <w:pPr>
        <w:pStyle w:val="13"/>
        <w:spacing w:before="0" w:beforeAutospacing="0" w:after="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0" w:afterAutospacing="0" w:line="360" w:lineRule="auto"/>
        <w:rPr>
          <w:rFonts w:ascii="Arial" w:hAnsi="Arial" w:cs="Arial"/>
          <w:color w:val="000000" w:themeColor="text1"/>
          <w:sz w:val="22"/>
          <w:szCs w:val="22"/>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pStyle w:val="13"/>
        <w:keepNext w:val="0"/>
        <w:keepLines w:val="0"/>
        <w:widowControl/>
        <w:suppressLineNumbers w:val="0"/>
        <w:spacing w:before="0"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Style w:val="12"/>
          <w:rFonts w:hint="default" w:ascii="Arial" w:hAnsi="Arial" w:cs="Arial"/>
          <w:color w:val="000000" w:themeColor="text1"/>
          <w:sz w:val="22"/>
          <w:szCs w:val="22"/>
          <w:lang w:val="en-GB"/>
          <w14:textFill>
            <w14:solidFill>
              <w14:schemeClr w14:val="tx1"/>
            </w14:solidFill>
          </w14:textFill>
        </w:rPr>
      </w:pPr>
    </w:p>
    <w:p>
      <w:pPr>
        <w:pStyle w:val="13"/>
        <w:spacing w:before="0" w:beforeAutospacing="0" w:after="210" w:afterAutospacing="0" w:line="360" w:lineRule="auto"/>
        <w:rPr>
          <w:rFonts w:ascii="Arial" w:hAnsi="Arial" w:cs="Arial"/>
          <w:color w:val="000000" w:themeColor="text1"/>
          <w:sz w:val="22"/>
          <w:szCs w:val="22"/>
          <w14:textFill>
            <w14:solidFill>
              <w14:schemeClr w14:val="tx1"/>
            </w14:solidFill>
          </w14:textFill>
        </w:rPr>
      </w:pPr>
    </w:p>
    <w:p>
      <w:pPr>
        <w:rPr>
          <w:rFonts w:cstheme="minorHAnsi"/>
          <w:color w:val="333333"/>
          <w:sz w:val="24"/>
          <w:szCs w:val="24"/>
          <w:shd w:val="clear" w:color="auto" w:fill="FFFFFF"/>
        </w:rPr>
      </w:pPr>
    </w:p>
    <w:p>
      <w:pPr>
        <w:jc w:val="right"/>
        <w:rPr>
          <w:b/>
          <w:sz w:val="28"/>
          <w:szCs w:val="28"/>
        </w:rPr>
      </w:pPr>
    </w:p>
    <w:p>
      <w:pPr>
        <w:rPr>
          <w:rFonts w:ascii="proxima-nova" w:hAnsi="proxima-nova"/>
          <w:color w:val="333333"/>
          <w:shd w:val="clear" w:color="auto" w:fill="FFFFFF"/>
        </w:rPr>
      </w:pPr>
    </w:p>
    <w:p>
      <w:pPr>
        <w:spacing w:after="0"/>
        <w:rPr>
          <w:sz w:val="24"/>
          <w:szCs w:val="24"/>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rPr>
          <w:b/>
          <w:bCs/>
        </w:rPr>
      </w:pPr>
    </w:p>
    <w:p>
      <w:pPr>
        <w:pStyle w:val="13"/>
        <w:spacing w:before="0" w:beforeAutospacing="0" w:after="210" w:afterAutospacing="0" w:line="360" w:lineRule="auto"/>
      </w:pPr>
    </w:p>
    <w:p>
      <w:pPr>
        <w:jc w:val="right"/>
        <w:rPr>
          <w:b/>
          <w:sz w:val="28"/>
          <w:szCs w:val="28"/>
        </w:rPr>
      </w:pPr>
    </w:p>
    <w:sectPr>
      <w:footerReference r:id="rId6" w:type="first"/>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Calibri Light">
    <w:panose1 w:val="020F0302020204030204"/>
    <w:charset w:val="00"/>
    <w:family w:val="swiss"/>
    <w:pitch w:val="default"/>
    <w:sig w:usb0="E4002EFF" w:usb1="C200247B" w:usb2="00000009" w:usb3="00000000" w:csb0="200001FF" w:csb1="00000000"/>
  </w:font>
  <w:font w:name="proxima-nova">
    <w:altName w:val="Times New Roman"/>
    <w:panose1 w:val="00000000000000000000"/>
    <w:charset w:val="00"/>
    <w:family w:val="roman"/>
    <w:pitch w:val="default"/>
    <w:sig w:usb0="00000000" w:usb1="00000000" w:usb2="00000000" w:usb3="00000000" w:csb0="00000000" w:csb1="00000000"/>
  </w:font>
  <w:font w:name="Helvetica">
    <w:altName w:val="Arial"/>
    <w:panose1 w:val="020B0604020202020204"/>
    <w:charset w:val="00"/>
    <w:family w:val="swiss"/>
    <w:pitch w:val="default"/>
    <w:sig w:usb0="00000000" w:usb1="00000000" w:usb2="00000009" w:usb3="00000000" w:csb0="000001FF" w:csb1="00000000"/>
  </w:font>
  <w:font w:name="Segoe UI">
    <w:panose1 w:val="020B0502040204020203"/>
    <w:charset w:val="00"/>
    <w:family w:val="swiss"/>
    <w:pitch w:val="default"/>
    <w:sig w:usb0="E4002EFF" w:usb1="C000E47F" w:usb2="00000009" w:usb3="00000000" w:csb0="200001FF" w:csb1="00000000"/>
  </w:font>
  <w:font w:name="Rockwell Nova Light">
    <w:panose1 w:val="02060303020205020403"/>
    <w:charset w:val="00"/>
    <w:family w:val="auto"/>
    <w:pitch w:val="default"/>
    <w:sig w:usb0="80000287" w:usb1="00000002" w:usb2="00000000" w:usb3="00000000" w:csb0="0000009F" w:csb1="00000000"/>
  </w:font>
  <w:font w:name="Sylfaen">
    <w:panose1 w:val="010A0502050306030303"/>
    <w:charset w:val="00"/>
    <w:family w:val="auto"/>
    <w:pitch w:val="default"/>
    <w:sig w:usb0="04000687" w:usb1="00000000" w:usb2="00000000" w:usb3="00000000" w:csb0="2000009F" w:csb1="00000000"/>
  </w:font>
  <w:font w:name="Snap ITC">
    <w:panose1 w:val="04040A07060A02020202"/>
    <w:charset w:val="00"/>
    <w:family w:val="auto"/>
    <w:pitch w:val="default"/>
    <w:sig w:usb0="00000003" w:usb1="00000000" w:usb2="00000000" w:usb3="00000000" w:csb0="20000001" w:csb1="00000000"/>
  </w:font>
  <w:font w:name="Cambria Math">
    <w:panose1 w:val="02040503050406030204"/>
    <w:charset w:val="00"/>
    <w:family w:val="auto"/>
    <w:pitch w:val="variable"/>
    <w:sig w:usb0="E00006FF" w:usb1="420024FF" w:usb2="02000000" w:usb3="00000000" w:csb0="2000019F" w:csb1="00000000"/>
  </w:font>
  <w:font w:name="Verdana">
    <w:panose1 w:val="020B0604030504040204"/>
    <w:charset w:val="00"/>
    <w:family w:val="auto"/>
    <w:pitch w:val="variable"/>
    <w:sig w:usb0="A00006FF" w:usb1="4000205B" w:usb2="00000010" w:usb3="00000000" w:csb0="2000019F" w:csb1="00000000"/>
  </w:font>
  <w:font w:name="Arial">
    <w:panose1 w:val="020B0604020202020204"/>
    <w:charset w:val="86"/>
    <w:family w:val="auto"/>
    <w:pitch w:val="default"/>
    <w:sig w:usb0="E0002EFF" w:usb1="C000785B" w:usb2="00000009" w:usb3="00000000" w:csb0="400001FF" w:csb1="FFFF0000"/>
  </w:font>
  <w:font w:name="Arial">
    <w:panose1 w:val="020B0604020202020204"/>
    <w:charset w:val="86"/>
    <w:family w:val="auto"/>
    <w:pitch w:val="default"/>
    <w:sig w:usb0="E0002EFF" w:usb1="C000785B" w:usb2="00000009" w:usb3="00000000" w:csb0="400001FF" w:csb1="FFFF0000"/>
  </w:font>
  <w:font w:name="Arial">
    <w:panose1 w:val="020B0604020202020204"/>
    <w:charset w:val="86"/>
    <w:family w:val="auto"/>
    <w:pitch w:val="default"/>
    <w:sig w:usb0="E0002EFF" w:usb1="C000785B" w:usb2="00000009" w:usb3="00000000" w:csb0="400001FF" w:csb1="FFFF0000"/>
  </w:font>
  <w:font w:name="Arial">
    <w:panose1 w:val="020B0604020202020204"/>
    <w:charset w:val="86"/>
    <w:family w:val="auto"/>
    <w:pitch w:val="default"/>
    <w:sig w:usb0="E0002EFF" w:usb1="C000785B" w:usb2="00000009" w:usb3="00000000" w:csb0="400001FF" w:csb1="FFFF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0"/>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L18zo/MAgAA&#10;IwYAAA4AAAAAAAAAAQAgAAAAHwEAAGRycy9lMm9Eb2MueG1sUEsFBgAAAAAGAAYAWQEAAF0GAAAA&#10;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0"/>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J7C5iHMAgAA&#10;IwYAAA4AAAAAAAAAAQAgAAAAHwEAAGRycy9lMm9Eb2MueG1sUEsFBgAAAAAGAAYAWQEAAF0GAAAA&#10;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0</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92340AB"/>
    <w:multiLevelType w:val="singleLevel"/>
    <w:tmpl w:val="C92340AB"/>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hideSpellingErrors/>
  <w:hideGrammaticalErrors/>
  <w:documentProtection w:enforcement="0"/>
  <w:defaultTabStop w:val="720"/>
  <w:displayHorizontalDrawingGridEvery w:val="1"/>
  <w:displayVerticalDrawingGridEvery w:val="1"/>
  <w:characterSpacingControl w:val="doNotCompress"/>
  <w:footnotePr>
    <w:footnote w:id="0"/>
    <w:footnote w:id="1"/>
  </w:footnotePr>
  <w:endnotePr>
    <w:endnote w:id="0"/>
    <w:endnote w:id="1"/>
  </w:endnotePr>
  <w:compat>
    <w:doNotExpandShiftReturn/>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M2sDAxNDQ0NjE2NLNU0lEKTi0uzszPAykwqgUAcZz6SywAAAA="/>
  </w:docVars>
  <w:rsids>
    <w:rsidRoot w:val="0046175B"/>
    <w:rsid w:val="000E43C5"/>
    <w:rsid w:val="001052A4"/>
    <w:rsid w:val="001253A0"/>
    <w:rsid w:val="00143BEF"/>
    <w:rsid w:val="00164C93"/>
    <w:rsid w:val="0018030C"/>
    <w:rsid w:val="001E21B6"/>
    <w:rsid w:val="00202EF7"/>
    <w:rsid w:val="002253BC"/>
    <w:rsid w:val="00250ACD"/>
    <w:rsid w:val="002E11AB"/>
    <w:rsid w:val="003452F0"/>
    <w:rsid w:val="003B4133"/>
    <w:rsid w:val="003E629C"/>
    <w:rsid w:val="003F679F"/>
    <w:rsid w:val="00440D24"/>
    <w:rsid w:val="0046175B"/>
    <w:rsid w:val="004A3559"/>
    <w:rsid w:val="004C7527"/>
    <w:rsid w:val="0054047C"/>
    <w:rsid w:val="00543A0C"/>
    <w:rsid w:val="00544B5E"/>
    <w:rsid w:val="00574F6B"/>
    <w:rsid w:val="005B22AA"/>
    <w:rsid w:val="0065027C"/>
    <w:rsid w:val="007064EF"/>
    <w:rsid w:val="007C1D28"/>
    <w:rsid w:val="00805535"/>
    <w:rsid w:val="008B0C00"/>
    <w:rsid w:val="00A149B9"/>
    <w:rsid w:val="00B00B39"/>
    <w:rsid w:val="00BF28BA"/>
    <w:rsid w:val="00C1345E"/>
    <w:rsid w:val="00C50B26"/>
    <w:rsid w:val="00C91957"/>
    <w:rsid w:val="00D133E6"/>
    <w:rsid w:val="00D51385"/>
    <w:rsid w:val="00D57F4E"/>
    <w:rsid w:val="00DE27EC"/>
    <w:rsid w:val="00E31C49"/>
    <w:rsid w:val="00E64852"/>
    <w:rsid w:val="00EA2882"/>
    <w:rsid w:val="00EE33EF"/>
    <w:rsid w:val="00EE71B1"/>
    <w:rsid w:val="00FF66D5"/>
    <w:rsid w:val="01CC7C92"/>
    <w:rsid w:val="02640AB0"/>
    <w:rsid w:val="02BE1B09"/>
    <w:rsid w:val="03CF75C5"/>
    <w:rsid w:val="04267B2D"/>
    <w:rsid w:val="043E15EB"/>
    <w:rsid w:val="0462668B"/>
    <w:rsid w:val="04A9250C"/>
    <w:rsid w:val="05CA731F"/>
    <w:rsid w:val="06606A26"/>
    <w:rsid w:val="08161C67"/>
    <w:rsid w:val="083640B7"/>
    <w:rsid w:val="0837398B"/>
    <w:rsid w:val="0890542F"/>
    <w:rsid w:val="08A90A0D"/>
    <w:rsid w:val="08AB638C"/>
    <w:rsid w:val="0A4627B5"/>
    <w:rsid w:val="0A5219E5"/>
    <w:rsid w:val="0A876E4C"/>
    <w:rsid w:val="0C152235"/>
    <w:rsid w:val="0E9D715F"/>
    <w:rsid w:val="0EBD50BE"/>
    <w:rsid w:val="0F00541F"/>
    <w:rsid w:val="10545A22"/>
    <w:rsid w:val="10F64FD8"/>
    <w:rsid w:val="11AD7416"/>
    <w:rsid w:val="12A104E3"/>
    <w:rsid w:val="12A203FE"/>
    <w:rsid w:val="13857CA0"/>
    <w:rsid w:val="1465362D"/>
    <w:rsid w:val="14AD3DC8"/>
    <w:rsid w:val="155344FA"/>
    <w:rsid w:val="159F1150"/>
    <w:rsid w:val="15D66ED9"/>
    <w:rsid w:val="15ED0A79"/>
    <w:rsid w:val="161A7D77"/>
    <w:rsid w:val="163D4ED8"/>
    <w:rsid w:val="16891F34"/>
    <w:rsid w:val="17E92EF4"/>
    <w:rsid w:val="18243F2C"/>
    <w:rsid w:val="18974BF3"/>
    <w:rsid w:val="18D20894"/>
    <w:rsid w:val="194660D8"/>
    <w:rsid w:val="1A495ECC"/>
    <w:rsid w:val="1BCB0BA8"/>
    <w:rsid w:val="1CB25FAA"/>
    <w:rsid w:val="1D2F75FB"/>
    <w:rsid w:val="1E427B8F"/>
    <w:rsid w:val="1E4A0464"/>
    <w:rsid w:val="1EC10726"/>
    <w:rsid w:val="1FA915B5"/>
    <w:rsid w:val="202076CF"/>
    <w:rsid w:val="213A7F82"/>
    <w:rsid w:val="214473ED"/>
    <w:rsid w:val="229B18D4"/>
    <w:rsid w:val="23E3754C"/>
    <w:rsid w:val="23FB4DB4"/>
    <w:rsid w:val="2428354A"/>
    <w:rsid w:val="25777D91"/>
    <w:rsid w:val="26380C61"/>
    <w:rsid w:val="26865BA8"/>
    <w:rsid w:val="26D1189B"/>
    <w:rsid w:val="273F48DE"/>
    <w:rsid w:val="27602AA7"/>
    <w:rsid w:val="27F009DB"/>
    <w:rsid w:val="28EE1408"/>
    <w:rsid w:val="2A8F072F"/>
    <w:rsid w:val="2ADC2444"/>
    <w:rsid w:val="2AFF42E2"/>
    <w:rsid w:val="2B7921B1"/>
    <w:rsid w:val="2CF577ED"/>
    <w:rsid w:val="2E22619F"/>
    <w:rsid w:val="2EB84F76"/>
    <w:rsid w:val="301B50E2"/>
    <w:rsid w:val="30E65DCB"/>
    <w:rsid w:val="34504847"/>
    <w:rsid w:val="34D81ECE"/>
    <w:rsid w:val="351A2EE6"/>
    <w:rsid w:val="354457B6"/>
    <w:rsid w:val="369D6F2B"/>
    <w:rsid w:val="37734130"/>
    <w:rsid w:val="37D01571"/>
    <w:rsid w:val="382D7BA8"/>
    <w:rsid w:val="38FF3ECD"/>
    <w:rsid w:val="393D2C48"/>
    <w:rsid w:val="395802E4"/>
    <w:rsid w:val="395C1320"/>
    <w:rsid w:val="39691347"/>
    <w:rsid w:val="39893797"/>
    <w:rsid w:val="39D92970"/>
    <w:rsid w:val="3A293DEE"/>
    <w:rsid w:val="3B903503"/>
    <w:rsid w:val="3C073099"/>
    <w:rsid w:val="3CDE360A"/>
    <w:rsid w:val="3E83308B"/>
    <w:rsid w:val="3EE20005"/>
    <w:rsid w:val="3FB35A12"/>
    <w:rsid w:val="3FB47094"/>
    <w:rsid w:val="40C63523"/>
    <w:rsid w:val="41384420"/>
    <w:rsid w:val="42BC4BDD"/>
    <w:rsid w:val="42FA5706"/>
    <w:rsid w:val="46537607"/>
    <w:rsid w:val="46F1614B"/>
    <w:rsid w:val="492E7EB7"/>
    <w:rsid w:val="4981092F"/>
    <w:rsid w:val="49886C59"/>
    <w:rsid w:val="49995C78"/>
    <w:rsid w:val="49A96124"/>
    <w:rsid w:val="4A985F30"/>
    <w:rsid w:val="4AC46D25"/>
    <w:rsid w:val="4B06733D"/>
    <w:rsid w:val="4BC863A1"/>
    <w:rsid w:val="4C153BFB"/>
    <w:rsid w:val="4CE27936"/>
    <w:rsid w:val="4D01600E"/>
    <w:rsid w:val="4F93316A"/>
    <w:rsid w:val="5020309B"/>
    <w:rsid w:val="50A3797B"/>
    <w:rsid w:val="515406D7"/>
    <w:rsid w:val="51984184"/>
    <w:rsid w:val="53202F66"/>
    <w:rsid w:val="53286AB5"/>
    <w:rsid w:val="53C726EE"/>
    <w:rsid w:val="53E915AA"/>
    <w:rsid w:val="542425E2"/>
    <w:rsid w:val="542E16B3"/>
    <w:rsid w:val="577530B2"/>
    <w:rsid w:val="57E02CC4"/>
    <w:rsid w:val="57FC1389"/>
    <w:rsid w:val="581417E1"/>
    <w:rsid w:val="58FD03B0"/>
    <w:rsid w:val="5A2C5EFC"/>
    <w:rsid w:val="5B1213E7"/>
    <w:rsid w:val="5C5655E2"/>
    <w:rsid w:val="5CBE327B"/>
    <w:rsid w:val="5D5A7075"/>
    <w:rsid w:val="5D6708AD"/>
    <w:rsid w:val="5DF20276"/>
    <w:rsid w:val="5E6B6091"/>
    <w:rsid w:val="5FA23A48"/>
    <w:rsid w:val="61BE7612"/>
    <w:rsid w:val="61D02DC1"/>
    <w:rsid w:val="624F2F20"/>
    <w:rsid w:val="62D85ADF"/>
    <w:rsid w:val="63320F2E"/>
    <w:rsid w:val="63542B86"/>
    <w:rsid w:val="637D3ABD"/>
    <w:rsid w:val="63A70B3A"/>
    <w:rsid w:val="64A82DBC"/>
    <w:rsid w:val="64AB1777"/>
    <w:rsid w:val="64DC063A"/>
    <w:rsid w:val="65222B6E"/>
    <w:rsid w:val="66825D1B"/>
    <w:rsid w:val="66FD119D"/>
    <w:rsid w:val="685B53D9"/>
    <w:rsid w:val="688558EE"/>
    <w:rsid w:val="69313380"/>
    <w:rsid w:val="693C3AD3"/>
    <w:rsid w:val="697F233D"/>
    <w:rsid w:val="69D70748"/>
    <w:rsid w:val="6A5C3EFA"/>
    <w:rsid w:val="6A7A48B2"/>
    <w:rsid w:val="6AA76463"/>
    <w:rsid w:val="6AC87D14"/>
    <w:rsid w:val="6AE117BF"/>
    <w:rsid w:val="6AEA5EDC"/>
    <w:rsid w:val="6B851761"/>
    <w:rsid w:val="6C12075E"/>
    <w:rsid w:val="6C9A56E0"/>
    <w:rsid w:val="6D0E17B6"/>
    <w:rsid w:val="6D991037"/>
    <w:rsid w:val="6E262897"/>
    <w:rsid w:val="6F631F06"/>
    <w:rsid w:val="6FB70357"/>
    <w:rsid w:val="71ED0060"/>
    <w:rsid w:val="725D7D25"/>
    <w:rsid w:val="731004AA"/>
    <w:rsid w:val="73C3376E"/>
    <w:rsid w:val="74212243"/>
    <w:rsid w:val="758A5A28"/>
    <w:rsid w:val="75DF5FAE"/>
    <w:rsid w:val="760708AE"/>
    <w:rsid w:val="76EC08E6"/>
    <w:rsid w:val="770E1AC9"/>
    <w:rsid w:val="78242730"/>
    <w:rsid w:val="78B30096"/>
    <w:rsid w:val="79181E66"/>
    <w:rsid w:val="7CAA4421"/>
    <w:rsid w:val="7D1312C2"/>
    <w:rsid w:val="7D221505"/>
    <w:rsid w:val="7D49391F"/>
    <w:rsid w:val="7DB879CD"/>
    <w:rsid w:val="7E1352F2"/>
    <w:rsid w:val="7EEF2EF0"/>
    <w:rsid w:val="7FB421BD"/>
    <w:rsid w:val="7FC76394"/>
    <w:rsid w:val="7FCB7C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nhideWhenUsed="0"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0"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22"/>
    <w:qFormat/>
    <w:uiPriority w:val="9"/>
    <w:pPr>
      <w:keepNext/>
      <w:keepLines/>
      <w:spacing w:after="0" w:line="360" w:lineRule="auto"/>
      <w:jc w:val="center"/>
      <w:outlineLvl w:val="0"/>
    </w:pPr>
    <w:rPr>
      <w:rFonts w:ascii="Arial" w:hAnsi="Arial" w:eastAsiaTheme="majorEastAsia" w:cstheme="majorBidi"/>
      <w:b/>
      <w:color w:val="000000" w:themeColor="text1"/>
      <w:szCs w:val="32"/>
      <w14:textFill>
        <w14:solidFill>
          <w14:schemeClr w14:val="tx1"/>
        </w14:solidFill>
      </w14:textFill>
    </w:rPr>
  </w:style>
  <w:style w:type="paragraph" w:styleId="3">
    <w:name w:val="heading 2"/>
    <w:next w:val="1"/>
    <w:unhideWhenUsed/>
    <w:qFormat/>
    <w:uiPriority w:val="9"/>
    <w:pPr>
      <w:spacing w:line="360" w:lineRule="auto"/>
      <w:outlineLvl w:val="1"/>
    </w:pPr>
    <w:rPr>
      <w:rFonts w:hint="eastAsia" w:ascii="Arial" w:hAnsi="Arial" w:eastAsia="SimSun" w:cs="Times New Roman"/>
      <w:b/>
      <w:bCs/>
      <w:sz w:val="22"/>
      <w:szCs w:val="36"/>
      <w:lang w:val="en-US" w:eastAsia="zh-CN" w:bidi="ar-SA"/>
    </w:rPr>
  </w:style>
  <w:style w:type="paragraph" w:styleId="4">
    <w:name w:val="heading 3"/>
    <w:next w:val="1"/>
    <w:unhideWhenUsed/>
    <w:qFormat/>
    <w:uiPriority w:val="9"/>
    <w:pPr>
      <w:spacing w:line="360" w:lineRule="auto"/>
      <w:outlineLvl w:val="2"/>
    </w:pPr>
    <w:rPr>
      <w:rFonts w:hint="eastAsia" w:ascii="Arial" w:hAnsi="Arial" w:eastAsia="SimSun" w:cs="Times New Roman"/>
      <w:b/>
      <w:bCs/>
      <w:i/>
      <w:sz w:val="22"/>
      <w:szCs w:val="27"/>
      <w:lang w:val="en-US" w:eastAsia="zh-CN" w:bidi="ar-SA"/>
    </w:rPr>
  </w:style>
  <w:style w:type="paragraph" w:styleId="5">
    <w:name w:val="heading 4"/>
    <w:basedOn w:val="1"/>
    <w:next w:val="1"/>
    <w:link w:val="19"/>
    <w:qFormat/>
    <w:uiPriority w:val="9"/>
    <w:pPr>
      <w:spacing w:before="100" w:beforeAutospacing="1" w:after="100" w:afterAutospacing="1" w:line="240" w:lineRule="auto"/>
      <w:outlineLvl w:val="3"/>
    </w:pPr>
    <w:rPr>
      <w:rFonts w:ascii="Times New Roman" w:hAnsi="Times New Roman" w:eastAsia="Times New Roman" w:cs="Times New Roman"/>
      <w:b/>
      <w:bCs/>
      <w:sz w:val="24"/>
      <w:szCs w:val="24"/>
      <w:lang w:eastAsia="en-GB"/>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character" w:styleId="8">
    <w:name w:val="Emphasis"/>
    <w:basedOn w:val="6"/>
    <w:qFormat/>
    <w:uiPriority w:val="20"/>
    <w:rPr>
      <w:i/>
      <w:iCs/>
    </w:rPr>
  </w:style>
  <w:style w:type="character" w:styleId="9">
    <w:name w:val="FollowedHyperlink"/>
    <w:basedOn w:val="6"/>
    <w:semiHidden/>
    <w:unhideWhenUsed/>
    <w:qFormat/>
    <w:uiPriority w:val="99"/>
    <w:rPr>
      <w:color w:val="954F72" w:themeColor="followedHyperlink"/>
      <w:u w:val="single"/>
      <w14:textFill>
        <w14:solidFill>
          <w14:schemeClr w14:val="folHlink"/>
        </w14:solidFill>
      </w14:textFill>
    </w:rPr>
  </w:style>
  <w:style w:type="paragraph" w:styleId="10">
    <w:name w:val="footer"/>
    <w:basedOn w:val="1"/>
    <w:semiHidden/>
    <w:unhideWhenUsed/>
    <w:uiPriority w:val="99"/>
    <w:pPr>
      <w:tabs>
        <w:tab w:val="center" w:pos="4153"/>
        <w:tab w:val="right" w:pos="8306"/>
      </w:tabs>
      <w:snapToGrid w:val="0"/>
      <w:jc w:val="left"/>
    </w:pPr>
    <w:rPr>
      <w:sz w:val="18"/>
      <w:szCs w:val="18"/>
    </w:rPr>
  </w:style>
  <w:style w:type="paragraph" w:styleId="11">
    <w:name w:val="header"/>
    <w:basedOn w:val="1"/>
    <w:semiHidden/>
    <w:unhideWhenUsed/>
    <w:uiPriority w:val="99"/>
    <w:pPr>
      <w:tabs>
        <w:tab w:val="center" w:pos="4153"/>
        <w:tab w:val="right" w:pos="8306"/>
      </w:tabs>
      <w:snapToGrid w:val="0"/>
    </w:pPr>
    <w:rPr>
      <w:sz w:val="18"/>
      <w:szCs w:val="18"/>
    </w:rPr>
  </w:style>
  <w:style w:type="character" w:styleId="12">
    <w:name w:val="Hyperlink"/>
    <w:basedOn w:val="6"/>
    <w:unhideWhenUsed/>
    <w:qFormat/>
    <w:uiPriority w:val="99"/>
    <w:rPr>
      <w:color w:val="0000FF"/>
      <w:u w:val="single"/>
    </w:rPr>
  </w:style>
  <w:style w:type="paragraph" w:styleId="13">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14">
    <w:name w:val="Strong"/>
    <w:basedOn w:val="6"/>
    <w:qFormat/>
    <w:uiPriority w:val="0"/>
    <w:rPr>
      <w:b/>
      <w:bCs/>
    </w:rPr>
  </w:style>
  <w:style w:type="table" w:styleId="15">
    <w:name w:val="Table Grid"/>
    <w:basedOn w:val="7"/>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6">
    <w:name w:val="toc 1"/>
    <w:basedOn w:val="1"/>
    <w:next w:val="1"/>
    <w:unhideWhenUsed/>
    <w:qFormat/>
    <w:uiPriority w:val="39"/>
    <w:pPr>
      <w:spacing w:after="100"/>
    </w:pPr>
  </w:style>
  <w:style w:type="paragraph" w:styleId="17">
    <w:name w:val="toc 2"/>
    <w:basedOn w:val="1"/>
    <w:next w:val="1"/>
    <w:unhideWhenUsed/>
    <w:qFormat/>
    <w:uiPriority w:val="39"/>
    <w:pPr>
      <w:spacing w:after="100"/>
      <w:ind w:left="220"/>
    </w:pPr>
  </w:style>
  <w:style w:type="paragraph" w:styleId="18">
    <w:name w:val="toc 3"/>
    <w:basedOn w:val="1"/>
    <w:next w:val="1"/>
    <w:unhideWhenUsed/>
    <w:uiPriority w:val="39"/>
    <w:pPr>
      <w:spacing w:after="100"/>
      <w:ind w:left="440"/>
    </w:pPr>
  </w:style>
  <w:style w:type="character" w:customStyle="1" w:styleId="19">
    <w:name w:val="Heading 4 Char"/>
    <w:basedOn w:val="6"/>
    <w:link w:val="5"/>
    <w:qFormat/>
    <w:uiPriority w:val="9"/>
    <w:rPr>
      <w:rFonts w:ascii="Times New Roman" w:hAnsi="Times New Roman" w:eastAsia="Times New Roman" w:cs="Times New Roman"/>
      <w:b/>
      <w:bCs/>
      <w:sz w:val="24"/>
      <w:szCs w:val="24"/>
      <w:lang w:eastAsia="en-GB"/>
    </w:rPr>
  </w:style>
  <w:style w:type="paragraph" w:styleId="20">
    <w:name w:val="List Paragraph"/>
    <w:basedOn w:val="1"/>
    <w:qFormat/>
    <w:uiPriority w:val="34"/>
    <w:pPr>
      <w:ind w:left="720"/>
      <w:contextualSpacing/>
    </w:pPr>
  </w:style>
  <w:style w:type="character" w:customStyle="1" w:styleId="21">
    <w:name w:val="Unresolved Mention1"/>
    <w:basedOn w:val="6"/>
    <w:semiHidden/>
    <w:unhideWhenUsed/>
    <w:qFormat/>
    <w:uiPriority w:val="99"/>
    <w:rPr>
      <w:color w:val="605E5C"/>
      <w:shd w:val="clear" w:color="auto" w:fill="E1DFDD"/>
    </w:rPr>
  </w:style>
  <w:style w:type="character" w:customStyle="1" w:styleId="22">
    <w:name w:val="Heading 1 Char"/>
    <w:basedOn w:val="6"/>
    <w:link w:val="2"/>
    <w:qFormat/>
    <w:uiPriority w:val="9"/>
    <w:rPr>
      <w:rFonts w:ascii="Arial" w:hAnsi="Arial" w:eastAsiaTheme="majorEastAsia" w:cstheme="majorBidi"/>
      <w:b/>
      <w:color w:val="000000" w:themeColor="text1"/>
      <w:sz w:val="22"/>
      <w:szCs w:val="32"/>
      <w:lang w:eastAsia="en-US"/>
      <w14:textFill>
        <w14:solidFill>
          <w14:schemeClr w14:val="tx1"/>
        </w14:solidFill>
      </w14:textFill>
    </w:rPr>
  </w:style>
  <w:style w:type="paragraph" w:styleId="23">
    <w:name w:val="No Spacing"/>
    <w:link w:val="24"/>
    <w:qFormat/>
    <w:uiPriority w:val="1"/>
    <w:rPr>
      <w:rFonts w:asciiTheme="minorHAnsi" w:hAnsiTheme="minorHAnsi" w:eastAsiaTheme="minorEastAsia" w:cstheme="minorBidi"/>
      <w:sz w:val="22"/>
      <w:szCs w:val="22"/>
      <w:lang w:val="en-US" w:eastAsia="en-US" w:bidi="ar-SA"/>
    </w:rPr>
  </w:style>
  <w:style w:type="character" w:customStyle="1" w:styleId="24">
    <w:name w:val="No Spacing Char"/>
    <w:basedOn w:val="6"/>
    <w:link w:val="23"/>
    <w:uiPriority w:val="1"/>
    <w:rPr>
      <w:rFonts w:asciiTheme="minorHAnsi" w:hAnsiTheme="minorHAnsi" w:eastAsiaTheme="minorEastAsia" w:cstheme="minorBidi"/>
      <w:sz w:val="22"/>
      <w:szCs w:val="22"/>
      <w:lang w:val="en-US" w:eastAsia="en-US"/>
    </w:rPr>
  </w:style>
  <w:style w:type="paragraph" w:customStyle="1" w:styleId="25">
    <w:name w:val="TOC Heading"/>
    <w:basedOn w:val="2"/>
    <w:next w:val="1"/>
    <w:unhideWhenUsed/>
    <w:qFormat/>
    <w:uiPriority w:val="39"/>
    <w:pPr>
      <w:spacing w:before="240" w:line="259" w:lineRule="auto"/>
      <w:jc w:val="left"/>
      <w:outlineLvl w:val="9"/>
    </w:pPr>
    <w:rPr>
      <w:rFonts w:asciiTheme="majorHAnsi" w:hAnsiTheme="majorHAnsi"/>
      <w:b w:val="0"/>
      <w:color w:val="2F5597"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5" Type="http://schemas.openxmlformats.org/officeDocument/2006/relationships/fontTable" Target="fontTable.xml"/><Relationship Id="rId24" Type="http://schemas.openxmlformats.org/officeDocument/2006/relationships/numbering" Target="numbering.xml"/><Relationship Id="rId23" Type="http://schemas.openxmlformats.org/officeDocument/2006/relationships/customXml" Target="../customXml/item1.xml"/><Relationship Id="rId22" Type="http://schemas.openxmlformats.org/officeDocument/2006/relationships/image" Target="media/image6.emf"/><Relationship Id="rId21" Type="http://schemas.openxmlformats.org/officeDocument/2006/relationships/oleObject" Target="embeddings/oleObject4.bin"/><Relationship Id="rId20" Type="http://schemas.openxmlformats.org/officeDocument/2006/relationships/image" Target="media/image5.emf"/><Relationship Id="rId2" Type="http://schemas.openxmlformats.org/officeDocument/2006/relationships/settings" Target="settings.xml"/><Relationship Id="rId19" Type="http://schemas.openxmlformats.org/officeDocument/2006/relationships/oleObject" Target="embeddings/oleObject3.bin"/><Relationship Id="rId18" Type="http://schemas.openxmlformats.org/officeDocument/2006/relationships/image" Target="media/image4.emf"/><Relationship Id="rId17" Type="http://schemas.openxmlformats.org/officeDocument/2006/relationships/oleObject" Target="embeddings/oleObject2.bin"/><Relationship Id="rId16" Type="http://schemas.openxmlformats.org/officeDocument/2006/relationships/image" Target="media/image3.emf"/><Relationship Id="rId15" Type="http://schemas.openxmlformats.org/officeDocument/2006/relationships/oleObject" Target="embeddings/oleObject1.bin"/><Relationship Id="rId14" Type="http://schemas.microsoft.com/office/2007/relationships/diagramDrawing" Target="diagrams/drawing1.xml"/><Relationship Id="rId13" Type="http://schemas.openxmlformats.org/officeDocument/2006/relationships/diagramColors" Target="diagrams/colors1.xml"/><Relationship Id="rId12" Type="http://schemas.openxmlformats.org/officeDocument/2006/relationships/diagramQuickStyle" Target="diagrams/quickStyle1.xml"/><Relationship Id="rId11" Type="http://schemas.openxmlformats.org/officeDocument/2006/relationships/diagramLayout" Target="diagrams/layout1.xml"/><Relationship Id="rId10" Type="http://schemas.openxmlformats.org/officeDocument/2006/relationships/diagramData" Target="diagrams/data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2">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F5D31F3B-1179-4085-A4E3-0F5331283F42}" type="doc">
      <dgm:prSet loTypeId="urn:microsoft.com/office/officeart/2008/layout/VerticalCurvedList#1" loCatId="list" qsTypeId="urn:microsoft.com/office/officeart/2005/8/quickstyle/simple1#2" qsCatId="simple" csTypeId="urn:microsoft.com/office/officeart/2005/8/colors/accent0_1#2" csCatId="mainScheme" phldr="1"/>
      <dgm:spPr/>
      <dgm:t>
        <a:bodyPr/>
        <a:p>
          <a:endParaRPr lang="en-GB"/>
        </a:p>
      </dgm:t>
    </dgm:pt>
    <dgm:pt modelId="{CF2A05FB-D592-4007-B9CC-993697FD5AF9}">
      <dgm:prSet phldrT="[Text]"/>
      <dgm:spPr/>
      <dgm:t>
        <a:bodyPr/>
        <a:p>
          <a:pPr algn="ctr"/>
          <a:r>
            <a:rPr lang="en-GB"/>
            <a:t>job advertisement</a:t>
          </a:r>
        </a:p>
      </dgm:t>
    </dgm:pt>
    <dgm:pt modelId="{F6F3B0B0-FA3D-4240-8197-595824B4A4DC}" cxnId="{15F5D3A7-393D-4461-B968-10AD136B0180}" type="parTrans">
      <dgm:prSet/>
      <dgm:spPr/>
      <dgm:t>
        <a:bodyPr/>
        <a:p>
          <a:pPr algn="ctr"/>
          <a:endParaRPr lang="en-GB"/>
        </a:p>
      </dgm:t>
    </dgm:pt>
    <dgm:pt modelId="{473541B8-72E6-4CB6-B644-08CEB416E3C9}" cxnId="{15F5D3A7-393D-4461-B968-10AD136B0180}" type="sibTrans">
      <dgm:prSet/>
      <dgm:spPr/>
      <dgm:t>
        <a:bodyPr/>
        <a:p>
          <a:pPr algn="ctr"/>
          <a:endParaRPr lang="en-GB"/>
        </a:p>
      </dgm:t>
    </dgm:pt>
    <dgm:pt modelId="{0195012B-16BD-40AB-BF2E-FA8EE54965D7}">
      <dgm:prSet phldrT="[Text]"/>
      <dgm:spPr/>
      <dgm:t>
        <a:bodyPr/>
        <a:p>
          <a:pPr algn="ctr"/>
          <a:r>
            <a:rPr lang="en-GB"/>
            <a:t>job description</a:t>
          </a:r>
        </a:p>
      </dgm:t>
    </dgm:pt>
    <dgm:pt modelId="{E27FC0CF-E43D-4C5E-89BD-8149A11AF935}" cxnId="{F59564C4-A90A-451D-A4C1-E4A23814D47D}" type="parTrans">
      <dgm:prSet/>
      <dgm:spPr/>
      <dgm:t>
        <a:bodyPr/>
        <a:p>
          <a:pPr algn="ctr"/>
          <a:endParaRPr lang="en-GB"/>
        </a:p>
      </dgm:t>
    </dgm:pt>
    <dgm:pt modelId="{0944A2C0-C650-4311-9703-27A7AE75F42A}" cxnId="{F59564C4-A90A-451D-A4C1-E4A23814D47D}" type="sibTrans">
      <dgm:prSet/>
      <dgm:spPr/>
      <dgm:t>
        <a:bodyPr/>
        <a:p>
          <a:pPr algn="ctr"/>
          <a:endParaRPr lang="en-GB"/>
        </a:p>
      </dgm:t>
    </dgm:pt>
    <dgm:pt modelId="{2EF03D01-1C93-4394-8485-E548A97ADC3E}">
      <dgm:prSet phldrT="[Text]"/>
      <dgm:spPr/>
      <dgm:t>
        <a:bodyPr/>
        <a:p>
          <a:pPr algn="ctr"/>
          <a:r>
            <a:rPr lang="en-GB"/>
            <a:t>person specification</a:t>
          </a:r>
        </a:p>
      </dgm:t>
    </dgm:pt>
    <dgm:pt modelId="{F8F2A188-5262-4428-A540-E3010508B346}" cxnId="{2F21AA16-2CF0-4918-BF44-3AC65C754540}" type="parTrans">
      <dgm:prSet/>
      <dgm:spPr/>
      <dgm:t>
        <a:bodyPr/>
        <a:p>
          <a:pPr algn="ctr"/>
          <a:endParaRPr lang="en-GB"/>
        </a:p>
      </dgm:t>
    </dgm:pt>
    <dgm:pt modelId="{AC1E6957-E75D-41D1-BE83-633822769128}" cxnId="{2F21AA16-2CF0-4918-BF44-3AC65C754540}" type="sibTrans">
      <dgm:prSet/>
      <dgm:spPr/>
      <dgm:t>
        <a:bodyPr/>
        <a:p>
          <a:pPr algn="ctr"/>
          <a:endParaRPr lang="en-GB"/>
        </a:p>
      </dgm:t>
    </dgm:pt>
    <dgm:pt modelId="{9F0CF5A4-CF9C-452E-8EAD-2480472E66D6}">
      <dgm:prSet phldrT="[Text]"/>
      <dgm:spPr/>
      <dgm:t>
        <a:bodyPr/>
        <a:p>
          <a:pPr algn="ctr"/>
          <a:r>
            <a:rPr lang="en-GB"/>
            <a:t>application form</a:t>
          </a:r>
        </a:p>
      </dgm:t>
    </dgm:pt>
    <dgm:pt modelId="{47D74EC9-E580-4192-8514-A3778586F336}" cxnId="{9C638C63-2E67-4801-91FE-3C42E8AEAB3B}" type="parTrans">
      <dgm:prSet/>
      <dgm:spPr/>
      <dgm:t>
        <a:bodyPr/>
        <a:p>
          <a:pPr algn="ctr"/>
          <a:endParaRPr lang="en-GB"/>
        </a:p>
      </dgm:t>
    </dgm:pt>
    <dgm:pt modelId="{F35FEACE-545D-4779-8CD5-B11898E9BE5B}" cxnId="{9C638C63-2E67-4801-91FE-3C42E8AEAB3B}" type="sibTrans">
      <dgm:prSet/>
      <dgm:spPr/>
      <dgm:t>
        <a:bodyPr/>
        <a:p>
          <a:pPr algn="ctr"/>
          <a:endParaRPr lang="en-GB"/>
        </a:p>
      </dgm:t>
    </dgm:pt>
    <dgm:pt modelId="{842ADBBB-1025-46F7-9562-00FF16AC3908}">
      <dgm:prSet phldrT="[Text]"/>
      <dgm:spPr/>
      <dgm:t>
        <a:bodyPr/>
        <a:p>
          <a:pPr algn="ctr"/>
          <a:r>
            <a:rPr lang="en-GB"/>
            <a:t>shortlisting</a:t>
          </a:r>
        </a:p>
      </dgm:t>
    </dgm:pt>
    <dgm:pt modelId="{4D326104-F9AA-4BA4-9C85-8B111A8D019C}" cxnId="{BD3C676F-75DD-442C-ABE7-9F45804CE0F6}" type="parTrans">
      <dgm:prSet/>
      <dgm:spPr/>
      <dgm:t>
        <a:bodyPr/>
        <a:p>
          <a:pPr algn="ctr"/>
          <a:endParaRPr lang="en-GB"/>
        </a:p>
      </dgm:t>
    </dgm:pt>
    <dgm:pt modelId="{18308A97-E71D-46FD-AB52-81E5EE89961F}" cxnId="{BD3C676F-75DD-442C-ABE7-9F45804CE0F6}" type="sibTrans">
      <dgm:prSet/>
      <dgm:spPr/>
      <dgm:t>
        <a:bodyPr/>
        <a:p>
          <a:pPr algn="ctr"/>
          <a:endParaRPr lang="en-GB"/>
        </a:p>
      </dgm:t>
    </dgm:pt>
    <dgm:pt modelId="{E403F581-6832-457C-9FA4-9AA9DD80B4BB}" type="pres">
      <dgm:prSet presAssocID="{F5D31F3B-1179-4085-A4E3-0F5331283F42}" presName="Name0" presStyleCnt="0">
        <dgm:presLayoutVars>
          <dgm:chMax val="7"/>
          <dgm:chPref val="7"/>
          <dgm:dir/>
        </dgm:presLayoutVars>
      </dgm:prSet>
      <dgm:spPr/>
    </dgm:pt>
    <dgm:pt modelId="{FCDF8702-B266-4CB6-95F0-C02B09835B1B}" type="pres">
      <dgm:prSet presAssocID="{F5D31F3B-1179-4085-A4E3-0F5331283F42}" presName="Name1" presStyleCnt="0"/>
      <dgm:spPr/>
    </dgm:pt>
    <dgm:pt modelId="{82522A36-F025-4175-92AF-2400212D7227}" type="pres">
      <dgm:prSet presAssocID="{F5D31F3B-1179-4085-A4E3-0F5331283F42}" presName="cycle" presStyleCnt="0"/>
      <dgm:spPr/>
    </dgm:pt>
    <dgm:pt modelId="{3C503823-AB54-4D23-B2CA-9763FA1E64DF}" type="pres">
      <dgm:prSet presAssocID="{F5D31F3B-1179-4085-A4E3-0F5331283F42}" presName="srcNode" presStyleLbl="node1" presStyleIdx="0" presStyleCnt="5"/>
      <dgm:spPr/>
    </dgm:pt>
    <dgm:pt modelId="{23403A2B-76DC-4D4F-BC4E-CD31AEA81F53}" type="pres">
      <dgm:prSet presAssocID="{F5D31F3B-1179-4085-A4E3-0F5331283F42}" presName="conn" presStyleLbl="parChTrans1D2" presStyleIdx="0" presStyleCnt="1"/>
      <dgm:spPr/>
    </dgm:pt>
    <dgm:pt modelId="{40DBA49E-23A3-4694-9BA4-C75732EBA81A}" type="pres">
      <dgm:prSet presAssocID="{F5D31F3B-1179-4085-A4E3-0F5331283F42}" presName="extraNode" presStyleLbl="node1" presStyleIdx="0" presStyleCnt="5"/>
      <dgm:spPr/>
    </dgm:pt>
    <dgm:pt modelId="{2D61C20D-C604-478A-8750-AD11466C62D5}" type="pres">
      <dgm:prSet presAssocID="{F5D31F3B-1179-4085-A4E3-0F5331283F42}" presName="dstNode" presStyleLbl="node1" presStyleIdx="0" presStyleCnt="5"/>
      <dgm:spPr/>
    </dgm:pt>
    <dgm:pt modelId="{DE14EA69-FEED-469A-ADB4-37CF173CD47D}" type="pres">
      <dgm:prSet presAssocID="{CF2A05FB-D592-4007-B9CC-993697FD5AF9}" presName="text_1" presStyleLbl="node1" presStyleIdx="0" presStyleCnt="5">
        <dgm:presLayoutVars>
          <dgm:bulletEnabled val="1"/>
        </dgm:presLayoutVars>
      </dgm:prSet>
      <dgm:spPr/>
    </dgm:pt>
    <dgm:pt modelId="{824C994A-1020-4050-ADA0-BD829BB54C54}" type="pres">
      <dgm:prSet presAssocID="{CF2A05FB-D592-4007-B9CC-993697FD5AF9}" presName="accent_1" presStyleCnt="0"/>
      <dgm:spPr/>
    </dgm:pt>
    <dgm:pt modelId="{DBA2A2E7-61BD-412B-96D7-4EB84B94AE51}" type="pres">
      <dgm:prSet presAssocID="{CF2A05FB-D592-4007-B9CC-993697FD5AF9}" presName="accentRepeatNode" presStyleLbl="solidFgAcc1" presStyleIdx="0" presStyleCnt="5"/>
      <dgm:spPr/>
    </dgm:pt>
    <dgm:pt modelId="{1E135083-B8C9-4254-A13E-D3ED3D6A08E6}" type="pres">
      <dgm:prSet presAssocID="{0195012B-16BD-40AB-BF2E-FA8EE54965D7}" presName="text_2" presStyleLbl="node1" presStyleIdx="1" presStyleCnt="5">
        <dgm:presLayoutVars>
          <dgm:bulletEnabled val="1"/>
        </dgm:presLayoutVars>
      </dgm:prSet>
      <dgm:spPr/>
    </dgm:pt>
    <dgm:pt modelId="{16412C89-5C3F-40F9-B38F-27B2F1B68BF8}" type="pres">
      <dgm:prSet presAssocID="{0195012B-16BD-40AB-BF2E-FA8EE54965D7}" presName="accent_2" presStyleCnt="0"/>
      <dgm:spPr/>
    </dgm:pt>
    <dgm:pt modelId="{F4035C02-886E-4EF4-882F-7EAEBE14E622}" type="pres">
      <dgm:prSet presAssocID="{0195012B-16BD-40AB-BF2E-FA8EE54965D7}" presName="accentRepeatNode" presStyleLbl="solidFgAcc1" presStyleIdx="1" presStyleCnt="5"/>
      <dgm:spPr/>
    </dgm:pt>
    <dgm:pt modelId="{EC2AFB57-2639-43E4-932D-4D43E3183407}" type="pres">
      <dgm:prSet presAssocID="{2EF03D01-1C93-4394-8485-E548A97ADC3E}" presName="text_3" presStyleLbl="node1" presStyleIdx="2" presStyleCnt="5">
        <dgm:presLayoutVars>
          <dgm:bulletEnabled val="1"/>
        </dgm:presLayoutVars>
      </dgm:prSet>
      <dgm:spPr/>
    </dgm:pt>
    <dgm:pt modelId="{345AE701-8F45-4285-B882-BD04612E9115}" type="pres">
      <dgm:prSet presAssocID="{2EF03D01-1C93-4394-8485-E548A97ADC3E}" presName="accent_3" presStyleCnt="0"/>
      <dgm:spPr/>
    </dgm:pt>
    <dgm:pt modelId="{E09C9FDC-7B9A-43E2-8C46-C081575AE045}" type="pres">
      <dgm:prSet presAssocID="{2EF03D01-1C93-4394-8485-E548A97ADC3E}" presName="accentRepeatNode" presStyleLbl="solidFgAcc1" presStyleIdx="2" presStyleCnt="5"/>
      <dgm:spPr/>
    </dgm:pt>
    <dgm:pt modelId="{90AF376A-F6A5-4E9F-A9D6-BC91D652A3B9}" type="pres">
      <dgm:prSet presAssocID="{9F0CF5A4-CF9C-452E-8EAD-2480472E66D6}" presName="text_4" presStyleLbl="node1" presStyleIdx="3" presStyleCnt="5">
        <dgm:presLayoutVars>
          <dgm:bulletEnabled val="1"/>
        </dgm:presLayoutVars>
      </dgm:prSet>
      <dgm:spPr/>
    </dgm:pt>
    <dgm:pt modelId="{84BCC5D5-A3B1-438D-82D2-7C1B37BABEEC}" type="pres">
      <dgm:prSet presAssocID="{9F0CF5A4-CF9C-452E-8EAD-2480472E66D6}" presName="accent_4" presStyleCnt="0"/>
      <dgm:spPr/>
    </dgm:pt>
    <dgm:pt modelId="{229657C8-1E83-4236-8EA6-6CDEBEDBCF05}" type="pres">
      <dgm:prSet presAssocID="{9F0CF5A4-CF9C-452E-8EAD-2480472E66D6}" presName="accentRepeatNode" presStyleLbl="solidFgAcc1" presStyleIdx="3" presStyleCnt="5"/>
      <dgm:spPr/>
    </dgm:pt>
    <dgm:pt modelId="{374B5F89-A197-4E5C-9BF6-EF044A9FB407}" type="pres">
      <dgm:prSet presAssocID="{842ADBBB-1025-46F7-9562-00FF16AC3908}" presName="text_5" presStyleLbl="node1" presStyleIdx="4" presStyleCnt="5">
        <dgm:presLayoutVars>
          <dgm:bulletEnabled val="1"/>
        </dgm:presLayoutVars>
      </dgm:prSet>
      <dgm:spPr/>
    </dgm:pt>
    <dgm:pt modelId="{4C4E74F5-6C50-4DEC-9BF2-BC158ACE11B7}" type="pres">
      <dgm:prSet presAssocID="{842ADBBB-1025-46F7-9562-00FF16AC3908}" presName="accent_5" presStyleCnt="0"/>
      <dgm:spPr/>
    </dgm:pt>
    <dgm:pt modelId="{8AA68518-A923-4054-B6DA-7F7F3245F380}" type="pres">
      <dgm:prSet presAssocID="{842ADBBB-1025-46F7-9562-00FF16AC3908}" presName="accentRepeatNode" presStyleLbl="solidFgAcc1" presStyleIdx="4" presStyleCnt="5"/>
      <dgm:spPr/>
    </dgm:pt>
  </dgm:ptLst>
  <dgm:cxnLst>
    <dgm:cxn modelId="{9F12EE04-AFEE-4497-B8F1-93AA7AF790B6}" type="presOf" srcId="{9F0CF5A4-CF9C-452E-8EAD-2480472E66D6}" destId="{90AF376A-F6A5-4E9F-A9D6-BC91D652A3B9}" srcOrd="0" destOrd="0" presId="urn:microsoft.com/office/officeart/2008/layout/VerticalCurvedList#1"/>
    <dgm:cxn modelId="{2F21AA16-2CF0-4918-BF44-3AC65C754540}" srcId="{F5D31F3B-1179-4085-A4E3-0F5331283F42}" destId="{2EF03D01-1C93-4394-8485-E548A97ADC3E}" srcOrd="2" destOrd="0" parTransId="{F8F2A188-5262-4428-A540-E3010508B346}" sibTransId="{AC1E6957-E75D-41D1-BE83-633822769128}"/>
    <dgm:cxn modelId="{D403B81A-0BF4-46DD-92EC-A4B48F1D561D}" type="presOf" srcId="{842ADBBB-1025-46F7-9562-00FF16AC3908}" destId="{374B5F89-A197-4E5C-9BF6-EF044A9FB407}" srcOrd="0" destOrd="0" presId="urn:microsoft.com/office/officeart/2008/layout/VerticalCurvedList#1"/>
    <dgm:cxn modelId="{B22A793F-79EA-4C9A-B7CF-B5F4164BE46B}" type="presOf" srcId="{F5D31F3B-1179-4085-A4E3-0F5331283F42}" destId="{E403F581-6832-457C-9FA4-9AA9DD80B4BB}" srcOrd="0" destOrd="0" presId="urn:microsoft.com/office/officeart/2008/layout/VerticalCurvedList#1"/>
    <dgm:cxn modelId="{E2921443-2B71-4364-AA55-F8924616DE29}" type="presOf" srcId="{473541B8-72E6-4CB6-B644-08CEB416E3C9}" destId="{23403A2B-76DC-4D4F-BC4E-CD31AEA81F53}" srcOrd="0" destOrd="0" presId="urn:microsoft.com/office/officeart/2008/layout/VerticalCurvedList#1"/>
    <dgm:cxn modelId="{9C638C63-2E67-4801-91FE-3C42E8AEAB3B}" srcId="{F5D31F3B-1179-4085-A4E3-0F5331283F42}" destId="{9F0CF5A4-CF9C-452E-8EAD-2480472E66D6}" srcOrd="3" destOrd="0" parTransId="{47D74EC9-E580-4192-8514-A3778586F336}" sibTransId="{F35FEACE-545D-4779-8CD5-B11898E9BE5B}"/>
    <dgm:cxn modelId="{BD3C676F-75DD-442C-ABE7-9F45804CE0F6}" srcId="{F5D31F3B-1179-4085-A4E3-0F5331283F42}" destId="{842ADBBB-1025-46F7-9562-00FF16AC3908}" srcOrd="4" destOrd="0" parTransId="{4D326104-F9AA-4BA4-9C85-8B111A8D019C}" sibTransId="{18308A97-E71D-46FD-AB52-81E5EE89961F}"/>
    <dgm:cxn modelId="{F38CA651-B3E0-473A-8B0D-90677B431011}" type="presOf" srcId="{CF2A05FB-D592-4007-B9CC-993697FD5AF9}" destId="{DE14EA69-FEED-469A-ADB4-37CF173CD47D}" srcOrd="0" destOrd="0" presId="urn:microsoft.com/office/officeart/2008/layout/VerticalCurvedList#1"/>
    <dgm:cxn modelId="{5A81DD92-D265-4186-BF9B-C2F68E15F41D}" type="presOf" srcId="{2EF03D01-1C93-4394-8485-E548A97ADC3E}" destId="{EC2AFB57-2639-43E4-932D-4D43E3183407}" srcOrd="0" destOrd="0" presId="urn:microsoft.com/office/officeart/2008/layout/VerticalCurvedList#1"/>
    <dgm:cxn modelId="{15F5D3A7-393D-4461-B968-10AD136B0180}" srcId="{F5D31F3B-1179-4085-A4E3-0F5331283F42}" destId="{CF2A05FB-D592-4007-B9CC-993697FD5AF9}" srcOrd="0" destOrd="0" parTransId="{F6F3B0B0-FA3D-4240-8197-595824B4A4DC}" sibTransId="{473541B8-72E6-4CB6-B644-08CEB416E3C9}"/>
    <dgm:cxn modelId="{F59564C4-A90A-451D-A4C1-E4A23814D47D}" srcId="{F5D31F3B-1179-4085-A4E3-0F5331283F42}" destId="{0195012B-16BD-40AB-BF2E-FA8EE54965D7}" srcOrd="1" destOrd="0" parTransId="{E27FC0CF-E43D-4C5E-89BD-8149A11AF935}" sibTransId="{0944A2C0-C650-4311-9703-27A7AE75F42A}"/>
    <dgm:cxn modelId="{67E954D9-0800-48DE-BB8D-4B915DD1AC01}" type="presOf" srcId="{0195012B-16BD-40AB-BF2E-FA8EE54965D7}" destId="{1E135083-B8C9-4254-A13E-D3ED3D6A08E6}" srcOrd="0" destOrd="0" presId="urn:microsoft.com/office/officeart/2008/layout/VerticalCurvedList#1"/>
    <dgm:cxn modelId="{774B0984-07E1-414A-81FD-6E5C37020DF9}" type="presParOf" srcId="{E403F581-6832-457C-9FA4-9AA9DD80B4BB}" destId="{FCDF8702-B266-4CB6-95F0-C02B09835B1B}" srcOrd="0" destOrd="0" presId="urn:microsoft.com/office/officeart/2008/layout/VerticalCurvedList#1"/>
    <dgm:cxn modelId="{E9DEC5F5-CD77-48A6-9E56-93B2ECABEB2C}" type="presParOf" srcId="{FCDF8702-B266-4CB6-95F0-C02B09835B1B}" destId="{82522A36-F025-4175-92AF-2400212D7227}" srcOrd="0" destOrd="0" presId="urn:microsoft.com/office/officeart/2008/layout/VerticalCurvedList#1"/>
    <dgm:cxn modelId="{EFE18765-D118-4BEC-93A0-8BEB15FDE0F1}" type="presParOf" srcId="{82522A36-F025-4175-92AF-2400212D7227}" destId="{3C503823-AB54-4D23-B2CA-9763FA1E64DF}" srcOrd="0" destOrd="0" presId="urn:microsoft.com/office/officeart/2008/layout/VerticalCurvedList#1"/>
    <dgm:cxn modelId="{28A0D844-5D35-4DC5-8D49-3996B1751D66}" type="presParOf" srcId="{82522A36-F025-4175-92AF-2400212D7227}" destId="{23403A2B-76DC-4D4F-BC4E-CD31AEA81F53}" srcOrd="1" destOrd="0" presId="urn:microsoft.com/office/officeart/2008/layout/VerticalCurvedList#1"/>
    <dgm:cxn modelId="{7768264B-7DF9-4EAB-AB3B-2BC3BE0F1104}" type="presParOf" srcId="{82522A36-F025-4175-92AF-2400212D7227}" destId="{40DBA49E-23A3-4694-9BA4-C75732EBA81A}" srcOrd="2" destOrd="0" presId="urn:microsoft.com/office/officeart/2008/layout/VerticalCurvedList#1"/>
    <dgm:cxn modelId="{5AD7D374-837F-440D-B597-A6A4802FA42B}" type="presParOf" srcId="{82522A36-F025-4175-92AF-2400212D7227}" destId="{2D61C20D-C604-478A-8750-AD11466C62D5}" srcOrd="3" destOrd="0" presId="urn:microsoft.com/office/officeart/2008/layout/VerticalCurvedList#1"/>
    <dgm:cxn modelId="{E71DFE0D-672C-4E0F-A14D-E5F1C1EE879F}" type="presParOf" srcId="{FCDF8702-B266-4CB6-95F0-C02B09835B1B}" destId="{DE14EA69-FEED-469A-ADB4-37CF173CD47D}" srcOrd="1" destOrd="0" presId="urn:microsoft.com/office/officeart/2008/layout/VerticalCurvedList#1"/>
    <dgm:cxn modelId="{041C5BAD-2455-46C2-B462-D4FFEF84B97C}" type="presParOf" srcId="{FCDF8702-B266-4CB6-95F0-C02B09835B1B}" destId="{824C994A-1020-4050-ADA0-BD829BB54C54}" srcOrd="2" destOrd="0" presId="urn:microsoft.com/office/officeart/2008/layout/VerticalCurvedList#1"/>
    <dgm:cxn modelId="{4734E83E-003B-45C0-97FD-EDDA2776DA64}" type="presParOf" srcId="{824C994A-1020-4050-ADA0-BD829BB54C54}" destId="{DBA2A2E7-61BD-412B-96D7-4EB84B94AE51}" srcOrd="0" destOrd="0" presId="urn:microsoft.com/office/officeart/2008/layout/VerticalCurvedList#1"/>
    <dgm:cxn modelId="{B24FBF7C-D2F7-45CE-91F2-B7741B399442}" type="presParOf" srcId="{FCDF8702-B266-4CB6-95F0-C02B09835B1B}" destId="{1E135083-B8C9-4254-A13E-D3ED3D6A08E6}" srcOrd="3" destOrd="0" presId="urn:microsoft.com/office/officeart/2008/layout/VerticalCurvedList#1"/>
    <dgm:cxn modelId="{B08A0B0E-A113-49DF-8ED6-61009FFB9594}" type="presParOf" srcId="{FCDF8702-B266-4CB6-95F0-C02B09835B1B}" destId="{16412C89-5C3F-40F9-B38F-27B2F1B68BF8}" srcOrd="4" destOrd="0" presId="urn:microsoft.com/office/officeart/2008/layout/VerticalCurvedList#1"/>
    <dgm:cxn modelId="{A9AAE2C3-C9FA-40AF-9F5D-0C25DEECBB72}" type="presParOf" srcId="{16412C89-5C3F-40F9-B38F-27B2F1B68BF8}" destId="{F4035C02-886E-4EF4-882F-7EAEBE14E622}" srcOrd="0" destOrd="0" presId="urn:microsoft.com/office/officeart/2008/layout/VerticalCurvedList#1"/>
    <dgm:cxn modelId="{A622B65E-E4B7-4CF2-854E-6130106AD1FA}" type="presParOf" srcId="{FCDF8702-B266-4CB6-95F0-C02B09835B1B}" destId="{EC2AFB57-2639-43E4-932D-4D43E3183407}" srcOrd="5" destOrd="0" presId="urn:microsoft.com/office/officeart/2008/layout/VerticalCurvedList#1"/>
    <dgm:cxn modelId="{2FD49BCF-DEFC-4EE0-9B22-5E49F6764FA1}" type="presParOf" srcId="{FCDF8702-B266-4CB6-95F0-C02B09835B1B}" destId="{345AE701-8F45-4285-B882-BD04612E9115}" srcOrd="6" destOrd="0" presId="urn:microsoft.com/office/officeart/2008/layout/VerticalCurvedList#1"/>
    <dgm:cxn modelId="{FA529CF7-57D6-4124-898E-DCD6113FA22C}" type="presParOf" srcId="{345AE701-8F45-4285-B882-BD04612E9115}" destId="{E09C9FDC-7B9A-43E2-8C46-C081575AE045}" srcOrd="0" destOrd="0" presId="urn:microsoft.com/office/officeart/2008/layout/VerticalCurvedList#1"/>
    <dgm:cxn modelId="{7057D937-EFEF-46E5-875C-F0C2E0ACC6AE}" type="presParOf" srcId="{FCDF8702-B266-4CB6-95F0-C02B09835B1B}" destId="{90AF376A-F6A5-4E9F-A9D6-BC91D652A3B9}" srcOrd="7" destOrd="0" presId="urn:microsoft.com/office/officeart/2008/layout/VerticalCurvedList#1"/>
    <dgm:cxn modelId="{02E7527C-CADB-4AAE-BC63-C50FCB645DE9}" type="presParOf" srcId="{FCDF8702-B266-4CB6-95F0-C02B09835B1B}" destId="{84BCC5D5-A3B1-438D-82D2-7C1B37BABEEC}" srcOrd="8" destOrd="0" presId="urn:microsoft.com/office/officeart/2008/layout/VerticalCurvedList#1"/>
    <dgm:cxn modelId="{978C6D9A-6AB3-415E-B365-5937CED93C31}" type="presParOf" srcId="{84BCC5D5-A3B1-438D-82D2-7C1B37BABEEC}" destId="{229657C8-1E83-4236-8EA6-6CDEBEDBCF05}" srcOrd="0" destOrd="0" presId="urn:microsoft.com/office/officeart/2008/layout/VerticalCurvedList#1"/>
    <dgm:cxn modelId="{3610792D-0712-4E48-8D09-196C0ECB00D5}" type="presParOf" srcId="{FCDF8702-B266-4CB6-95F0-C02B09835B1B}" destId="{374B5F89-A197-4E5C-9BF6-EF044A9FB407}" srcOrd="9" destOrd="0" presId="urn:microsoft.com/office/officeart/2008/layout/VerticalCurvedList#1"/>
    <dgm:cxn modelId="{E2A87380-A909-4086-9837-7E322B9E6692}" type="presParOf" srcId="{FCDF8702-B266-4CB6-95F0-C02B09835B1B}" destId="{4C4E74F5-6C50-4DEC-9BF2-BC158ACE11B7}" srcOrd="10" destOrd="0" presId="urn:microsoft.com/office/officeart/2008/layout/VerticalCurvedList#1"/>
    <dgm:cxn modelId="{9C7E572E-DB52-4B3F-A0E3-91768E1EC606}" type="presParOf" srcId="{4C4E74F5-6C50-4DEC-9BF2-BC158ACE11B7}" destId="{8AA68518-A923-4054-B6DA-7F7F3245F380}" srcOrd="0" destOrd="0" presId="urn:microsoft.com/office/officeart/2008/layout/VerticalCurved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2362200" cy="1671320"/>
        <a:chOff x="0" y="0"/>
        <a:chExt cx="2362200" cy="1671320"/>
      </a:xfrm>
    </dsp:grpSpPr>
    <dsp:sp modelId="{23403A2B-76DC-4D4F-BC4E-CD31AEA81F53}">
      <dsp:nvSpPr>
        <dsp:cNvPr id="4" name="Block Arc 3"/>
        <dsp:cNvSpPr/>
      </dsp:nvSpPr>
      <dsp:spPr bwMode="white">
        <a:xfrm>
          <a:off x="-1882504" y="-305467"/>
          <a:ext cx="2282254" cy="2282254"/>
        </a:xfrm>
        <a:prstGeom prst="blockArc">
          <a:avLst>
            <a:gd name="adj1" fmla="val 18900000"/>
            <a:gd name="adj2" fmla="val 2700000"/>
            <a:gd name="adj3" fmla="val 801"/>
          </a:avLst>
        </a:prstGeom>
      </dsp:spPr>
      <dsp:style>
        <a:lnRef idx="2">
          <a:schemeClr val="dk1">
            <a:shade val="60000"/>
          </a:schemeClr>
        </a:lnRef>
        <a:fillRef idx="0">
          <a:schemeClr val="dk1"/>
        </a:fillRef>
        <a:effectRef idx="0">
          <a:scrgbClr r="0" g="0" b="0"/>
        </a:effectRef>
        <a:fontRef idx="minor"/>
      </dsp:style>
      <dsp:txXfrm>
        <a:off x="-1882504" y="-305467"/>
        <a:ext cx="2282254" cy="2282254"/>
      </dsp:txXfrm>
    </dsp:sp>
    <dsp:sp modelId="{DE14EA69-FEED-469A-ADB4-37CF173CD47D}">
      <dsp:nvSpPr>
        <dsp:cNvPr id="7" name="Rectangles 6"/>
        <dsp:cNvSpPr/>
      </dsp:nvSpPr>
      <dsp:spPr bwMode="white">
        <a:xfrm>
          <a:off x="180837" y="104424"/>
          <a:ext cx="2181363"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job advertisement</a:t>
          </a:r>
          <a:endParaRPr>
            <a:solidFill>
              <a:schemeClr val="dk1"/>
            </a:solidFill>
          </a:endParaRPr>
        </a:p>
      </dsp:txBody>
      <dsp:txXfrm>
        <a:off x="180837" y="104424"/>
        <a:ext cx="2181363" cy="208982"/>
      </dsp:txXfrm>
    </dsp:sp>
    <dsp:sp modelId="{DBA2A2E7-61BD-412B-96D7-4EB84B94AE51}">
      <dsp:nvSpPr>
        <dsp:cNvPr id="8" name="Oval 7"/>
        <dsp:cNvSpPr/>
      </dsp:nvSpPr>
      <dsp:spPr bwMode="white">
        <a:xfrm>
          <a:off x="50223" y="78301"/>
          <a:ext cx="261227" cy="261227"/>
        </a:xfrm>
        <a:prstGeom prst="ellipse">
          <a:avLst/>
        </a:prstGeom>
      </dsp:spPr>
      <dsp:style>
        <a:lnRef idx="2">
          <a:schemeClr val="dk1"/>
        </a:lnRef>
        <a:fillRef idx="1">
          <a:schemeClr val="lt1"/>
        </a:fillRef>
        <a:effectRef idx="0">
          <a:scrgbClr r="0" g="0" b="0"/>
        </a:effectRef>
        <a:fontRef idx="minor"/>
      </dsp:style>
      <dsp:txXfrm>
        <a:off x="50223" y="78301"/>
        <a:ext cx="261227" cy="261227"/>
      </dsp:txXfrm>
    </dsp:sp>
    <dsp:sp modelId="{1E135083-B8C9-4254-A13E-D3ED3D6A08E6}">
      <dsp:nvSpPr>
        <dsp:cNvPr id="9" name="Rectangles 8"/>
        <dsp:cNvSpPr/>
      </dsp:nvSpPr>
      <dsp:spPr bwMode="white">
        <a:xfrm>
          <a:off x="330587" y="417797"/>
          <a:ext cx="2031613"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job description</a:t>
          </a:r>
          <a:endParaRPr>
            <a:solidFill>
              <a:schemeClr val="dk1"/>
            </a:solidFill>
          </a:endParaRPr>
        </a:p>
      </dsp:txBody>
      <dsp:txXfrm>
        <a:off x="330587" y="417797"/>
        <a:ext cx="2031613" cy="208982"/>
      </dsp:txXfrm>
    </dsp:sp>
    <dsp:sp modelId="{F4035C02-886E-4EF4-882F-7EAEBE14E622}">
      <dsp:nvSpPr>
        <dsp:cNvPr id="10" name="Oval 9"/>
        <dsp:cNvSpPr/>
      </dsp:nvSpPr>
      <dsp:spPr bwMode="white">
        <a:xfrm>
          <a:off x="199973" y="391674"/>
          <a:ext cx="261227" cy="261227"/>
        </a:xfrm>
        <a:prstGeom prst="ellipse">
          <a:avLst/>
        </a:prstGeom>
      </dsp:spPr>
      <dsp:style>
        <a:lnRef idx="2">
          <a:schemeClr val="dk1"/>
        </a:lnRef>
        <a:fillRef idx="1">
          <a:schemeClr val="lt1"/>
        </a:fillRef>
        <a:effectRef idx="0">
          <a:scrgbClr r="0" g="0" b="0"/>
        </a:effectRef>
        <a:fontRef idx="minor"/>
      </dsp:style>
      <dsp:txXfrm>
        <a:off x="199973" y="391674"/>
        <a:ext cx="261227" cy="261227"/>
      </dsp:txXfrm>
    </dsp:sp>
    <dsp:sp modelId="{EC2AFB57-2639-43E4-932D-4D43E3183407}">
      <dsp:nvSpPr>
        <dsp:cNvPr id="11" name="Rectangles 10"/>
        <dsp:cNvSpPr/>
      </dsp:nvSpPr>
      <dsp:spPr bwMode="white">
        <a:xfrm>
          <a:off x="376548" y="731169"/>
          <a:ext cx="1985652"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person specification</a:t>
          </a:r>
          <a:endParaRPr>
            <a:solidFill>
              <a:schemeClr val="dk1"/>
            </a:solidFill>
          </a:endParaRPr>
        </a:p>
      </dsp:txBody>
      <dsp:txXfrm>
        <a:off x="376548" y="731169"/>
        <a:ext cx="1985652" cy="208982"/>
      </dsp:txXfrm>
    </dsp:sp>
    <dsp:sp modelId="{E09C9FDC-7B9A-43E2-8C46-C081575AE045}">
      <dsp:nvSpPr>
        <dsp:cNvPr id="12" name="Oval 11"/>
        <dsp:cNvSpPr/>
      </dsp:nvSpPr>
      <dsp:spPr bwMode="white">
        <a:xfrm>
          <a:off x="245935" y="705046"/>
          <a:ext cx="261227" cy="261227"/>
        </a:xfrm>
        <a:prstGeom prst="ellipse">
          <a:avLst/>
        </a:prstGeom>
      </dsp:spPr>
      <dsp:style>
        <a:lnRef idx="2">
          <a:schemeClr val="dk1"/>
        </a:lnRef>
        <a:fillRef idx="1">
          <a:schemeClr val="lt1"/>
        </a:fillRef>
        <a:effectRef idx="0">
          <a:scrgbClr r="0" g="0" b="0"/>
        </a:effectRef>
        <a:fontRef idx="minor"/>
      </dsp:style>
      <dsp:txXfrm>
        <a:off x="245935" y="705046"/>
        <a:ext cx="261227" cy="261227"/>
      </dsp:txXfrm>
    </dsp:sp>
    <dsp:sp modelId="{90AF376A-F6A5-4E9F-A9D6-BC91D652A3B9}">
      <dsp:nvSpPr>
        <dsp:cNvPr id="13" name="Rectangles 12"/>
        <dsp:cNvSpPr/>
      </dsp:nvSpPr>
      <dsp:spPr bwMode="white">
        <a:xfrm>
          <a:off x="330587" y="1044542"/>
          <a:ext cx="2031613"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application form</a:t>
          </a:r>
          <a:endParaRPr>
            <a:solidFill>
              <a:schemeClr val="dk1"/>
            </a:solidFill>
          </a:endParaRPr>
        </a:p>
      </dsp:txBody>
      <dsp:txXfrm>
        <a:off x="330587" y="1044542"/>
        <a:ext cx="2031613" cy="208982"/>
      </dsp:txXfrm>
    </dsp:sp>
    <dsp:sp modelId="{229657C8-1E83-4236-8EA6-6CDEBEDBCF05}">
      <dsp:nvSpPr>
        <dsp:cNvPr id="14" name="Oval 13"/>
        <dsp:cNvSpPr/>
      </dsp:nvSpPr>
      <dsp:spPr bwMode="white">
        <a:xfrm>
          <a:off x="199973" y="1018419"/>
          <a:ext cx="261227" cy="261227"/>
        </a:xfrm>
        <a:prstGeom prst="ellipse">
          <a:avLst/>
        </a:prstGeom>
      </dsp:spPr>
      <dsp:style>
        <a:lnRef idx="2">
          <a:schemeClr val="dk1"/>
        </a:lnRef>
        <a:fillRef idx="1">
          <a:schemeClr val="lt1"/>
        </a:fillRef>
        <a:effectRef idx="0">
          <a:scrgbClr r="0" g="0" b="0"/>
        </a:effectRef>
        <a:fontRef idx="minor"/>
      </dsp:style>
      <dsp:txXfrm>
        <a:off x="199973" y="1018419"/>
        <a:ext cx="261227" cy="261227"/>
      </dsp:txXfrm>
    </dsp:sp>
    <dsp:sp modelId="{374B5F89-A197-4E5C-9BF6-EF044A9FB407}">
      <dsp:nvSpPr>
        <dsp:cNvPr id="15" name="Rectangles 14"/>
        <dsp:cNvSpPr/>
      </dsp:nvSpPr>
      <dsp:spPr bwMode="white">
        <a:xfrm>
          <a:off x="180837" y="1357914"/>
          <a:ext cx="2181363" cy="208982"/>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165879" tIns="25400" rIns="25400" bIns="25400" anchor="ctr"/>
        <a:lstStyle>
          <a:lvl1pPr algn="l">
            <a:defRPr sz="1000"/>
          </a:lvl1pPr>
          <a:lvl2pPr marL="57150" indent="-57150" algn="l">
            <a:defRPr sz="700"/>
          </a:lvl2pPr>
          <a:lvl3pPr marL="114300" indent="-57150" algn="l">
            <a:defRPr sz="700"/>
          </a:lvl3pPr>
          <a:lvl4pPr marL="171450" indent="-57150" algn="l">
            <a:defRPr sz="700"/>
          </a:lvl4pPr>
          <a:lvl5pPr marL="228600" indent="-57150" algn="l">
            <a:defRPr sz="700"/>
          </a:lvl5pPr>
          <a:lvl6pPr marL="285750" indent="-57150" algn="l">
            <a:defRPr sz="700"/>
          </a:lvl6pPr>
          <a:lvl7pPr marL="342900" indent="-57150" algn="l">
            <a:defRPr sz="700"/>
          </a:lvl7pPr>
          <a:lvl8pPr marL="400050" indent="-57150" algn="l">
            <a:defRPr sz="700"/>
          </a:lvl8pPr>
          <a:lvl9pPr marL="457200" indent="-57150" algn="l">
            <a:defRPr sz="700"/>
          </a:lvl9pPr>
        </a:lstStyle>
        <a:p>
          <a:pPr lvl="0" algn="ctr">
            <a:lnSpc>
              <a:spcPct val="100000"/>
            </a:lnSpc>
            <a:spcBef>
              <a:spcPct val="0"/>
            </a:spcBef>
            <a:spcAft>
              <a:spcPct val="35000"/>
            </a:spcAft>
          </a:pPr>
          <a:r>
            <a:rPr lang="en-GB">
              <a:solidFill>
                <a:schemeClr val="dk1"/>
              </a:solidFill>
            </a:rPr>
            <a:t>shortlisting</a:t>
          </a:r>
          <a:endParaRPr>
            <a:solidFill>
              <a:schemeClr val="dk1"/>
            </a:solidFill>
          </a:endParaRPr>
        </a:p>
      </dsp:txBody>
      <dsp:txXfrm>
        <a:off x="180837" y="1357914"/>
        <a:ext cx="2181363" cy="208982"/>
      </dsp:txXfrm>
    </dsp:sp>
    <dsp:sp modelId="{8AA68518-A923-4054-B6DA-7F7F3245F380}">
      <dsp:nvSpPr>
        <dsp:cNvPr id="16" name="Oval 15"/>
        <dsp:cNvSpPr/>
      </dsp:nvSpPr>
      <dsp:spPr bwMode="white">
        <a:xfrm>
          <a:off x="50223" y="1331791"/>
          <a:ext cx="261227" cy="261227"/>
        </a:xfrm>
        <a:prstGeom prst="ellipse">
          <a:avLst/>
        </a:prstGeom>
      </dsp:spPr>
      <dsp:style>
        <a:lnRef idx="2">
          <a:schemeClr val="dk1"/>
        </a:lnRef>
        <a:fillRef idx="1">
          <a:schemeClr val="lt1"/>
        </a:fillRef>
        <a:effectRef idx="0">
          <a:scrgbClr r="0" g="0" b="0"/>
        </a:effectRef>
        <a:fontRef idx="minor"/>
      </dsp:style>
      <dsp:txXfrm>
        <a:off x="50223" y="1331791"/>
        <a:ext cx="261227" cy="261227"/>
      </dsp:txXfrm>
    </dsp:sp>
    <dsp:sp modelId="{3C503823-AB54-4D23-B2CA-9763FA1E64DF}">
      <dsp:nvSpPr>
        <dsp:cNvPr id="3" name="Rectangles 2" hidden="1"/>
        <dsp:cNvSpPr/>
      </dsp:nvSpPr>
      <dsp:spPr bwMode="white">
        <a:xfrm>
          <a:off x="34793" y="23489"/>
          <a:ext cx="36000" cy="36000"/>
        </a:xfrm>
        <a:prstGeom prst="rect">
          <a:avLst/>
        </a:prstGeom>
      </dsp:spPr>
      <dsp:style>
        <a:lnRef idx="2">
          <a:schemeClr val="dk1">
            <a:shade val="80000"/>
          </a:schemeClr>
        </a:lnRef>
        <a:fillRef idx="1">
          <a:schemeClr val="lt1"/>
        </a:fillRef>
        <a:effectRef idx="0">
          <a:scrgbClr r="0" g="0" b="0"/>
        </a:effectRef>
        <a:fontRef idx="minor">
          <a:schemeClr val="lt1"/>
        </a:fontRef>
      </dsp:style>
      <dsp:txXfrm>
        <a:off x="34793" y="23489"/>
        <a:ext cx="36000" cy="36000"/>
      </dsp:txXfrm>
    </dsp:sp>
    <dsp:sp modelId="{40DBA49E-23A3-4694-9BA4-C75732EBA81A}">
      <dsp:nvSpPr>
        <dsp:cNvPr id="5" name="Rectangles 4" hidden="1"/>
        <dsp:cNvSpPr/>
      </dsp:nvSpPr>
      <dsp:spPr bwMode="white">
        <a:xfrm>
          <a:off x="363750" y="817660"/>
          <a:ext cx="36000" cy="36000"/>
        </a:xfrm>
        <a:prstGeom prst="rect">
          <a:avLst/>
        </a:prstGeom>
      </dsp:spPr>
      <dsp:style>
        <a:lnRef idx="2">
          <a:schemeClr val="dk1">
            <a:shade val="80000"/>
          </a:schemeClr>
        </a:lnRef>
        <a:fillRef idx="1">
          <a:schemeClr val="lt1"/>
        </a:fillRef>
        <a:effectRef idx="0">
          <a:scrgbClr r="0" g="0" b="0"/>
        </a:effectRef>
        <a:fontRef idx="minor">
          <a:schemeClr val="lt1"/>
        </a:fontRef>
      </dsp:style>
      <dsp:txXfrm>
        <a:off x="363750" y="817660"/>
        <a:ext cx="36000" cy="36000"/>
      </dsp:txXfrm>
    </dsp:sp>
    <dsp:sp modelId="{2D61C20D-C604-478A-8750-AD11466C62D5}">
      <dsp:nvSpPr>
        <dsp:cNvPr id="6" name="Rectangles 5" hidden="1"/>
        <dsp:cNvSpPr/>
      </dsp:nvSpPr>
      <dsp:spPr bwMode="white">
        <a:xfrm>
          <a:off x="34793" y="1611831"/>
          <a:ext cx="36000" cy="36000"/>
        </a:xfrm>
        <a:prstGeom prst="rect">
          <a:avLst/>
        </a:prstGeom>
      </dsp:spPr>
      <dsp:style>
        <a:lnRef idx="2">
          <a:schemeClr val="dk1">
            <a:shade val="80000"/>
          </a:schemeClr>
        </a:lnRef>
        <a:fillRef idx="1">
          <a:schemeClr val="lt1"/>
        </a:fillRef>
        <a:effectRef idx="0">
          <a:scrgbClr r="0" g="0" b="0"/>
        </a:effectRef>
        <a:fontRef idx="minor">
          <a:schemeClr val="lt1"/>
        </a:fontRef>
      </dsp:style>
      <dsp:txXfrm>
        <a:off x="34793" y="1611831"/>
        <a:ext cx="36000" cy="36000"/>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1">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srcNode" val="srcNode"/>
            <dgm:param type="dstNode" val="dstNode"/>
            <dgm:param type="endSty" val="noArr"/>
            <dgm:param type="connRout" val="curve"/>
            <dgm:param type="begPts" val="ctr"/>
            <dgm:param type="endPts" val="ct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2976</Words>
  <Characters>17680</Characters>
  <Lines>431</Lines>
  <Paragraphs>187</Paragraphs>
  <TotalTime>1</TotalTime>
  <ScaleCrop>false</ScaleCrop>
  <LinksUpToDate>false</LinksUpToDate>
  <CharactersWithSpaces>20469</CharactersWithSpaces>
  <Application>WPS Office_11.2.0.11516_F1E327BC-269C-435d-A152-05C5408002CA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2023-04-02T16:36:00Z</dcterms:created>
  <dc:creator>Windows User</dc:creator>
  <cp:lastModifiedBy>Gyulok Harla</cp:lastModifiedBy>
  <dcterms:modified xsi:type="dcterms:W3CDTF">2023-05-05T21:20:58Z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2057-11.2.0.11516</vt:lpwstr>
  </property>
  <property fmtid="{D5CDD505-2E9C-101B-9397-08002B2CF9AE}" pid="3" name="ICV">
    <vt:lpwstr>0E1D20F1AE5E45648C9C3803E585CA6C</vt:lpwstr>
  </property>
  <property fmtid="{D5CDD505-2E9C-101B-9397-08002B2CF9AE}" pid="4" name="GrammarlyDocumentId">
    <vt:lpwstr>bc72c74f37d4af3b6110549f21f77c43654af17f653bc892d98b022c9fe2048e</vt:lpwstr>
  </property>
</Properties>
</file>