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1D42B3" w14:textId="77777777" w:rsidR="008D03F4" w:rsidRPr="008D03F4" w:rsidRDefault="008D03F4" w:rsidP="008D03F4">
      <w:pPr>
        <w:overflowPunct w:val="0"/>
        <w:autoSpaceDE w:val="0"/>
        <w:autoSpaceDN w:val="0"/>
        <w:adjustRightInd w:val="0"/>
        <w:spacing w:after="0" w:line="240" w:lineRule="auto"/>
        <w:ind w:right="237"/>
        <w:textAlignment w:val="baseline"/>
        <w:rPr>
          <w:rFonts w:ascii="Arial" w:eastAsia="Times New Roman" w:hAnsi="Arial" w:cs="Arial"/>
          <w:color w:val="000000"/>
          <w:kern w:val="0"/>
          <w:sz w:val="24"/>
          <w:szCs w:val="24"/>
          <w:lang w:eastAsia="en-GB"/>
          <w14:ligatures w14:val="none"/>
        </w:rPr>
      </w:pPr>
      <w:bookmarkStart w:id="0" w:name="_Hlk163466254"/>
      <w:r w:rsidRPr="008D03F4">
        <w:rPr>
          <w:rFonts w:ascii="Arial" w:eastAsia="Times New Roman" w:hAnsi="Arial" w:cs="Arial"/>
          <w:color w:val="000000" w:themeColor="text1"/>
          <w:kern w:val="0"/>
          <w:sz w:val="24"/>
          <w:szCs w:val="24"/>
          <w:lang w:eastAsia="en-GB"/>
          <w14:ligatures w14:val="none"/>
        </w:rPr>
        <w:t>+</w:t>
      </w:r>
      <w:r w:rsidRPr="008D03F4">
        <w:rPr>
          <w:rFonts w:ascii="Arial" w:eastAsia="Times New Roman" w:hAnsi="Arial" w:cs="Arial"/>
          <w:noProof/>
          <w:color w:val="000000"/>
          <w:kern w:val="0"/>
          <w:sz w:val="20"/>
          <w:szCs w:val="20"/>
          <w:lang w:eastAsia="en-GB"/>
          <w14:ligatures w14:val="none"/>
        </w:rPr>
        <w:drawing>
          <wp:inline distT="0" distB="0" distL="0" distR="0" wp14:anchorId="109FFB23" wp14:editId="64722B01">
            <wp:extent cx="2045368" cy="714179"/>
            <wp:effectExtent l="0" t="0" r="0" b="0"/>
            <wp:docPr id="383836317" name="Picture 17"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36317" name="Picture 17" descr="Black text on a white backgroun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6A94B241" w14:textId="77777777" w:rsidR="008D03F4" w:rsidRPr="008D03F4" w:rsidRDefault="008D03F4" w:rsidP="008D03F4">
      <w:pPr>
        <w:overflowPunct w:val="0"/>
        <w:autoSpaceDE w:val="0"/>
        <w:autoSpaceDN w:val="0"/>
        <w:adjustRightInd w:val="0"/>
        <w:spacing w:after="0" w:line="240" w:lineRule="auto"/>
        <w:ind w:right="237"/>
        <w:textAlignment w:val="baseline"/>
        <w:rPr>
          <w:rFonts w:ascii="Arial" w:eastAsia="Times New Roman" w:hAnsi="Arial" w:cs="Arial"/>
          <w:color w:val="000000"/>
          <w:kern w:val="0"/>
          <w:sz w:val="24"/>
          <w:szCs w:val="24"/>
          <w:lang w:eastAsia="en-GB"/>
          <w14:ligatures w14:val="none"/>
        </w:rPr>
      </w:pPr>
    </w:p>
    <w:p w14:paraId="658750A9" w14:textId="77777777" w:rsidR="008D03F4" w:rsidRPr="008D03F4" w:rsidRDefault="008D03F4" w:rsidP="008D03F4">
      <w:pPr>
        <w:overflowPunct w:val="0"/>
        <w:autoSpaceDE w:val="0"/>
        <w:autoSpaceDN w:val="0"/>
        <w:adjustRightInd w:val="0"/>
        <w:spacing w:after="0" w:line="240" w:lineRule="auto"/>
        <w:ind w:right="237"/>
        <w:textAlignment w:val="baseline"/>
        <w:rPr>
          <w:rFonts w:ascii="Arial" w:eastAsia="Times New Roman" w:hAnsi="Arial" w:cs="Arial"/>
          <w:color w:val="000000"/>
          <w:kern w:val="0"/>
          <w:sz w:val="24"/>
          <w:szCs w:val="24"/>
          <w:lang w:eastAsia="en-GB"/>
          <w14:ligatures w14:val="none"/>
        </w:rPr>
      </w:pPr>
    </w:p>
    <w:p w14:paraId="132E5690" w14:textId="77777777" w:rsidR="008D03F4" w:rsidRPr="008D03F4" w:rsidRDefault="008D03F4" w:rsidP="008D03F4">
      <w:pPr>
        <w:overflowPunct w:val="0"/>
        <w:autoSpaceDE w:val="0"/>
        <w:autoSpaceDN w:val="0"/>
        <w:adjustRightInd w:val="0"/>
        <w:spacing w:after="0" w:line="240" w:lineRule="auto"/>
        <w:ind w:right="237"/>
        <w:textAlignment w:val="baseline"/>
        <w:rPr>
          <w:rFonts w:ascii="Arial" w:eastAsia="Times New Roman" w:hAnsi="Arial" w:cs="Arial"/>
          <w:b/>
          <w:color w:val="000000"/>
          <w:kern w:val="0"/>
          <w:sz w:val="36"/>
          <w:szCs w:val="40"/>
          <w:lang w:eastAsia="en-GB"/>
          <w14:ligatures w14:val="none"/>
        </w:rPr>
      </w:pPr>
      <w:r w:rsidRPr="008D03F4">
        <w:rPr>
          <w:rFonts w:ascii="Arial" w:eastAsia="Times New Roman" w:hAnsi="Arial" w:cs="Arial"/>
          <w:b/>
          <w:color w:val="000000"/>
          <w:kern w:val="0"/>
          <w:sz w:val="36"/>
          <w:szCs w:val="40"/>
          <w:lang w:eastAsia="en-GB"/>
          <w14:ligatures w14:val="none"/>
        </w:rPr>
        <w:t xml:space="preserve">Graduate Diploma Professional Police Practice </w:t>
      </w:r>
    </w:p>
    <w:p w14:paraId="73BB8CC1" w14:textId="77777777" w:rsidR="008D03F4" w:rsidRPr="008D03F4" w:rsidRDefault="008D03F4" w:rsidP="008D03F4">
      <w:pPr>
        <w:spacing w:after="0" w:line="240" w:lineRule="auto"/>
        <w:ind w:right="237"/>
        <w:rPr>
          <w:rFonts w:ascii="Arial" w:eastAsia="Times New Roman" w:hAnsi="Arial" w:cs="Arial"/>
          <w:b/>
          <w:kern w:val="0"/>
          <w:sz w:val="44"/>
          <w:szCs w:val="20"/>
          <w:lang w:eastAsia="en-GB"/>
          <w14:ligatures w14:val="none"/>
        </w:rPr>
      </w:pPr>
    </w:p>
    <w:p w14:paraId="7D13BC06" w14:textId="77777777" w:rsidR="008D03F4" w:rsidRPr="008D03F4" w:rsidRDefault="008D03F4" w:rsidP="008D03F4">
      <w:pPr>
        <w:spacing w:after="0" w:line="240" w:lineRule="auto"/>
        <w:ind w:right="237"/>
        <w:rPr>
          <w:rFonts w:ascii="Arial" w:eastAsia="Times New Roman" w:hAnsi="Arial" w:cs="Arial"/>
          <w:b/>
          <w:kern w:val="0"/>
          <w:sz w:val="44"/>
          <w:szCs w:val="20"/>
          <w:lang w:eastAsia="en-GB"/>
          <w14:ligatures w14:val="none"/>
        </w:rPr>
      </w:pPr>
      <w:r w:rsidRPr="008D03F4">
        <w:rPr>
          <w:rFonts w:ascii="Arial" w:eastAsia="Times New Roman" w:hAnsi="Arial" w:cs="Arial"/>
          <w:b/>
          <w:kern w:val="0"/>
          <w:sz w:val="44"/>
          <w:szCs w:val="20"/>
          <w:lang w:eastAsia="en-GB"/>
          <w14:ligatures w14:val="none"/>
        </w:rPr>
        <w:t>LEVEL 6 - 40 Credits</w:t>
      </w:r>
    </w:p>
    <w:p w14:paraId="79213261" w14:textId="77777777" w:rsidR="008D03F4" w:rsidRPr="008D03F4" w:rsidRDefault="008D03F4" w:rsidP="008D03F4">
      <w:pPr>
        <w:spacing w:after="0" w:line="240" w:lineRule="auto"/>
        <w:ind w:right="237"/>
        <w:rPr>
          <w:rFonts w:ascii="Arial" w:eastAsia="Times New Roman" w:hAnsi="Arial" w:cs="Arial"/>
          <w:b/>
          <w:kern w:val="0"/>
          <w:sz w:val="44"/>
          <w:szCs w:val="20"/>
          <w:lang w:eastAsia="en-GB"/>
          <w14:ligatures w14:val="none"/>
        </w:rPr>
      </w:pPr>
    </w:p>
    <w:p w14:paraId="0996AB5A" w14:textId="77777777" w:rsidR="008D03F4" w:rsidRPr="008D03F4" w:rsidRDefault="008D03F4" w:rsidP="008D03F4">
      <w:pPr>
        <w:spacing w:after="0" w:line="240" w:lineRule="auto"/>
        <w:ind w:right="237"/>
        <w:rPr>
          <w:rFonts w:ascii="Arial" w:eastAsia="Times New Roman" w:hAnsi="Arial" w:cs="Arial"/>
          <w:b/>
          <w:kern w:val="0"/>
          <w:sz w:val="44"/>
          <w:szCs w:val="20"/>
          <w:lang w:eastAsia="en-GB"/>
          <w14:ligatures w14:val="none"/>
        </w:rPr>
      </w:pPr>
    </w:p>
    <w:p w14:paraId="743855C3" w14:textId="77777777" w:rsidR="008D03F4" w:rsidRPr="008D03F4" w:rsidRDefault="008D03F4" w:rsidP="008D03F4">
      <w:pPr>
        <w:spacing w:after="0" w:line="240" w:lineRule="auto"/>
        <w:ind w:right="237"/>
        <w:rPr>
          <w:rFonts w:ascii="Arial" w:eastAsia="Times New Roman" w:hAnsi="Arial" w:cs="Arial"/>
          <w:b/>
          <w:kern w:val="0"/>
          <w:sz w:val="40"/>
          <w:szCs w:val="20"/>
          <w:lang w:eastAsia="en-GB"/>
          <w14:ligatures w14:val="none"/>
        </w:rPr>
      </w:pPr>
      <w:r w:rsidRPr="008D03F4">
        <w:rPr>
          <w:rFonts w:ascii="Arial" w:eastAsia="Times New Roman" w:hAnsi="Arial" w:cs="Arial"/>
          <w:b/>
          <w:kern w:val="0"/>
          <w:sz w:val="40"/>
          <w:szCs w:val="20"/>
          <w:lang w:eastAsia="en-GB"/>
          <w14:ligatures w14:val="none"/>
        </w:rPr>
        <w:t>Workbook title: Competency Based Workbook 2 (DHEP/DET)</w:t>
      </w:r>
    </w:p>
    <w:p w14:paraId="303F1147" w14:textId="77777777" w:rsidR="008D03F4" w:rsidRPr="008D03F4" w:rsidRDefault="008D03F4" w:rsidP="008D03F4">
      <w:pPr>
        <w:spacing w:after="0" w:line="240" w:lineRule="auto"/>
        <w:ind w:right="237"/>
        <w:rPr>
          <w:rFonts w:ascii="Arial" w:eastAsia="Times New Roman" w:hAnsi="Arial" w:cs="Arial"/>
          <w:b/>
          <w:kern w:val="0"/>
          <w:sz w:val="40"/>
          <w:szCs w:val="20"/>
          <w:lang w:eastAsia="en-GB"/>
          <w14:ligatures w14:val="none"/>
        </w:rPr>
      </w:pPr>
    </w:p>
    <w:p w14:paraId="7E8698F2" w14:textId="77777777" w:rsidR="008D03F4" w:rsidRPr="008D03F4" w:rsidRDefault="008D03F4" w:rsidP="008D03F4">
      <w:pPr>
        <w:spacing w:after="0" w:line="240" w:lineRule="auto"/>
        <w:ind w:right="237"/>
        <w:rPr>
          <w:rFonts w:ascii="Arial" w:eastAsia="Times New Roman" w:hAnsi="Arial" w:cs="Arial"/>
          <w:b/>
          <w:i/>
          <w:iCs/>
          <w:kern w:val="0"/>
          <w:sz w:val="40"/>
          <w:szCs w:val="20"/>
          <w:lang w:eastAsia="en-GB"/>
          <w14:ligatures w14:val="none"/>
        </w:rPr>
      </w:pPr>
      <w:r w:rsidRPr="008D03F4">
        <w:rPr>
          <w:rFonts w:ascii="Arial" w:eastAsia="Times New Roman" w:hAnsi="Arial" w:cs="Arial"/>
          <w:b/>
          <w:i/>
          <w:iCs/>
          <w:kern w:val="0"/>
          <w:sz w:val="40"/>
          <w:szCs w:val="20"/>
          <w:highlight w:val="yellow"/>
          <w:lang w:eastAsia="en-GB"/>
          <w14:ligatures w14:val="none"/>
        </w:rPr>
        <w:t>To be completed by DHEP Detective students only</w:t>
      </w:r>
      <w:r w:rsidRPr="008D03F4">
        <w:rPr>
          <w:rFonts w:ascii="Arial" w:eastAsia="Times New Roman" w:hAnsi="Arial" w:cs="Arial"/>
          <w:b/>
          <w:i/>
          <w:iCs/>
          <w:kern w:val="0"/>
          <w:sz w:val="40"/>
          <w:szCs w:val="20"/>
          <w:lang w:eastAsia="en-GB"/>
          <w14:ligatures w14:val="none"/>
        </w:rPr>
        <w:t xml:space="preserve"> </w:t>
      </w:r>
    </w:p>
    <w:p w14:paraId="0CA6790C" w14:textId="77777777" w:rsidR="008D03F4" w:rsidRPr="008D03F4" w:rsidRDefault="008D03F4" w:rsidP="008D03F4">
      <w:pPr>
        <w:spacing w:after="0" w:line="240" w:lineRule="auto"/>
        <w:ind w:right="237"/>
        <w:rPr>
          <w:rFonts w:ascii="Arial" w:eastAsia="Times New Roman" w:hAnsi="Arial" w:cs="Arial"/>
          <w:b/>
          <w:kern w:val="0"/>
          <w:sz w:val="36"/>
          <w:szCs w:val="20"/>
          <w:lang w:eastAsia="en-GB"/>
          <w14:ligatures w14:val="none"/>
        </w:rPr>
      </w:pPr>
    </w:p>
    <w:p w14:paraId="697E8205" w14:textId="77777777" w:rsidR="008D03F4" w:rsidRPr="008D03F4" w:rsidRDefault="008D03F4" w:rsidP="008D03F4">
      <w:pPr>
        <w:spacing w:after="0" w:line="240" w:lineRule="auto"/>
        <w:ind w:right="237"/>
        <w:rPr>
          <w:rFonts w:ascii="Arial" w:eastAsia="Times New Roman" w:hAnsi="Arial" w:cs="Arial"/>
          <w:b/>
          <w:kern w:val="0"/>
          <w:sz w:val="36"/>
          <w:szCs w:val="20"/>
          <w:lang w:eastAsia="en-GB"/>
          <w14:ligatures w14:val="none"/>
        </w:rPr>
      </w:pPr>
      <w:r w:rsidRPr="008D03F4">
        <w:rPr>
          <w:rFonts w:ascii="Arial" w:eastAsia="Times New Roman" w:hAnsi="Arial" w:cs="Arial"/>
          <w:b/>
          <w:kern w:val="0"/>
          <w:sz w:val="36"/>
          <w:szCs w:val="20"/>
          <w:lang w:eastAsia="en-GB"/>
          <w14:ligatures w14:val="none"/>
        </w:rPr>
        <w:t>(SOUTH WALES POLICE, GWENT POLICE AND UWTSD)</w:t>
      </w:r>
    </w:p>
    <w:p w14:paraId="354EF0A7" w14:textId="77777777" w:rsidR="008D03F4" w:rsidRPr="008D03F4" w:rsidRDefault="008D03F4" w:rsidP="008D03F4">
      <w:pPr>
        <w:spacing w:after="0" w:line="240" w:lineRule="auto"/>
        <w:ind w:right="237"/>
        <w:rPr>
          <w:rFonts w:ascii="Arial" w:eastAsia="Times New Roman" w:hAnsi="Arial" w:cs="Arial"/>
          <w:b/>
          <w:kern w:val="0"/>
          <w:sz w:val="44"/>
          <w:szCs w:val="20"/>
          <w:lang w:eastAsia="en-GB"/>
          <w14:ligatures w14:val="none"/>
        </w:rPr>
      </w:pPr>
    </w:p>
    <w:p w14:paraId="307313A8" w14:textId="77777777" w:rsidR="008D03F4" w:rsidRPr="008D03F4" w:rsidRDefault="008D03F4" w:rsidP="008D03F4">
      <w:pPr>
        <w:spacing w:after="0" w:line="240" w:lineRule="auto"/>
        <w:ind w:right="237"/>
        <w:rPr>
          <w:rFonts w:ascii="Arial" w:eastAsia="Times New Roman" w:hAnsi="Arial" w:cs="Arial"/>
          <w:b/>
          <w:kern w:val="0"/>
          <w:sz w:val="44"/>
          <w:szCs w:val="20"/>
          <w:lang w:eastAsia="en-GB"/>
          <w14:ligatures w14:val="none"/>
        </w:rPr>
      </w:pPr>
    </w:p>
    <w:p w14:paraId="49C5D777" w14:textId="77777777" w:rsidR="008D03F4" w:rsidRPr="008D03F4" w:rsidRDefault="008D03F4" w:rsidP="008D03F4">
      <w:pPr>
        <w:spacing w:after="0" w:line="240" w:lineRule="auto"/>
        <w:rPr>
          <w:rFonts w:ascii="Arial" w:eastAsia="Times New Roman" w:hAnsi="Arial" w:cs="Arial"/>
          <w:color w:val="000000"/>
          <w:kern w:val="0"/>
          <w:sz w:val="20"/>
          <w:szCs w:val="20"/>
          <w:lang w:eastAsia="en-GB"/>
          <w14:ligatures w14:val="none"/>
        </w:rPr>
      </w:pPr>
    </w:p>
    <w:tbl>
      <w:tblPr>
        <w:tblStyle w:val="TableGrid"/>
        <w:tblW w:w="0" w:type="auto"/>
        <w:tblLayout w:type="fixed"/>
        <w:tblLook w:val="06A0" w:firstRow="1" w:lastRow="0" w:firstColumn="1" w:lastColumn="0" w:noHBand="1" w:noVBand="1"/>
      </w:tblPr>
      <w:tblGrid>
        <w:gridCol w:w="9015"/>
      </w:tblGrid>
      <w:tr w:rsidR="008D03F4" w:rsidRPr="008D03F4" w14:paraId="19E0F77E" w14:textId="77777777" w:rsidTr="004049E6">
        <w:tc>
          <w:tcPr>
            <w:tcW w:w="9015" w:type="dxa"/>
          </w:tcPr>
          <w:p w14:paraId="45E7DC5A" w14:textId="24580C75" w:rsidR="008D03F4" w:rsidRPr="008D03F4" w:rsidRDefault="008D03F4" w:rsidP="008D03F4">
            <w:pPr>
              <w:overflowPunct w:val="0"/>
              <w:autoSpaceDE w:val="0"/>
              <w:autoSpaceDN w:val="0"/>
              <w:adjustRightInd w:val="0"/>
              <w:ind w:right="237"/>
              <w:textAlignment w:val="baseline"/>
              <w:rPr>
                <w:rFonts w:ascii="Arial" w:hAnsi="Arial" w:cs="Arial"/>
                <w:b/>
                <w:bCs/>
                <w:sz w:val="32"/>
                <w:szCs w:val="32"/>
                <w:lang w:eastAsia="en-GB"/>
              </w:rPr>
            </w:pPr>
            <w:r w:rsidRPr="008D03F4">
              <w:rPr>
                <w:rFonts w:ascii="Arial" w:hAnsi="Arial" w:cs="Arial"/>
                <w:b/>
                <w:bCs/>
                <w:sz w:val="32"/>
                <w:szCs w:val="32"/>
                <w:lang w:eastAsia="en-GB"/>
              </w:rPr>
              <w:t>Learner name: _</w:t>
            </w:r>
            <w:r w:rsidR="00D903CA">
              <w:rPr>
                <w:rFonts w:ascii="Arial" w:hAnsi="Arial" w:cs="Arial"/>
                <w:b/>
                <w:bCs/>
                <w:sz w:val="32"/>
                <w:szCs w:val="32"/>
                <w:lang w:eastAsia="en-GB"/>
              </w:rPr>
              <w:t>Andy Williams</w:t>
            </w:r>
            <w:r w:rsidRPr="008D03F4">
              <w:rPr>
                <w:rFonts w:ascii="Arial" w:hAnsi="Arial" w:cs="Arial"/>
                <w:b/>
                <w:bCs/>
                <w:sz w:val="32"/>
                <w:szCs w:val="32"/>
                <w:lang w:eastAsia="en-GB"/>
              </w:rPr>
              <w:t>_____________________________</w:t>
            </w:r>
          </w:p>
          <w:p w14:paraId="6AFD46A7" w14:textId="77777777" w:rsidR="008D03F4" w:rsidRPr="008D03F4" w:rsidRDefault="008D03F4" w:rsidP="008D03F4">
            <w:pPr>
              <w:overflowPunct w:val="0"/>
              <w:autoSpaceDE w:val="0"/>
              <w:autoSpaceDN w:val="0"/>
              <w:adjustRightInd w:val="0"/>
              <w:ind w:right="237"/>
              <w:textAlignment w:val="baseline"/>
              <w:rPr>
                <w:rFonts w:ascii="Arial" w:hAnsi="Arial" w:cs="Arial"/>
                <w:b/>
                <w:bCs/>
                <w:sz w:val="32"/>
                <w:szCs w:val="32"/>
                <w:lang w:eastAsia="en-GB"/>
              </w:rPr>
            </w:pPr>
          </w:p>
          <w:p w14:paraId="118C6C55" w14:textId="77777777" w:rsidR="008D03F4" w:rsidRPr="008D03F4" w:rsidRDefault="008D03F4" w:rsidP="008D03F4">
            <w:pPr>
              <w:overflowPunct w:val="0"/>
              <w:autoSpaceDE w:val="0"/>
              <w:autoSpaceDN w:val="0"/>
              <w:adjustRightInd w:val="0"/>
              <w:ind w:right="237"/>
              <w:textAlignment w:val="baseline"/>
              <w:rPr>
                <w:rFonts w:ascii="Arial" w:hAnsi="Arial" w:cs="Arial"/>
                <w:b/>
                <w:bCs/>
                <w:sz w:val="32"/>
                <w:szCs w:val="32"/>
                <w:lang w:eastAsia="en-GB"/>
              </w:rPr>
            </w:pPr>
            <w:r w:rsidRPr="008D03F4">
              <w:rPr>
                <w:rFonts w:ascii="Arial" w:hAnsi="Arial" w:cs="Arial"/>
                <w:b/>
                <w:bCs/>
                <w:sz w:val="32"/>
                <w:szCs w:val="32"/>
                <w:lang w:eastAsia="en-GB"/>
              </w:rPr>
              <w:t>Learner’s University Registration Number:</w:t>
            </w:r>
          </w:p>
          <w:p w14:paraId="5324AF80" w14:textId="77777777" w:rsidR="008D03F4" w:rsidRPr="008D03F4" w:rsidRDefault="008D03F4" w:rsidP="008D03F4">
            <w:pPr>
              <w:overflowPunct w:val="0"/>
              <w:autoSpaceDE w:val="0"/>
              <w:autoSpaceDN w:val="0"/>
              <w:adjustRightInd w:val="0"/>
              <w:ind w:right="237"/>
              <w:textAlignment w:val="baseline"/>
              <w:rPr>
                <w:rFonts w:ascii="Arial" w:hAnsi="Arial" w:cs="Arial"/>
                <w:b/>
                <w:bCs/>
                <w:sz w:val="32"/>
                <w:szCs w:val="32"/>
                <w:lang w:eastAsia="en-GB"/>
              </w:rPr>
            </w:pPr>
            <w:r w:rsidRPr="008D03F4">
              <w:rPr>
                <w:rFonts w:ascii="Arial" w:hAnsi="Arial" w:cs="Arial"/>
                <w:b/>
                <w:bCs/>
                <w:sz w:val="32"/>
                <w:szCs w:val="32"/>
                <w:lang w:eastAsia="en-GB"/>
              </w:rPr>
              <w:t>_______________________________</w:t>
            </w:r>
          </w:p>
          <w:p w14:paraId="416DAB4D" w14:textId="77777777" w:rsidR="008D03F4" w:rsidRPr="008D03F4" w:rsidRDefault="008D03F4" w:rsidP="008D03F4">
            <w:pPr>
              <w:overflowPunct w:val="0"/>
              <w:autoSpaceDE w:val="0"/>
              <w:autoSpaceDN w:val="0"/>
              <w:adjustRightInd w:val="0"/>
              <w:ind w:right="237"/>
              <w:textAlignment w:val="baseline"/>
              <w:rPr>
                <w:rFonts w:ascii="Arial" w:hAnsi="Arial" w:cs="Arial"/>
                <w:b/>
                <w:bCs/>
                <w:sz w:val="32"/>
                <w:szCs w:val="32"/>
                <w:lang w:eastAsia="en-GB"/>
              </w:rPr>
            </w:pPr>
          </w:p>
          <w:p w14:paraId="27516EBC" w14:textId="77777777" w:rsidR="008D03F4" w:rsidRPr="008D03F4" w:rsidRDefault="008D03F4" w:rsidP="008D03F4">
            <w:pPr>
              <w:overflowPunct w:val="0"/>
              <w:autoSpaceDE w:val="0"/>
              <w:autoSpaceDN w:val="0"/>
              <w:adjustRightInd w:val="0"/>
              <w:ind w:right="237"/>
              <w:textAlignment w:val="baseline"/>
              <w:rPr>
                <w:rFonts w:ascii="Arial" w:hAnsi="Arial" w:cs="Arial"/>
                <w:b/>
                <w:bCs/>
                <w:sz w:val="32"/>
                <w:szCs w:val="32"/>
                <w:lang w:eastAsia="en-GB"/>
              </w:rPr>
            </w:pPr>
          </w:p>
          <w:p w14:paraId="7A11D9E4" w14:textId="77777777" w:rsidR="008D03F4" w:rsidRPr="008D03F4" w:rsidRDefault="008D03F4" w:rsidP="008D03F4">
            <w:pPr>
              <w:overflowPunct w:val="0"/>
              <w:autoSpaceDE w:val="0"/>
              <w:autoSpaceDN w:val="0"/>
              <w:adjustRightInd w:val="0"/>
              <w:textAlignment w:val="baseline"/>
              <w:rPr>
                <w:rFonts w:ascii="Arial" w:hAnsi="Arial" w:cs="Arial"/>
                <w:b/>
                <w:bCs/>
                <w:color w:val="000000" w:themeColor="text1"/>
                <w:sz w:val="32"/>
                <w:szCs w:val="32"/>
                <w:lang w:eastAsia="en-GB"/>
              </w:rPr>
            </w:pPr>
          </w:p>
        </w:tc>
      </w:tr>
    </w:tbl>
    <w:p w14:paraId="66835365" w14:textId="77777777" w:rsidR="008D03F4" w:rsidRPr="008D03F4" w:rsidRDefault="008D03F4" w:rsidP="008D03F4">
      <w:pPr>
        <w:spacing w:after="0" w:line="240" w:lineRule="auto"/>
        <w:ind w:right="237"/>
        <w:rPr>
          <w:rFonts w:ascii="Arial" w:eastAsia="Times New Roman" w:hAnsi="Arial" w:cs="Arial"/>
          <w:b/>
          <w:kern w:val="0"/>
          <w:sz w:val="36"/>
          <w:szCs w:val="20"/>
          <w:lang w:eastAsia="en-GB"/>
          <w14:ligatures w14:val="none"/>
        </w:rPr>
      </w:pPr>
    </w:p>
    <w:p w14:paraId="5723337D" w14:textId="77777777" w:rsidR="008D03F4" w:rsidRPr="008D03F4" w:rsidRDefault="008D03F4" w:rsidP="008D03F4">
      <w:pPr>
        <w:spacing w:after="0" w:line="240" w:lineRule="auto"/>
        <w:ind w:right="237"/>
        <w:rPr>
          <w:rFonts w:ascii="Arial" w:eastAsia="Times New Roman" w:hAnsi="Arial" w:cs="Arial"/>
          <w:b/>
          <w:bCs/>
          <w:kern w:val="0"/>
          <w:sz w:val="40"/>
          <w:szCs w:val="40"/>
          <w:lang w:eastAsia="en-GB"/>
          <w14:ligatures w14:val="none"/>
        </w:rPr>
      </w:pPr>
      <w:r w:rsidRPr="008D03F4">
        <w:rPr>
          <w:rFonts w:ascii="Arial" w:eastAsia="Times New Roman" w:hAnsi="Arial" w:cs="Arial"/>
          <w:b/>
          <w:bCs/>
          <w:kern w:val="0"/>
          <w:sz w:val="40"/>
          <w:szCs w:val="40"/>
          <w:lang w:eastAsia="en-GB"/>
          <w14:ligatures w14:val="none"/>
        </w:rPr>
        <w:t>FACULTY OF BUSINESS AND MANAGEMENT</w:t>
      </w:r>
    </w:p>
    <w:p w14:paraId="7C7B2E87" w14:textId="77777777" w:rsidR="008D03F4" w:rsidRPr="008D03F4" w:rsidRDefault="008D03F4" w:rsidP="008D03F4">
      <w:pPr>
        <w:spacing w:after="0" w:line="240" w:lineRule="auto"/>
        <w:ind w:right="237"/>
        <w:rPr>
          <w:rFonts w:ascii="Arial" w:eastAsia="Times New Roman" w:hAnsi="Arial" w:cs="Arial"/>
          <w:b/>
          <w:kern w:val="0"/>
          <w:sz w:val="40"/>
          <w:szCs w:val="56"/>
          <w:lang w:eastAsia="en-GB"/>
          <w14:ligatures w14:val="none"/>
        </w:rPr>
      </w:pPr>
      <w:r w:rsidRPr="008D03F4">
        <w:rPr>
          <w:rFonts w:ascii="Arial" w:eastAsia="Times New Roman" w:hAnsi="Arial" w:cs="Arial"/>
          <w:b/>
          <w:kern w:val="0"/>
          <w:sz w:val="40"/>
          <w:szCs w:val="56"/>
          <w:lang w:eastAsia="en-GB"/>
          <w14:ligatures w14:val="none"/>
        </w:rPr>
        <w:t>PUBLIC SERVICE PROGRAMME</w:t>
      </w:r>
    </w:p>
    <w:p w14:paraId="1CB4F55E" w14:textId="77777777" w:rsidR="008D03F4" w:rsidRPr="008D03F4" w:rsidRDefault="008D03F4" w:rsidP="008D03F4">
      <w:pPr>
        <w:spacing w:after="0" w:line="240" w:lineRule="auto"/>
        <w:ind w:right="237"/>
        <w:rPr>
          <w:rFonts w:ascii="Arial" w:eastAsia="Times New Roman" w:hAnsi="Arial" w:cs="Arial"/>
          <w:b/>
          <w:i/>
          <w:kern w:val="0"/>
          <w:sz w:val="24"/>
          <w:szCs w:val="20"/>
          <w:lang w:eastAsia="en-GB"/>
          <w14:ligatures w14:val="none"/>
        </w:rPr>
      </w:pPr>
    </w:p>
    <w:p w14:paraId="6535E898" w14:textId="77777777" w:rsidR="008D03F4" w:rsidRPr="008D03F4" w:rsidRDefault="008D03F4" w:rsidP="008D03F4">
      <w:pPr>
        <w:spacing w:after="0" w:line="240" w:lineRule="auto"/>
        <w:ind w:right="237"/>
        <w:rPr>
          <w:rFonts w:ascii="Arial" w:eastAsia="Times New Roman" w:hAnsi="Arial" w:cs="Arial"/>
          <w:b/>
          <w:bCs/>
          <w:i/>
          <w:iCs/>
          <w:kern w:val="0"/>
          <w:sz w:val="24"/>
          <w:szCs w:val="24"/>
          <w:lang w:eastAsia="en-GB"/>
          <w14:ligatures w14:val="none"/>
        </w:rPr>
      </w:pPr>
      <w:r w:rsidRPr="008D03F4">
        <w:rPr>
          <w:rFonts w:ascii="Arial" w:eastAsia="Times New Roman" w:hAnsi="Arial" w:cs="Arial"/>
          <w:b/>
          <w:bCs/>
          <w:i/>
          <w:iCs/>
          <w:kern w:val="0"/>
          <w:sz w:val="24"/>
          <w:szCs w:val="24"/>
          <w:lang w:eastAsia="en-GB"/>
          <w14:ligatures w14:val="none"/>
        </w:rPr>
        <w:t xml:space="preserve">Module title: Policing in the Workplace 3 (DHEP) - BMPP6001D </w:t>
      </w:r>
    </w:p>
    <w:p w14:paraId="76B26EEC" w14:textId="77777777" w:rsidR="008D03F4" w:rsidRDefault="008D03F4" w:rsidP="008D03F4">
      <w:pPr>
        <w:overflowPunct w:val="0"/>
        <w:autoSpaceDE w:val="0"/>
        <w:autoSpaceDN w:val="0"/>
        <w:adjustRightInd w:val="0"/>
        <w:spacing w:after="0" w:line="240" w:lineRule="auto"/>
        <w:ind w:right="237"/>
        <w:textAlignment w:val="baseline"/>
        <w:rPr>
          <w:rFonts w:ascii="Arial" w:eastAsia="Times New Roman" w:hAnsi="Arial" w:cs="Arial"/>
          <w:kern w:val="0"/>
          <w:sz w:val="24"/>
          <w:szCs w:val="20"/>
          <w:lang w:eastAsia="en-GB"/>
          <w14:ligatures w14:val="none"/>
        </w:rPr>
      </w:pPr>
    </w:p>
    <w:p w14:paraId="39A31F31" w14:textId="0C88C9CD" w:rsidR="008D03F4" w:rsidRPr="008D03F4" w:rsidRDefault="008D03F4" w:rsidP="008D03F4">
      <w:pPr>
        <w:overflowPunct w:val="0"/>
        <w:autoSpaceDE w:val="0"/>
        <w:autoSpaceDN w:val="0"/>
        <w:adjustRightInd w:val="0"/>
        <w:spacing w:after="0" w:line="240" w:lineRule="auto"/>
        <w:ind w:right="237"/>
        <w:textAlignment w:val="baseline"/>
        <w:rPr>
          <w:rFonts w:ascii="Arial" w:eastAsia="Times New Roman" w:hAnsi="Arial" w:cs="Arial"/>
          <w:b/>
          <w:bCs/>
          <w:color w:val="000000"/>
          <w:kern w:val="0"/>
          <w:sz w:val="24"/>
          <w:szCs w:val="24"/>
          <w:lang w:eastAsia="en-GB"/>
          <w14:ligatures w14:val="none"/>
        </w:rPr>
      </w:pPr>
      <w:r w:rsidRPr="008D03F4">
        <w:rPr>
          <w:rFonts w:ascii="Arial" w:eastAsia="Arial" w:hAnsi="Arial" w:cs="Arial"/>
          <w:b/>
          <w:bCs/>
          <w:color w:val="000000" w:themeColor="text1"/>
          <w:kern w:val="0"/>
          <w:sz w:val="24"/>
          <w:szCs w:val="24"/>
          <w:lang w:eastAsia="en-GB"/>
          <w14:ligatures w14:val="none"/>
        </w:rPr>
        <w:t>Task 1</w:t>
      </w:r>
    </w:p>
    <w:p w14:paraId="41F0731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407B2BF7"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b/>
          <w:bCs/>
          <w:color w:val="000000" w:themeColor="text1"/>
          <w:kern w:val="0"/>
          <w:sz w:val="24"/>
          <w:szCs w:val="24"/>
          <w:lang w:eastAsia="en-GB"/>
          <w14:ligatures w14:val="none"/>
        </w:rPr>
        <w:t xml:space="preserve">Relevant areas of the National Policing Curriculum: </w:t>
      </w:r>
    </w:p>
    <w:p w14:paraId="505285EF"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b/>
          <w:bCs/>
          <w:color w:val="000000" w:themeColor="text1"/>
          <w:kern w:val="0"/>
          <w:sz w:val="24"/>
          <w:szCs w:val="24"/>
          <w:lang w:eastAsia="en-GB"/>
          <w14:ligatures w14:val="none"/>
        </w:rPr>
        <w:t>Vulnerability and Risk, Evidence-based policing</w:t>
      </w:r>
    </w:p>
    <w:p w14:paraId="08E90E8D"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6FDFD9D6"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 xml:space="preserve">You must choose </w:t>
      </w:r>
      <w:r w:rsidRPr="008D03F4">
        <w:rPr>
          <w:rFonts w:ascii="Arial" w:eastAsia="Times New Roman" w:hAnsi="Arial" w:cs="Arial"/>
          <w:b/>
          <w:bCs/>
          <w:color w:val="FF0000"/>
          <w:kern w:val="0"/>
          <w:sz w:val="24"/>
          <w:szCs w:val="24"/>
          <w:u w:val="single"/>
          <w:lang w:eastAsia="en-GB"/>
          <w14:ligatures w14:val="none"/>
        </w:rPr>
        <w:t>serious and complex investigation</w:t>
      </w:r>
      <w:r w:rsidRPr="008D03F4">
        <w:rPr>
          <w:rFonts w:ascii="Arial" w:eastAsia="Arial" w:hAnsi="Arial" w:cs="Arial"/>
          <w:color w:val="000000" w:themeColor="text1"/>
          <w:kern w:val="0"/>
          <w:sz w:val="24"/>
          <w:szCs w:val="24"/>
          <w:lang w:eastAsia="en-GB"/>
          <w14:ligatures w14:val="none"/>
        </w:rPr>
        <w:t xml:space="preserve"> in which you played a significant role with a victim of crime and reflect on what happened. </w:t>
      </w:r>
    </w:p>
    <w:p w14:paraId="79B4E3C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kern w:val="0"/>
          <w:sz w:val="24"/>
          <w:szCs w:val="24"/>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D03F4" w:rsidRPr="008D03F4" w14:paraId="5C1C8C34" w14:textId="77777777" w:rsidTr="004049E6">
        <w:tc>
          <w:tcPr>
            <w:tcW w:w="10188" w:type="dxa"/>
            <w:shd w:val="clear" w:color="auto" w:fill="auto"/>
          </w:tcPr>
          <w:p w14:paraId="2B93E918" w14:textId="77777777" w:rsidR="008D03F4" w:rsidRPr="008D03F4" w:rsidRDefault="008D03F4" w:rsidP="008D03F4">
            <w:pPr>
              <w:overflowPunct w:val="0"/>
              <w:autoSpaceDE w:val="0"/>
              <w:autoSpaceDN w:val="0"/>
              <w:adjustRightInd w:val="0"/>
              <w:spacing w:after="0" w:line="240" w:lineRule="auto"/>
              <w:ind w:right="237"/>
              <w:textAlignment w:val="baseline"/>
              <w:rPr>
                <w:rFonts w:ascii="Arial" w:eastAsia="Times New Roman" w:hAnsi="Arial" w:cs="Arial"/>
                <w:color w:val="000000"/>
                <w:kern w:val="0"/>
                <w:sz w:val="24"/>
                <w:szCs w:val="24"/>
                <w:lang w:eastAsia="en-GB"/>
                <w14:ligatures w14:val="none"/>
              </w:rPr>
            </w:pPr>
          </w:p>
          <w:p w14:paraId="64620B6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b/>
                <w:bCs/>
                <w:color w:val="000000" w:themeColor="text1"/>
                <w:kern w:val="0"/>
                <w:sz w:val="24"/>
                <w:szCs w:val="24"/>
                <w:lang w:eastAsia="en-GB"/>
                <w14:ligatures w14:val="none"/>
              </w:rPr>
              <w:t>Give a brief description</w:t>
            </w:r>
            <w:r w:rsidRPr="008D03F4">
              <w:rPr>
                <w:rFonts w:ascii="Arial" w:eastAsia="Arial" w:hAnsi="Arial" w:cs="Arial"/>
                <w:color w:val="000000" w:themeColor="text1"/>
                <w:kern w:val="0"/>
                <w:sz w:val="24"/>
                <w:szCs w:val="24"/>
                <w:lang w:eastAsia="en-GB"/>
                <w14:ligatures w14:val="none"/>
              </w:rPr>
              <w:t xml:space="preserve"> of the </w:t>
            </w:r>
            <w:r w:rsidRPr="008D03F4">
              <w:rPr>
                <w:rFonts w:ascii="Arial" w:eastAsia="Arial" w:hAnsi="Arial" w:cs="Arial"/>
                <w:color w:val="000000" w:themeColor="text1"/>
                <w:kern w:val="0"/>
                <w:sz w:val="24"/>
                <w:szCs w:val="24"/>
                <w:highlight w:val="yellow"/>
                <w:lang w:eastAsia="en-GB"/>
                <w14:ligatures w14:val="none"/>
              </w:rPr>
              <w:t>investigation</w:t>
            </w:r>
            <w:r w:rsidRPr="008D03F4">
              <w:rPr>
                <w:rFonts w:ascii="Arial" w:eastAsia="Arial" w:hAnsi="Arial" w:cs="Arial"/>
                <w:color w:val="000000" w:themeColor="text1"/>
                <w:kern w:val="0"/>
                <w:sz w:val="24"/>
                <w:szCs w:val="24"/>
                <w:lang w:eastAsia="en-GB"/>
                <w14:ligatures w14:val="none"/>
              </w:rPr>
              <w:t xml:space="preserve"> including social and legislative contexts and any relevant cultural, ethnicity and language issues. </w:t>
            </w:r>
          </w:p>
          <w:p w14:paraId="205CEF93" w14:textId="77777777" w:rsidR="008D03F4" w:rsidRPr="008D03F4" w:rsidRDefault="008D03F4" w:rsidP="008D03F4">
            <w:pPr>
              <w:overflowPunct w:val="0"/>
              <w:autoSpaceDE w:val="0"/>
              <w:autoSpaceDN w:val="0"/>
              <w:adjustRightInd w:val="0"/>
              <w:spacing w:after="0" w:line="240" w:lineRule="auto"/>
              <w:textAlignment w:val="baseline"/>
              <w:rPr>
                <w:rFonts w:ascii="Arial" w:eastAsia="Arial" w:hAnsi="Arial" w:cs="Arial"/>
                <w:color w:val="000000" w:themeColor="text1"/>
                <w:kern w:val="0"/>
                <w:sz w:val="24"/>
                <w:szCs w:val="24"/>
                <w:lang w:eastAsia="en-GB"/>
                <w14:ligatures w14:val="none"/>
              </w:rPr>
            </w:pPr>
          </w:p>
          <w:p w14:paraId="285F9CDE" w14:textId="77777777" w:rsidR="008D03F4" w:rsidRPr="008D03F4" w:rsidRDefault="008D03F4" w:rsidP="008D03F4">
            <w:pPr>
              <w:overflowPunct w:val="0"/>
              <w:autoSpaceDE w:val="0"/>
              <w:autoSpaceDN w:val="0"/>
              <w:adjustRightInd w:val="0"/>
              <w:spacing w:after="0" w:line="240" w:lineRule="auto"/>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b/>
                <w:bCs/>
                <w:color w:val="000000" w:themeColor="text1"/>
                <w:kern w:val="0"/>
                <w:sz w:val="24"/>
                <w:szCs w:val="24"/>
                <w:lang w:val="en-US" w:eastAsia="en-GB"/>
                <w14:ligatures w14:val="none"/>
              </w:rPr>
              <w:t xml:space="preserve">Critically evaluate </w:t>
            </w:r>
            <w:r w:rsidRPr="008D03F4">
              <w:rPr>
                <w:rFonts w:ascii="Arial" w:eastAsia="Arial" w:hAnsi="Arial" w:cs="Arial"/>
                <w:color w:val="000000" w:themeColor="text1"/>
                <w:kern w:val="0"/>
                <w:sz w:val="24"/>
                <w:szCs w:val="24"/>
                <w:lang w:val="en-US" w:eastAsia="en-GB"/>
                <w14:ligatures w14:val="none"/>
              </w:rPr>
              <w:t xml:space="preserve">the appropriateness of different approaches (by professionals and the police) in supporting or managing vulnerable people or people at risk of harm during the </w:t>
            </w:r>
            <w:r w:rsidRPr="008D03F4">
              <w:rPr>
                <w:rFonts w:ascii="Arial" w:eastAsia="Arial" w:hAnsi="Arial" w:cs="Arial"/>
                <w:color w:val="000000" w:themeColor="text1"/>
                <w:kern w:val="0"/>
                <w:sz w:val="24"/>
                <w:szCs w:val="24"/>
                <w:highlight w:val="yellow"/>
                <w:lang w:val="en-US" w:eastAsia="en-GB"/>
                <w14:ligatures w14:val="none"/>
              </w:rPr>
              <w:t>investigative process</w:t>
            </w:r>
          </w:p>
          <w:p w14:paraId="7711A88B" w14:textId="77777777" w:rsidR="008D03F4" w:rsidRPr="008D03F4" w:rsidRDefault="008D03F4" w:rsidP="008D03F4">
            <w:pPr>
              <w:overflowPunct w:val="0"/>
              <w:autoSpaceDE w:val="0"/>
              <w:autoSpaceDN w:val="0"/>
              <w:adjustRightInd w:val="0"/>
              <w:spacing w:after="0" w:line="240" w:lineRule="auto"/>
              <w:textAlignment w:val="baseline"/>
              <w:rPr>
                <w:rFonts w:ascii="Arial" w:eastAsia="Arial" w:hAnsi="Arial" w:cs="Arial"/>
                <w:color w:val="000000" w:themeColor="text1"/>
                <w:kern w:val="0"/>
                <w:sz w:val="24"/>
                <w:szCs w:val="24"/>
                <w:lang w:eastAsia="en-GB"/>
                <w14:ligatures w14:val="none"/>
              </w:rPr>
            </w:pPr>
          </w:p>
          <w:p w14:paraId="7B7BC9AA" w14:textId="77777777" w:rsidR="008D03F4" w:rsidRPr="008D03F4" w:rsidRDefault="008D03F4" w:rsidP="008D03F4">
            <w:pPr>
              <w:overflowPunct w:val="0"/>
              <w:autoSpaceDE w:val="0"/>
              <w:autoSpaceDN w:val="0"/>
              <w:adjustRightInd w:val="0"/>
              <w:spacing w:after="0" w:line="240" w:lineRule="auto"/>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b/>
                <w:bCs/>
                <w:color w:val="000000" w:themeColor="text1"/>
                <w:kern w:val="0"/>
                <w:sz w:val="24"/>
                <w:szCs w:val="24"/>
                <w:lang w:val="en-US" w:eastAsia="en-GB"/>
                <w14:ligatures w14:val="none"/>
              </w:rPr>
              <w:t>Explore</w:t>
            </w:r>
            <w:r w:rsidRPr="008D03F4">
              <w:rPr>
                <w:rFonts w:ascii="Arial" w:eastAsia="Arial" w:hAnsi="Arial" w:cs="Arial"/>
                <w:b/>
                <w:bCs/>
                <w:color w:val="000000" w:themeColor="text1"/>
                <w:kern w:val="0"/>
                <w:sz w:val="24"/>
                <w:szCs w:val="24"/>
                <w:lang w:eastAsia="en-GB"/>
                <w14:ligatures w14:val="none"/>
              </w:rPr>
              <w:t xml:space="preserve"> </w:t>
            </w:r>
            <w:r w:rsidRPr="008D03F4">
              <w:rPr>
                <w:rFonts w:ascii="Arial" w:eastAsia="Arial" w:hAnsi="Arial" w:cs="Arial"/>
                <w:color w:val="000000" w:themeColor="text1"/>
                <w:kern w:val="0"/>
                <w:sz w:val="24"/>
                <w:szCs w:val="24"/>
                <w:lang w:eastAsia="en-GB"/>
                <w14:ligatures w14:val="none"/>
              </w:rPr>
              <w:t xml:space="preserve">what works in relation to tackling repeat victimisation and repeat offending during this </w:t>
            </w:r>
            <w:r w:rsidRPr="008D03F4">
              <w:rPr>
                <w:rFonts w:ascii="Arial" w:eastAsia="Arial" w:hAnsi="Arial" w:cs="Arial"/>
                <w:color w:val="000000" w:themeColor="text1"/>
                <w:kern w:val="0"/>
                <w:sz w:val="24"/>
                <w:szCs w:val="24"/>
                <w:highlight w:val="yellow"/>
                <w:lang w:eastAsia="en-GB"/>
                <w14:ligatures w14:val="none"/>
              </w:rPr>
              <w:t>investigation</w:t>
            </w:r>
            <w:r w:rsidRPr="008D03F4">
              <w:rPr>
                <w:rFonts w:ascii="Arial" w:eastAsia="Arial" w:hAnsi="Arial" w:cs="Arial"/>
                <w:color w:val="000000" w:themeColor="text1"/>
                <w:kern w:val="0"/>
                <w:sz w:val="24"/>
                <w:szCs w:val="24"/>
                <w:lang w:eastAsia="en-GB"/>
                <w14:ligatures w14:val="none"/>
              </w:rPr>
              <w:t xml:space="preserve">. Consider the use of evidence-based policing. </w:t>
            </w:r>
          </w:p>
          <w:p w14:paraId="56F4719F"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7AB7CC2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 xml:space="preserve">2000 words </w:t>
            </w:r>
            <w:r w:rsidRPr="008D03F4">
              <w:rPr>
                <w:rFonts w:ascii="Arial" w:eastAsia="Arial" w:hAnsi="Arial" w:cs="Arial"/>
                <w:i/>
                <w:iCs/>
                <w:color w:val="000000" w:themeColor="text1"/>
                <w:kern w:val="0"/>
                <w:sz w:val="24"/>
                <w:szCs w:val="24"/>
                <w:lang w:eastAsia="en-GB"/>
                <w14:ligatures w14:val="none"/>
              </w:rPr>
              <w:t>(+/- 10%: include your actual word count at the end of each section)</w:t>
            </w:r>
          </w:p>
          <w:p w14:paraId="781F195A"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kern w:val="0"/>
                <w:sz w:val="24"/>
                <w:szCs w:val="24"/>
                <w:lang w:eastAsia="en-GB"/>
                <w14:ligatures w14:val="none"/>
              </w:rPr>
            </w:pPr>
          </w:p>
        </w:tc>
      </w:tr>
    </w:tbl>
    <w:p w14:paraId="4E3B802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kern w:val="0"/>
          <w:sz w:val="24"/>
          <w:szCs w:val="24"/>
          <w:lang w:eastAsia="en-GB"/>
          <w14:ligatures w14:val="none"/>
        </w:rPr>
      </w:pPr>
    </w:p>
    <w:p w14:paraId="5BAF58A4"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70E85F92" w14:textId="77777777" w:rsid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b/>
          <w:bCs/>
          <w:color w:val="000000" w:themeColor="text1"/>
          <w:kern w:val="0"/>
          <w:sz w:val="24"/>
          <w:szCs w:val="24"/>
          <w:lang w:eastAsia="en-GB"/>
          <w14:ligatures w14:val="none"/>
        </w:rPr>
      </w:pPr>
      <w:r w:rsidRPr="008D03F4">
        <w:rPr>
          <w:rFonts w:ascii="Arial" w:eastAsia="Arial" w:hAnsi="Arial" w:cs="Arial"/>
          <w:b/>
          <w:bCs/>
          <w:color w:val="000000" w:themeColor="text1"/>
          <w:kern w:val="0"/>
          <w:sz w:val="24"/>
          <w:szCs w:val="24"/>
          <w:lang w:eastAsia="en-GB"/>
          <w14:ligatures w14:val="none"/>
        </w:rPr>
        <w:t>ANSWER:</w:t>
      </w:r>
    </w:p>
    <w:p w14:paraId="6CB2C12A" w14:textId="77777777" w:rsidR="00E23983" w:rsidRDefault="00E23983" w:rsidP="008D03F4">
      <w:pPr>
        <w:overflowPunct w:val="0"/>
        <w:autoSpaceDE w:val="0"/>
        <w:autoSpaceDN w:val="0"/>
        <w:adjustRightInd w:val="0"/>
        <w:spacing w:after="0" w:line="240" w:lineRule="auto"/>
        <w:ind w:right="237"/>
        <w:jc w:val="both"/>
        <w:textAlignment w:val="baseline"/>
        <w:rPr>
          <w:rFonts w:ascii="Arial" w:eastAsia="Arial" w:hAnsi="Arial" w:cs="Arial"/>
          <w:b/>
          <w:bCs/>
          <w:color w:val="000000" w:themeColor="text1"/>
          <w:kern w:val="0"/>
          <w:sz w:val="24"/>
          <w:szCs w:val="24"/>
          <w:lang w:eastAsia="en-GB"/>
          <w14:ligatures w14:val="none"/>
        </w:rPr>
      </w:pPr>
    </w:p>
    <w:p w14:paraId="1AA9B031" w14:textId="77777777" w:rsidR="00E23983" w:rsidRPr="008D03F4" w:rsidRDefault="00E23983" w:rsidP="008D03F4">
      <w:pPr>
        <w:overflowPunct w:val="0"/>
        <w:autoSpaceDE w:val="0"/>
        <w:autoSpaceDN w:val="0"/>
        <w:adjustRightInd w:val="0"/>
        <w:spacing w:after="0" w:line="240" w:lineRule="auto"/>
        <w:ind w:right="237"/>
        <w:jc w:val="both"/>
        <w:textAlignment w:val="baseline"/>
        <w:rPr>
          <w:rFonts w:ascii="Arial" w:eastAsia="Arial" w:hAnsi="Arial" w:cs="Arial"/>
          <w:b/>
          <w:bCs/>
          <w:color w:val="000000" w:themeColor="text1"/>
          <w:kern w:val="0"/>
          <w:sz w:val="24"/>
          <w:szCs w:val="24"/>
          <w:lang w:eastAsia="en-GB"/>
          <w14:ligatures w14:val="none"/>
        </w:rPr>
      </w:pPr>
    </w:p>
    <w:p w14:paraId="64840E02" w14:textId="77777777" w:rsidR="00E23983" w:rsidRPr="00FB02DD" w:rsidRDefault="00E23983" w:rsidP="00E23983">
      <w:pPr>
        <w:rPr>
          <w:rFonts w:ascii="Calibri" w:hAnsi="Calibri" w:cs="Calibri"/>
        </w:rPr>
      </w:pPr>
      <w:r w:rsidRPr="00FB02DD">
        <w:rPr>
          <w:rFonts w:ascii="Calibri" w:hAnsi="Calibri" w:cs="Calibri"/>
        </w:rPr>
        <w:t>The investigation</w:t>
      </w:r>
      <w:r>
        <w:rPr>
          <w:rFonts w:ascii="Calibri" w:hAnsi="Calibri" w:cs="Calibri"/>
        </w:rPr>
        <w:t xml:space="preserve"> will focus</w:t>
      </w:r>
      <w:r w:rsidRPr="00FB02DD">
        <w:rPr>
          <w:rFonts w:ascii="Calibri" w:hAnsi="Calibri" w:cs="Calibri"/>
        </w:rPr>
        <w:t xml:space="preserve"> on a knife-point robbery at a local convenience store in the UK, where the victim, a university student working part-time, was threatened with physical harm by a male suspect demanding money. This incident falls under the legislative framework of the Theft Act 1968, specifically, Section 8, which defines robbery and prescribes severe penalties, including life imprisonment for those convicted (Legislation.gov.uk, 1968). The act of robbery, especially with the use of a weapon, is taken very seriously within UK law, reflecting societal norms and the importance placed on public safety and the protection of individuals from violent crime.</w:t>
      </w:r>
    </w:p>
    <w:p w14:paraId="391A57FD" w14:textId="77777777" w:rsidR="00E23983" w:rsidRPr="00FB02DD" w:rsidRDefault="00E23983" w:rsidP="00E23983">
      <w:pPr>
        <w:rPr>
          <w:rFonts w:ascii="Calibri" w:hAnsi="Calibri" w:cs="Calibri"/>
        </w:rPr>
      </w:pPr>
      <w:r w:rsidRPr="00FB02DD">
        <w:rPr>
          <w:rFonts w:ascii="Calibri" w:hAnsi="Calibri" w:cs="Calibri"/>
        </w:rPr>
        <w:t>The victim in this case was a young female of Asian origin. Cultural and linguistic considerations are crucial in such investigations to ensure the victim feels supported and understood. The Code of Practice for Victims of Crime (2020), which went into effect in April 2021, grants crime victims who do not speak or understand English well the right to assistance in understanding information when reporting a crime or during an interview with the police. This assistance may include interpretation and translation services. If a case goes to trial, the parties have the right to obtain a translation of any paperwork that tells them of the trial's date, time, and location as well as, eventually, the proceedings' verdict and, if available, the court's reasoning.</w:t>
      </w:r>
    </w:p>
    <w:p w14:paraId="42AE6904" w14:textId="77777777" w:rsidR="00E23983" w:rsidRPr="00FB02DD" w:rsidRDefault="00E23983" w:rsidP="00E23983">
      <w:pPr>
        <w:rPr>
          <w:rFonts w:ascii="Calibri" w:hAnsi="Calibri" w:cs="Calibri"/>
        </w:rPr>
      </w:pPr>
      <w:r w:rsidRPr="00FB02DD">
        <w:rPr>
          <w:rFonts w:ascii="Calibri" w:hAnsi="Calibri" w:cs="Calibri"/>
        </w:rPr>
        <w:t>Although the victim was comfortable communicating in English, the initial consideration of her linguistic preferences highlighted the importance of cultural sensitivity in police work</w:t>
      </w:r>
      <w:r w:rsidRPr="00FB02DD">
        <w:rPr>
          <w:rFonts w:ascii="Calibri" w:hAnsi="Calibri" w:cs="Calibri"/>
          <w:b/>
          <w:bCs/>
          <w:color w:val="FF0000"/>
        </w:rPr>
        <w:t xml:space="preserve">. </w:t>
      </w:r>
      <w:r w:rsidRPr="00FB02DD">
        <w:rPr>
          <w:rFonts w:ascii="Calibri" w:hAnsi="Calibri" w:cs="Calibri"/>
        </w:rPr>
        <w:t xml:space="preserve">If the language barrier was a problem, I would have </w:t>
      </w:r>
      <w:r>
        <w:rPr>
          <w:rFonts w:ascii="Calibri" w:hAnsi="Calibri" w:cs="Calibri"/>
        </w:rPr>
        <w:t>asked</w:t>
      </w:r>
      <w:r w:rsidRPr="00FB02DD">
        <w:rPr>
          <w:rFonts w:ascii="Calibri" w:hAnsi="Calibri" w:cs="Calibri"/>
        </w:rPr>
        <w:t xml:space="preserve"> </w:t>
      </w:r>
      <w:r>
        <w:rPr>
          <w:rFonts w:ascii="Calibri" w:hAnsi="Calibri" w:cs="Calibri"/>
        </w:rPr>
        <w:t xml:space="preserve">for </w:t>
      </w:r>
      <w:r w:rsidRPr="00FB02DD">
        <w:rPr>
          <w:rFonts w:ascii="Calibri" w:hAnsi="Calibri" w:cs="Calibri"/>
        </w:rPr>
        <w:t>advice from my supervisor</w:t>
      </w:r>
      <w:r>
        <w:rPr>
          <w:rFonts w:ascii="Calibri" w:hAnsi="Calibri" w:cs="Calibri"/>
        </w:rPr>
        <w:t xml:space="preserve">. An option that I have available to me that I felt best suited to the situation should it arise; to conduct my interview with the victim with the aid of Language Line, which is available to officers in cases where language is a barrier. A translator is provided via the officer's mobile device who will translate questions and </w:t>
      </w:r>
      <w:r>
        <w:rPr>
          <w:rFonts w:ascii="Calibri" w:hAnsi="Calibri" w:cs="Calibri"/>
        </w:rPr>
        <w:lastRenderedPageBreak/>
        <w:t xml:space="preserve">answers for officers. This provides a safe and effective environment for both the victim and officer to conduct an interview but also builds rapport and trust between the officer and the victim, as this demonstrates to the victim that the officer is respecting the victim’s needs and cultural beliefs. </w:t>
      </w:r>
    </w:p>
    <w:p w14:paraId="37FF8BB4" w14:textId="77777777" w:rsidR="00E23983" w:rsidRDefault="00E23983" w:rsidP="00E23983">
      <w:pPr>
        <w:rPr>
          <w:rFonts w:ascii="Calibri" w:hAnsi="Calibri" w:cs="Calibri"/>
        </w:rPr>
      </w:pPr>
      <w:r w:rsidRPr="00FB02DD">
        <w:rPr>
          <w:rFonts w:ascii="Calibri" w:hAnsi="Calibri" w:cs="Calibri"/>
        </w:rPr>
        <w:t>Building rapport with the victim was a priority to ensure she felt supported and comfortable in providing the necessary information.</w:t>
      </w:r>
      <w:r w:rsidRPr="00397B1F">
        <w:t xml:space="preserve"> </w:t>
      </w:r>
    </w:p>
    <w:p w14:paraId="619F5CA5" w14:textId="77777777" w:rsidR="00E23983" w:rsidRPr="004C2EF0" w:rsidRDefault="00E23983" w:rsidP="00E23983">
      <w:pPr>
        <w:rPr>
          <w:rFonts w:ascii="Times New Roman" w:eastAsia="Times New Roman" w:hAnsi="Times New Roman" w:cs="Times New Roman"/>
          <w:kern w:val="0"/>
          <w:lang w:eastAsia="en-GB"/>
          <w14:ligatures w14:val="none"/>
        </w:rPr>
      </w:pPr>
      <w:r w:rsidRPr="00FB02DD">
        <w:rPr>
          <w:rFonts w:ascii="Calibri" w:hAnsi="Calibri" w:cs="Calibri"/>
        </w:rPr>
        <w:t xml:space="preserve"> </w:t>
      </w:r>
      <w:r w:rsidRPr="00397B1F">
        <w:rPr>
          <w:rFonts w:ascii="Calibri" w:hAnsi="Calibri" w:cs="Calibri"/>
        </w:rPr>
        <w:t>It has been demonstrated that establishing a rapport with victims and witnesses is crucial to increasing the precision and volume of information obtained from them (Ministry of Justice, 2011).</w:t>
      </w:r>
      <w:r>
        <w:rPr>
          <w:rFonts w:ascii="Calibri" w:hAnsi="Calibri" w:cs="Calibri"/>
        </w:rPr>
        <w:t xml:space="preserve"> </w:t>
      </w:r>
      <w:r>
        <w:t>I</w:t>
      </w:r>
      <w:r w:rsidRPr="004C2EF0">
        <w:rPr>
          <w:rFonts w:ascii="Times New Roman" w:eastAsia="Times New Roman" w:hAnsi="Times New Roman" w:cs="Times New Roman"/>
          <w:kern w:val="0"/>
          <w:lang w:eastAsia="en-GB"/>
          <w14:ligatures w14:val="none"/>
        </w:rPr>
        <w:t>n response</w:t>
      </w:r>
      <w:r>
        <w:rPr>
          <w:rFonts w:ascii="Times New Roman" w:eastAsia="Times New Roman" w:hAnsi="Times New Roman" w:cs="Times New Roman"/>
          <w:kern w:val="0"/>
          <w:lang w:eastAsia="en-GB"/>
          <w14:ligatures w14:val="none"/>
        </w:rPr>
        <w:t xml:space="preserve"> to an incident</w:t>
      </w:r>
      <w:r w:rsidRPr="004C2EF0">
        <w:rPr>
          <w:rFonts w:ascii="Times New Roman" w:eastAsia="Times New Roman" w:hAnsi="Times New Roman" w:cs="Times New Roman"/>
          <w:kern w:val="0"/>
          <w:lang w:eastAsia="en-GB"/>
          <w14:ligatures w14:val="none"/>
        </w:rPr>
        <w:t xml:space="preserve">, practitioners think that rapport is an essential element of the first account that should be formed right away and maintained throughout the encounter, even though this may sound a bit idealistic in some instances. The Ministry of Justice (2011) highlights that once the initial account-taking process has commenced, it cannot be considered completed, as per the present rules on achieving the best evidence. </w:t>
      </w:r>
    </w:p>
    <w:p w14:paraId="39B20121" w14:textId="77777777" w:rsidR="00E23983" w:rsidRPr="00FB02DD" w:rsidRDefault="00E23983" w:rsidP="00E23983">
      <w:pPr>
        <w:rPr>
          <w:rFonts w:ascii="Calibri" w:hAnsi="Calibri" w:cs="Calibri"/>
        </w:rPr>
      </w:pPr>
      <w:r w:rsidRPr="00397B1F">
        <w:rPr>
          <w:rFonts w:ascii="Calibri" w:hAnsi="Calibri" w:cs="Calibri"/>
        </w:rPr>
        <w:t xml:space="preserve"> </w:t>
      </w:r>
      <w:r w:rsidRPr="00C74434">
        <w:rPr>
          <w:rFonts w:ascii="Calibri" w:hAnsi="Calibri" w:cs="Calibri"/>
        </w:rPr>
        <w:t>Officers made a concerted effort to create a supportive environment, which is crucial for effective communication and obtaining reliable testimony.</w:t>
      </w:r>
    </w:p>
    <w:p w14:paraId="7CE22AFF" w14:textId="77777777" w:rsidR="00E23983" w:rsidRDefault="00E23983" w:rsidP="00E23983">
      <w:pPr>
        <w:rPr>
          <w:rFonts w:ascii="Calibri" w:hAnsi="Calibri" w:cs="Calibri"/>
        </w:rPr>
      </w:pPr>
      <w:r>
        <w:rPr>
          <w:rFonts w:ascii="Calibri" w:hAnsi="Calibri" w:cs="Calibri"/>
        </w:rPr>
        <w:t xml:space="preserve">Due to the nature of the incident, I have assessed the victim for any vulnerability </w:t>
      </w:r>
      <w:r w:rsidRPr="00C74434">
        <w:rPr>
          <w:rFonts w:ascii="Calibri" w:hAnsi="Calibri" w:cs="Calibri"/>
        </w:rPr>
        <w:t>to identify any immediate signs of vulnerability. This include</w:t>
      </w:r>
      <w:r>
        <w:rPr>
          <w:rFonts w:ascii="Calibri" w:hAnsi="Calibri" w:cs="Calibri"/>
        </w:rPr>
        <w:t>d</w:t>
      </w:r>
      <w:r w:rsidRPr="00C74434">
        <w:rPr>
          <w:rFonts w:ascii="Calibri" w:hAnsi="Calibri" w:cs="Calibri"/>
        </w:rPr>
        <w:t>:</w:t>
      </w:r>
      <w:r>
        <w:rPr>
          <w:rFonts w:ascii="Calibri" w:hAnsi="Calibri" w:cs="Calibri"/>
        </w:rPr>
        <w:t xml:space="preserve"> </w:t>
      </w:r>
      <w:r w:rsidRPr="00C74434">
        <w:rPr>
          <w:rFonts w:ascii="Calibri" w:hAnsi="Calibri" w:cs="Calibri"/>
        </w:rPr>
        <w:t>Observing physical and emotional state</w:t>
      </w:r>
      <w:r>
        <w:rPr>
          <w:rFonts w:ascii="Calibri" w:hAnsi="Calibri" w:cs="Calibri"/>
        </w:rPr>
        <w:t xml:space="preserve"> a</w:t>
      </w:r>
      <w:r w:rsidRPr="00C74434">
        <w:rPr>
          <w:rFonts w:ascii="Calibri" w:hAnsi="Calibri" w:cs="Calibri"/>
        </w:rPr>
        <w:t>sking open-ended questions to gauge mental and emotional well-being</w:t>
      </w:r>
      <w:r>
        <w:rPr>
          <w:rFonts w:ascii="Calibri" w:hAnsi="Calibri" w:cs="Calibri"/>
        </w:rPr>
        <w:t xml:space="preserve"> and c</w:t>
      </w:r>
      <w:r w:rsidRPr="00C74434">
        <w:rPr>
          <w:rFonts w:ascii="Calibri" w:hAnsi="Calibri" w:cs="Calibri"/>
        </w:rPr>
        <w:t>hecking for any obvious disabilities or impairment</w:t>
      </w:r>
      <w:r>
        <w:rPr>
          <w:rFonts w:ascii="Calibri" w:hAnsi="Calibri" w:cs="Calibri"/>
        </w:rPr>
        <w:t>.  Within the police, v</w:t>
      </w:r>
      <w:r w:rsidRPr="00063F91">
        <w:rPr>
          <w:rFonts w:ascii="Calibri" w:hAnsi="Calibri" w:cs="Calibri"/>
        </w:rPr>
        <w:t>arious tools and frameworks have been developed to help assess vulnerability systematically</w:t>
      </w:r>
      <w:r>
        <w:rPr>
          <w:rFonts w:ascii="Calibri" w:hAnsi="Calibri" w:cs="Calibri"/>
        </w:rPr>
        <w:t xml:space="preserve">, the tool that I used in this case was </w:t>
      </w:r>
      <w:r w:rsidRPr="00063F91">
        <w:rPr>
          <w:rFonts w:ascii="Calibri" w:hAnsi="Calibri" w:cs="Calibri"/>
        </w:rPr>
        <w:t>THRIVE (Threat, Harm, Risk, Investigation, Vulnerability, Engagement): An assessment model used to prioritize police response based on the level of threat and vulnerability involved (College of Policing, 2021).</w:t>
      </w:r>
      <w:r>
        <w:rPr>
          <w:rFonts w:ascii="Calibri" w:hAnsi="Calibri" w:cs="Calibri"/>
        </w:rPr>
        <w:t xml:space="preserve"> </w:t>
      </w:r>
    </w:p>
    <w:p w14:paraId="0B987AF1" w14:textId="77777777" w:rsidR="00E23983" w:rsidRPr="00C74434" w:rsidRDefault="00E23983" w:rsidP="00E23983">
      <w:pPr>
        <w:rPr>
          <w:rFonts w:ascii="Calibri" w:hAnsi="Calibri" w:cs="Calibri"/>
        </w:rPr>
      </w:pPr>
      <w:r w:rsidRPr="00FB02DD">
        <w:rPr>
          <w:rFonts w:ascii="Calibri" w:hAnsi="Calibri" w:cs="Calibri"/>
        </w:rPr>
        <w:t>According to the College of Policing (2021), a person is considered vulnerable if th</w:t>
      </w:r>
      <w:r>
        <w:rPr>
          <w:rFonts w:ascii="Calibri" w:hAnsi="Calibri" w:cs="Calibri"/>
        </w:rPr>
        <w:t>at person is</w:t>
      </w:r>
      <w:r w:rsidRPr="00FB02DD">
        <w:rPr>
          <w:rFonts w:ascii="Calibri" w:hAnsi="Calibri" w:cs="Calibri"/>
        </w:rPr>
        <w:t xml:space="preserve"> </w:t>
      </w:r>
      <w:r>
        <w:rPr>
          <w:rFonts w:ascii="Calibri" w:hAnsi="Calibri" w:cs="Calibri"/>
        </w:rPr>
        <w:t>un</w:t>
      </w:r>
      <w:r w:rsidRPr="00FB02DD">
        <w:rPr>
          <w:rFonts w:ascii="Calibri" w:hAnsi="Calibri" w:cs="Calibri"/>
        </w:rPr>
        <w:t>able to take care of or protect themselves from harm or exploitation due to their situation or circumstances. The victim’s age, the seriousness of the crime, and her immediate calm demeanour despite the traumatic event led to her being classified as vulnerable. Identifying vulnerability can be challenging due to the complex interplay of risk factors (Robinson et al., 2016).</w:t>
      </w:r>
      <w:r>
        <w:rPr>
          <w:rFonts w:ascii="Calibri" w:hAnsi="Calibri" w:cs="Calibri"/>
        </w:rPr>
        <w:t xml:space="preserve"> </w:t>
      </w:r>
      <w:r w:rsidRPr="00C74434">
        <w:rPr>
          <w:rFonts w:ascii="Calibri" w:hAnsi="Calibri" w:cs="Calibri"/>
        </w:rPr>
        <w:t>In the UK, several legislative frameworks and guidelines emphasi</w:t>
      </w:r>
      <w:r>
        <w:rPr>
          <w:rFonts w:ascii="Calibri" w:hAnsi="Calibri" w:cs="Calibri"/>
        </w:rPr>
        <w:t>s</w:t>
      </w:r>
      <w:r w:rsidRPr="00C74434">
        <w:rPr>
          <w:rFonts w:ascii="Calibri" w:hAnsi="Calibri" w:cs="Calibri"/>
        </w:rPr>
        <w:t>e the need to identify and support vulnerable individuals</w:t>
      </w:r>
      <w:r>
        <w:rPr>
          <w:rFonts w:ascii="Calibri" w:hAnsi="Calibri" w:cs="Calibri"/>
        </w:rPr>
        <w:t>, examples of these include</w:t>
      </w:r>
      <w:r w:rsidRPr="00C74434">
        <w:rPr>
          <w:rFonts w:ascii="Calibri" w:hAnsi="Calibri" w:cs="Calibri"/>
        </w:rPr>
        <w:t>:</w:t>
      </w:r>
    </w:p>
    <w:p w14:paraId="73B11E3A" w14:textId="77777777" w:rsidR="00E23983" w:rsidRPr="00C74434" w:rsidRDefault="00E23983" w:rsidP="00E23983">
      <w:pPr>
        <w:rPr>
          <w:rFonts w:ascii="Calibri" w:hAnsi="Calibri" w:cs="Calibri"/>
        </w:rPr>
      </w:pPr>
      <w:r w:rsidRPr="00C74434">
        <w:rPr>
          <w:rFonts w:ascii="Calibri" w:hAnsi="Calibri" w:cs="Calibri"/>
        </w:rPr>
        <w:t>The Police and Criminal Evidence Act 1984 (PACE): Provides guidelines for treatment of vulnerable persons during police procedures.</w:t>
      </w:r>
    </w:p>
    <w:p w14:paraId="6CE19D7D" w14:textId="77777777" w:rsidR="00E23983" w:rsidRDefault="00E23983" w:rsidP="00E23983">
      <w:pPr>
        <w:rPr>
          <w:rFonts w:ascii="Calibri" w:hAnsi="Calibri" w:cs="Calibri"/>
        </w:rPr>
      </w:pPr>
      <w:r w:rsidRPr="00C74434">
        <w:rPr>
          <w:rFonts w:ascii="Calibri" w:hAnsi="Calibri" w:cs="Calibri"/>
        </w:rPr>
        <w:t>The Victims' Code (Ministry of Justice, 2020): Outlines the rights of victims, emphasi</w:t>
      </w:r>
      <w:r>
        <w:rPr>
          <w:rFonts w:ascii="Calibri" w:hAnsi="Calibri" w:cs="Calibri"/>
        </w:rPr>
        <w:t>s</w:t>
      </w:r>
      <w:r w:rsidRPr="00C74434">
        <w:rPr>
          <w:rFonts w:ascii="Calibri" w:hAnsi="Calibri" w:cs="Calibri"/>
        </w:rPr>
        <w:t>ing the need for special measures for those identified as vulnerable.</w:t>
      </w:r>
    </w:p>
    <w:p w14:paraId="2663BF85" w14:textId="77777777" w:rsidR="00E23983" w:rsidRPr="00FB02DD" w:rsidRDefault="00E23983" w:rsidP="00E23983">
      <w:pPr>
        <w:rPr>
          <w:rFonts w:ascii="Calibri" w:hAnsi="Calibri" w:cs="Calibri"/>
        </w:rPr>
      </w:pPr>
      <w:r>
        <w:rPr>
          <w:rFonts w:ascii="Calibri" w:hAnsi="Calibri" w:cs="Calibri"/>
        </w:rPr>
        <w:t xml:space="preserve">Seeking guidelines from the Police and Criminal Evidence Act 1984 (PACE) I had to ensure I was following the correct guidelines throughout the investigation in terms of managing a vulnerable female </w:t>
      </w:r>
      <w:proofErr w:type="gramStart"/>
      <w:r>
        <w:rPr>
          <w:rFonts w:ascii="Calibri" w:hAnsi="Calibri" w:cs="Calibri"/>
        </w:rPr>
        <w:t>as a result of</w:t>
      </w:r>
      <w:proofErr w:type="gramEnd"/>
      <w:r>
        <w:rPr>
          <w:rFonts w:ascii="Calibri" w:hAnsi="Calibri" w:cs="Calibri"/>
        </w:rPr>
        <w:t xml:space="preserve"> a knife-point robbery. </w:t>
      </w:r>
      <w:r w:rsidRPr="00063F91">
        <w:rPr>
          <w:rFonts w:ascii="Calibri" w:hAnsi="Calibri" w:cs="Calibri"/>
        </w:rPr>
        <w:t xml:space="preserve">Vulnerability is not static; it can change over time and with changing circumstances. Continuous monitoring and regular review of the individual's situation are </w:t>
      </w:r>
      <w:proofErr w:type="gramStart"/>
      <w:r w:rsidRPr="00063F91">
        <w:rPr>
          <w:rFonts w:ascii="Calibri" w:hAnsi="Calibri" w:cs="Calibri"/>
        </w:rPr>
        <w:t>crucial</w:t>
      </w:r>
      <w:r>
        <w:rPr>
          <w:rFonts w:ascii="Calibri" w:hAnsi="Calibri" w:cs="Calibri"/>
        </w:rPr>
        <w:t xml:space="preserve">  throughout</w:t>
      </w:r>
      <w:proofErr w:type="gramEnd"/>
      <w:r>
        <w:rPr>
          <w:rFonts w:ascii="Calibri" w:hAnsi="Calibri" w:cs="Calibri"/>
        </w:rPr>
        <w:t xml:space="preserve"> the investigation included </w:t>
      </w:r>
      <w:r w:rsidRPr="00063F91">
        <w:rPr>
          <w:rFonts w:ascii="Calibri" w:hAnsi="Calibri" w:cs="Calibri"/>
        </w:rPr>
        <w:t>Regular check-ins and updates from supporting agencies</w:t>
      </w:r>
      <w:r>
        <w:rPr>
          <w:rFonts w:ascii="Calibri" w:hAnsi="Calibri" w:cs="Calibri"/>
        </w:rPr>
        <w:t xml:space="preserve"> that I would refer the victim to and p</w:t>
      </w:r>
      <w:r w:rsidRPr="00063F91">
        <w:rPr>
          <w:rFonts w:ascii="Calibri" w:hAnsi="Calibri" w:cs="Calibri"/>
        </w:rPr>
        <w:t>eriodic reassessment using structured tools and professional judgment</w:t>
      </w:r>
      <w:r>
        <w:rPr>
          <w:rFonts w:ascii="Calibri" w:hAnsi="Calibri" w:cs="Calibri"/>
        </w:rPr>
        <w:t xml:space="preserve"> from the tools I have discussed and discussions with the individuals’ supporting practitioners as e</w:t>
      </w:r>
      <w:r w:rsidRPr="00FB02DD">
        <w:rPr>
          <w:rFonts w:ascii="Calibri" w:hAnsi="Calibri" w:cs="Calibri"/>
        </w:rPr>
        <w:t>ffective management of vulnerable individuals often requires collaboration with various agencies. In this case, the support of university security and tutors was crucial in addressing the victim's psychological well-being and ensuring that the incident did not negatively impact her academic performance. Keay and Kirby (2018) emphasi</w:t>
      </w:r>
      <w:r>
        <w:rPr>
          <w:rFonts w:ascii="Calibri" w:hAnsi="Calibri" w:cs="Calibri"/>
        </w:rPr>
        <w:t>s</w:t>
      </w:r>
      <w:r w:rsidRPr="00FB02DD">
        <w:rPr>
          <w:rFonts w:ascii="Calibri" w:hAnsi="Calibri" w:cs="Calibri"/>
        </w:rPr>
        <w:t>e the need for clear responsibility and close cooperation between agencies when responding to vulnerability.</w:t>
      </w:r>
    </w:p>
    <w:p w14:paraId="5BB71593" w14:textId="77777777" w:rsidR="00E23983" w:rsidRDefault="00E23983" w:rsidP="00E23983">
      <w:pPr>
        <w:rPr>
          <w:rFonts w:ascii="Calibri" w:hAnsi="Calibri" w:cs="Calibri"/>
        </w:rPr>
      </w:pPr>
      <w:r w:rsidRPr="00FB02DD">
        <w:rPr>
          <w:rFonts w:ascii="Calibri" w:hAnsi="Calibri" w:cs="Calibri"/>
        </w:rPr>
        <w:lastRenderedPageBreak/>
        <w:t>Addressing the victim’s potential delayed emotional response was a significant concern. Delayed trauma responses can manifest in various ways, including difficulty managing emotions, withdrawal, and increased anxiety or depression (Royal College of Psychiatrists, 2021). Providing continuous emotional support and monitoring the victim's mental health were essential parts of the investigative process.</w:t>
      </w:r>
      <w:r>
        <w:rPr>
          <w:rFonts w:ascii="Calibri" w:hAnsi="Calibri" w:cs="Calibri"/>
        </w:rPr>
        <w:t xml:space="preserve"> A</w:t>
      </w:r>
      <w:r w:rsidRPr="004F4C4A">
        <w:rPr>
          <w:rFonts w:ascii="Calibri" w:hAnsi="Calibri" w:cs="Calibri"/>
        </w:rPr>
        <w:t>dopting a person-</w:t>
      </w:r>
      <w:proofErr w:type="spellStart"/>
      <w:r w:rsidRPr="004F4C4A">
        <w:rPr>
          <w:rFonts w:ascii="Calibri" w:hAnsi="Calibri" w:cs="Calibri"/>
        </w:rPr>
        <w:t>centered</w:t>
      </w:r>
      <w:proofErr w:type="spellEnd"/>
      <w:r w:rsidRPr="004F4C4A">
        <w:rPr>
          <w:rFonts w:ascii="Calibri" w:hAnsi="Calibri" w:cs="Calibri"/>
        </w:rPr>
        <w:t xml:space="preserve"> approach </w:t>
      </w:r>
      <w:r>
        <w:rPr>
          <w:rFonts w:ascii="Calibri" w:hAnsi="Calibri" w:cs="Calibri"/>
        </w:rPr>
        <w:t xml:space="preserve">which I felt due to the seriousness of the offence </w:t>
      </w:r>
      <w:r w:rsidRPr="004F4C4A">
        <w:rPr>
          <w:rFonts w:ascii="Calibri" w:hAnsi="Calibri" w:cs="Calibri"/>
        </w:rPr>
        <w:t>ensure</w:t>
      </w:r>
      <w:r>
        <w:rPr>
          <w:rFonts w:ascii="Calibri" w:hAnsi="Calibri" w:cs="Calibri"/>
        </w:rPr>
        <w:t>d</w:t>
      </w:r>
      <w:r w:rsidRPr="004F4C4A">
        <w:rPr>
          <w:rFonts w:ascii="Calibri" w:hAnsi="Calibri" w:cs="Calibri"/>
        </w:rPr>
        <w:t xml:space="preserve"> that the individual's needs, preferences, and rights are at the forefront of any intervention. This approach aligns with principles outlined in the Care Act 2014, which emphasi</w:t>
      </w:r>
      <w:r>
        <w:rPr>
          <w:rFonts w:ascii="Calibri" w:hAnsi="Calibri" w:cs="Calibri"/>
        </w:rPr>
        <w:t>s</w:t>
      </w:r>
      <w:r w:rsidRPr="004F4C4A">
        <w:rPr>
          <w:rFonts w:ascii="Calibri" w:hAnsi="Calibri" w:cs="Calibri"/>
        </w:rPr>
        <w:t>es the importance of individual well-being and tailored support (Department of Health and Social Care, 2014).</w:t>
      </w:r>
    </w:p>
    <w:p w14:paraId="19C39474" w14:textId="77777777" w:rsidR="00E23983" w:rsidRPr="00A10ABA" w:rsidRDefault="00E23983" w:rsidP="00E23983">
      <w:pPr>
        <w:rPr>
          <w:rFonts w:ascii="Calibri" w:hAnsi="Calibri" w:cs="Calibri"/>
        </w:rPr>
      </w:pPr>
      <w:r>
        <w:rPr>
          <w:rFonts w:ascii="Calibri" w:hAnsi="Calibri" w:cs="Calibri"/>
        </w:rPr>
        <w:t>The suspect, who was detained and arrested the next day was identified by using the Police Records Management System (NICHE) I was able to check if this type of offence was a pattern of the suspects and if there was a consideration that the victim or shop and also where the victim worked (shop itself) would be targeted again as r</w:t>
      </w:r>
      <w:r w:rsidRPr="00A10ABA">
        <w:rPr>
          <w:rFonts w:ascii="Calibri" w:hAnsi="Calibri" w:cs="Calibri"/>
        </w:rPr>
        <w:t>esearch indicates that repeat victimisation is a common issue in the UK. Studies show that a small number of victims account for a disproportionately high number of crimes, including robberies. According to Farrell and Pease (2007), repeat victims of robbery experience a heightened risk of further victimisation compared to those who have not been previously victimised.</w:t>
      </w:r>
    </w:p>
    <w:p w14:paraId="7F22D6C4" w14:textId="77777777" w:rsidR="00E23983" w:rsidRPr="00FB02DD" w:rsidRDefault="00E23983" w:rsidP="00E23983">
      <w:pPr>
        <w:rPr>
          <w:rFonts w:ascii="Calibri" w:hAnsi="Calibri" w:cs="Calibri"/>
        </w:rPr>
      </w:pPr>
      <w:r w:rsidRPr="00A10ABA">
        <w:rPr>
          <w:rFonts w:ascii="Calibri" w:hAnsi="Calibri" w:cs="Calibri"/>
        </w:rPr>
        <w:t xml:space="preserve">The impact of repeat victimisation extends beyond the immediate harm caused by each incident. Victims of repeat crimes often suffer from increased psychological distress, anxiety, and a diminished sense of security (Johnson, 2008). This can lead to broader social and economic consequences, such as reduced quality of life and higher costs for support services and </w:t>
      </w:r>
      <w:r>
        <w:rPr>
          <w:rFonts w:ascii="Calibri" w:hAnsi="Calibri" w:cs="Calibri"/>
        </w:rPr>
        <w:t xml:space="preserve">further police action. </w:t>
      </w:r>
    </w:p>
    <w:p w14:paraId="769618FB" w14:textId="77777777" w:rsidR="00E23983" w:rsidRPr="00FB02DD" w:rsidRDefault="00E23983" w:rsidP="00E23983">
      <w:pPr>
        <w:rPr>
          <w:rFonts w:ascii="Calibri" w:hAnsi="Calibri" w:cs="Calibri"/>
        </w:rPr>
      </w:pPr>
      <w:r w:rsidRPr="007E7D4E">
        <w:rPr>
          <w:rFonts w:ascii="Calibri" w:hAnsi="Calibri" w:cs="Calibri"/>
        </w:rPr>
        <w:t>Evidence-based policing involves the use of the best available research to guide and evaluate policies, practices, and decisions. It emphasi</w:t>
      </w:r>
      <w:r>
        <w:rPr>
          <w:rFonts w:ascii="Calibri" w:hAnsi="Calibri" w:cs="Calibri"/>
        </w:rPr>
        <w:t>s</w:t>
      </w:r>
      <w:r w:rsidRPr="007E7D4E">
        <w:rPr>
          <w:rFonts w:ascii="Calibri" w:hAnsi="Calibri" w:cs="Calibri"/>
        </w:rPr>
        <w:t>es the importance of empirical data and scientific methods to improve the effectiveness and efficiency of policing strategies (Sherman, 1998). This approach can be particularly effective in addressing repeat victimisation and offending by focusing resources on interventions that have been demonstrated to reduce these issues.</w:t>
      </w:r>
    </w:p>
    <w:p w14:paraId="77495815" w14:textId="77777777" w:rsidR="00E23983" w:rsidRPr="00FB02DD" w:rsidRDefault="00E23983" w:rsidP="00E23983">
      <w:pPr>
        <w:rPr>
          <w:rFonts w:ascii="Calibri" w:hAnsi="Calibri" w:cs="Calibri"/>
        </w:rPr>
      </w:pPr>
      <w:r w:rsidRPr="00FB02DD">
        <w:rPr>
          <w:rFonts w:ascii="Calibri" w:hAnsi="Calibri" w:cs="Calibri"/>
        </w:rPr>
        <w:t>Interventions tailored to individuals or groups at high risk of reoffending have been shown to reduce crime rates. For example, the Integrated Offender Management (IOM) approach coordinates various agencies to manage prolific offenders, thereby reducing reoffending rates (Senior et al., 2011). Similarly, restorative justice programs, which focus on rehabilitating offenders through reconciliation with victims and the community, have been found to reduce recidivism (Shapland et al., 2008).</w:t>
      </w:r>
      <w:r>
        <w:rPr>
          <w:rFonts w:ascii="Calibri" w:hAnsi="Calibri" w:cs="Calibri"/>
        </w:rPr>
        <w:t xml:space="preserve"> This will be addressed by the IOM team within South Wales Police regarding the suspect. </w:t>
      </w:r>
    </w:p>
    <w:p w14:paraId="53C5040E" w14:textId="77777777" w:rsidR="00E23983" w:rsidRPr="00FB02DD" w:rsidRDefault="00E23983" w:rsidP="00E23983">
      <w:pPr>
        <w:rPr>
          <w:rFonts w:ascii="Calibri" w:hAnsi="Calibri" w:cs="Calibri"/>
        </w:rPr>
      </w:pPr>
      <w:r>
        <w:rPr>
          <w:rFonts w:ascii="Calibri" w:hAnsi="Calibri" w:cs="Calibri"/>
        </w:rPr>
        <w:t>Within any investigation it is important to reflect on my actions, by u</w:t>
      </w:r>
      <w:r w:rsidRPr="00FB02DD">
        <w:rPr>
          <w:rFonts w:ascii="Calibri" w:hAnsi="Calibri" w:cs="Calibri"/>
        </w:rPr>
        <w:t>sing Gibbs Reflective Cycle</w:t>
      </w:r>
      <w:r>
        <w:rPr>
          <w:rFonts w:ascii="Calibri" w:hAnsi="Calibri" w:cs="Calibri"/>
        </w:rPr>
        <w:t xml:space="preserve"> I will reflect on what I did and what I could do better to improve myself in future investigations. </w:t>
      </w:r>
    </w:p>
    <w:p w14:paraId="4839729D" w14:textId="77777777" w:rsidR="00E23983" w:rsidRDefault="00E23983" w:rsidP="00E23983">
      <w:pPr>
        <w:rPr>
          <w:rFonts w:ascii="Calibri" w:hAnsi="Calibri" w:cs="Calibri"/>
        </w:rPr>
      </w:pPr>
    </w:p>
    <w:p w14:paraId="5EEECF98" w14:textId="77777777" w:rsidR="00E23983" w:rsidRDefault="00E23983" w:rsidP="00E23983">
      <w:pPr>
        <w:rPr>
          <w:rFonts w:ascii="Calibri" w:hAnsi="Calibri" w:cs="Calibri"/>
        </w:rPr>
      </w:pPr>
    </w:p>
    <w:p w14:paraId="0A9EDCE7" w14:textId="77777777" w:rsidR="00E23983" w:rsidRPr="00FB02DD" w:rsidRDefault="00E23983" w:rsidP="00E23983">
      <w:pPr>
        <w:rPr>
          <w:rFonts w:ascii="Calibri" w:hAnsi="Calibri" w:cs="Calibri"/>
        </w:rPr>
      </w:pPr>
      <w:r w:rsidRPr="00FB02DD">
        <w:rPr>
          <w:rFonts w:ascii="Calibri" w:hAnsi="Calibri" w:cs="Calibri"/>
        </w:rPr>
        <w:t>Description</w:t>
      </w:r>
    </w:p>
    <w:p w14:paraId="0B8D45DD" w14:textId="77777777" w:rsidR="00E23983" w:rsidRPr="00FB02DD" w:rsidRDefault="00E23983" w:rsidP="00E23983">
      <w:pPr>
        <w:rPr>
          <w:rFonts w:ascii="Calibri" w:hAnsi="Calibri" w:cs="Calibri"/>
        </w:rPr>
      </w:pPr>
      <w:r w:rsidRPr="00FB02DD">
        <w:rPr>
          <w:rFonts w:ascii="Calibri" w:hAnsi="Calibri" w:cs="Calibri"/>
        </w:rPr>
        <w:t>The incident took place at a local convenience store. The victim, a university student, was threatened at knifepoint by a male suspect who demanded money. The initial response involved ensuring the victim's safety and obtaining a detailed account of the incident.</w:t>
      </w:r>
    </w:p>
    <w:p w14:paraId="45BDEEC0" w14:textId="77777777" w:rsidR="00E23983" w:rsidRPr="00C84DF6" w:rsidRDefault="00E23983" w:rsidP="00E23983">
      <w:pPr>
        <w:rPr>
          <w:rFonts w:ascii="Calibri" w:hAnsi="Calibri" w:cs="Calibri"/>
        </w:rPr>
      </w:pPr>
      <w:r w:rsidRPr="00C84DF6">
        <w:rPr>
          <w:rFonts w:ascii="Calibri" w:hAnsi="Calibri" w:cs="Calibri"/>
        </w:rPr>
        <w:t>Feelings</w:t>
      </w:r>
    </w:p>
    <w:p w14:paraId="227D0FD2" w14:textId="77777777" w:rsidR="00E23983" w:rsidRPr="00C84DF6" w:rsidRDefault="00E23983" w:rsidP="00E23983">
      <w:pPr>
        <w:rPr>
          <w:rFonts w:ascii="Calibri" w:hAnsi="Calibri" w:cs="Calibri"/>
        </w:rPr>
      </w:pPr>
      <w:r w:rsidRPr="00C84DF6">
        <w:rPr>
          <w:rFonts w:ascii="Calibri" w:hAnsi="Calibri" w:cs="Calibri"/>
        </w:rPr>
        <w:lastRenderedPageBreak/>
        <w:t xml:space="preserve">During the investigation, it was crucial to manage my own emotional response and maintain a professional demeanour. Recognising the victim's calmness as a possible delayed trauma response required careful consideration and continuous support. It was an area that I felt at the time was important as the victim was very calm throughout the initial response. However, my person-centred approach to the individual's needs proved effective as she disclosed anxiety, University work was suffering, refusal to go out and nightmares about the incident. </w:t>
      </w:r>
    </w:p>
    <w:p w14:paraId="32D4BD7D" w14:textId="77777777" w:rsidR="00E23983" w:rsidRPr="00C84DF6" w:rsidRDefault="00E23983" w:rsidP="00E23983">
      <w:pPr>
        <w:rPr>
          <w:rFonts w:ascii="Calibri" w:hAnsi="Calibri" w:cs="Calibri"/>
        </w:rPr>
      </w:pPr>
      <w:r w:rsidRPr="00C84DF6">
        <w:rPr>
          <w:rFonts w:ascii="Calibri" w:hAnsi="Calibri" w:cs="Calibri"/>
        </w:rPr>
        <w:t>Evaluation</w:t>
      </w:r>
    </w:p>
    <w:p w14:paraId="267621DA" w14:textId="77777777" w:rsidR="00E23983" w:rsidRPr="00C84DF6" w:rsidRDefault="00E23983" w:rsidP="00E23983">
      <w:pPr>
        <w:rPr>
          <w:rFonts w:ascii="Calibri" w:hAnsi="Calibri" w:cs="Calibri"/>
        </w:rPr>
      </w:pPr>
      <w:r w:rsidRPr="00C84DF6">
        <w:rPr>
          <w:rFonts w:ascii="Calibri" w:hAnsi="Calibri" w:cs="Calibri"/>
        </w:rPr>
        <w:t xml:space="preserve">The initial response was effective due to the experienced team present at the scene. However, maintaining the victim's trust and providing ongoing support were challenges, particularly in managing the timing of referrals and disclosures in line with force policy. This I felt by asking the question regarding her language preference showed immediately to the victim that I was thinking of her and her cultural beliefs.  The rapport that was established created a much more effective means of communicating with the victim and I felt created trust from the victim and willingness of the victim to contact myself in terms of investigation updates. </w:t>
      </w:r>
    </w:p>
    <w:p w14:paraId="1CFD7FF0" w14:textId="77777777" w:rsidR="00E23983" w:rsidRPr="00C84DF6" w:rsidRDefault="00E23983" w:rsidP="00E23983">
      <w:pPr>
        <w:rPr>
          <w:rFonts w:ascii="Calibri" w:hAnsi="Calibri" w:cs="Calibri"/>
        </w:rPr>
      </w:pPr>
      <w:r w:rsidRPr="00C84DF6">
        <w:rPr>
          <w:rFonts w:ascii="Calibri" w:hAnsi="Calibri" w:cs="Calibri"/>
        </w:rPr>
        <w:t>Analysis</w:t>
      </w:r>
    </w:p>
    <w:p w14:paraId="4421E890" w14:textId="77777777" w:rsidR="00E23983" w:rsidRPr="00C84DF6" w:rsidRDefault="00E23983" w:rsidP="00E23983">
      <w:pPr>
        <w:rPr>
          <w:rFonts w:ascii="Calibri" w:hAnsi="Calibri" w:cs="Calibri"/>
        </w:rPr>
      </w:pPr>
      <w:r w:rsidRPr="00C84DF6">
        <w:rPr>
          <w:rFonts w:ascii="Calibri" w:hAnsi="Calibri" w:cs="Calibri"/>
        </w:rPr>
        <w:t xml:space="preserve">The comprehensive approach, including cultural sensitivity, multi-agency collaboration, and evidence-based practices, proved effective in supporting the victim and addressing the crime. The victim’s detailed description and the use of surveillance footage were instrumental in identifying and apprehending the suspect. Also gaining access to CCTV was crucial in identifying the suspect. This was allowed from the shop owner due to the effectiveness of the teams' actions at the incident </w:t>
      </w:r>
      <w:proofErr w:type="gramStart"/>
      <w:r w:rsidRPr="00C84DF6">
        <w:rPr>
          <w:rFonts w:ascii="Calibri" w:hAnsi="Calibri" w:cs="Calibri"/>
        </w:rPr>
        <w:t>and also</w:t>
      </w:r>
      <w:proofErr w:type="gramEnd"/>
      <w:r w:rsidRPr="00C84DF6">
        <w:rPr>
          <w:rFonts w:ascii="Calibri" w:hAnsi="Calibri" w:cs="Calibri"/>
        </w:rPr>
        <w:t xml:space="preserve"> the communication that was used with the shop owner. The communication created trust and respect from the owner who later in the investigation provided a letter to the officer in case which was </w:t>
      </w:r>
      <w:proofErr w:type="gramStart"/>
      <w:r w:rsidRPr="00C84DF6">
        <w:rPr>
          <w:rFonts w:ascii="Calibri" w:hAnsi="Calibri" w:cs="Calibri"/>
        </w:rPr>
        <w:t>myself</w:t>
      </w:r>
      <w:proofErr w:type="gramEnd"/>
      <w:r w:rsidRPr="00C84DF6">
        <w:rPr>
          <w:rFonts w:ascii="Calibri" w:hAnsi="Calibri" w:cs="Calibri"/>
        </w:rPr>
        <w:t xml:space="preserve"> of his appreciation in the way the owner was kept informed and the discretion used by officers involved. </w:t>
      </w:r>
    </w:p>
    <w:p w14:paraId="63E3B600" w14:textId="77777777" w:rsidR="00E23983" w:rsidRPr="00C84DF6" w:rsidRDefault="00E23983" w:rsidP="00E23983">
      <w:pPr>
        <w:rPr>
          <w:rFonts w:ascii="Calibri" w:hAnsi="Calibri" w:cs="Calibri"/>
        </w:rPr>
      </w:pPr>
      <w:r w:rsidRPr="00C84DF6">
        <w:rPr>
          <w:rFonts w:ascii="Calibri" w:hAnsi="Calibri" w:cs="Calibri"/>
        </w:rPr>
        <w:t>Conclusion</w:t>
      </w:r>
    </w:p>
    <w:p w14:paraId="31CA081A" w14:textId="77777777" w:rsidR="00E23983" w:rsidRPr="00C84DF6" w:rsidRDefault="00E23983" w:rsidP="00E23983">
      <w:pPr>
        <w:rPr>
          <w:rFonts w:ascii="Calibri" w:hAnsi="Calibri" w:cs="Calibri"/>
        </w:rPr>
      </w:pPr>
      <w:r w:rsidRPr="00C84DF6">
        <w:rPr>
          <w:rFonts w:ascii="Calibri" w:hAnsi="Calibri" w:cs="Calibri"/>
        </w:rPr>
        <w:t>The investigation highlighted the importance of training and knowledge in dealing with vulnerable victims. The use of a victim-focused approach and regular engagement helped maintain the victim's trust and cooperation throughout the process.</w:t>
      </w:r>
    </w:p>
    <w:p w14:paraId="2EA588B7" w14:textId="77777777" w:rsidR="00E23983" w:rsidRPr="00284F68" w:rsidRDefault="00E23983" w:rsidP="00E23983">
      <w:pPr>
        <w:rPr>
          <w:rFonts w:ascii="Calibri" w:hAnsi="Calibri" w:cs="Calibri"/>
          <w:b/>
          <w:bCs/>
          <w:color w:val="FF0000"/>
        </w:rPr>
      </w:pPr>
    </w:p>
    <w:p w14:paraId="1F7AA1F5" w14:textId="77777777" w:rsidR="00E23983" w:rsidRPr="00C84DF6" w:rsidRDefault="00E23983" w:rsidP="00E23983">
      <w:pPr>
        <w:rPr>
          <w:rFonts w:ascii="Calibri" w:hAnsi="Calibri" w:cs="Calibri"/>
        </w:rPr>
      </w:pPr>
      <w:r w:rsidRPr="00C84DF6">
        <w:rPr>
          <w:rFonts w:ascii="Calibri" w:hAnsi="Calibri" w:cs="Calibri"/>
        </w:rPr>
        <w:t>Action Plan</w:t>
      </w:r>
    </w:p>
    <w:p w14:paraId="3EA406CD" w14:textId="77777777" w:rsidR="00E23983" w:rsidRPr="00C84DF6" w:rsidRDefault="00E23983" w:rsidP="00E23983">
      <w:pPr>
        <w:rPr>
          <w:rFonts w:ascii="Calibri" w:hAnsi="Calibri" w:cs="Calibri"/>
        </w:rPr>
      </w:pPr>
      <w:r w:rsidRPr="00C84DF6">
        <w:rPr>
          <w:rFonts w:ascii="Calibri" w:hAnsi="Calibri" w:cs="Calibri"/>
        </w:rPr>
        <w:t>Future investigations would benefit from continued emphasis on cultural sensitivity and multi-agency collaboration. Ensuring timely support and clear communication with victims is essential for maintaining trust and achieving successful outcomes.</w:t>
      </w:r>
    </w:p>
    <w:p w14:paraId="35A5B54C" w14:textId="77777777" w:rsidR="00E23983" w:rsidRDefault="00E23983" w:rsidP="00E23983">
      <w:pPr>
        <w:rPr>
          <w:rFonts w:ascii="Calibri" w:hAnsi="Calibri" w:cs="Calibri"/>
        </w:rPr>
      </w:pPr>
    </w:p>
    <w:p w14:paraId="312901BF" w14:textId="77777777" w:rsidR="00E23983" w:rsidRPr="00FB02DD" w:rsidRDefault="00E23983" w:rsidP="00E23983">
      <w:pPr>
        <w:rPr>
          <w:rFonts w:ascii="Calibri" w:hAnsi="Calibri" w:cs="Calibri"/>
        </w:rPr>
      </w:pPr>
      <w:r w:rsidRPr="00FB02DD">
        <w:rPr>
          <w:rFonts w:ascii="Calibri" w:hAnsi="Calibri" w:cs="Calibri"/>
        </w:rPr>
        <w:t>Conclusion</w:t>
      </w:r>
    </w:p>
    <w:p w14:paraId="0D34CDC3" w14:textId="77777777" w:rsidR="00E23983" w:rsidRPr="008B0B3F" w:rsidRDefault="00E23983" w:rsidP="00E23983">
      <w:pPr>
        <w:rPr>
          <w:rFonts w:ascii="Calibri" w:hAnsi="Calibri" w:cs="Calibri"/>
        </w:rPr>
      </w:pPr>
      <w:r w:rsidRPr="008B0B3F">
        <w:rPr>
          <w:rFonts w:ascii="Calibri" w:hAnsi="Calibri" w:cs="Calibri"/>
        </w:rPr>
        <w:t>Effective investigations in the UK require a comprehensive understanding of social, legislative, cultural, and linguistic factors. Supporting vulnerable victims necessitates a holistic approach that includes building rapport, assessing vulnerability, and collaborating with multiple agencies (College of Policing, 2021). Throughout the investigation, I felt that I successfully established these elements. With the support of an experienced team, I was guided through the investigatory process, which led to a successful outcome.</w:t>
      </w:r>
    </w:p>
    <w:p w14:paraId="3DC66F5B" w14:textId="77777777" w:rsidR="00E23983" w:rsidRPr="008B0B3F" w:rsidRDefault="00E23983" w:rsidP="00E23983">
      <w:pPr>
        <w:rPr>
          <w:rFonts w:ascii="Calibri" w:hAnsi="Calibri" w:cs="Calibri"/>
        </w:rPr>
      </w:pPr>
    </w:p>
    <w:p w14:paraId="00AAD4C6" w14:textId="77777777" w:rsidR="00E23983" w:rsidRPr="008B0B3F" w:rsidRDefault="00E23983" w:rsidP="00E23983">
      <w:pPr>
        <w:rPr>
          <w:rFonts w:ascii="Calibri" w:hAnsi="Calibri" w:cs="Calibri"/>
        </w:rPr>
      </w:pPr>
      <w:r w:rsidRPr="008B0B3F">
        <w:rPr>
          <w:rFonts w:ascii="Calibri" w:hAnsi="Calibri" w:cs="Calibri"/>
        </w:rPr>
        <w:t>Evidence-based policing strategies, such as data-driven interventions and situational crime prevention, are crucial in addressing repeat victimisation and offending (Sherman, 2013). The use of structured models like Gibbs Reflective Cycle can aid in evaluating and improving investigative practices (Gibbs, 1988). I have continued to reflect on my actions throughout the investigations I have been involved in to date.</w:t>
      </w:r>
    </w:p>
    <w:p w14:paraId="34B153D2" w14:textId="77777777" w:rsidR="00E23983" w:rsidRPr="008B0B3F" w:rsidRDefault="00E23983" w:rsidP="00E23983">
      <w:pPr>
        <w:rPr>
          <w:rFonts w:ascii="Calibri" w:hAnsi="Calibri" w:cs="Calibri"/>
        </w:rPr>
      </w:pPr>
    </w:p>
    <w:p w14:paraId="11E9795B" w14:textId="77777777" w:rsidR="00E23983" w:rsidRDefault="00E23983" w:rsidP="00E23983">
      <w:pPr>
        <w:rPr>
          <w:rFonts w:ascii="Calibri" w:hAnsi="Calibri" w:cs="Calibri"/>
        </w:rPr>
      </w:pPr>
      <w:r w:rsidRPr="008B0B3F">
        <w:rPr>
          <w:rFonts w:ascii="Calibri" w:hAnsi="Calibri" w:cs="Calibri"/>
        </w:rPr>
        <w:t>The successful resolution of the case, with the suspect pleading guilty and receiving a lengthy prison sentence, underscores the importance of a well-rounded approach to policing and victim support (HMICFRS, 2020).</w:t>
      </w:r>
    </w:p>
    <w:p w14:paraId="44E163C6" w14:textId="77777777" w:rsidR="00E23983" w:rsidRPr="00FB02DD" w:rsidRDefault="00E23983" w:rsidP="00E23983">
      <w:pPr>
        <w:rPr>
          <w:rFonts w:ascii="Calibri" w:hAnsi="Calibri" w:cs="Calibri"/>
        </w:rPr>
      </w:pPr>
      <w:r>
        <w:rPr>
          <w:rFonts w:ascii="Calibri" w:hAnsi="Calibri" w:cs="Calibri"/>
        </w:rPr>
        <w:t>Word count - 1934</w:t>
      </w:r>
    </w:p>
    <w:p w14:paraId="1DA755A2"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b/>
          <w:bCs/>
          <w:color w:val="000000" w:themeColor="text1"/>
          <w:kern w:val="0"/>
          <w:sz w:val="24"/>
          <w:szCs w:val="24"/>
          <w:lang w:eastAsia="en-GB"/>
          <w14:ligatures w14:val="none"/>
        </w:rPr>
      </w:pPr>
    </w:p>
    <w:p w14:paraId="378CE96A"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2C34ABE1"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7BB2A795"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0FD3FEF6"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52E8D259"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48DA75E6"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7FE9E306"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4AB761A7"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782A22E6"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0389CC97"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587A7A38"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6DAFAD7A"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079F1A2F"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7DBC3019"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378E23AC"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62FB493C"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5D357523"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66DBA098" w14:textId="77777777" w:rsidR="008D03F4" w:rsidRPr="008D03F4" w:rsidRDefault="008D03F4" w:rsidP="008D03F4">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kern w:val="0"/>
          <w:sz w:val="24"/>
          <w:szCs w:val="24"/>
          <w:lang w:eastAsia="en-GB"/>
          <w14:ligatures w14:val="none"/>
        </w:rPr>
      </w:pPr>
    </w:p>
    <w:p w14:paraId="12ACE21B" w14:textId="77777777" w:rsidR="008D03F4" w:rsidRPr="008D03F4" w:rsidRDefault="008D03F4" w:rsidP="008D03F4">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kern w:val="0"/>
          <w:sz w:val="24"/>
          <w:szCs w:val="24"/>
          <w:lang w:eastAsia="en-GB"/>
          <w14:ligatures w14:val="none"/>
        </w:rPr>
      </w:pPr>
    </w:p>
    <w:p w14:paraId="0D6AD517"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567D9E6F"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2C33E25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5D7DF6A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446CF5A2" w14:textId="77777777" w:rsid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159DBEA4" w14:textId="77777777" w:rsidR="00E23983" w:rsidRDefault="00E23983"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2F0D71BA" w14:textId="77777777" w:rsidR="00E23983" w:rsidRDefault="00E23983"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2EFCD6FA" w14:textId="77777777" w:rsidR="00E23983" w:rsidRDefault="00E23983"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2A345912" w14:textId="77777777" w:rsidR="00E23983" w:rsidRDefault="00E23983"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6DD3DDDB" w14:textId="77777777" w:rsidR="00E23983" w:rsidRDefault="00E23983"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4FEF013E" w14:textId="77777777" w:rsidR="00E23983" w:rsidRDefault="00E23983"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311C1BDF" w14:textId="77777777" w:rsidR="00E23983" w:rsidRDefault="00E23983"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4C28AE79" w14:textId="77777777" w:rsidR="00E23983" w:rsidRDefault="00E23983"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33EA3E3B" w14:textId="77777777" w:rsidR="00E23983" w:rsidRDefault="00E23983"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1FDAFF80" w14:textId="77777777" w:rsidR="00E23983" w:rsidRPr="008D03F4" w:rsidRDefault="00E23983"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231816D4" w14:textId="77777777" w:rsidR="008D03F4" w:rsidRPr="008D03F4" w:rsidRDefault="008D03F4" w:rsidP="008D03F4">
      <w:pPr>
        <w:overflowPunct w:val="0"/>
        <w:autoSpaceDE w:val="0"/>
        <w:autoSpaceDN w:val="0"/>
        <w:adjustRightInd w:val="0"/>
        <w:spacing w:after="0" w:line="240" w:lineRule="auto"/>
        <w:ind w:right="237"/>
        <w:jc w:val="center"/>
        <w:textAlignment w:val="baseline"/>
        <w:rPr>
          <w:rFonts w:ascii="Arial" w:eastAsia="Arial" w:hAnsi="Arial" w:cs="Arial"/>
          <w:color w:val="000000" w:themeColor="text1"/>
          <w:kern w:val="0"/>
          <w:sz w:val="28"/>
          <w:szCs w:val="28"/>
          <w:lang w:eastAsia="en-GB"/>
          <w14:ligatures w14:val="none"/>
        </w:rPr>
      </w:pPr>
      <w:r w:rsidRPr="008D03F4">
        <w:rPr>
          <w:rFonts w:ascii="Arial" w:eastAsia="Arial" w:hAnsi="Arial" w:cs="Arial"/>
          <w:b/>
          <w:bCs/>
          <w:color w:val="000000" w:themeColor="text1"/>
          <w:kern w:val="0"/>
          <w:sz w:val="28"/>
          <w:szCs w:val="28"/>
          <w:u w:val="single"/>
          <w:lang w:eastAsia="en-GB"/>
          <w14:ligatures w14:val="none"/>
        </w:rPr>
        <w:lastRenderedPageBreak/>
        <w:t>Task 2</w:t>
      </w:r>
    </w:p>
    <w:p w14:paraId="6E3087B9" w14:textId="77777777" w:rsidR="008D03F4" w:rsidRPr="008D03F4" w:rsidRDefault="008D03F4" w:rsidP="008D03F4">
      <w:pPr>
        <w:overflowPunct w:val="0"/>
        <w:autoSpaceDE w:val="0"/>
        <w:autoSpaceDN w:val="0"/>
        <w:adjustRightInd w:val="0"/>
        <w:spacing w:after="0" w:line="240" w:lineRule="auto"/>
        <w:ind w:left="2880" w:right="237"/>
        <w:textAlignment w:val="baseline"/>
        <w:rPr>
          <w:rFonts w:ascii="Arial" w:eastAsia="Arial" w:hAnsi="Arial" w:cs="Arial"/>
          <w:color w:val="000000" w:themeColor="text1"/>
          <w:kern w:val="0"/>
          <w:sz w:val="24"/>
          <w:szCs w:val="24"/>
          <w:lang w:eastAsia="en-GB"/>
          <w14:ligatures w14:val="none"/>
        </w:rPr>
      </w:pPr>
    </w:p>
    <w:p w14:paraId="56D3B3B3"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u w:val="single"/>
          <w:lang w:eastAsia="en-GB"/>
          <w14:ligatures w14:val="none"/>
        </w:rPr>
      </w:pPr>
      <w:r w:rsidRPr="008D03F4">
        <w:rPr>
          <w:rFonts w:ascii="Arial" w:eastAsia="Arial" w:hAnsi="Arial" w:cs="Arial"/>
          <w:b/>
          <w:bCs/>
          <w:color w:val="000000" w:themeColor="text1"/>
          <w:kern w:val="0"/>
          <w:sz w:val="24"/>
          <w:szCs w:val="24"/>
          <w:u w:val="single"/>
          <w:lang w:eastAsia="en-GB"/>
          <w14:ligatures w14:val="none"/>
        </w:rPr>
        <w:t>Relevant areas of the National Policing Curriculum:</w:t>
      </w:r>
      <w:r w:rsidRPr="008D03F4">
        <w:rPr>
          <w:rFonts w:ascii="Arial" w:eastAsia="Arial" w:hAnsi="Arial" w:cs="Arial"/>
          <w:b/>
          <w:bCs/>
          <w:color w:val="000000" w:themeColor="text1"/>
          <w:kern w:val="0"/>
          <w:sz w:val="24"/>
          <w:szCs w:val="24"/>
          <w:lang w:eastAsia="en-GB"/>
          <w14:ligatures w14:val="none"/>
        </w:rPr>
        <w:t xml:space="preserve"> </w:t>
      </w:r>
    </w:p>
    <w:p w14:paraId="12A1BEA9"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u w:val="single"/>
          <w:lang w:eastAsia="en-GB"/>
          <w14:ligatures w14:val="none"/>
        </w:rPr>
      </w:pPr>
    </w:p>
    <w:p w14:paraId="621C0AB2"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u w:val="single"/>
          <w:lang w:eastAsia="en-GB"/>
          <w14:ligatures w14:val="none"/>
        </w:rPr>
      </w:pPr>
    </w:p>
    <w:p w14:paraId="68D33C6F"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u w:val="single"/>
          <w:lang w:eastAsia="en-GB"/>
          <w14:ligatures w14:val="none"/>
        </w:rPr>
      </w:pPr>
      <w:r w:rsidRPr="008D03F4">
        <w:rPr>
          <w:rFonts w:ascii="Arial" w:eastAsia="Arial" w:hAnsi="Arial" w:cs="Arial"/>
          <w:b/>
          <w:bCs/>
          <w:color w:val="000000" w:themeColor="text1"/>
          <w:kern w:val="0"/>
          <w:sz w:val="24"/>
          <w:szCs w:val="24"/>
          <w:u w:val="single"/>
          <w:lang w:eastAsia="en-GB"/>
          <w14:ligatures w14:val="none"/>
        </w:rPr>
        <w:t>Conducting Investigations</w:t>
      </w:r>
    </w:p>
    <w:p w14:paraId="0AC24C23"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5AEF9E13"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 xml:space="preserve">You should choose an </w:t>
      </w:r>
      <w:r w:rsidRPr="008D03F4">
        <w:rPr>
          <w:rFonts w:ascii="Arial" w:eastAsia="Times New Roman" w:hAnsi="Arial" w:cs="Arial"/>
          <w:b/>
          <w:bCs/>
          <w:color w:val="FF0000"/>
          <w:kern w:val="0"/>
          <w:sz w:val="24"/>
          <w:szCs w:val="24"/>
          <w:u w:val="single"/>
          <w:lang w:eastAsia="en-GB"/>
          <w14:ligatures w14:val="none"/>
        </w:rPr>
        <w:t xml:space="preserve">serious and complex investigation </w:t>
      </w:r>
      <w:r w:rsidRPr="008D03F4">
        <w:rPr>
          <w:rFonts w:ascii="Arial" w:eastAsia="Arial" w:hAnsi="Arial" w:cs="Arial"/>
          <w:color w:val="000000" w:themeColor="text1"/>
          <w:kern w:val="0"/>
          <w:sz w:val="24"/>
          <w:szCs w:val="24"/>
          <w:lang w:eastAsia="en-GB"/>
          <w14:ligatures w14:val="none"/>
        </w:rPr>
        <w:t>that you have been involved in</w:t>
      </w:r>
      <w:r w:rsidRPr="008D03F4">
        <w:rPr>
          <w:rFonts w:ascii="Arial" w:eastAsia="Arial" w:hAnsi="Arial" w:cs="Arial"/>
          <w:b/>
          <w:bCs/>
          <w:color w:val="000000" w:themeColor="text1"/>
          <w:kern w:val="0"/>
          <w:sz w:val="24"/>
          <w:szCs w:val="24"/>
          <w:lang w:eastAsia="en-GB"/>
          <w14:ligatures w14:val="none"/>
        </w:rPr>
        <w:t xml:space="preserve"> that was of a complex nature, </w:t>
      </w:r>
      <w:r w:rsidRPr="008D03F4">
        <w:rPr>
          <w:rFonts w:ascii="Arial" w:eastAsia="Arial" w:hAnsi="Arial" w:cs="Arial"/>
          <w:color w:val="000000" w:themeColor="text1"/>
          <w:kern w:val="0"/>
          <w:sz w:val="24"/>
          <w:szCs w:val="24"/>
          <w:lang w:eastAsia="en-GB"/>
          <w14:ligatures w14:val="none"/>
        </w:rPr>
        <w:t>in which you played a significant role.</w:t>
      </w:r>
    </w:p>
    <w:p w14:paraId="3590240E"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75C40F2A"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p>
    <w:tbl>
      <w:tblPr>
        <w:tblStyle w:val="TableGrid"/>
        <w:tblW w:w="0" w:type="auto"/>
        <w:tblLayout w:type="fixed"/>
        <w:tblLook w:val="06A0" w:firstRow="1" w:lastRow="0" w:firstColumn="1" w:lastColumn="0" w:noHBand="1" w:noVBand="1"/>
      </w:tblPr>
      <w:tblGrid>
        <w:gridCol w:w="9015"/>
      </w:tblGrid>
      <w:tr w:rsidR="008D03F4" w:rsidRPr="008D03F4" w14:paraId="39680AD9" w14:textId="77777777" w:rsidTr="004049E6">
        <w:trPr>
          <w:trHeight w:val="3420"/>
        </w:trPr>
        <w:tc>
          <w:tcPr>
            <w:tcW w:w="9015" w:type="dxa"/>
          </w:tcPr>
          <w:p w14:paraId="7D86B58A" w14:textId="77777777" w:rsidR="008D03F4" w:rsidRPr="008D03F4" w:rsidRDefault="008D03F4" w:rsidP="008D03F4">
            <w:pPr>
              <w:overflowPunct w:val="0"/>
              <w:autoSpaceDE w:val="0"/>
              <w:autoSpaceDN w:val="0"/>
              <w:adjustRightInd w:val="0"/>
              <w:ind w:right="237"/>
              <w:jc w:val="both"/>
              <w:textAlignment w:val="baseline"/>
              <w:rPr>
                <w:rFonts w:ascii="Arial" w:hAnsi="Arial" w:cs="Arial"/>
                <w:color w:val="000000"/>
                <w:sz w:val="24"/>
                <w:szCs w:val="24"/>
                <w:lang w:eastAsia="en-GB"/>
              </w:rPr>
            </w:pPr>
          </w:p>
          <w:p w14:paraId="33EF75EE" w14:textId="77777777" w:rsidR="008D03F4" w:rsidRPr="008D03F4" w:rsidRDefault="008D03F4" w:rsidP="008D03F4">
            <w:pPr>
              <w:overflowPunct w:val="0"/>
              <w:autoSpaceDE w:val="0"/>
              <w:autoSpaceDN w:val="0"/>
              <w:adjustRightInd w:val="0"/>
              <w:ind w:right="237"/>
              <w:jc w:val="both"/>
              <w:textAlignment w:val="baseline"/>
              <w:rPr>
                <w:rFonts w:ascii="Arial" w:eastAsia="Arial" w:hAnsi="Arial" w:cs="Arial"/>
                <w:color w:val="000000" w:themeColor="text1"/>
                <w:sz w:val="24"/>
                <w:szCs w:val="24"/>
                <w:lang w:eastAsia="en-GB"/>
              </w:rPr>
            </w:pPr>
            <w:r w:rsidRPr="008D03F4">
              <w:rPr>
                <w:rFonts w:ascii="Arial" w:eastAsia="Arial" w:hAnsi="Arial" w:cs="Arial"/>
                <w:b/>
                <w:bCs/>
                <w:color w:val="000000" w:themeColor="text1"/>
                <w:sz w:val="24"/>
                <w:szCs w:val="24"/>
                <w:lang w:eastAsia="en-GB"/>
              </w:rPr>
              <w:t>Critically evaluate</w:t>
            </w:r>
            <w:r w:rsidRPr="008D03F4">
              <w:rPr>
                <w:rFonts w:ascii="Arial" w:eastAsia="Arial" w:hAnsi="Arial" w:cs="Arial"/>
                <w:color w:val="000000" w:themeColor="text1"/>
                <w:sz w:val="24"/>
                <w:szCs w:val="24"/>
                <w:lang w:eastAsia="en-GB"/>
              </w:rPr>
              <w:t xml:space="preserve"> the processes employed in a </w:t>
            </w:r>
            <w:r w:rsidRPr="008D03F4">
              <w:rPr>
                <w:rFonts w:ascii="Arial" w:eastAsia="Arial" w:hAnsi="Arial" w:cs="Arial"/>
                <w:color w:val="000000" w:themeColor="text1"/>
                <w:sz w:val="24"/>
                <w:szCs w:val="24"/>
                <w:highlight w:val="yellow"/>
                <w:lang w:eastAsia="en-GB"/>
              </w:rPr>
              <w:t>complex investigation</w:t>
            </w:r>
            <w:r w:rsidRPr="008D03F4">
              <w:rPr>
                <w:rFonts w:ascii="Arial" w:eastAsia="Arial" w:hAnsi="Arial" w:cs="Arial"/>
                <w:color w:val="000000" w:themeColor="text1"/>
                <w:sz w:val="24"/>
                <w:szCs w:val="24"/>
                <w:lang w:eastAsia="en-GB"/>
              </w:rPr>
              <w:t xml:space="preserve"> you have been involved in, and the fast-track actions that you have utilised.</w:t>
            </w:r>
          </w:p>
          <w:p w14:paraId="048BFC9D" w14:textId="77777777" w:rsidR="008D03F4" w:rsidRPr="008D03F4" w:rsidRDefault="008D03F4" w:rsidP="008D03F4">
            <w:pPr>
              <w:overflowPunct w:val="0"/>
              <w:autoSpaceDE w:val="0"/>
              <w:autoSpaceDN w:val="0"/>
              <w:adjustRightInd w:val="0"/>
              <w:ind w:right="237"/>
              <w:jc w:val="both"/>
              <w:textAlignment w:val="baseline"/>
              <w:rPr>
                <w:rFonts w:ascii="Arial" w:eastAsia="Arial" w:hAnsi="Arial" w:cs="Arial"/>
                <w:color w:val="000000" w:themeColor="text1"/>
                <w:sz w:val="24"/>
                <w:szCs w:val="24"/>
                <w:lang w:eastAsia="en-GB"/>
              </w:rPr>
            </w:pPr>
          </w:p>
          <w:p w14:paraId="0966BBA6" w14:textId="77777777" w:rsidR="008D03F4" w:rsidRPr="008D03F4" w:rsidRDefault="008D03F4" w:rsidP="008D03F4">
            <w:pPr>
              <w:overflowPunct w:val="0"/>
              <w:autoSpaceDE w:val="0"/>
              <w:autoSpaceDN w:val="0"/>
              <w:adjustRightInd w:val="0"/>
              <w:ind w:right="237"/>
              <w:jc w:val="both"/>
              <w:textAlignment w:val="baseline"/>
              <w:rPr>
                <w:rFonts w:ascii="Arial" w:eastAsia="Arial" w:hAnsi="Arial" w:cs="Arial"/>
                <w:color w:val="000000" w:themeColor="text1"/>
                <w:sz w:val="24"/>
                <w:szCs w:val="24"/>
                <w:lang w:eastAsia="en-GB"/>
              </w:rPr>
            </w:pPr>
          </w:p>
          <w:p w14:paraId="45399404" w14:textId="77777777" w:rsidR="008D03F4" w:rsidRPr="008D03F4" w:rsidRDefault="008D03F4" w:rsidP="008D03F4">
            <w:pPr>
              <w:overflowPunct w:val="0"/>
              <w:autoSpaceDE w:val="0"/>
              <w:autoSpaceDN w:val="0"/>
              <w:adjustRightInd w:val="0"/>
              <w:ind w:right="237"/>
              <w:jc w:val="both"/>
              <w:textAlignment w:val="baseline"/>
              <w:rPr>
                <w:rFonts w:ascii="Arial" w:eastAsia="Arial" w:hAnsi="Arial" w:cs="Arial"/>
                <w:color w:val="000000" w:themeColor="text1"/>
                <w:sz w:val="24"/>
                <w:szCs w:val="24"/>
                <w:lang w:eastAsia="en-GB"/>
              </w:rPr>
            </w:pPr>
            <w:r w:rsidRPr="008D03F4">
              <w:rPr>
                <w:rFonts w:ascii="Arial" w:eastAsia="Arial" w:hAnsi="Arial" w:cs="Arial"/>
                <w:color w:val="000000" w:themeColor="text1"/>
                <w:sz w:val="24"/>
                <w:szCs w:val="24"/>
                <w:lang w:eastAsia="en-GB"/>
              </w:rPr>
              <w:t xml:space="preserve">Evaluate the support you have provided to victims, witnesses, and offenders (where appropriate) during a </w:t>
            </w:r>
            <w:r w:rsidRPr="008D03F4">
              <w:rPr>
                <w:rFonts w:ascii="Arial" w:eastAsia="Arial" w:hAnsi="Arial" w:cs="Arial"/>
                <w:color w:val="000000" w:themeColor="text1"/>
                <w:sz w:val="24"/>
                <w:szCs w:val="24"/>
                <w:highlight w:val="yellow"/>
                <w:lang w:eastAsia="en-GB"/>
              </w:rPr>
              <w:t>complex investigation</w:t>
            </w:r>
            <w:r w:rsidRPr="008D03F4">
              <w:rPr>
                <w:rFonts w:ascii="Arial" w:eastAsia="Arial" w:hAnsi="Arial" w:cs="Arial"/>
                <w:color w:val="000000" w:themeColor="text1"/>
                <w:sz w:val="24"/>
                <w:szCs w:val="24"/>
                <w:lang w:eastAsia="en-GB"/>
              </w:rPr>
              <w:t xml:space="preserve"> and reference the management of your own personal values and attitudes in relation to this.</w:t>
            </w:r>
          </w:p>
          <w:p w14:paraId="4CF02695" w14:textId="77777777" w:rsidR="008D03F4" w:rsidRPr="008D03F4" w:rsidRDefault="008D03F4" w:rsidP="008D03F4">
            <w:pPr>
              <w:overflowPunct w:val="0"/>
              <w:autoSpaceDE w:val="0"/>
              <w:autoSpaceDN w:val="0"/>
              <w:adjustRightInd w:val="0"/>
              <w:ind w:right="237"/>
              <w:jc w:val="both"/>
              <w:textAlignment w:val="baseline"/>
              <w:rPr>
                <w:rFonts w:ascii="Arial" w:hAnsi="Arial" w:cs="Arial"/>
                <w:color w:val="000000"/>
                <w:sz w:val="24"/>
                <w:szCs w:val="24"/>
                <w:lang w:eastAsia="en-GB"/>
              </w:rPr>
            </w:pPr>
          </w:p>
          <w:p w14:paraId="340506C2" w14:textId="77777777" w:rsidR="008D03F4" w:rsidRPr="008D03F4" w:rsidRDefault="008D03F4" w:rsidP="008D03F4">
            <w:pPr>
              <w:overflowPunct w:val="0"/>
              <w:autoSpaceDE w:val="0"/>
              <w:autoSpaceDN w:val="0"/>
              <w:adjustRightInd w:val="0"/>
              <w:ind w:right="237"/>
              <w:jc w:val="both"/>
              <w:textAlignment w:val="baseline"/>
              <w:rPr>
                <w:rFonts w:ascii="Arial" w:hAnsi="Arial" w:cs="Arial"/>
                <w:i/>
                <w:iCs/>
                <w:color w:val="000000"/>
                <w:sz w:val="24"/>
                <w:szCs w:val="24"/>
                <w:lang w:eastAsia="en-GB"/>
              </w:rPr>
            </w:pPr>
            <w:r w:rsidRPr="008D03F4">
              <w:rPr>
                <w:rFonts w:ascii="Arial" w:hAnsi="Arial" w:cs="Arial"/>
                <w:color w:val="000000"/>
                <w:sz w:val="24"/>
                <w:szCs w:val="24"/>
                <w:lang w:eastAsia="en-GB"/>
              </w:rPr>
              <w:t xml:space="preserve">2000 words </w:t>
            </w:r>
            <w:r w:rsidRPr="008D03F4">
              <w:rPr>
                <w:rFonts w:ascii="Arial" w:hAnsi="Arial" w:cs="Arial"/>
                <w:i/>
                <w:iCs/>
                <w:color w:val="000000"/>
                <w:sz w:val="24"/>
                <w:szCs w:val="24"/>
                <w:lang w:eastAsia="en-GB"/>
              </w:rPr>
              <w:t>(+/- 10%: include your actual word count at the end of each section)</w:t>
            </w:r>
          </w:p>
          <w:p w14:paraId="3FE11825" w14:textId="77777777" w:rsidR="008D03F4" w:rsidRPr="008D03F4" w:rsidRDefault="008D03F4" w:rsidP="008D03F4">
            <w:pPr>
              <w:overflowPunct w:val="0"/>
              <w:autoSpaceDE w:val="0"/>
              <w:autoSpaceDN w:val="0"/>
              <w:adjustRightInd w:val="0"/>
              <w:textAlignment w:val="baseline"/>
              <w:rPr>
                <w:rFonts w:ascii="Arial" w:hAnsi="Arial" w:cs="Arial"/>
                <w:color w:val="000000" w:themeColor="text1"/>
                <w:sz w:val="28"/>
                <w:szCs w:val="28"/>
                <w:lang w:eastAsia="en-GB"/>
              </w:rPr>
            </w:pPr>
          </w:p>
        </w:tc>
      </w:tr>
    </w:tbl>
    <w:p w14:paraId="677504A4"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0F3FF14E"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2318FC21" w14:textId="77777777" w:rsid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8"/>
          <w:szCs w:val="28"/>
          <w:lang w:eastAsia="en-GB"/>
          <w14:ligatures w14:val="none"/>
        </w:rPr>
      </w:pPr>
      <w:r w:rsidRPr="008D03F4">
        <w:rPr>
          <w:rFonts w:ascii="Arial" w:eastAsia="Times New Roman" w:hAnsi="Arial" w:cs="Arial"/>
          <w:b/>
          <w:bCs/>
          <w:color w:val="000000" w:themeColor="text1"/>
          <w:kern w:val="0"/>
          <w:sz w:val="28"/>
          <w:szCs w:val="28"/>
          <w:lang w:eastAsia="en-GB"/>
          <w14:ligatures w14:val="none"/>
        </w:rPr>
        <w:t xml:space="preserve">Answer: </w:t>
      </w:r>
    </w:p>
    <w:p w14:paraId="5C6B40AD" w14:textId="77777777" w:rsidR="003D19A4" w:rsidRDefault="003D19A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8"/>
          <w:szCs w:val="28"/>
          <w:lang w:eastAsia="en-GB"/>
          <w14:ligatures w14:val="none"/>
        </w:rPr>
      </w:pPr>
    </w:p>
    <w:p w14:paraId="3D20FD01" w14:textId="77777777" w:rsidR="003D19A4" w:rsidRPr="003D19A4" w:rsidRDefault="003D19A4" w:rsidP="003D19A4">
      <w:pPr>
        <w:spacing w:line="278" w:lineRule="auto"/>
        <w:rPr>
          <w:rFonts w:ascii="Aptos" w:eastAsia="Aptos" w:hAnsi="Aptos" w:cs="Times New Roman"/>
          <w:b/>
          <w:bCs/>
          <w:sz w:val="24"/>
          <w:szCs w:val="24"/>
        </w:rPr>
      </w:pPr>
      <w:r w:rsidRPr="003D19A4">
        <w:rPr>
          <w:rFonts w:ascii="Aptos" w:eastAsia="Aptos" w:hAnsi="Aptos" w:cs="Times New Roman"/>
          <w:b/>
          <w:bCs/>
          <w:sz w:val="24"/>
          <w:szCs w:val="24"/>
        </w:rPr>
        <w:t>Critically evaluate the processes employed in a complex investigation you have been involved in, and the fast-track actions that you have utilised.</w:t>
      </w:r>
    </w:p>
    <w:p w14:paraId="3596E575" w14:textId="77777777" w:rsidR="003D19A4" w:rsidRPr="003D19A4" w:rsidRDefault="003D19A4" w:rsidP="003D19A4">
      <w:pPr>
        <w:spacing w:line="278" w:lineRule="auto"/>
        <w:rPr>
          <w:rFonts w:ascii="Aptos" w:eastAsia="Aptos" w:hAnsi="Aptos" w:cs="Times New Roman"/>
          <w:b/>
          <w:bCs/>
          <w:sz w:val="24"/>
          <w:szCs w:val="24"/>
        </w:rPr>
      </w:pPr>
      <w:r w:rsidRPr="003D19A4">
        <w:rPr>
          <w:rFonts w:ascii="Aptos" w:eastAsia="Aptos" w:hAnsi="Aptos" w:cs="Times New Roman"/>
          <w:b/>
          <w:bCs/>
          <w:sz w:val="24"/>
          <w:szCs w:val="24"/>
        </w:rPr>
        <w:t>Evaluate the support you have provided to victims, witnesses, and offenders (where appropriate) during a complex investigation and reference the management of your own personal values and attitudes in relation to this.</w:t>
      </w:r>
    </w:p>
    <w:p w14:paraId="78ED8807" w14:textId="77777777" w:rsidR="003D19A4" w:rsidRPr="003D19A4" w:rsidRDefault="003D19A4" w:rsidP="003D19A4">
      <w:pPr>
        <w:spacing w:line="278" w:lineRule="auto"/>
        <w:rPr>
          <w:rFonts w:ascii="Aptos" w:eastAsia="Aptos" w:hAnsi="Aptos" w:cs="Times New Roman"/>
          <w:b/>
          <w:bCs/>
          <w:sz w:val="24"/>
          <w:szCs w:val="24"/>
        </w:rPr>
      </w:pPr>
    </w:p>
    <w:p w14:paraId="4B885C2B"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In a complex investigation, several processes are generally employed to manage the investigation effectively. These processes typically include a meeting with senior officers and the allocation of tasks such as:</w:t>
      </w:r>
    </w:p>
    <w:p w14:paraId="4944BF8D"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Resource Allocation: Ensuring sufficient resources, including personnel, technology, and expertise, are allocated to handle the investigation's complexity and scale effectively.</w:t>
      </w:r>
    </w:p>
    <w:p w14:paraId="6D756D92"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Task Management: Dividing the investigation into manageable tasks and assigning responsibilities to specific team members to ensure coordination and efficiency.</w:t>
      </w:r>
    </w:p>
    <w:p w14:paraId="4CF962B7"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lastRenderedPageBreak/>
        <w:t>Evidence Collection and Analysis: Thoroughly gathering and analysing evidence, including forensic evidence, witness statements, and digital evidence, to build a comprehensive understanding of the case.</w:t>
      </w:r>
    </w:p>
    <w:p w14:paraId="164CD6E2"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Multi-Agency Collaboration: Collaborating with other agencies, such as forensic experts, intelligence agencies, and legal professionals, to access specialized resources and expertise.</w:t>
      </w:r>
    </w:p>
    <w:p w14:paraId="1CDC4BC2"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Public Communication: Managing public communication and media relations to provide accurate information, manage public expectations, and maintain public trust and confidence in the investigation.</w:t>
      </w:r>
    </w:p>
    <w:p w14:paraId="4A531908"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The coordination and collaboration of several parties, such as law enforcement agencies, intelligence services, forensic experts, and legal professionals, is a significant problem in complicated investigations (Chamberlain et al., 2018). It is crucial yet frequently challenging to maintain efficient communication and information sharing while upholding legal boundaries and maintaining the integrity of the evidence.</w:t>
      </w:r>
    </w:p>
    <w:p w14:paraId="70F433A7"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Complex police investigations often involve a range of intricate procedures, from initial crime scene management to evidence collection, analysis, and eventual prosecution. A pivotal aspect of these investigations is the gathering of evidence, which typically involves forensic techniques, witness statements, CCTV footage analysis, and digital forensics. Moreover, collaborative efforts between various law enforcement agencies, such as the police, forensic teams, and specialist units, are crucial for comprehensive investigations.</w:t>
      </w:r>
    </w:p>
    <w:p w14:paraId="636E6F26"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The utilisation of modern technology and forensic methods is vital in complex investigations. For instance, advancements in DNA analysis have revolutionized the identification and linking of suspects to crime scenes. Similarly, the importance of digital forensics has increased in cases involving digital evidence or cybercrime. These technological advancements have significantly enhanced the efficiency and accuracy of investigations, leading to higher conviction rates and improved outcomes.</w:t>
      </w:r>
    </w:p>
    <w:p w14:paraId="1EAAEAC9"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 xml:space="preserve">The legal framework in the UK, which includes the Police and Criminal Evidence Act (1984) and the Criminal Procedure Rules, offers a systematic approach to investigations while protecting individuals' rights. Protocols for suspect interviews, search warrant acquisition, and searches are established to ensure investigations comply with legal standards, thereby </w:t>
      </w:r>
      <w:r w:rsidRPr="003D19A4">
        <w:rPr>
          <w:rFonts w:ascii="Calibri" w:eastAsia="Aptos" w:hAnsi="Calibri" w:cs="Calibri"/>
          <w:sz w:val="24"/>
          <w:szCs w:val="24"/>
        </w:rPr>
        <w:lastRenderedPageBreak/>
        <w:t xml:space="preserve">bolstering the process's integrity. However, challenges persist in complex investigations, such as delays in forensic analysis, resource limitations, and bureaucratic obstacles that can hinder progress, potentially resulting in case backlogs and compromised outcomes. </w:t>
      </w:r>
    </w:p>
    <w:p w14:paraId="1DFDDCAA"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The Investigation</w:t>
      </w:r>
    </w:p>
    <w:p w14:paraId="2F072FB7"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 xml:space="preserve">The investigation I was involved in was Section 18 with intent, which is defined by the Offence Against the Persons Act 1861. A serious offence can lead to a life sentence. </w:t>
      </w:r>
    </w:p>
    <w:p w14:paraId="41BE3DAC"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This involved an individual who assaulted another individual with a knife, causing severe injuries to the victim's chest area. The victim was conveyed to the hospital. The suspect was at large for a day until officers arrested the suspect later the next day.</w:t>
      </w:r>
    </w:p>
    <w:p w14:paraId="3A50C02F"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The investigation was complex as there were numerous barriers to overcome to achieve the evidence needed to locate the suspect and identify them as the person who caused harm to the victim. There were also several external partners involved in the investigation, including the ambulance service, housing, and social services.</w:t>
      </w:r>
    </w:p>
    <w:p w14:paraId="46E9969A"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Fast-track actions are often utilised in complex investigations to expedite certain aspects of the process. These may include:</w:t>
      </w:r>
    </w:p>
    <w:p w14:paraId="0A436F62"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 xml:space="preserve">Emergency Response: Implementing immediate measures to address urgent threats or risks associated with the investigation, such as securing crime scenes or protecting potential victims. This was crucial as with the offence being a stabbing, there was key forensics to be obtained so response officers immediately secured the scene. </w:t>
      </w:r>
    </w:p>
    <w:p w14:paraId="5814C97C"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 xml:space="preserve">Quick mobilisation of extra resources or specialised units in response to new information or to support vital areas of the inquiry is known as "rapid deployment of resources." Because there was a chance that the suspect would still be at the home and that any of the witnesses would turn violent, these units were armed. The forensics will be gathered by Crime Scene Investigators (CSI). ambulance assistance because of the victim's wounds. Concerning my Research: The investigation's tone is established by the first reaction to the incident. In addition to protecting the evidence and giving victims emergency medical attention, police personnel </w:t>
      </w:r>
      <w:proofErr w:type="gramStart"/>
      <w:r w:rsidRPr="003D19A4">
        <w:rPr>
          <w:rFonts w:ascii="Calibri" w:eastAsia="Aptos" w:hAnsi="Calibri" w:cs="Calibri"/>
          <w:sz w:val="24"/>
          <w:szCs w:val="24"/>
        </w:rPr>
        <w:t>have to</w:t>
      </w:r>
      <w:proofErr w:type="gramEnd"/>
      <w:r w:rsidRPr="003D19A4">
        <w:rPr>
          <w:rFonts w:ascii="Calibri" w:eastAsia="Aptos" w:hAnsi="Calibri" w:cs="Calibri"/>
          <w:sz w:val="24"/>
          <w:szCs w:val="24"/>
        </w:rPr>
        <w:t xml:space="preserve"> secure the crime scene. </w:t>
      </w:r>
    </w:p>
    <w:p w14:paraId="30826D71"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 xml:space="preserve">Processing tasks according to their importance to the investigation's progress or potential impact on public safety is known as priority processing. The current priority in the </w:t>
      </w:r>
      <w:r w:rsidRPr="003D19A4">
        <w:rPr>
          <w:rFonts w:ascii="Calibri" w:eastAsia="Aptos" w:hAnsi="Calibri" w:cs="Calibri"/>
          <w:sz w:val="24"/>
          <w:szCs w:val="24"/>
        </w:rPr>
        <w:lastRenderedPageBreak/>
        <w:t>investigation is to locate the suspect and any immediate evidence available, as well as to secure and identify key witnesses, especially in traumatic situations like stabbings. The crime scene featured a visibly injured victim, distressed witnesses, and potential forensic leads. Witnesses were evaluated on-site, and statements were obtained if appropriate. The initial report came from a witness at a house party who was under the influence of alcohol and in shock. A preliminary statement was taken, with plans for a more detailed account when the witness was in a better condition to provide accurate information. As the responding officer, I decided to record the initial statement and planned to follow up once the witness was in a more coherent state, considering the impact of shock on her recollection of events.</w:t>
      </w:r>
    </w:p>
    <w:p w14:paraId="16AD6843"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Witnesses to traumatic events often experience shock, which can impair their cognitive and emotional functions. Shock is a psychological condition that can manifest in various ways, including confusion, disorientation, emotional numbness, and memory disturbances (van der Kolk, 2014). When in shock, a witness's ability to accurately recall events can be compromised, potentially leading to incomplete or erroneous statements (Christianson, 1992).</w:t>
      </w:r>
    </w:p>
    <w:p w14:paraId="15858E83"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 xml:space="preserve">This presented a difficulty for me because shock witnesses may exhibit a range of psychological characteristics, </w:t>
      </w:r>
      <w:proofErr w:type="gramStart"/>
      <w:r w:rsidRPr="003D19A4">
        <w:rPr>
          <w:rFonts w:ascii="Calibri" w:eastAsia="Aptos" w:hAnsi="Calibri" w:cs="Calibri"/>
          <w:sz w:val="24"/>
          <w:szCs w:val="24"/>
        </w:rPr>
        <w:t>including  Distortion</w:t>
      </w:r>
      <w:proofErr w:type="gramEnd"/>
      <w:r w:rsidRPr="003D19A4">
        <w:rPr>
          <w:rFonts w:ascii="Calibri" w:eastAsia="Aptos" w:hAnsi="Calibri" w:cs="Calibri"/>
          <w:sz w:val="24"/>
          <w:szCs w:val="24"/>
        </w:rPr>
        <w:t xml:space="preserve"> of Memory: Shock can cause memory distortion, leading witnesses to either misremember events or forget important details. The term "weapon focus effect" refers to this phenomenon, in which witnesses lose sight of other important details of the incident while being fixated on a painful element—such as a weapon</w:t>
      </w:r>
      <w:proofErr w:type="gramStart"/>
      <w:r w:rsidRPr="003D19A4">
        <w:rPr>
          <w:rFonts w:ascii="Calibri" w:eastAsia="Aptos" w:hAnsi="Calibri" w:cs="Calibri"/>
          <w:sz w:val="24"/>
          <w:szCs w:val="24"/>
        </w:rPr>
        <w:t>—(</w:t>
      </w:r>
      <w:proofErr w:type="gramEnd"/>
      <w:r w:rsidRPr="003D19A4">
        <w:rPr>
          <w:rFonts w:ascii="Calibri" w:eastAsia="Aptos" w:hAnsi="Calibri" w:cs="Calibri"/>
          <w:sz w:val="24"/>
          <w:szCs w:val="24"/>
        </w:rPr>
        <w:t>Loftus, 2005). Emotional Response: A witness experiencing shock may be too emotionally charged to communicate effectively. When taking statements, they could find it difficult to express themselves effectively or they might feel overwhelmed (Fisher &amp; Geiselman, 1992). Reporting Delayed: Shocked witnesses may take longer to disclose their stories since they are unable to comprehend what happened right away. This delay can affect the timeliness and relevance of their statements (Goodman et al., 1991).</w:t>
      </w:r>
    </w:p>
    <w:p w14:paraId="3FB8E599"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 xml:space="preserve">To mitigate the impact of my witness who was in shock I would provide an Initial Assessment and Support the witness. I would give the witness some time to relax and process what happened.  Before obtaining a thorough statement from witnesses, it is frequently advantageous to give them some time to recover from their initial shock. As a result, their recall of accuracy may increase (Wagstaff et al., 2011). Building a relationship with the </w:t>
      </w:r>
      <w:r w:rsidRPr="003D19A4">
        <w:rPr>
          <w:rFonts w:ascii="Calibri" w:eastAsia="Aptos" w:hAnsi="Calibri" w:cs="Calibri"/>
          <w:sz w:val="24"/>
          <w:szCs w:val="24"/>
        </w:rPr>
        <w:lastRenderedPageBreak/>
        <w:t>witness can serve to make them feel more at ease, safe, and supported, all of which can lead to improved communication (Fisher &amp; Geiselman, 1992).</w:t>
      </w:r>
    </w:p>
    <w:p w14:paraId="334CE64A"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Obtaining witness statements from shocked witnesses poses serious investigative obstacles. These difficulties can be lessened by being aware of the psychological impacts of shock and by putting best practices—like offering prompt assistance, giving time for recuperation, and utilising cognitive interviewing techniques—to use. Ensuring the integrity and success of investigations and subsequent legal processes depends on the accuracy and dependability of witness statements. I believe that by addressing this, I have addressed any concerns a solicitor might have about the validity and dependability of the witness's testimony.</w:t>
      </w:r>
    </w:p>
    <w:p w14:paraId="282B7834"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 xml:space="preserve">It was also important at this point that I knew the services available to all witnesses at the scene to provide the required support and take statements. Upon arrival at the scene, numerous agencies would be involved in the investigation, such as the fire brigade, forensics, ambulance service, and police. Effective multi-agency collaboration is a cornerstone of successful complex investigations. Agencies such as the National Crime Agency (NCA), regional police forces, and specialised units work together to pool resources, expertise, and intelligence (Dixon et al., 2020). </w:t>
      </w:r>
    </w:p>
    <w:p w14:paraId="26AF3C22"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 xml:space="preserve">The roles that support plays for victims, witnesses, and offenders in the criminal justice system call for different kinds of help during the investigation. Victim support services, like Victim Support UK, help those impacted by crime navigate the complexity of the criminal justice system by providing them with information, practical help, and emotional support (Victim Support, 2024). In addition, programs such as the Victim Personal Statement (VPS) allow victims to express how the crime has affected their lives, allowing them to take part in court cases and defend their rights (GOV.UK, 2024). The VPS was an important part of the investigation, however, the victim, despite attempts to emphasise the importance of it, the victim refused to give one. This may have had more impact in the courts had he given one. </w:t>
      </w:r>
    </w:p>
    <w:p w14:paraId="2BA2A4A4"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 xml:space="preserve">Similarly, witnesses are supported to enhance their cooperation with law enforcement agencies. Witness Care Units (WCUs) in the UK assist witnesses by providing information about court procedures, arranging pre-trial visits, and offering emotional support during the trial process (CPS, 2024). These initiatives aim to alleviate the stress and anxiety often </w:t>
      </w:r>
      <w:r w:rsidRPr="003D19A4">
        <w:rPr>
          <w:rFonts w:ascii="Calibri" w:eastAsia="Aptos" w:hAnsi="Calibri" w:cs="Calibri"/>
          <w:sz w:val="24"/>
          <w:szCs w:val="24"/>
        </w:rPr>
        <w:lastRenderedPageBreak/>
        <w:t>experienced by witnesses, thereby increasing their willingness to testify and contribute to the investigation (HM Courts &amp; Tribunals Service, 2024).</w:t>
      </w:r>
    </w:p>
    <w:p w14:paraId="1992FB93"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CCTV Opportunities</w:t>
      </w:r>
    </w:p>
    <w:p w14:paraId="36CA01A2"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Through the provision of vital visual evidence, the improvement of situational awareness, and the facilitation of suspect identification and apprehension, CCTV plays a critical role in supporting intricate police investigations. Due to its extensive use in public locations, businesses, and residential areas, it provides thorough coverage capable of capturing all phases of criminal activity, including planning, executing, and fleeing (Cerezo et al., 2019).</w:t>
      </w:r>
    </w:p>
    <w:p w14:paraId="7EAD6569"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In the investigation, the pivotal piece of media evidence was captured by a Ring doorbell, which recorded the suspect discussing the incident with the reporting person. This footage was critical to the case's resolution. In the UK, Ring doorbell footage is increasingly becoming an essential tool for police investigations. Its ability to record images of potential suspects, vehicles, or illicit activities is invaluable, as it aids law enforcement in tracking down offenders and compiling evidence (Hayward, 2021).</w:t>
      </w:r>
    </w:p>
    <w:p w14:paraId="5D186ADF"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In recent years, there have been numerous instances where Ring doorbell footage has played a significant role in solving crimes. For example, these cameras have captured images of suspects entering or leaving residences during burglaries, providing detectives with crucial leads (Clarke, 2019). Similarly, Ring doorbell footage has helped law enforcement identify and apprehend offenders involved in package theft and vandalism (McGuire, 2020).</w:t>
      </w:r>
    </w:p>
    <w:p w14:paraId="0CC8E56D"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Furthermore, Ring doorbell footage offers valuable timestamps, enabling investigators to establish timelines of events and corroborate witness statements. This capability is particularly useful in cases where the precise timing of an incident is critical for determining guilt or innocence (Levine, 2020). For instance, in cases of grievous bodily harm (GBH) or other serious offences, having a clear, time-stamped video can significantly strengthen the prosecution's case (Smith, 2022).</w:t>
      </w:r>
    </w:p>
    <w:p w14:paraId="1216361B"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The use of Ring doorbells and similar surveillance technology underscores the importance of integrating modern technology into traditional policing methods. This combination enhances the efficiency and accuracy of investigations, leading to higher conviction rates and improved public safety (Williams, 2021).</w:t>
      </w:r>
    </w:p>
    <w:p w14:paraId="7926636D"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lastRenderedPageBreak/>
        <w:t>The Ring doorbell footage provided us with the suspect's name, identity, a visual, and a confession on the footage of the stabbing, as well as a visual of the weapon used. The time of the incident and the time at which the suspect left the scene were also recorded.</w:t>
      </w:r>
    </w:p>
    <w:p w14:paraId="50C14096"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The suspect was named and then interviewed, providing a "no comment" interview. Suspects under legal advice frequently employ this strategy to prevent self-incrimination. When assessing the use of "no comment" interviews, one must take legal rights, ethical issues, and the investigation process into account. However, this was expected given the evidence we had regarding the injuries and the CCTV footage from the Ring doorbell.</w:t>
      </w:r>
    </w:p>
    <w:p w14:paraId="20D79B3A"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 xml:space="preserve">Then, based on my experience working with victims and offenders, I had to offer the necessary relative support. Sustaining faith in the legal system and guaranteeing equitable treatment necessitates assisting victims, witnesses, and perpetrators. The assistance I needed to think about was as follows: Giving victims access to services, keeping them informed about the status of the inquiry, and offering emotional support are all part of victim care. Referrals to victim support organisations can help them heal and make it easier for them to interact with the court system (Victim Support, 2024). </w:t>
      </w:r>
    </w:p>
    <w:p w14:paraId="0A6AC6A8"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Conclusion</w:t>
      </w:r>
    </w:p>
    <w:p w14:paraId="3D53D28E"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In the UK, police investigations involve complex processes of acquiring evidence, conducting forensic analysis, and adhering to legal procedures. While technology has enhanced investigative effectiveness, challenges in resource allocation and adapting to evolving crime patterns persist. A fair and efficient criminal justice system relies heavily on support services for victims, witnesses, and offenders (Home Office, 2020). To address these challenges, it is crucial to streamline investigative processes, enhance inter-agency collaboration, and prioritize victim-centric approaches (</w:t>
      </w:r>
      <w:proofErr w:type="spellStart"/>
      <w:r w:rsidRPr="003D19A4">
        <w:rPr>
          <w:rFonts w:ascii="Calibri" w:eastAsia="Aptos" w:hAnsi="Calibri" w:cs="Calibri"/>
          <w:sz w:val="24"/>
          <w:szCs w:val="24"/>
        </w:rPr>
        <w:t>Cockbain</w:t>
      </w:r>
      <w:proofErr w:type="spellEnd"/>
      <w:r w:rsidRPr="003D19A4">
        <w:rPr>
          <w:rFonts w:ascii="Calibri" w:eastAsia="Aptos" w:hAnsi="Calibri" w:cs="Calibri"/>
          <w:sz w:val="24"/>
          <w:szCs w:val="24"/>
        </w:rPr>
        <w:t>, 2013). Additionally, ongoing investment in support services, coupled with a focus on rehabilitation and reintegration, can improve the overall effectiveness and fairness of the UK's policing and criminal justice framework (Ministry of Justice, 2021).</w:t>
      </w:r>
    </w:p>
    <w:p w14:paraId="53C15BEA"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 xml:space="preserve">In a recent investigation, modern technology, such as Ring doorbell footage, facilitated the swift identification of the perpetrator. Witness accounts aided the Police Tactical Search Team (TST) in locating the weapon used in the crime later that morning. Despite some witnesses' reluctance to come forward due to safety concerns, the irrefutable CCTV evidence </w:t>
      </w:r>
      <w:r w:rsidRPr="003D19A4">
        <w:rPr>
          <w:rFonts w:ascii="Calibri" w:eastAsia="Aptos" w:hAnsi="Calibri" w:cs="Calibri"/>
          <w:sz w:val="24"/>
          <w:szCs w:val="24"/>
        </w:rPr>
        <w:lastRenderedPageBreak/>
        <w:t>played a critical role. The defendant, despite providing a "no comment" interview, pleaded guilty and has since been sentenced to a custodial term.</w:t>
      </w:r>
    </w:p>
    <w:p w14:paraId="3BF0010A" w14:textId="77777777" w:rsidR="003D19A4" w:rsidRPr="003D19A4" w:rsidRDefault="003D19A4" w:rsidP="003D19A4">
      <w:pPr>
        <w:spacing w:line="360" w:lineRule="auto"/>
        <w:rPr>
          <w:rFonts w:ascii="Calibri" w:eastAsia="Aptos" w:hAnsi="Calibri" w:cs="Calibri"/>
          <w:sz w:val="24"/>
          <w:szCs w:val="24"/>
        </w:rPr>
      </w:pPr>
    </w:p>
    <w:p w14:paraId="0164BF18"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Word count - 2240</w:t>
      </w:r>
    </w:p>
    <w:p w14:paraId="1103A2C2" w14:textId="77777777" w:rsidR="003D19A4" w:rsidRPr="003D19A4" w:rsidRDefault="003D19A4" w:rsidP="003D19A4">
      <w:pPr>
        <w:spacing w:line="360" w:lineRule="auto"/>
        <w:rPr>
          <w:rFonts w:ascii="Calibri" w:eastAsia="Aptos" w:hAnsi="Calibri" w:cs="Calibri"/>
          <w:sz w:val="24"/>
          <w:szCs w:val="24"/>
        </w:rPr>
      </w:pPr>
    </w:p>
    <w:p w14:paraId="5387B84E" w14:textId="77777777" w:rsidR="003D19A4" w:rsidRPr="003D19A4" w:rsidRDefault="003D19A4" w:rsidP="003D19A4">
      <w:pPr>
        <w:spacing w:line="360" w:lineRule="auto"/>
        <w:rPr>
          <w:rFonts w:ascii="Calibri" w:eastAsia="Aptos" w:hAnsi="Calibri" w:cs="Calibri"/>
          <w:sz w:val="24"/>
          <w:szCs w:val="24"/>
        </w:rPr>
      </w:pPr>
    </w:p>
    <w:p w14:paraId="18B666C9" w14:textId="77777777" w:rsidR="003D19A4" w:rsidRPr="003D19A4" w:rsidRDefault="003D19A4" w:rsidP="003D19A4">
      <w:pPr>
        <w:spacing w:line="360" w:lineRule="auto"/>
        <w:rPr>
          <w:rFonts w:ascii="Calibri" w:eastAsia="Aptos" w:hAnsi="Calibri" w:cs="Calibri"/>
          <w:sz w:val="24"/>
          <w:szCs w:val="24"/>
        </w:rPr>
      </w:pPr>
    </w:p>
    <w:p w14:paraId="2891F21B" w14:textId="77777777" w:rsidR="003D19A4" w:rsidRPr="003D19A4" w:rsidRDefault="003D19A4" w:rsidP="003D19A4">
      <w:pPr>
        <w:spacing w:line="360" w:lineRule="auto"/>
        <w:rPr>
          <w:rFonts w:ascii="Calibri" w:eastAsia="Aptos" w:hAnsi="Calibri" w:cs="Calibri"/>
          <w:sz w:val="24"/>
          <w:szCs w:val="24"/>
        </w:rPr>
      </w:pPr>
    </w:p>
    <w:p w14:paraId="0201BB6C" w14:textId="77777777" w:rsidR="003D19A4" w:rsidRPr="003D19A4" w:rsidRDefault="003D19A4" w:rsidP="003D19A4">
      <w:pPr>
        <w:spacing w:line="360" w:lineRule="auto"/>
        <w:rPr>
          <w:rFonts w:ascii="Calibri" w:eastAsia="Aptos" w:hAnsi="Calibri" w:cs="Calibri"/>
          <w:sz w:val="24"/>
          <w:szCs w:val="24"/>
        </w:rPr>
      </w:pPr>
    </w:p>
    <w:p w14:paraId="177FC7E6" w14:textId="77777777" w:rsidR="003D19A4" w:rsidRPr="003D19A4" w:rsidRDefault="003D19A4" w:rsidP="003D19A4">
      <w:pPr>
        <w:spacing w:line="360" w:lineRule="auto"/>
        <w:rPr>
          <w:rFonts w:ascii="Calibri" w:eastAsia="Aptos" w:hAnsi="Calibri" w:cs="Calibri"/>
          <w:sz w:val="24"/>
          <w:szCs w:val="24"/>
        </w:rPr>
      </w:pPr>
    </w:p>
    <w:p w14:paraId="1C2475BC" w14:textId="77777777" w:rsidR="003D19A4" w:rsidRPr="003D19A4" w:rsidRDefault="003D19A4" w:rsidP="003D19A4">
      <w:pPr>
        <w:spacing w:line="360" w:lineRule="auto"/>
        <w:rPr>
          <w:rFonts w:ascii="Calibri" w:eastAsia="Aptos" w:hAnsi="Calibri" w:cs="Calibri"/>
          <w:sz w:val="24"/>
          <w:szCs w:val="24"/>
        </w:rPr>
      </w:pPr>
    </w:p>
    <w:p w14:paraId="3DC57A19" w14:textId="77777777" w:rsidR="003D19A4" w:rsidRPr="003D19A4" w:rsidRDefault="003D19A4" w:rsidP="003D19A4">
      <w:pPr>
        <w:spacing w:line="360" w:lineRule="auto"/>
        <w:rPr>
          <w:rFonts w:ascii="Calibri" w:eastAsia="Aptos" w:hAnsi="Calibri" w:cs="Calibri"/>
          <w:sz w:val="24"/>
          <w:szCs w:val="24"/>
        </w:rPr>
      </w:pPr>
    </w:p>
    <w:p w14:paraId="5BE9F1E3" w14:textId="77777777" w:rsidR="003D19A4" w:rsidRPr="003D19A4" w:rsidRDefault="003D19A4" w:rsidP="003D19A4">
      <w:pPr>
        <w:spacing w:line="360" w:lineRule="auto"/>
        <w:rPr>
          <w:rFonts w:ascii="Calibri" w:eastAsia="Aptos" w:hAnsi="Calibri" w:cs="Calibri"/>
          <w:sz w:val="24"/>
          <w:szCs w:val="24"/>
        </w:rPr>
      </w:pPr>
    </w:p>
    <w:p w14:paraId="38F18561" w14:textId="77777777" w:rsidR="003D19A4" w:rsidRPr="003D19A4" w:rsidRDefault="003D19A4" w:rsidP="003D19A4">
      <w:pPr>
        <w:spacing w:line="360" w:lineRule="auto"/>
        <w:rPr>
          <w:rFonts w:ascii="Calibri" w:eastAsia="Aptos" w:hAnsi="Calibri" w:cs="Calibri"/>
          <w:sz w:val="24"/>
          <w:szCs w:val="24"/>
        </w:rPr>
      </w:pPr>
    </w:p>
    <w:p w14:paraId="2496B401" w14:textId="77777777" w:rsidR="003D19A4" w:rsidRPr="003D19A4" w:rsidRDefault="003D19A4" w:rsidP="003D19A4">
      <w:pPr>
        <w:spacing w:line="360" w:lineRule="auto"/>
        <w:rPr>
          <w:rFonts w:ascii="Calibri" w:eastAsia="Aptos" w:hAnsi="Calibri" w:cs="Calibri"/>
          <w:b/>
          <w:bCs/>
          <w:sz w:val="24"/>
          <w:szCs w:val="24"/>
        </w:rPr>
      </w:pPr>
    </w:p>
    <w:p w14:paraId="44845511" w14:textId="77777777" w:rsidR="003D19A4" w:rsidRPr="003D19A4" w:rsidRDefault="003D19A4" w:rsidP="003D19A4">
      <w:pPr>
        <w:spacing w:line="360" w:lineRule="auto"/>
        <w:rPr>
          <w:rFonts w:ascii="Calibri" w:eastAsia="Aptos" w:hAnsi="Calibri" w:cs="Calibri"/>
          <w:b/>
          <w:bCs/>
          <w:sz w:val="24"/>
          <w:szCs w:val="24"/>
        </w:rPr>
      </w:pPr>
    </w:p>
    <w:p w14:paraId="23C04AB0" w14:textId="77777777" w:rsidR="003D19A4" w:rsidRPr="003D19A4" w:rsidRDefault="003D19A4" w:rsidP="003D19A4">
      <w:pPr>
        <w:spacing w:line="360" w:lineRule="auto"/>
        <w:rPr>
          <w:rFonts w:ascii="Calibri" w:eastAsia="Aptos" w:hAnsi="Calibri" w:cs="Calibri"/>
          <w:b/>
          <w:bCs/>
          <w:sz w:val="24"/>
          <w:szCs w:val="24"/>
        </w:rPr>
      </w:pPr>
    </w:p>
    <w:p w14:paraId="22FE0FCA" w14:textId="77777777" w:rsidR="003D19A4" w:rsidRPr="003D19A4" w:rsidRDefault="003D19A4" w:rsidP="003D19A4">
      <w:pPr>
        <w:spacing w:line="360" w:lineRule="auto"/>
        <w:rPr>
          <w:rFonts w:ascii="Calibri" w:eastAsia="Aptos" w:hAnsi="Calibri" w:cs="Calibri"/>
          <w:b/>
          <w:bCs/>
          <w:sz w:val="24"/>
          <w:szCs w:val="24"/>
        </w:rPr>
      </w:pPr>
    </w:p>
    <w:p w14:paraId="07B087A9" w14:textId="77777777" w:rsidR="003D19A4" w:rsidRPr="003D19A4" w:rsidRDefault="003D19A4" w:rsidP="003D19A4">
      <w:pPr>
        <w:spacing w:line="360" w:lineRule="auto"/>
        <w:rPr>
          <w:rFonts w:ascii="Calibri" w:eastAsia="Aptos" w:hAnsi="Calibri" w:cs="Calibri"/>
          <w:b/>
          <w:bCs/>
          <w:sz w:val="24"/>
          <w:szCs w:val="24"/>
        </w:rPr>
      </w:pPr>
    </w:p>
    <w:p w14:paraId="1A51189E" w14:textId="77777777" w:rsidR="003D19A4" w:rsidRPr="003D19A4" w:rsidRDefault="003D19A4" w:rsidP="003D19A4">
      <w:pPr>
        <w:spacing w:line="360" w:lineRule="auto"/>
        <w:rPr>
          <w:rFonts w:ascii="Calibri" w:eastAsia="Aptos" w:hAnsi="Calibri" w:cs="Calibri"/>
          <w:b/>
          <w:bCs/>
          <w:sz w:val="24"/>
          <w:szCs w:val="24"/>
        </w:rPr>
      </w:pPr>
    </w:p>
    <w:p w14:paraId="342A1E0C" w14:textId="77777777" w:rsidR="003D19A4" w:rsidRPr="003D19A4" w:rsidRDefault="003D19A4" w:rsidP="003D19A4">
      <w:pPr>
        <w:spacing w:line="360" w:lineRule="auto"/>
        <w:rPr>
          <w:rFonts w:ascii="Calibri" w:eastAsia="Aptos" w:hAnsi="Calibri" w:cs="Calibri"/>
          <w:b/>
          <w:bCs/>
          <w:sz w:val="24"/>
          <w:szCs w:val="24"/>
        </w:rPr>
      </w:pPr>
    </w:p>
    <w:p w14:paraId="4ECF721F" w14:textId="77777777" w:rsidR="003D19A4" w:rsidRPr="003D19A4" w:rsidRDefault="003D19A4" w:rsidP="003D19A4">
      <w:pPr>
        <w:spacing w:line="360" w:lineRule="auto"/>
        <w:rPr>
          <w:rFonts w:ascii="Calibri" w:eastAsia="Aptos" w:hAnsi="Calibri" w:cs="Calibri"/>
          <w:b/>
          <w:bCs/>
          <w:sz w:val="24"/>
          <w:szCs w:val="24"/>
        </w:rPr>
      </w:pPr>
    </w:p>
    <w:p w14:paraId="0759FF35" w14:textId="77777777" w:rsidR="003D19A4" w:rsidRPr="003D19A4" w:rsidRDefault="003D19A4" w:rsidP="003D19A4">
      <w:pPr>
        <w:spacing w:line="360" w:lineRule="auto"/>
        <w:rPr>
          <w:rFonts w:ascii="Calibri" w:eastAsia="Aptos" w:hAnsi="Calibri" w:cs="Calibri"/>
          <w:b/>
          <w:bCs/>
          <w:sz w:val="24"/>
          <w:szCs w:val="24"/>
        </w:rPr>
      </w:pPr>
    </w:p>
    <w:p w14:paraId="22A055F8" w14:textId="77777777" w:rsidR="003D19A4" w:rsidRPr="003D19A4" w:rsidRDefault="003D19A4" w:rsidP="003D19A4">
      <w:pPr>
        <w:spacing w:line="360" w:lineRule="auto"/>
        <w:rPr>
          <w:rFonts w:ascii="Calibri" w:eastAsia="Aptos" w:hAnsi="Calibri" w:cs="Calibri"/>
          <w:b/>
          <w:bCs/>
          <w:sz w:val="24"/>
          <w:szCs w:val="24"/>
        </w:rPr>
      </w:pPr>
    </w:p>
    <w:p w14:paraId="2F4CCF02" w14:textId="77777777" w:rsidR="003D19A4" w:rsidRPr="003D19A4" w:rsidRDefault="003D19A4" w:rsidP="003D19A4">
      <w:pPr>
        <w:spacing w:line="360" w:lineRule="auto"/>
        <w:rPr>
          <w:rFonts w:ascii="Calibri" w:eastAsia="Aptos" w:hAnsi="Calibri" w:cs="Calibri"/>
          <w:b/>
          <w:bCs/>
          <w:sz w:val="24"/>
          <w:szCs w:val="24"/>
        </w:rPr>
      </w:pPr>
      <w:r w:rsidRPr="003D19A4">
        <w:rPr>
          <w:rFonts w:ascii="Calibri" w:eastAsia="Aptos" w:hAnsi="Calibri" w:cs="Calibri"/>
          <w:b/>
          <w:bCs/>
          <w:sz w:val="24"/>
          <w:szCs w:val="24"/>
        </w:rPr>
        <w:lastRenderedPageBreak/>
        <w:t>BIBLIOGRAPHY</w:t>
      </w:r>
    </w:p>
    <w:p w14:paraId="30AE40EA"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Chamberlain, J., Bacon, M., &amp; Sanders, T. (2018). Multi-agency working and information sharing in criminal justice. British Journal of Criminology, 58(1), 1-18.</w:t>
      </w:r>
      <w:r w:rsidRPr="003D19A4">
        <w:rPr>
          <w:rFonts w:ascii="Aptos" w:eastAsia="Aptos" w:hAnsi="Aptos" w:cs="Times New Roman"/>
          <w:sz w:val="24"/>
          <w:szCs w:val="24"/>
        </w:rPr>
        <w:t xml:space="preserve"> </w:t>
      </w:r>
      <w:r w:rsidRPr="003D19A4">
        <w:rPr>
          <w:rFonts w:ascii="Calibri" w:eastAsia="Aptos" w:hAnsi="Calibri" w:cs="Calibri"/>
          <w:sz w:val="24"/>
          <w:szCs w:val="24"/>
        </w:rPr>
        <w:t>(Accessed: 20 May 2024).</w:t>
      </w:r>
    </w:p>
    <w:p w14:paraId="27FD2BE6"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Christianson, S. A. (1992). Emotional stress and eyewitness memory: A critical review. Psychological Bulletin, 112(2), 284-309.</w:t>
      </w:r>
      <w:r w:rsidRPr="003D19A4">
        <w:rPr>
          <w:rFonts w:ascii="Aptos" w:eastAsia="Aptos" w:hAnsi="Aptos" w:cs="Times New Roman"/>
          <w:sz w:val="24"/>
          <w:szCs w:val="24"/>
        </w:rPr>
        <w:t xml:space="preserve"> </w:t>
      </w:r>
      <w:r w:rsidRPr="003D19A4">
        <w:rPr>
          <w:rFonts w:ascii="Calibri" w:eastAsia="Aptos" w:hAnsi="Calibri" w:cs="Calibri"/>
          <w:sz w:val="24"/>
          <w:szCs w:val="24"/>
        </w:rPr>
        <w:t>(Accessed: 20 May 2024).</w:t>
      </w:r>
    </w:p>
    <w:p w14:paraId="3689D6B2"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Clarke, R. V. (2019). Situational Crime Prevention. Criminal Justice Press. (Accessed: 11 May 2024).</w:t>
      </w:r>
    </w:p>
    <w:p w14:paraId="60FE30B8"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College of Policing (2021) 'Vulnerability-related risk'. Available at: https://www.college.police.uk (Accessed: 20 May 2024).</w:t>
      </w:r>
    </w:p>
    <w:p w14:paraId="129FFCAE" w14:textId="77777777" w:rsidR="003D19A4" w:rsidRPr="003D19A4" w:rsidRDefault="003D19A4" w:rsidP="003D19A4">
      <w:pPr>
        <w:spacing w:line="360" w:lineRule="auto"/>
        <w:rPr>
          <w:rFonts w:ascii="Calibri" w:eastAsia="Aptos" w:hAnsi="Calibri" w:cs="Calibri"/>
          <w:sz w:val="24"/>
          <w:szCs w:val="24"/>
        </w:rPr>
      </w:pPr>
      <w:proofErr w:type="spellStart"/>
      <w:r w:rsidRPr="003D19A4">
        <w:rPr>
          <w:rFonts w:ascii="Calibri" w:eastAsia="Aptos" w:hAnsi="Calibri" w:cs="Calibri"/>
          <w:sz w:val="24"/>
          <w:szCs w:val="24"/>
        </w:rPr>
        <w:t>Cockbain</w:t>
      </w:r>
      <w:proofErr w:type="spellEnd"/>
      <w:r w:rsidRPr="003D19A4">
        <w:rPr>
          <w:rFonts w:ascii="Calibri" w:eastAsia="Aptos" w:hAnsi="Calibri" w:cs="Calibri"/>
          <w:sz w:val="24"/>
          <w:szCs w:val="24"/>
        </w:rPr>
        <w:t>, E. (2013). Grooming and the sex trafficking of children: Young people’s experiences in the UK’s private care system. Routledge.</w:t>
      </w:r>
      <w:r w:rsidRPr="003D19A4">
        <w:rPr>
          <w:rFonts w:ascii="Aptos" w:eastAsia="Aptos" w:hAnsi="Aptos" w:cs="Times New Roman"/>
          <w:sz w:val="24"/>
          <w:szCs w:val="24"/>
        </w:rPr>
        <w:t xml:space="preserve"> </w:t>
      </w:r>
      <w:r w:rsidRPr="003D19A4">
        <w:rPr>
          <w:rFonts w:ascii="Calibri" w:eastAsia="Aptos" w:hAnsi="Calibri" w:cs="Calibri"/>
          <w:sz w:val="24"/>
          <w:szCs w:val="24"/>
        </w:rPr>
        <w:t>(Accessed: 17 May 2024).</w:t>
      </w:r>
    </w:p>
    <w:p w14:paraId="1EAD6007"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Cerezo, M., Calderon, A., &amp; Pastor, D. (2019). The role of CCTV in supporting police investigations. European Journal on Criminal Policy and Research, 25(4), 413-433. (Accessed: 11 May 2024).</w:t>
      </w:r>
    </w:p>
    <w:p w14:paraId="7C49A496"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Department of Health and Social Care (2014) Care Act 2014. Available at: https://www.legislation.gov.uk/ukpga/2014/23/contents/enacted (Accessed: 22 May 2024).</w:t>
      </w:r>
    </w:p>
    <w:p w14:paraId="303C099A"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Dixon, L., Perkins, C., &amp; Hamilton, M. (2020). Collaborative policing practices in the UK. Journal of Policing, 3(2), 77-93.</w:t>
      </w:r>
      <w:r w:rsidRPr="003D19A4">
        <w:rPr>
          <w:rFonts w:ascii="Aptos" w:eastAsia="Aptos" w:hAnsi="Aptos" w:cs="Times New Roman"/>
          <w:sz w:val="24"/>
          <w:szCs w:val="24"/>
        </w:rPr>
        <w:t xml:space="preserve"> </w:t>
      </w:r>
      <w:r w:rsidRPr="003D19A4">
        <w:rPr>
          <w:rFonts w:ascii="Calibri" w:eastAsia="Aptos" w:hAnsi="Calibri" w:cs="Calibri"/>
          <w:sz w:val="24"/>
          <w:szCs w:val="24"/>
        </w:rPr>
        <w:t>(Accessed: 17 May 2024).</w:t>
      </w:r>
    </w:p>
    <w:p w14:paraId="0A491D35"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Farrell, G. and Pease, K. (2007) 'Repeat victimization', Crime Prevention Studies, 12, pp. 1-20. (Accessed: 20 May 2024).</w:t>
      </w:r>
    </w:p>
    <w:p w14:paraId="31F23FF0"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Fisher, R. P., &amp; Geiselman, R. E. (1992). Memory-enhancing techniques for investigative interviewing: The cognitive interview. Charles C Thomas Publisher. (Accessed: 11 May 2024).</w:t>
      </w:r>
    </w:p>
    <w:p w14:paraId="358BB12E"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Gibbs, G. (1988) Learning by Doing: A Guide to Teaching and Learning Methods. Oxford: Further Education Unit, Oxford Polytechnic. (Accessed: 20 May 2024).</w:t>
      </w:r>
    </w:p>
    <w:p w14:paraId="4B190721"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 xml:space="preserve">Goodman, G. S., Hirschman, J. E., </w:t>
      </w:r>
      <w:proofErr w:type="spellStart"/>
      <w:r w:rsidRPr="003D19A4">
        <w:rPr>
          <w:rFonts w:ascii="Calibri" w:eastAsia="Aptos" w:hAnsi="Calibri" w:cs="Calibri"/>
          <w:sz w:val="24"/>
          <w:szCs w:val="24"/>
        </w:rPr>
        <w:t>Hepps</w:t>
      </w:r>
      <w:proofErr w:type="spellEnd"/>
      <w:r w:rsidRPr="003D19A4">
        <w:rPr>
          <w:rFonts w:ascii="Calibri" w:eastAsia="Aptos" w:hAnsi="Calibri" w:cs="Calibri"/>
          <w:sz w:val="24"/>
          <w:szCs w:val="24"/>
        </w:rPr>
        <w:t>, D., &amp; Rudy, L. (1991). Children's memory for stressful events. Merrill-Palmer Quarterly, 37(1), 109-157.</w:t>
      </w:r>
      <w:r w:rsidRPr="003D19A4">
        <w:rPr>
          <w:rFonts w:ascii="Aptos" w:eastAsia="Aptos" w:hAnsi="Aptos" w:cs="Times New Roman"/>
          <w:sz w:val="24"/>
          <w:szCs w:val="24"/>
        </w:rPr>
        <w:t xml:space="preserve"> </w:t>
      </w:r>
      <w:bookmarkStart w:id="1" w:name="_Hlk167273966"/>
      <w:r w:rsidRPr="003D19A4">
        <w:rPr>
          <w:rFonts w:ascii="Calibri" w:eastAsia="Aptos" w:hAnsi="Calibri" w:cs="Calibri"/>
          <w:sz w:val="24"/>
          <w:szCs w:val="24"/>
        </w:rPr>
        <w:t>(Accessed: 19 May 2024).</w:t>
      </w:r>
      <w:bookmarkEnd w:id="1"/>
    </w:p>
    <w:p w14:paraId="1A335987"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lastRenderedPageBreak/>
        <w:t>GOV.UK (2020) Code of Practice for Victims of Crime. Available at: https://www.gov.uk/government/publications/the-code-of-practice-for-victims-of-crime (Accessed: 22 May 2024).</w:t>
      </w:r>
    </w:p>
    <w:p w14:paraId="3EFE5008"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GOV.UK (2024) 'Victim Personal Statement'. Available at: https://www.gov.uk (Accessed: 22 May 2024).</w:t>
      </w:r>
    </w:p>
    <w:p w14:paraId="3D512164"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Hayward, K. (2021). Policing the Future: Technology and Law Enforcement in the 21st Century. Palgrave Macmillan.</w:t>
      </w:r>
      <w:r w:rsidRPr="003D19A4">
        <w:rPr>
          <w:rFonts w:ascii="Aptos" w:eastAsia="Aptos" w:hAnsi="Aptos" w:cs="Times New Roman"/>
          <w:sz w:val="24"/>
          <w:szCs w:val="24"/>
        </w:rPr>
        <w:t xml:space="preserve"> </w:t>
      </w:r>
      <w:r w:rsidRPr="003D19A4">
        <w:rPr>
          <w:rFonts w:ascii="Calibri" w:eastAsia="Aptos" w:hAnsi="Calibri" w:cs="Calibri"/>
          <w:sz w:val="24"/>
          <w:szCs w:val="24"/>
        </w:rPr>
        <w:t>(Accessed: 19 May 2024).</w:t>
      </w:r>
    </w:p>
    <w:p w14:paraId="6C7AD50A"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Her Majesty's Inspectorate of Constabulary and Fire &amp; Rescue Services (HMICFRS) (2020) 'State of Policing: The Annual Assessment of Policing in England and Wales 2020'. Available at: https://www.justiceinspectorates.gov.uk/hmicfrs (Accessed: 22 May 2024).</w:t>
      </w:r>
    </w:p>
    <w:p w14:paraId="3F4BC70F"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HM Courts &amp; Tribunals Service (2024) 'Witness support'. Available at: https://www.gov.uk (Accessed: 22 May 2024).</w:t>
      </w:r>
    </w:p>
    <w:p w14:paraId="59206FFA"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Home Office. (2020). Crime outcomes in England and Wales. Retrieved from https://www.gov.uk/government/statistics/crime-outcomes-in-england-and-wales-2020(Accessed: 19 May 2024).</w:t>
      </w:r>
    </w:p>
    <w:p w14:paraId="4C74A861"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Johnson, S. D. (2008) 'Repeat burglary victimisation: A tale of two theories', Journal of Experimental Criminology, 4(3), pp. 215-240. (Accessed: 20 May 2024).</w:t>
      </w:r>
    </w:p>
    <w:p w14:paraId="326C73EC"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Keay, S. and Kirby, S. (2018) 'Defining and understanding vulnerability: From the perspective of policing', Policing: A Journal of Policy and Practice, 12(3), pp. 241-251.</w:t>
      </w:r>
    </w:p>
    <w:p w14:paraId="05A7E0AE"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Legislation.gov.uk (1968) Theft Act 1968. Available at: https://www.legislation.gov.uk/ukpga/1968/60/section/8 (Accessed: 22 May 2024).</w:t>
      </w:r>
    </w:p>
    <w:p w14:paraId="146332AE"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Levine, M. (2020). Technology and Policing: The Case of CCTV Surveillance in the UK. Taylor &amp; Francis.</w:t>
      </w:r>
      <w:r w:rsidRPr="003D19A4">
        <w:rPr>
          <w:rFonts w:ascii="Aptos" w:eastAsia="Aptos" w:hAnsi="Aptos" w:cs="Times New Roman"/>
          <w:sz w:val="24"/>
          <w:szCs w:val="24"/>
        </w:rPr>
        <w:t xml:space="preserve"> </w:t>
      </w:r>
      <w:r w:rsidRPr="003D19A4">
        <w:rPr>
          <w:rFonts w:ascii="Calibri" w:eastAsia="Aptos" w:hAnsi="Calibri" w:cs="Calibri"/>
          <w:sz w:val="24"/>
          <w:szCs w:val="24"/>
        </w:rPr>
        <w:t>(Accessed: 19 May 2024).</w:t>
      </w:r>
    </w:p>
    <w:p w14:paraId="3C9BEAEB"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Loftus, E. F. (2005). Eyewitness testimony. Harvard University Press.</w:t>
      </w:r>
      <w:r w:rsidRPr="003D19A4">
        <w:rPr>
          <w:rFonts w:ascii="Aptos" w:eastAsia="Aptos" w:hAnsi="Aptos" w:cs="Times New Roman"/>
          <w:sz w:val="24"/>
          <w:szCs w:val="24"/>
        </w:rPr>
        <w:t xml:space="preserve"> </w:t>
      </w:r>
      <w:r w:rsidRPr="003D19A4">
        <w:rPr>
          <w:rFonts w:ascii="Calibri" w:eastAsia="Aptos" w:hAnsi="Calibri" w:cs="Calibri"/>
          <w:sz w:val="24"/>
          <w:szCs w:val="24"/>
        </w:rPr>
        <w:t>(Accessed: 19 May 2024).</w:t>
      </w:r>
    </w:p>
    <w:p w14:paraId="44900B91"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McGuire, M. (2020). Policing and surveillance: Surveillance technologies and the new police practices. Sage.</w:t>
      </w:r>
      <w:r w:rsidRPr="003D19A4">
        <w:rPr>
          <w:rFonts w:ascii="Aptos" w:eastAsia="Aptos" w:hAnsi="Aptos" w:cs="Times New Roman"/>
          <w:sz w:val="24"/>
          <w:szCs w:val="24"/>
        </w:rPr>
        <w:t xml:space="preserve"> </w:t>
      </w:r>
      <w:r w:rsidRPr="003D19A4">
        <w:rPr>
          <w:rFonts w:ascii="Calibri" w:eastAsia="Aptos" w:hAnsi="Calibri" w:cs="Calibri"/>
          <w:sz w:val="24"/>
          <w:szCs w:val="24"/>
        </w:rPr>
        <w:t>(Accessed: 19 May 2024).</w:t>
      </w:r>
    </w:p>
    <w:p w14:paraId="65189D7A"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lastRenderedPageBreak/>
        <w:t>Ministry of Justice (2011) 'Achieving Best Evidence in Criminal Proceedings: Guidance on interviewing victims and witnesses, and guidance on using special measures'. Available at: https://www.justice.gov.uk/guidance/achieving-best-evidence.htm (Accessed: 22 May 2024).</w:t>
      </w:r>
    </w:p>
    <w:p w14:paraId="7C5E4F6C"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Ministry of Justice. (2021). The impact of technology on the criminal justice system. Retrieved from https://www.gov.uk/government/publications/impact-of-technology-on-the-criminal-justice-system(Accessed: 11 May 2024).</w:t>
      </w:r>
    </w:p>
    <w:p w14:paraId="4919D6F9"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Ministry of Justice (2020) The Victims' Code. Available at: https://www.gov.uk/government/publications/the-code-of-practice-for-victims-of-crime (Accessed: 22 May 2024).</w:t>
      </w:r>
    </w:p>
    <w:p w14:paraId="7F58E84B"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NOMS (2024) 'Offender Management'. Available at: https://www.gov.uk (Accessed: 22 May 2024).</w:t>
      </w:r>
    </w:p>
    <w:p w14:paraId="10D47D49"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Robinson, A. L., Myhill, A., and Wire, J. (2016) 'Understanding the nature and dynamics of domestic violence', Journal of Criminal Justice, 36(2), pp. 149-162. (Accessed: 19 May 2024).</w:t>
      </w:r>
    </w:p>
    <w:p w14:paraId="42D70CB2"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Royal College of Psychiatrists (2021) '</w:t>
      </w:r>
      <w:proofErr w:type="gramStart"/>
      <w:r w:rsidRPr="003D19A4">
        <w:rPr>
          <w:rFonts w:ascii="Calibri" w:eastAsia="Aptos" w:hAnsi="Calibri" w:cs="Calibri"/>
          <w:sz w:val="24"/>
          <w:szCs w:val="24"/>
        </w:rPr>
        <w:t>Post-traumatic</w:t>
      </w:r>
      <w:proofErr w:type="gramEnd"/>
      <w:r w:rsidRPr="003D19A4">
        <w:rPr>
          <w:rFonts w:ascii="Calibri" w:eastAsia="Aptos" w:hAnsi="Calibri" w:cs="Calibri"/>
          <w:sz w:val="24"/>
          <w:szCs w:val="24"/>
        </w:rPr>
        <w:t xml:space="preserve"> stress disorder (PTSD)'. Available at: https://www.rcpsych.ac.uk/mental-health/problems-disorders/post-traumatic-stress-disorder (Accessed: 22 May 2024).</w:t>
      </w:r>
    </w:p>
    <w:p w14:paraId="4F0EE4D3"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Senior, P., Wong, K., Culshaw, A., Ellingworth, D., O’Keeffe, C., and Meadows, L. (2011) 'Process evaluation of five integrated offender management (IOM) pioneer areas', Research Report 11/11. Available at: https://www.gov.uk/government/publications/process-evaluation-of-five-integrated-offender-management-iom-pioneer-areas (Accessed: 22 May 2024).</w:t>
      </w:r>
    </w:p>
    <w:p w14:paraId="096D5C88"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Shapland, J., Atkinson, A., Atkinson, H., Dignan, J., Edwards, L., Hibbert, J., Howes, M., Johnstone, J., Robinson, G., and Sorsby, A. (2008) 'Does restorative justice affect reconviction? The fourth report from the evaluation of three schemes', Ministry of Justice Research Series, 10(08). Available at: https://www.justice.gov.uk/publications/research.htm (Accessed: 22 May 2024).</w:t>
      </w:r>
    </w:p>
    <w:p w14:paraId="438373C5"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Sherman, L. W. (1998) 'Evidence-based policing', Ideas in American Policing, 2(1), pp. 1-15. (Accessed: 19 May 2024).</w:t>
      </w:r>
    </w:p>
    <w:p w14:paraId="24FD2668"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lastRenderedPageBreak/>
        <w:t>Sherman, L. W. (2013) 'The rise of evidence-based policing: Targeting, testing, and tracking', Crime and Justice, 42(1), pp. 377-451. (Accessed: 19 May 2024).</w:t>
      </w:r>
    </w:p>
    <w:p w14:paraId="1EB73575"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Smith, M. J. (2022). Digital evidence and its role in modern policing. Journal of Law and Criminal Justice, 10(1), 22-45.</w:t>
      </w:r>
      <w:r w:rsidRPr="003D19A4">
        <w:rPr>
          <w:rFonts w:ascii="Aptos" w:eastAsia="Aptos" w:hAnsi="Aptos" w:cs="Times New Roman"/>
          <w:sz w:val="24"/>
          <w:szCs w:val="24"/>
        </w:rPr>
        <w:t xml:space="preserve"> </w:t>
      </w:r>
      <w:r w:rsidRPr="003D19A4">
        <w:rPr>
          <w:rFonts w:ascii="Calibri" w:eastAsia="Aptos" w:hAnsi="Calibri" w:cs="Calibri"/>
          <w:sz w:val="24"/>
          <w:szCs w:val="24"/>
        </w:rPr>
        <w:t>(Accessed: 19 May 2024).</w:t>
      </w:r>
    </w:p>
    <w:p w14:paraId="758A7C87"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van der Kolk, B. A. (2014). The body keeps the score: Brain, mind, and body in the healing of trauma. Penguin Books.</w:t>
      </w:r>
    </w:p>
    <w:p w14:paraId="5CD83BA1"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Victim Support (2024) 'How we can help'. Available at: https://www.victimsupport.org.uk (Accessed: 22 May 2024).</w:t>
      </w:r>
    </w:p>
    <w:p w14:paraId="6E74819A"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Wagstaff, G. F., Cole, J., &amp; Wheatcroft, J. M. (2011). Facilitating witness recall with hypnosis, focused meditation, and eye-closure. Investigative Interviewing: Research and Practice, 3(1), 25-34. (Accessed: 11 May 2024).</w:t>
      </w:r>
    </w:p>
    <w:p w14:paraId="069CE34A" w14:textId="77777777" w:rsidR="003D19A4" w:rsidRPr="003D19A4" w:rsidRDefault="003D19A4" w:rsidP="003D19A4">
      <w:pPr>
        <w:spacing w:line="360" w:lineRule="auto"/>
        <w:rPr>
          <w:rFonts w:ascii="Calibri" w:eastAsia="Aptos" w:hAnsi="Calibri" w:cs="Calibri"/>
          <w:sz w:val="24"/>
          <w:szCs w:val="24"/>
        </w:rPr>
      </w:pPr>
      <w:r w:rsidRPr="003D19A4">
        <w:rPr>
          <w:rFonts w:ascii="Calibri" w:eastAsia="Aptos" w:hAnsi="Calibri" w:cs="Calibri"/>
          <w:sz w:val="24"/>
          <w:szCs w:val="24"/>
        </w:rPr>
        <w:t>Williams, P. (2021). Modern policing in the digital age: The role of technology in law enforcement. Oxford University Press. (Accessed: 20 May 2024).</w:t>
      </w:r>
    </w:p>
    <w:p w14:paraId="4BC8488D" w14:textId="77777777" w:rsidR="003D19A4" w:rsidRPr="003D19A4" w:rsidRDefault="003D19A4" w:rsidP="003D19A4">
      <w:pPr>
        <w:spacing w:line="360" w:lineRule="auto"/>
        <w:rPr>
          <w:rFonts w:ascii="Calibri" w:eastAsia="Aptos" w:hAnsi="Calibri" w:cs="Calibri"/>
          <w:sz w:val="24"/>
          <w:szCs w:val="24"/>
        </w:rPr>
      </w:pPr>
    </w:p>
    <w:p w14:paraId="5D942BAD" w14:textId="77777777" w:rsidR="003D19A4" w:rsidRPr="003D19A4" w:rsidRDefault="003D19A4" w:rsidP="003D19A4">
      <w:pPr>
        <w:spacing w:line="360" w:lineRule="auto"/>
        <w:rPr>
          <w:rFonts w:ascii="Calibri" w:eastAsia="Aptos" w:hAnsi="Calibri" w:cs="Calibri"/>
          <w:sz w:val="24"/>
          <w:szCs w:val="24"/>
        </w:rPr>
      </w:pPr>
    </w:p>
    <w:p w14:paraId="185C7F9D" w14:textId="77777777" w:rsidR="003D19A4" w:rsidRPr="003D19A4" w:rsidRDefault="003D19A4" w:rsidP="003D19A4">
      <w:pPr>
        <w:spacing w:line="360" w:lineRule="auto"/>
        <w:rPr>
          <w:rFonts w:ascii="Calibri" w:eastAsia="Aptos" w:hAnsi="Calibri" w:cs="Calibri"/>
          <w:sz w:val="24"/>
          <w:szCs w:val="24"/>
        </w:rPr>
      </w:pPr>
    </w:p>
    <w:p w14:paraId="2F9875DD" w14:textId="77777777" w:rsidR="003D19A4" w:rsidRPr="003D19A4" w:rsidRDefault="003D19A4" w:rsidP="003D19A4">
      <w:pPr>
        <w:spacing w:line="360" w:lineRule="auto"/>
        <w:rPr>
          <w:rFonts w:ascii="Calibri" w:eastAsia="Aptos" w:hAnsi="Calibri" w:cs="Calibri"/>
          <w:sz w:val="24"/>
          <w:szCs w:val="24"/>
        </w:rPr>
      </w:pPr>
    </w:p>
    <w:p w14:paraId="37D72275" w14:textId="77777777" w:rsidR="003D19A4" w:rsidRDefault="003D19A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8"/>
          <w:szCs w:val="28"/>
          <w:lang w:eastAsia="en-GB"/>
          <w14:ligatures w14:val="none"/>
        </w:rPr>
      </w:pPr>
    </w:p>
    <w:p w14:paraId="246AB099" w14:textId="77777777" w:rsidR="00E23983" w:rsidRDefault="00E23983"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8"/>
          <w:szCs w:val="28"/>
          <w:lang w:eastAsia="en-GB"/>
          <w14:ligatures w14:val="none"/>
        </w:rPr>
      </w:pPr>
    </w:p>
    <w:p w14:paraId="6D35F723" w14:textId="77777777" w:rsidR="00E23983" w:rsidRPr="008D03F4" w:rsidRDefault="00E23983"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8"/>
          <w:szCs w:val="28"/>
          <w:lang w:eastAsia="en-GB"/>
          <w14:ligatures w14:val="none"/>
        </w:rPr>
      </w:pPr>
    </w:p>
    <w:p w14:paraId="108D39B6"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8"/>
          <w:szCs w:val="28"/>
          <w:lang w:eastAsia="en-GB"/>
          <w14:ligatures w14:val="none"/>
        </w:rPr>
      </w:pPr>
    </w:p>
    <w:p w14:paraId="14B0947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8"/>
          <w:szCs w:val="28"/>
          <w:lang w:eastAsia="en-GB"/>
          <w14:ligatures w14:val="none"/>
        </w:rPr>
      </w:pPr>
    </w:p>
    <w:p w14:paraId="553CF3CC"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8"/>
          <w:szCs w:val="28"/>
          <w:lang w:eastAsia="en-GB"/>
          <w14:ligatures w14:val="none"/>
        </w:rPr>
      </w:pPr>
    </w:p>
    <w:p w14:paraId="1E61AD08"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r w:rsidRPr="008D03F4">
        <w:rPr>
          <w:rFonts w:ascii="Arial" w:eastAsia="Arial" w:hAnsi="Arial" w:cs="Arial"/>
          <w:b/>
          <w:bCs/>
          <w:color w:val="000000" w:themeColor="text1"/>
          <w:kern w:val="0"/>
          <w:sz w:val="24"/>
          <w:szCs w:val="24"/>
          <w:lang w:eastAsia="en-GB"/>
          <w14:ligatures w14:val="none"/>
        </w:rPr>
        <w:t xml:space="preserve">Authentication signature: </w:t>
      </w:r>
    </w:p>
    <w:p w14:paraId="2437D02B"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r w:rsidRPr="008D03F4">
        <w:rPr>
          <w:rFonts w:ascii="Arial" w:eastAsia="Arial" w:hAnsi="Arial" w:cs="Arial"/>
          <w:b/>
          <w:bCs/>
          <w:color w:val="000000" w:themeColor="text1"/>
          <w:kern w:val="0"/>
          <w:sz w:val="24"/>
          <w:szCs w:val="24"/>
          <w:lang w:eastAsia="en-GB"/>
          <w14:ligatures w14:val="none"/>
        </w:rPr>
        <w:t xml:space="preserve"> </w:t>
      </w:r>
    </w:p>
    <w:p w14:paraId="0C39C74F"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r w:rsidRPr="008D03F4">
        <w:rPr>
          <w:rFonts w:ascii="Arial" w:eastAsia="Arial" w:hAnsi="Arial" w:cs="Arial"/>
          <w:b/>
          <w:bCs/>
          <w:color w:val="000000" w:themeColor="text1"/>
          <w:kern w:val="0"/>
          <w:sz w:val="24"/>
          <w:szCs w:val="24"/>
          <w:lang w:eastAsia="en-GB"/>
          <w14:ligatures w14:val="none"/>
        </w:rPr>
        <w:t xml:space="preserve">Please sign to confirm that the work submitted is your own and has not been copied from another: </w:t>
      </w:r>
    </w:p>
    <w:p w14:paraId="1F9FD254"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r w:rsidRPr="008D03F4">
        <w:rPr>
          <w:rFonts w:ascii="Arial" w:eastAsia="Arial" w:hAnsi="Arial" w:cs="Arial"/>
          <w:b/>
          <w:bCs/>
          <w:color w:val="000000" w:themeColor="text1"/>
          <w:kern w:val="0"/>
          <w:sz w:val="24"/>
          <w:szCs w:val="24"/>
          <w:lang w:eastAsia="en-GB"/>
          <w14:ligatures w14:val="none"/>
        </w:rPr>
        <w:t xml:space="preserve"> </w:t>
      </w:r>
    </w:p>
    <w:p w14:paraId="5154B5EF" w14:textId="03A49BC9" w:rsidR="008D03F4" w:rsidRPr="008D03F4" w:rsidRDefault="003D19A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r>
        <w:rPr>
          <w:rFonts w:ascii="Arial" w:eastAsia="Arial" w:hAnsi="Arial" w:cs="Arial"/>
          <w:b/>
          <w:bCs/>
          <w:noProof/>
          <w:color w:val="000000" w:themeColor="text1"/>
          <w:kern w:val="0"/>
          <w:sz w:val="24"/>
          <w:szCs w:val="24"/>
          <w:lang w:eastAsia="en-GB"/>
        </w:rPr>
        <mc:AlternateContent>
          <mc:Choice Requires="wpi">
            <w:drawing>
              <wp:anchor distT="0" distB="0" distL="114300" distR="114300" simplePos="0" relativeHeight="251665408" behindDoc="0" locked="0" layoutInCell="1" allowOverlap="1" wp14:anchorId="2378C411" wp14:editId="0EF5FC0E">
                <wp:simplePos x="0" y="0"/>
                <wp:positionH relativeFrom="column">
                  <wp:posOffset>647065</wp:posOffset>
                </wp:positionH>
                <wp:positionV relativeFrom="paragraph">
                  <wp:posOffset>-59055</wp:posOffset>
                </wp:positionV>
                <wp:extent cx="1538595" cy="258480"/>
                <wp:effectExtent l="38100" t="38100" r="5080" b="46355"/>
                <wp:wrapNone/>
                <wp:docPr id="1982824041" name="Ink 15"/>
                <wp:cNvGraphicFramePr/>
                <a:graphic xmlns:a="http://schemas.openxmlformats.org/drawingml/2006/main">
                  <a:graphicData uri="http://schemas.microsoft.com/office/word/2010/wordprocessingInk">
                    <w14:contentPart bwMode="auto" r:id="rId8">
                      <w14:nvContentPartPr>
                        <w14:cNvContentPartPr/>
                      </w14:nvContentPartPr>
                      <w14:xfrm>
                        <a:off x="0" y="0"/>
                        <a:ext cx="1538595" cy="258480"/>
                      </w14:xfrm>
                    </w14:contentPart>
                  </a:graphicData>
                </a:graphic>
              </wp:anchor>
            </w:drawing>
          </mc:Choice>
          <mc:Fallback>
            <w:pict>
              <v:shapetype w14:anchorId="0BA2F72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 o:spid="_x0000_s1026" type="#_x0000_t75" style="position:absolute;margin-left:50.6pt;margin-top:-5pt;width:121.9pt;height:21.0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">
                <v:imagedata r:id="rId9" o:title=""/>
              </v:shape>
            </w:pict>
          </mc:Fallback>
        </mc:AlternateContent>
      </w:r>
      <w:r w:rsidR="008D03F4" w:rsidRPr="008D03F4">
        <w:rPr>
          <w:rFonts w:ascii="Arial" w:eastAsia="Arial" w:hAnsi="Arial" w:cs="Arial"/>
          <w:b/>
          <w:bCs/>
          <w:color w:val="000000" w:themeColor="text1"/>
          <w:kern w:val="0"/>
          <w:sz w:val="24"/>
          <w:szCs w:val="24"/>
          <w:lang w:eastAsia="en-GB"/>
          <w14:ligatures w14:val="none"/>
        </w:rPr>
        <w:t xml:space="preserve">Signed: </w:t>
      </w:r>
    </w:p>
    <w:p w14:paraId="39D46E5D"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r w:rsidRPr="008D03F4">
        <w:rPr>
          <w:rFonts w:ascii="Arial" w:eastAsia="Arial" w:hAnsi="Arial" w:cs="Arial"/>
          <w:b/>
          <w:bCs/>
          <w:color w:val="000000" w:themeColor="text1"/>
          <w:kern w:val="0"/>
          <w:sz w:val="24"/>
          <w:szCs w:val="24"/>
          <w:lang w:eastAsia="en-GB"/>
          <w14:ligatures w14:val="none"/>
        </w:rPr>
        <w:t xml:space="preserve"> </w:t>
      </w:r>
    </w:p>
    <w:p w14:paraId="259AA5C7" w14:textId="5EFF0C03"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sectPr w:rsidR="008D03F4" w:rsidRPr="008D03F4" w:rsidSect="002F690E">
          <w:headerReference w:type="even" r:id="rId10"/>
          <w:headerReference w:type="default" r:id="rId11"/>
          <w:footerReference w:type="even" r:id="rId12"/>
          <w:footerReference w:type="default" r:id="rId13"/>
          <w:headerReference w:type="first" r:id="rId14"/>
          <w:footerReference w:type="first" r:id="rId15"/>
          <w:pgSz w:w="11906" w:h="16838" w:code="9"/>
          <w:pgMar w:top="1440" w:right="1440" w:bottom="1440" w:left="1440" w:header="720" w:footer="720" w:gutter="0"/>
          <w:cols w:space="720"/>
          <w:docGrid w:linePitch="272"/>
        </w:sectPr>
      </w:pPr>
      <w:r w:rsidRPr="008D03F4">
        <w:rPr>
          <w:rFonts w:ascii="Arial" w:eastAsia="Arial" w:hAnsi="Arial" w:cs="Arial"/>
          <w:b/>
          <w:bCs/>
          <w:color w:val="000000" w:themeColor="text1"/>
          <w:kern w:val="0"/>
          <w:sz w:val="24"/>
          <w:szCs w:val="24"/>
          <w:lang w:eastAsia="en-GB"/>
          <w14:ligatures w14:val="none"/>
        </w:rPr>
        <w:t>Date</w:t>
      </w:r>
      <w:r w:rsidR="003D19A4">
        <w:rPr>
          <w:rFonts w:ascii="Arial" w:eastAsia="Arial" w:hAnsi="Arial" w:cs="Arial"/>
          <w:b/>
          <w:bCs/>
          <w:color w:val="000000" w:themeColor="text1"/>
          <w:kern w:val="0"/>
          <w:sz w:val="24"/>
          <w:szCs w:val="24"/>
          <w:lang w:eastAsia="en-GB"/>
          <w14:ligatures w14:val="none"/>
        </w:rPr>
        <w:t xml:space="preserve"> 26/05/2024</w:t>
      </w:r>
    </w:p>
    <w:bookmarkEnd w:id="0"/>
    <w:p w14:paraId="5BBD123B" w14:textId="31BBE457" w:rsidR="008D03F4" w:rsidRPr="00F65BED" w:rsidRDefault="008D03F4" w:rsidP="00640EEE"/>
    <w:sectPr w:rsidR="008D03F4" w:rsidRPr="00F65B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50A2A2" w14:textId="77777777" w:rsidR="00965EF8" w:rsidRDefault="00965EF8">
      <w:pPr>
        <w:spacing w:after="0" w:line="240" w:lineRule="auto"/>
      </w:pPr>
      <w:r>
        <w:separator/>
      </w:r>
    </w:p>
  </w:endnote>
  <w:endnote w:type="continuationSeparator" w:id="0">
    <w:p w14:paraId="6D9A4406" w14:textId="77777777" w:rsidR="00965EF8" w:rsidRDefault="00965E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10825B" w14:textId="77777777" w:rsidR="00494A14" w:rsidRDefault="00494A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E523C1" w14:textId="77777777" w:rsidR="00494A14"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p w14:paraId="1E9960A2" w14:textId="77777777" w:rsidR="00494A14" w:rsidRPr="00BB5EAA" w:rsidRDefault="00494A1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EE5C4B" w14:textId="77777777" w:rsidR="00494A14" w:rsidRDefault="00494A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1A4A35" w14:textId="77777777" w:rsidR="00965EF8" w:rsidRDefault="00965EF8">
      <w:pPr>
        <w:spacing w:after="0" w:line="240" w:lineRule="auto"/>
      </w:pPr>
      <w:r>
        <w:separator/>
      </w:r>
    </w:p>
  </w:footnote>
  <w:footnote w:type="continuationSeparator" w:id="0">
    <w:p w14:paraId="1E043D13" w14:textId="77777777" w:rsidR="00965EF8" w:rsidRDefault="00965E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C6341E" w14:textId="77777777" w:rsidR="00494A14" w:rsidRDefault="00494A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06E81D" w14:textId="77777777" w:rsidR="00494A14" w:rsidRDefault="00494A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AB71C8" w14:textId="77777777" w:rsidR="00494A14" w:rsidRDefault="00494A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16029A1"/>
    <w:multiLevelType w:val="hybridMultilevel"/>
    <w:tmpl w:val="CFAC7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CA71FA"/>
    <w:multiLevelType w:val="multilevel"/>
    <w:tmpl w:val="A79A3C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C1E5678"/>
    <w:multiLevelType w:val="multilevel"/>
    <w:tmpl w:val="0818D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04744487">
    <w:abstractNumId w:val="0"/>
  </w:num>
  <w:num w:numId="2" w16cid:durableId="544098401">
    <w:abstractNumId w:val="1"/>
  </w:num>
  <w:num w:numId="3" w16cid:durableId="10455214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F85"/>
    <w:rsid w:val="0005317C"/>
    <w:rsid w:val="00097705"/>
    <w:rsid w:val="000D382E"/>
    <w:rsid w:val="001F12E9"/>
    <w:rsid w:val="002227D5"/>
    <w:rsid w:val="002F690E"/>
    <w:rsid w:val="003D19A4"/>
    <w:rsid w:val="004916B2"/>
    <w:rsid w:val="00494A14"/>
    <w:rsid w:val="00501503"/>
    <w:rsid w:val="00506033"/>
    <w:rsid w:val="005B5EDE"/>
    <w:rsid w:val="005F7D5D"/>
    <w:rsid w:val="00640EEE"/>
    <w:rsid w:val="006555A4"/>
    <w:rsid w:val="006A50F8"/>
    <w:rsid w:val="00712B0C"/>
    <w:rsid w:val="00723F85"/>
    <w:rsid w:val="008201D4"/>
    <w:rsid w:val="00850FE6"/>
    <w:rsid w:val="008D03F4"/>
    <w:rsid w:val="00965EF8"/>
    <w:rsid w:val="00974B44"/>
    <w:rsid w:val="009F0A25"/>
    <w:rsid w:val="00A62E48"/>
    <w:rsid w:val="00AC0574"/>
    <w:rsid w:val="00AF69C3"/>
    <w:rsid w:val="00B37A8A"/>
    <w:rsid w:val="00B41FE1"/>
    <w:rsid w:val="00D903CA"/>
    <w:rsid w:val="00E21476"/>
    <w:rsid w:val="00E23983"/>
    <w:rsid w:val="00E833D6"/>
    <w:rsid w:val="00F65BED"/>
    <w:rsid w:val="00FA67D3"/>
    <w:rsid w:val="00FB73EA"/>
    <w:rsid w:val="00FF6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66D4A6"/>
  <w15:chartTrackingRefBased/>
  <w15:docId w15:val="{F0787827-CBC4-41FC-82BB-EB6A84107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1503"/>
    <w:pPr>
      <w:ind w:left="720"/>
      <w:contextualSpacing/>
    </w:pPr>
  </w:style>
  <w:style w:type="character" w:styleId="Hyperlink">
    <w:name w:val="Hyperlink"/>
    <w:basedOn w:val="DefaultParagraphFont"/>
    <w:uiPriority w:val="99"/>
    <w:unhideWhenUsed/>
    <w:rsid w:val="008D03F4"/>
    <w:rPr>
      <w:color w:val="0563C1" w:themeColor="hyperlink"/>
      <w:u w:val="single"/>
    </w:rPr>
  </w:style>
  <w:style w:type="character" w:styleId="UnresolvedMention">
    <w:name w:val="Unresolved Mention"/>
    <w:basedOn w:val="DefaultParagraphFont"/>
    <w:uiPriority w:val="99"/>
    <w:semiHidden/>
    <w:unhideWhenUsed/>
    <w:rsid w:val="008D03F4"/>
    <w:rPr>
      <w:color w:val="605E5C"/>
      <w:shd w:val="clear" w:color="auto" w:fill="E1DFDD"/>
    </w:rPr>
  </w:style>
  <w:style w:type="paragraph" w:styleId="Header">
    <w:name w:val="header"/>
    <w:basedOn w:val="Normal"/>
    <w:link w:val="HeaderChar"/>
    <w:uiPriority w:val="99"/>
    <w:semiHidden/>
    <w:unhideWhenUsed/>
    <w:rsid w:val="008D03F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D03F4"/>
  </w:style>
  <w:style w:type="paragraph" w:styleId="Footer">
    <w:name w:val="footer"/>
    <w:basedOn w:val="Normal"/>
    <w:link w:val="FooterChar"/>
    <w:uiPriority w:val="99"/>
    <w:semiHidden/>
    <w:unhideWhenUsed/>
    <w:rsid w:val="008D03F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D03F4"/>
  </w:style>
  <w:style w:type="table" w:styleId="TableGrid">
    <w:name w:val="Table Grid"/>
    <w:basedOn w:val="TableNormal"/>
    <w:rsid w:val="008D03F4"/>
    <w:pPr>
      <w:spacing w:after="0" w:line="240" w:lineRule="auto"/>
    </w:pPr>
    <w:rPr>
      <w:rFonts w:ascii="Times New Roman" w:eastAsia="Times New Roman" w:hAnsi="Times New Roman" w:cs="Times New Roman"/>
      <w:kern w:val="0"/>
      <w:sz w:val="20"/>
      <w:szCs w:val="20"/>
      <w:lang w:eastAsia="zh-TW"/>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5324949">
      <w:bodyDiv w:val="1"/>
      <w:marLeft w:val="0"/>
      <w:marRight w:val="0"/>
      <w:marTop w:val="0"/>
      <w:marBottom w:val="0"/>
      <w:divBdr>
        <w:top w:val="none" w:sz="0" w:space="0" w:color="auto"/>
        <w:left w:val="none" w:sz="0" w:space="0" w:color="auto"/>
        <w:bottom w:val="none" w:sz="0" w:space="0" w:color="auto"/>
        <w:right w:val="none" w:sz="0" w:space="0" w:color="auto"/>
      </w:divBdr>
    </w:div>
    <w:div w:id="507714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26T21:06:28.473"/>
    </inkml:context>
    <inkml:brush xml:id="br0">
      <inkml:brushProperty name="width" value="0.025" units="cm"/>
      <inkml:brushProperty name="height" value="0.025" units="cm"/>
    </inkml:brush>
  </inkml:definitions>
  <inkml:trace contextRef="#ctx0" brushRef="#br0">0 606 24575,'0'-47'0,"3"0"0,1 0 0,3 1 0,1-1 0,28-82 0,-26 85 0,-8 34 0,0 0 0,0 0 0,1 0 0,6-12 0,-8 19 0,0 1 0,1-1 0,-1 1 0,1 0 0,-1 0 0,1 0 0,0 0 0,0 0 0,0 0 0,0 0 0,1 0 0,-1 1 0,0-1 0,1 1 0,-1 0 0,1 0 0,-1 0 0,1 0 0,-1 0 0,5-1 0,3 1 0,0-1 0,-1 1 0,1 1 0,-1-1 0,1 2 0,0-1 0,-1 2 0,1-1 0,-1 1 0,1 0 0,-1 1 0,0 0 0,0 1 0,0 0 0,0 0 0,15 11 0,-16-9 0,0 1 0,-1 1 0,0-1 0,0 1 0,0 1 0,-1-1 0,0 1 0,-1 0 0,0 0 0,-1 1 0,1-1 0,-2 1 0,1 0 0,-2 0 0,3 15 0,3 7 19,1-1-1,13 30 1,-14-41-222,-1 1 0,0-1 0,-1 1 0,-2 1 0,0-1 0,2 36 0,-6-46-6623</inkml:trace>
  <inkml:trace contextRef="#ctx0" brushRef="#br0" timeOffset="1816.45">108 444 24575,'4'0'0,"7"0"0,5 0 0,4 0 0,4 0 0,3 0 0,0 0 0,0 0 0,1 0 0,-1 0 0,-4-4 0,-2-2 0,-4 0-8191</inkml:trace>
  <inkml:trace contextRef="#ctx0" brushRef="#br0" timeOffset="2292.56">609 497 24575</inkml:trace>
  <inkml:trace contextRef="#ctx0" brushRef="#br0" timeOffset="4889.89">846 711 24575,'0'-581'0,"0"577"0,0 0 0,0-1 0,0 1 0,0 0 0,1 0 0,0 0 0,0 0 0,0 0 0,0 0 0,1 0 0,-1 0 0,1 0 0,4-6 0,-3 8 0,-1-1 0,1 1 0,0 0 0,0 0 0,0 1 0,0-1 0,0 0 0,0 1 0,0 0 0,0 0 0,0 0 0,1 0 0,-1 0 0,0 1 0,1-1 0,-1 1 0,6 0 0,12-1 0,1 1 0,-1 0 0,1 2 0,30 6 0,-40-4 0,0-1 0,0 2 0,0-1 0,0 2 0,-1-1 0,0 2 0,0-1 0,18 17 0,-4-2 0,-1 2 0,-2 1 0,0 1 0,30 45 0,-49-64 0,1 0 0,-1 0 0,0 0 0,-1 0 0,0 1 0,0-1 0,0 1 0,0 0 0,-1 0 0,0-1 0,-1 1 0,0 0 0,0 0 0,0 0 0,-1 0 0,0 0 0,0-1 0,0 1 0,-1 0 0,0-1 0,-1 1 0,0-1 0,0 0 0,0 0 0,0 0 0,-1 0 0,0 0 0,0-1 0,-10 9 0,5-4 0,-1 0 0,0-1 0,0-1 0,-1 0 0,0 0 0,-1-1 0,1-1 0,-1 0 0,-1 0 0,1-1 0,-1-1 0,0 0 0,0-1 0,-20 3 0,-8-2 0,-55 13 0,91-16-51,15-5 178,18-3-1568,-1 2-5385</inkml:trace>
  <inkml:trace contextRef="#ctx0" brushRef="#br0" timeOffset="5898.14">1535 444 24575</inkml:trace>
  <inkml:trace contextRef="#ctx0" brushRef="#br0" timeOffset="14803.05">1667 129 24575,'2'25'0,"1"-1"0,2 0 0,0 0 0,1 0 0,2-1 0,0 0 0,1 0 0,22 36 0,15 43 0,-24-52 0,-15-35 0,0 0 0,-1 1 0,0-1 0,-1 2 0,-1-1 0,-1 0 0,2 19 0,-4-48 0,2 0 0,0 1 0,0 0 0,6-14 0,13-50 0,-20 70 0,2-20 0,1 0 0,15-44 0,-18 72 0,0-1 0,0 1 0,0 0 0,-1 0 0,1 0 0,0 0 0,-1 0 0,0 0 0,1 0 0,-1 0 0,0 0 0,1 3 0,5 9 0,19 37 0,-1 1 0,30 94 0,-43-119 0,-5-23 0,-1-18 0,0-38 0,-2 1 0,-7-100 0,0 39 0,0 18 0,1 51 0,1-1 0,2 0 0,9-50 0,-6 76 0,-5 34 0,-7 32 0,-9 25 0,5-27 0,2 1 0,-4 51 0,13-82 0,1 0 0,0 1 0,1-1 0,1 0 0,0 0 0,1 0 0,1-1 0,1 1 0,0-1 0,8 17 0,17 15 0,-28-45 0,-1 0 0,1 0 0,0 0 0,0 0 0,0-1 0,0 1 0,0 0 0,0-1 0,0 1 0,1-1 0,-1 0 0,0 0 0,1 0 0,-1 0 0,1 0 0,-1-1 0,1 1 0,3 0 0,-4-2 0,0 1 0,-1-1 0,1 0 0,-1 1 0,1-1 0,-1 0 0,0 0 0,1 0 0,-1 0 0,0 0 0,0 0 0,0-1 0,0 1 0,0 0 0,0-1 0,0 1 0,0 0 0,0-1 0,0 1 0,0-3 0,15-39 0,-11 28 0,1 12 0,1 12 0,7 17 0,-12-21 0,7 12 0,20 37 0,-28-52 0,0 0 0,1 0 0,-1 0 0,1 0 0,0 0 0,-1 0 0,1 0 0,0-1 0,0 1 0,0-1 0,0 1 0,1-1 0,-1 0 0,0 0 0,0 0 0,1 0 0,-1 0 0,5 1 0,-6-3 0,0 1 0,1 0 0,-1-1 0,0 1 0,0-1 0,1 1 0,-1-1 0,0 0 0,0 1 0,0-1 0,0 0 0,0 0 0,0 0 0,0 0 0,0 0 0,0 0 0,0 0 0,0 0 0,-1 0 0,1 0 0,0 0 0,-1 0 0,1-1 0,-1 1 0,1 0 0,-1-1 0,0 1 0,1 0 0,-1-1 0,0 1 0,0-2 0,4-48 0,-4 46 0,-3-405 0,-10 558 0,7-105 0,2-1 0,1 52 0,4-86 0,1 0 0,0 0 0,0 0 0,1 0 0,0-1 0,0 1 0,0-1 0,1 0 0,1 0 0,-1 0 0,1 0 0,8 8 0,-10-11 0,0 0 0,0 0 0,1-1 0,0 1 0,0-1 0,0 0 0,0 0 0,0 0 0,1-1 0,-1 0 0,1 1 0,0-2 0,-1 1 0,1 0 0,0-1 0,0 0 0,0 0 0,0-1 0,0 1 0,10-1 0,-13-1 0,0 0 0,1 0 0,-1 0 0,0 0 0,0 0 0,0 0 0,0-1 0,0 1 0,-1-1 0,1 1 0,0-1 0,-1 0 0,1 0 0,-1 0 0,1 0 0,-1 0 0,0 0 0,0 0 0,0 0 0,0 0 0,0-1 0,0 1 0,-1 0 0,1-1 0,-1 1 0,0 0 0,1-5 0,0-9 0,0-1 0,-3-31 0,1 30 0,0-15 0,2 0 0,1-1 0,2 1 0,9-39 0,-22 114 0,3 1 0,1-1 0,1 1 0,5 71 0,0-110 0,0 0 0,0-1 0,0 1 0,1 0 0,-1-1 0,1 1 0,0-1 0,0 1 0,1-1 0,-1 0 0,0 0 0,1 0 0,0 0 0,0 0 0,0-1 0,0 1 0,0-1 0,0 0 0,1 0 0,-1 0 0,1 0 0,0-1 0,5 2 0,-6-1 0,0-1 0,0 0 0,0 0 0,0-1 0,0 1 0,1-1 0,-1 1 0,0-1 0,0 0 0,1 0 0,-1-1 0,0 1 0,0-1 0,0 1 0,1-1 0,-1 0 0,0 0 0,0 0 0,0-1 0,0 1 0,0-1 0,-1 1 0,1-1 0,0 0 0,-1 0 0,1 0 0,-1-1 0,2-2 0,-2 3 0,0-1 0,-1 1 0,1 0 0,0 0 0,0 0 0,0 0 0,0 0 0,1 0 0,-1 1 0,1-1 0,-1 1 0,1-1 0,-1 1 0,1 0 0,-1 0 0,4-1 0,45 2 0,-33 1 0,-8-1 0,-1 0 0,1-2 0,-1 1 0,0-1 0,1 0 0,-1-1 0,0 0 0,12-6 0,-3 0 0,0-1 0,32-22 0,-31 6 0,-19 26 0,1 0 0,-1-1 0,0 1 0,1 0 0,-1-1 0,0 1 0,0 0 0,1-1 0,-1 1 0,0-1 0,0 1 0,0 0 0,1-1 0,-1 1 0,0-1 0,0 1 0,0 0 0,0-1 0,0 1 0,0-1 0,0 1 0,0-1 0,0 1 0,0 0 0,0-1 0,0 1 0,0-1 0,0 1 0,-1-1 0,1 1 0,0 0 0,0-1 0,0 1 0,-1 0 0,1-1 0,0 1 0,0-1 0,-1 1 0,1 0 0,0 0 0,-1-1 0,1 1 0,0 0 0,-1 0 0,1-1 0,0 1 0,-1 0 0,1 0 0,-1 0 0,1-1 0,0 1 0,-1 0 0,1 0 0,-1 0 0,1 0 0,-1 0 0,1 0 0,0 0 0,-1 0 0,1 0 0,-1 0 0,0 0 0,1 0 0,0 0 0,-1 0 0,1 0 0,0 0 0,0 0 0,0 0 0,-1 0 0,1 0 0,0 1 0,0-1 0,-1 0 0,1 0 0,0 0 0,0 0 0,0 0 0,-1 0 0,1 0 0,0 0 0,0 1 0,0-1 0,0 0 0,-1 0 0,1 0 0,0 0 0,0 1 0,0-1 0,0 0 0,0 0 0,-1 0 0,1 0 0,0 1 0,0-1 0,0 0 0,0 0 0,0 1 0,0-1 0,0 0 0,0 0 0,0 0 0,0 1 0,0-1 0,7 10 0,15 5 0,-10-12 0,1-1 0,-1 0 0,1-1 0,0 0 0,0-1 0,0 0 0,-1-1 0,1 0 0,0-1 0,15-5 0,54-5 0,-46 11 0,-1-2 0,1-1 0,-1-2 0,-1-2 0,1-1 0,56-22 0,-85 28 0,-1 1 0,1 0 0,1 0 0,-1 1 0,0-1 0,0 1 0,1 1 0,-1-1 0,0 1 0,1 0 0,-1 1 0,12 1 0,-4 2 0,0 1 0,0 0 0,0 1 0,16 9 0,-14-5 0,2-1 0,-1 0 0,1-2 0,1 0 0,-1-1 0,1-1 0,0 0 0,0-2 0,32 3 0,246-11 0,-293 5 0,-1 0 0,1-1 0,0 1 0,-1-1 0,1 0 0,-1 0 0,1-1 0,4-1 0,-7 2 0,0 1 0,0-1 0,-1 1 0,1-1 0,0 0 0,0 0 0,0 0 0,0 1 0,-1-1 0,1 0 0,0 0 0,-1 0 0,1 0 0,-1 0 0,1 0 0,-1 0 0,1 0 0,-1-1 0,0 0 0,0-2 0,0 1 0,-1-1 0,1 0 0,-1 1 0,0-1 0,-1 1 0,1-1 0,0 1 0,-1 0 0,0-1 0,0 1 0,0 0 0,0 0 0,0 0 0,-5-4 0,-13-17 0,-1 1 0,-2 1 0,0 0 0,-1 2 0,-1 1 0,-1 1 0,-49-26 0,62 37 0,0 1 0,-1 1 0,1 0 0,-1 1 0,0 0 0,-1 1 0,1 1 0,-1 0 0,1 1 0,-1 1 0,1 0 0,-1 1 0,1 0 0,-1 1 0,1 1 0,0 0 0,0 1 0,-27 12 0,28-10 0,-1 0 0,1 2 0,0 0 0,0 0 0,1 1 0,0 1 0,1 0 0,0 0 0,0 1 0,-13 19 0,24-29 0,-1 0 0,1-1 0,-1 1 0,1 0 0,0-1 0,-1 1 0,1 0 0,0-1 0,0 1 0,0 0 0,-1 0 0,1-1 0,0 1 0,0 0 0,0 0 0,0 0 0,0-1 0,0 1 0,1 0 0,-1 0 0,0-1 0,0 1 0,0 0 0,1-1 0,-1 1 0,0 0 0,1 0 0,-1-1 0,1 1 0,0 0 0,1 1 0,-1-1 0,1 0 0,0 0 0,0 0 0,-1-1 0,1 1 0,0 0 0,0-1 0,0 1 0,0-1 0,3 1 0,55-3 0,-30-4 0,1-1 0,-1-1 0,-1-2 0,44-20 0,-46 18 0,0 0 0,0 2 0,1 2 0,0 0 0,49-6 0,-67 13 0,1 0 0,-1 1 0,0 0 0,0 1 0,0 0 0,0 0 0,1 1 0,-2 1 0,1 0 0,0 0 0,0 1 0,-1 0 0,0 0 0,0 1 0,0 0 0,-1 1 0,1 0 0,-1 0 0,-1 1 0,1 0 0,-1 1 0,-1-1 0,1 1 0,-1 0 0,0 1 0,4 9 0,-9-17 0,-1 0 0,0 0 0,1 0 0,-1 0 0,0 0 0,1 0 0,-1 0 0,0 1 0,0-1 0,0 0 0,0 0 0,0 0 0,0 0 0,0 0 0,0 1 0,-1-1 0,1 0 0,0 0 0,-1 0 0,1 0 0,-1 0 0,1 0 0,-1 0 0,1 0 0,-1 0 0,-1 1 0,-1 1 0,1-1 0,-1 0 0,0 0 0,0 0 0,0 0 0,0 0 0,0-1 0,-1 0 0,-2 2 0,-8 1 0,0-1 0,0 0 0,-20 1 0,-88 9 0,-207 51 0,240-45 0,-70 21 0,136-33 0,0 2 0,1 1 0,0 1 0,-37 24 0,28-15-40,22-15-149,0 0 0,0 1-1,1 0 1,0 0 0,0 1-1,-8 9 1,6-1-6637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5419</Words>
  <Characters>32519</Characters>
  <Application>Microsoft Office Word</Application>
  <DocSecurity>0</DocSecurity>
  <Lines>613</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Williams,Andrew swp8480</dc:creator>
  <cp:keywords/>
  <dc:description/>
  <cp:lastModifiedBy>shelley pace</cp:lastModifiedBy>
  <cp:revision>2</cp:revision>
  <dcterms:created xsi:type="dcterms:W3CDTF">2024-05-26T21:07:00Z</dcterms:created>
  <dcterms:modified xsi:type="dcterms:W3CDTF">2024-05-26T21:07:00Z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2024-03-06T22:48:08Z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01479e13-c7a6-4f74-a13f-92a44fc868c9</vt:lpwstr>
  </property>
  <property fmtid="{D5CDD505-2E9C-101B-9397-08002B2CF9AE}" pid="8" name="MSIP_Label_66cf8fe5-b7b7-4df7-b38d-1c61ac2f6639_ContentBits">
    <vt:lpwstr>0</vt:lpwstr>
  </property>
  <property fmtid="{D5CDD505-2E9C-101B-9397-08002B2CF9AE}" pid="9" name="GrammarlyDocumentId">
    <vt:lpwstr>f6a9cb33652719aa6113bf4b7b96ca90847658bd3377e5491d44845a72cc1644</vt:lpwstr>
  </property>
</Properties>
</file>