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05"/>
        <w:gridCol w:w="3813"/>
        <w:gridCol w:w="2392"/>
        <w:gridCol w:w="1995"/>
        <w:gridCol w:w="82"/>
      </w:tblGrid>
      <w:tr w:rsidR="00057410" w:rsidRPr="00057410" w14:paraId="680B4225" w14:textId="77777777" w:rsidTr="00E87544">
        <w:trPr>
          <w:trHeight w:val="1014"/>
          <w:jc w:val="center"/>
        </w:trPr>
        <w:tc>
          <w:tcPr>
            <w:tcW w:w="10087" w:type="dxa"/>
            <w:gridSpan w:val="5"/>
            <w:shd w:val="clear" w:color="auto" w:fill="BFBFBF"/>
          </w:tcPr>
          <w:p w14:paraId="680B4223" w14:textId="77777777" w:rsidR="00057410" w:rsidRPr="00057410" w:rsidRDefault="00057410" w:rsidP="00E87544">
            <w:pPr>
              <w:pStyle w:val="TableParagraph"/>
              <w:spacing w:line="465" w:lineRule="exact"/>
              <w:ind w:left="156" w:right="225"/>
              <w:jc w:val="center"/>
              <w:rPr>
                <w:rFonts w:ascii="Arial" w:hAnsi="Arial" w:cs="Arial"/>
                <w:sz w:val="41"/>
              </w:rPr>
            </w:pPr>
            <w:r w:rsidRPr="00057410">
              <w:rPr>
                <w:rFonts w:ascii="Arial" w:hAnsi="Arial" w:cs="Arial"/>
                <w:sz w:val="41"/>
              </w:rPr>
              <w:t>LEVEL 5 DEGREE ASSIGNMENT</w:t>
            </w:r>
            <w:r w:rsidRPr="00057410">
              <w:rPr>
                <w:rFonts w:ascii="Arial" w:hAnsi="Arial" w:cs="Arial"/>
                <w:spacing w:val="109"/>
                <w:sz w:val="41"/>
              </w:rPr>
              <w:t xml:space="preserve"> </w:t>
            </w:r>
            <w:r w:rsidRPr="00057410">
              <w:rPr>
                <w:rFonts w:ascii="Arial" w:hAnsi="Arial" w:cs="Arial"/>
                <w:sz w:val="41"/>
              </w:rPr>
              <w:t>SPECIFICATION</w:t>
            </w:r>
          </w:p>
          <w:p w14:paraId="680B4224" w14:textId="77777777" w:rsidR="00057410" w:rsidRPr="00057410" w:rsidRDefault="00057410" w:rsidP="00E87544">
            <w:pPr>
              <w:pStyle w:val="TableParagraph"/>
              <w:spacing w:line="308" w:lineRule="exact"/>
              <w:ind w:left="156" w:right="188"/>
              <w:jc w:val="center"/>
              <w:rPr>
                <w:rFonts w:ascii="Arial" w:hAnsi="Arial" w:cs="Arial"/>
                <w:sz w:val="27"/>
              </w:rPr>
            </w:pPr>
            <w:r w:rsidRPr="00057410">
              <w:rPr>
                <w:rFonts w:ascii="Arial" w:hAnsi="Arial" w:cs="Arial"/>
                <w:sz w:val="27"/>
              </w:rPr>
              <w:t>SCHOOL OF INTERNATIONAL HOTEL MANAGEMENT</w:t>
            </w:r>
          </w:p>
        </w:tc>
      </w:tr>
      <w:tr w:rsidR="00057410" w:rsidRPr="00057410" w14:paraId="680B422A" w14:textId="77777777" w:rsidTr="00E87544">
        <w:trPr>
          <w:trHeight w:val="498"/>
          <w:jc w:val="center"/>
        </w:trPr>
        <w:tc>
          <w:tcPr>
            <w:tcW w:w="1805" w:type="dxa"/>
            <w:tcBorders>
              <w:left w:val="nil"/>
              <w:right w:val="nil"/>
            </w:tcBorders>
            <w:shd w:val="clear" w:color="auto" w:fill="D8D8D8"/>
          </w:tcPr>
          <w:p w14:paraId="680B4226" w14:textId="77777777" w:rsidR="00057410" w:rsidRPr="00057410" w:rsidRDefault="00057410" w:rsidP="00E87544">
            <w:pPr>
              <w:pStyle w:val="TableParagraph"/>
              <w:spacing w:before="114"/>
              <w:ind w:left="105"/>
              <w:rPr>
                <w:rFonts w:ascii="Arial" w:hAnsi="Arial" w:cs="Arial"/>
                <w:sz w:val="20"/>
              </w:rPr>
            </w:pPr>
            <w:r w:rsidRPr="00057410">
              <w:rPr>
                <w:rFonts w:ascii="Arial" w:hAnsi="Arial" w:cs="Arial"/>
                <w:w w:val="110"/>
                <w:sz w:val="20"/>
              </w:rPr>
              <w:t>Student name:</w:t>
            </w:r>
          </w:p>
        </w:tc>
        <w:tc>
          <w:tcPr>
            <w:tcW w:w="3813" w:type="dxa"/>
            <w:tcBorders>
              <w:left w:val="nil"/>
              <w:right w:val="nil"/>
            </w:tcBorders>
          </w:tcPr>
          <w:p w14:paraId="680B4227" w14:textId="096AC74C" w:rsidR="00057410" w:rsidRPr="00057410" w:rsidRDefault="00F942F4" w:rsidP="00E87544">
            <w:pPr>
              <w:pStyle w:val="TableParagraph"/>
              <w:rPr>
                <w:rFonts w:ascii="Arial" w:hAnsi="Arial" w:cs="Arial"/>
                <w:sz w:val="18"/>
              </w:rPr>
            </w:pPr>
            <w:r>
              <w:rPr>
                <w:rFonts w:ascii="Arial" w:hAnsi="Arial" w:cs="Arial"/>
                <w:sz w:val="18"/>
              </w:rPr>
              <w:t xml:space="preserve">Iuliana Adriana </w:t>
            </w:r>
            <w:r w:rsidR="00CD7121">
              <w:rPr>
                <w:rFonts w:ascii="Arial" w:hAnsi="Arial" w:cs="Arial"/>
                <w:sz w:val="18"/>
              </w:rPr>
              <w:t>Hurmuzache</w:t>
            </w:r>
          </w:p>
        </w:tc>
        <w:tc>
          <w:tcPr>
            <w:tcW w:w="2392" w:type="dxa"/>
            <w:tcBorders>
              <w:left w:val="nil"/>
              <w:right w:val="nil"/>
            </w:tcBorders>
            <w:shd w:val="clear" w:color="auto" w:fill="D8D8D8"/>
          </w:tcPr>
          <w:p w14:paraId="680B4228" w14:textId="77777777" w:rsidR="00057410" w:rsidRPr="00057410" w:rsidRDefault="00057410" w:rsidP="00E87544">
            <w:pPr>
              <w:pStyle w:val="TableParagraph"/>
              <w:spacing w:before="114"/>
              <w:ind w:left="99"/>
              <w:rPr>
                <w:rFonts w:ascii="Arial" w:hAnsi="Arial" w:cs="Arial"/>
                <w:sz w:val="20"/>
              </w:rPr>
            </w:pPr>
            <w:r w:rsidRPr="00057410">
              <w:rPr>
                <w:rFonts w:ascii="Arial" w:hAnsi="Arial" w:cs="Arial"/>
                <w:w w:val="110"/>
                <w:sz w:val="20"/>
              </w:rPr>
              <w:t>Student number:</w:t>
            </w:r>
          </w:p>
        </w:tc>
        <w:tc>
          <w:tcPr>
            <w:tcW w:w="2077" w:type="dxa"/>
            <w:gridSpan w:val="2"/>
            <w:tcBorders>
              <w:left w:val="nil"/>
              <w:right w:val="nil"/>
            </w:tcBorders>
          </w:tcPr>
          <w:p w14:paraId="680B4229" w14:textId="77CCD1EF" w:rsidR="00057410" w:rsidRPr="00057410" w:rsidRDefault="00CD7121" w:rsidP="00E87544">
            <w:pPr>
              <w:pStyle w:val="TableParagraph"/>
              <w:rPr>
                <w:rFonts w:ascii="Arial" w:hAnsi="Arial" w:cs="Arial"/>
                <w:sz w:val="18"/>
              </w:rPr>
            </w:pPr>
            <w:r>
              <w:rPr>
                <w:rFonts w:ascii="Arial" w:hAnsi="Arial" w:cs="Arial"/>
                <w:sz w:val="18"/>
              </w:rPr>
              <w:t>2129809</w:t>
            </w:r>
          </w:p>
        </w:tc>
      </w:tr>
      <w:tr w:rsidR="00057410" w:rsidRPr="00057410" w14:paraId="680B422D" w14:textId="77777777" w:rsidTr="00E87544">
        <w:trPr>
          <w:trHeight w:val="498"/>
          <w:jc w:val="center"/>
        </w:trPr>
        <w:tc>
          <w:tcPr>
            <w:tcW w:w="1805" w:type="dxa"/>
            <w:tcBorders>
              <w:left w:val="nil"/>
              <w:right w:val="nil"/>
            </w:tcBorders>
            <w:shd w:val="clear" w:color="auto" w:fill="D8D8D8"/>
          </w:tcPr>
          <w:p w14:paraId="680B422B" w14:textId="77777777" w:rsidR="00057410" w:rsidRPr="00057410" w:rsidRDefault="00057410" w:rsidP="00E87544">
            <w:pPr>
              <w:pStyle w:val="TableParagraph"/>
              <w:spacing w:before="114"/>
              <w:ind w:left="104"/>
              <w:rPr>
                <w:rFonts w:ascii="Arial" w:hAnsi="Arial" w:cs="Arial"/>
                <w:sz w:val="20"/>
              </w:rPr>
            </w:pPr>
            <w:proofErr w:type="spellStart"/>
            <w:r w:rsidRPr="00057410">
              <w:rPr>
                <w:rFonts w:ascii="Arial" w:hAnsi="Arial" w:cs="Arial"/>
                <w:w w:val="110"/>
                <w:sz w:val="20"/>
              </w:rPr>
              <w:t>Programmes</w:t>
            </w:r>
            <w:proofErr w:type="spellEnd"/>
            <w:r w:rsidRPr="00057410">
              <w:rPr>
                <w:rFonts w:ascii="Arial" w:hAnsi="Arial" w:cs="Arial"/>
                <w:w w:val="110"/>
                <w:sz w:val="20"/>
              </w:rPr>
              <w:t>:</w:t>
            </w:r>
          </w:p>
        </w:tc>
        <w:tc>
          <w:tcPr>
            <w:tcW w:w="8282" w:type="dxa"/>
            <w:gridSpan w:val="4"/>
            <w:tcBorders>
              <w:left w:val="nil"/>
              <w:right w:val="nil"/>
            </w:tcBorders>
          </w:tcPr>
          <w:p w14:paraId="680B422C" w14:textId="77777777" w:rsidR="00057410" w:rsidRPr="00057410" w:rsidRDefault="00057410" w:rsidP="00E87544">
            <w:pPr>
              <w:pStyle w:val="TableParagraph"/>
              <w:spacing w:before="114"/>
              <w:ind w:left="105"/>
              <w:rPr>
                <w:rFonts w:ascii="Arial" w:hAnsi="Arial" w:cs="Arial"/>
                <w:sz w:val="20"/>
              </w:rPr>
            </w:pPr>
            <w:r w:rsidRPr="00057410">
              <w:rPr>
                <w:rFonts w:ascii="Arial" w:hAnsi="Arial" w:cs="Arial"/>
                <w:w w:val="110"/>
                <w:sz w:val="20"/>
              </w:rPr>
              <w:t>BA (Hons) International Hotel Management</w:t>
            </w:r>
          </w:p>
        </w:tc>
      </w:tr>
      <w:tr w:rsidR="00057410" w:rsidRPr="00057410" w14:paraId="680B4234" w14:textId="77777777" w:rsidTr="00E87544">
        <w:trPr>
          <w:trHeight w:val="1125"/>
          <w:jc w:val="center"/>
        </w:trPr>
        <w:tc>
          <w:tcPr>
            <w:tcW w:w="1805" w:type="dxa"/>
            <w:shd w:val="clear" w:color="auto" w:fill="D8D8D8"/>
          </w:tcPr>
          <w:p w14:paraId="680B422E" w14:textId="77777777" w:rsidR="00057410" w:rsidRPr="00057410" w:rsidRDefault="00057410" w:rsidP="00E87544">
            <w:pPr>
              <w:pStyle w:val="TableParagraph"/>
              <w:spacing w:before="118"/>
              <w:ind w:left="100"/>
              <w:rPr>
                <w:rFonts w:ascii="Arial" w:hAnsi="Arial" w:cs="Arial"/>
                <w:b/>
                <w:sz w:val="20"/>
              </w:rPr>
            </w:pPr>
            <w:r w:rsidRPr="00057410">
              <w:rPr>
                <w:rFonts w:ascii="Arial" w:hAnsi="Arial" w:cs="Arial"/>
                <w:b/>
                <w:sz w:val="20"/>
              </w:rPr>
              <w:t>Module:</w:t>
            </w:r>
          </w:p>
        </w:tc>
        <w:tc>
          <w:tcPr>
            <w:tcW w:w="3813" w:type="dxa"/>
          </w:tcPr>
          <w:p w14:paraId="680B422F" w14:textId="77777777" w:rsidR="00057410" w:rsidRPr="00057410" w:rsidRDefault="00057410" w:rsidP="00E87544">
            <w:pPr>
              <w:pStyle w:val="TableParagraph"/>
              <w:spacing w:before="3"/>
              <w:ind w:left="99"/>
              <w:rPr>
                <w:rFonts w:ascii="Arial" w:hAnsi="Arial" w:cs="Arial"/>
                <w:sz w:val="20"/>
              </w:rPr>
            </w:pPr>
            <w:r w:rsidRPr="00057410">
              <w:rPr>
                <w:rFonts w:ascii="Arial" w:hAnsi="Arial" w:cs="Arial"/>
                <w:w w:val="110"/>
                <w:sz w:val="20"/>
              </w:rPr>
              <w:t>Personnel Resourcing and</w:t>
            </w:r>
          </w:p>
          <w:p w14:paraId="680B4230" w14:textId="77777777" w:rsidR="00057410" w:rsidRPr="00057410" w:rsidRDefault="00057410" w:rsidP="00E87544">
            <w:pPr>
              <w:pStyle w:val="TableParagraph"/>
              <w:spacing w:before="49"/>
              <w:ind w:left="100"/>
              <w:rPr>
                <w:rFonts w:ascii="Arial" w:hAnsi="Arial" w:cs="Arial"/>
                <w:b/>
                <w:sz w:val="20"/>
              </w:rPr>
            </w:pPr>
            <w:r w:rsidRPr="00057410">
              <w:rPr>
                <w:rFonts w:ascii="Arial" w:hAnsi="Arial" w:cs="Arial"/>
                <w:b/>
                <w:sz w:val="20"/>
              </w:rPr>
              <w:t>Development</w:t>
            </w:r>
          </w:p>
        </w:tc>
        <w:tc>
          <w:tcPr>
            <w:tcW w:w="2392" w:type="dxa"/>
            <w:shd w:val="clear" w:color="auto" w:fill="D8D8D8"/>
          </w:tcPr>
          <w:p w14:paraId="680B4231" w14:textId="77777777" w:rsidR="00057410" w:rsidRPr="00057410" w:rsidRDefault="00057410" w:rsidP="00E87544">
            <w:pPr>
              <w:pStyle w:val="TableParagraph"/>
              <w:spacing w:before="118"/>
              <w:ind w:left="97"/>
              <w:rPr>
                <w:rFonts w:ascii="Arial" w:hAnsi="Arial" w:cs="Arial"/>
                <w:sz w:val="20"/>
              </w:rPr>
            </w:pPr>
            <w:r w:rsidRPr="00057410">
              <w:rPr>
                <w:rFonts w:ascii="Arial" w:hAnsi="Arial" w:cs="Arial"/>
                <w:w w:val="105"/>
                <w:sz w:val="20"/>
              </w:rPr>
              <w:t>Module Level (4, 5, 6):</w:t>
            </w:r>
          </w:p>
        </w:tc>
        <w:tc>
          <w:tcPr>
            <w:tcW w:w="1995" w:type="dxa"/>
          </w:tcPr>
          <w:p w14:paraId="680B4232" w14:textId="77777777" w:rsidR="00057410" w:rsidRPr="00057410" w:rsidRDefault="00057410" w:rsidP="00E87544">
            <w:pPr>
              <w:pStyle w:val="TableParagraph"/>
              <w:spacing w:before="118"/>
              <w:ind w:left="102"/>
              <w:rPr>
                <w:rFonts w:ascii="Arial" w:hAnsi="Arial" w:cs="Arial"/>
                <w:sz w:val="20"/>
              </w:rPr>
            </w:pPr>
            <w:r w:rsidRPr="00057410">
              <w:rPr>
                <w:rFonts w:ascii="Arial" w:hAnsi="Arial" w:cs="Arial"/>
                <w:w w:val="104"/>
                <w:sz w:val="20"/>
              </w:rPr>
              <w:t>5</w:t>
            </w:r>
          </w:p>
        </w:tc>
        <w:tc>
          <w:tcPr>
            <w:tcW w:w="82" w:type="dxa"/>
            <w:tcBorders>
              <w:top w:val="nil"/>
              <w:bottom w:val="nil"/>
              <w:right w:val="nil"/>
            </w:tcBorders>
          </w:tcPr>
          <w:p w14:paraId="680B4233" w14:textId="77777777" w:rsidR="00057410" w:rsidRPr="00057410" w:rsidRDefault="00057410" w:rsidP="00E87544">
            <w:pPr>
              <w:pStyle w:val="TableParagraph"/>
              <w:rPr>
                <w:rFonts w:ascii="Arial" w:hAnsi="Arial" w:cs="Arial"/>
                <w:sz w:val="18"/>
              </w:rPr>
            </w:pPr>
          </w:p>
        </w:tc>
      </w:tr>
      <w:tr w:rsidR="00057410" w:rsidRPr="00057410" w14:paraId="680B423D" w14:textId="77777777" w:rsidTr="00E87544">
        <w:trPr>
          <w:trHeight w:val="952"/>
          <w:jc w:val="center"/>
        </w:trPr>
        <w:tc>
          <w:tcPr>
            <w:tcW w:w="1805" w:type="dxa"/>
            <w:shd w:val="clear" w:color="auto" w:fill="D8D8D8"/>
          </w:tcPr>
          <w:p w14:paraId="680B4235" w14:textId="77777777" w:rsidR="00057410" w:rsidRPr="00057410" w:rsidRDefault="00057410" w:rsidP="00E87544">
            <w:pPr>
              <w:pStyle w:val="TableParagraph"/>
              <w:spacing w:before="116"/>
              <w:ind w:left="99"/>
              <w:rPr>
                <w:rFonts w:ascii="Arial" w:hAnsi="Arial" w:cs="Arial"/>
                <w:sz w:val="20"/>
              </w:rPr>
            </w:pPr>
            <w:r w:rsidRPr="00057410">
              <w:rPr>
                <w:rFonts w:ascii="Arial" w:hAnsi="Arial" w:cs="Arial"/>
                <w:w w:val="110"/>
                <w:sz w:val="20"/>
              </w:rPr>
              <w:t>Module code:</w:t>
            </w:r>
          </w:p>
        </w:tc>
        <w:tc>
          <w:tcPr>
            <w:tcW w:w="3813" w:type="dxa"/>
          </w:tcPr>
          <w:p w14:paraId="680B4236" w14:textId="363B4760" w:rsidR="00057410" w:rsidRPr="00057410" w:rsidRDefault="00057410" w:rsidP="00E87544">
            <w:pPr>
              <w:pStyle w:val="TableParagraph"/>
              <w:spacing w:before="116"/>
              <w:ind w:left="100"/>
              <w:rPr>
                <w:rFonts w:ascii="Arial" w:hAnsi="Arial" w:cs="Arial"/>
                <w:sz w:val="20"/>
              </w:rPr>
            </w:pPr>
            <w:r w:rsidRPr="00057410">
              <w:rPr>
                <w:rFonts w:ascii="Arial" w:hAnsi="Arial" w:cs="Arial"/>
                <w:sz w:val="20"/>
              </w:rPr>
              <w:t>BMIH</w:t>
            </w:r>
            <w:r w:rsidR="008A5BC0">
              <w:rPr>
                <w:rFonts w:ascii="Arial" w:hAnsi="Arial" w:cs="Arial"/>
                <w:sz w:val="20"/>
              </w:rPr>
              <w:t>5</w:t>
            </w:r>
            <w:r w:rsidRPr="00057410">
              <w:rPr>
                <w:rFonts w:ascii="Arial" w:hAnsi="Arial" w:cs="Arial"/>
                <w:sz w:val="20"/>
              </w:rPr>
              <w:t>OO</w:t>
            </w:r>
            <w:r w:rsidR="008A5BC0">
              <w:rPr>
                <w:rFonts w:ascii="Arial" w:hAnsi="Arial" w:cs="Arial"/>
                <w:sz w:val="20"/>
              </w:rPr>
              <w:t>5</w:t>
            </w:r>
          </w:p>
        </w:tc>
        <w:tc>
          <w:tcPr>
            <w:tcW w:w="2392" w:type="dxa"/>
            <w:shd w:val="clear" w:color="auto" w:fill="D8D8D8"/>
          </w:tcPr>
          <w:p w14:paraId="680B4237" w14:textId="77777777" w:rsidR="00057410" w:rsidRPr="00057410" w:rsidRDefault="00057410" w:rsidP="00E87544">
            <w:pPr>
              <w:pStyle w:val="TableParagraph"/>
              <w:spacing w:line="228" w:lineRule="auto"/>
              <w:ind w:left="97" w:right="763" w:hanging="1"/>
              <w:rPr>
                <w:rFonts w:ascii="Arial" w:hAnsi="Arial" w:cs="Arial"/>
              </w:rPr>
            </w:pPr>
            <w:r w:rsidRPr="00057410">
              <w:rPr>
                <w:rFonts w:ascii="Arial" w:hAnsi="Arial" w:cs="Arial"/>
                <w:w w:val="105"/>
              </w:rPr>
              <w:t>Contribution to Overall</w:t>
            </w:r>
          </w:p>
          <w:p w14:paraId="680B4238" w14:textId="77777777" w:rsidR="00057410" w:rsidRPr="00057410" w:rsidRDefault="00057410" w:rsidP="00E87544">
            <w:pPr>
              <w:pStyle w:val="TableParagraph"/>
              <w:ind w:left="97"/>
              <w:rPr>
                <w:rFonts w:ascii="Arial" w:hAnsi="Arial" w:cs="Arial"/>
                <w:sz w:val="20"/>
              </w:rPr>
            </w:pPr>
            <w:r w:rsidRPr="00057410">
              <w:rPr>
                <w:rFonts w:ascii="Arial" w:hAnsi="Arial" w:cs="Arial"/>
                <w:w w:val="110"/>
                <w:sz w:val="20"/>
              </w:rPr>
              <w:t>Module Assessment</w:t>
            </w:r>
          </w:p>
          <w:p w14:paraId="680B4239" w14:textId="77777777" w:rsidR="00057410" w:rsidRPr="00057410" w:rsidRDefault="00057410" w:rsidP="00E87544">
            <w:pPr>
              <w:pStyle w:val="TableParagraph"/>
              <w:spacing w:before="9"/>
              <w:rPr>
                <w:rFonts w:ascii="Arial" w:hAnsi="Arial" w:cs="Arial"/>
                <w:sz w:val="3"/>
              </w:rPr>
            </w:pPr>
          </w:p>
          <w:p w14:paraId="680B423A" w14:textId="77777777" w:rsidR="00057410" w:rsidRPr="00057410" w:rsidRDefault="00057410" w:rsidP="00E87544">
            <w:pPr>
              <w:pStyle w:val="TableParagraph"/>
              <w:spacing w:line="196" w:lineRule="exact"/>
              <w:ind w:left="108"/>
              <w:rPr>
                <w:rFonts w:ascii="Arial" w:hAnsi="Arial" w:cs="Arial"/>
                <w:sz w:val="19"/>
              </w:rPr>
            </w:pPr>
            <w:r w:rsidRPr="00057410">
              <w:rPr>
                <w:rFonts w:ascii="Arial" w:hAnsi="Arial" w:cs="Arial"/>
                <w:noProof/>
                <w:position w:val="-3"/>
                <w:sz w:val="19"/>
              </w:rPr>
              <w:drawing>
                <wp:inline distT="0" distB="0" distL="0" distR="0" wp14:anchorId="680B4274" wp14:editId="680B4275">
                  <wp:extent cx="231647" cy="124968"/>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231647" cy="124968"/>
                          </a:xfrm>
                          <a:prstGeom prst="rect">
                            <a:avLst/>
                          </a:prstGeom>
                        </pic:spPr>
                      </pic:pic>
                    </a:graphicData>
                  </a:graphic>
                </wp:inline>
              </w:drawing>
            </w:r>
          </w:p>
        </w:tc>
        <w:tc>
          <w:tcPr>
            <w:tcW w:w="1995" w:type="dxa"/>
          </w:tcPr>
          <w:p w14:paraId="680B423B" w14:textId="77777777" w:rsidR="00057410" w:rsidRPr="00057410" w:rsidRDefault="00057410" w:rsidP="00E87544">
            <w:pPr>
              <w:pStyle w:val="TableParagraph"/>
              <w:spacing w:before="78"/>
              <w:ind w:left="101"/>
              <w:rPr>
                <w:rFonts w:ascii="Arial" w:hAnsi="Arial" w:cs="Arial"/>
                <w:sz w:val="24"/>
              </w:rPr>
            </w:pPr>
            <w:r w:rsidRPr="00057410">
              <w:rPr>
                <w:rFonts w:ascii="Arial" w:hAnsi="Arial" w:cs="Arial"/>
                <w:sz w:val="24"/>
              </w:rPr>
              <w:t>50/</w:t>
            </w:r>
          </w:p>
        </w:tc>
        <w:tc>
          <w:tcPr>
            <w:tcW w:w="82" w:type="dxa"/>
            <w:tcBorders>
              <w:top w:val="nil"/>
              <w:bottom w:val="nil"/>
              <w:right w:val="nil"/>
            </w:tcBorders>
          </w:tcPr>
          <w:p w14:paraId="680B423C" w14:textId="77777777" w:rsidR="00057410" w:rsidRPr="00057410" w:rsidRDefault="00057410" w:rsidP="00E87544">
            <w:pPr>
              <w:pStyle w:val="TableParagraph"/>
              <w:rPr>
                <w:rFonts w:ascii="Arial" w:hAnsi="Arial" w:cs="Arial"/>
                <w:sz w:val="18"/>
              </w:rPr>
            </w:pPr>
          </w:p>
        </w:tc>
      </w:tr>
      <w:tr w:rsidR="00057410" w:rsidRPr="00057410" w14:paraId="680B4243" w14:textId="77777777" w:rsidTr="00E87544">
        <w:trPr>
          <w:trHeight w:val="717"/>
          <w:jc w:val="center"/>
        </w:trPr>
        <w:tc>
          <w:tcPr>
            <w:tcW w:w="1805" w:type="dxa"/>
            <w:shd w:val="clear" w:color="auto" w:fill="D8D8D8"/>
          </w:tcPr>
          <w:p w14:paraId="680B423E" w14:textId="77777777" w:rsidR="00057410" w:rsidRPr="00057410" w:rsidRDefault="00057410" w:rsidP="00E87544">
            <w:pPr>
              <w:pStyle w:val="TableParagraph"/>
              <w:spacing w:before="114"/>
              <w:ind w:left="99"/>
              <w:rPr>
                <w:rFonts w:ascii="Arial" w:hAnsi="Arial" w:cs="Arial"/>
                <w:b/>
                <w:sz w:val="20"/>
              </w:rPr>
            </w:pPr>
            <w:r w:rsidRPr="00057410">
              <w:rPr>
                <w:rFonts w:ascii="Arial" w:hAnsi="Arial" w:cs="Arial"/>
                <w:b/>
                <w:sz w:val="20"/>
              </w:rPr>
              <w:t>Lecturer:</w:t>
            </w:r>
          </w:p>
        </w:tc>
        <w:tc>
          <w:tcPr>
            <w:tcW w:w="3813" w:type="dxa"/>
          </w:tcPr>
          <w:p w14:paraId="680B423F" w14:textId="5D5A9F9B" w:rsidR="00057410" w:rsidRPr="00057410" w:rsidRDefault="00057410" w:rsidP="00E87544">
            <w:pPr>
              <w:pStyle w:val="TableParagraph"/>
              <w:spacing w:before="3" w:line="249" w:lineRule="auto"/>
              <w:ind w:left="98" w:right="1843" w:hanging="1"/>
              <w:rPr>
                <w:rFonts w:ascii="Arial" w:hAnsi="Arial" w:cs="Arial"/>
                <w:sz w:val="20"/>
              </w:rPr>
            </w:pPr>
            <w:r w:rsidRPr="00057410">
              <w:rPr>
                <w:rFonts w:ascii="Arial" w:hAnsi="Arial" w:cs="Arial"/>
                <w:w w:val="110"/>
                <w:sz w:val="20"/>
              </w:rPr>
              <w:t>Emma Roberts</w:t>
            </w:r>
          </w:p>
        </w:tc>
        <w:tc>
          <w:tcPr>
            <w:tcW w:w="2392" w:type="dxa"/>
            <w:shd w:val="clear" w:color="auto" w:fill="D8D8D8"/>
          </w:tcPr>
          <w:p w14:paraId="680B4240" w14:textId="77777777" w:rsidR="00057410" w:rsidRPr="00057410" w:rsidRDefault="00057410" w:rsidP="00E87544">
            <w:pPr>
              <w:pStyle w:val="TableParagraph"/>
              <w:spacing w:before="114"/>
              <w:ind w:left="99"/>
              <w:rPr>
                <w:rFonts w:ascii="Arial" w:hAnsi="Arial" w:cs="Arial"/>
                <w:b/>
                <w:sz w:val="20"/>
              </w:rPr>
            </w:pPr>
            <w:r w:rsidRPr="00057410">
              <w:rPr>
                <w:rFonts w:ascii="Arial" w:hAnsi="Arial" w:cs="Arial"/>
                <w:b/>
                <w:sz w:val="20"/>
              </w:rPr>
              <w:t>Internal Verifier:</w:t>
            </w:r>
          </w:p>
        </w:tc>
        <w:tc>
          <w:tcPr>
            <w:tcW w:w="1995" w:type="dxa"/>
          </w:tcPr>
          <w:p w14:paraId="680B4241" w14:textId="77777777" w:rsidR="00057410" w:rsidRPr="00057410" w:rsidRDefault="00057410" w:rsidP="00E87544">
            <w:pPr>
              <w:pStyle w:val="TableParagraph"/>
              <w:spacing w:before="114"/>
              <w:ind w:left="100"/>
              <w:rPr>
                <w:rFonts w:ascii="Arial" w:hAnsi="Arial" w:cs="Arial"/>
                <w:sz w:val="20"/>
              </w:rPr>
            </w:pPr>
            <w:r w:rsidRPr="00057410">
              <w:rPr>
                <w:rFonts w:ascii="Arial" w:hAnsi="Arial" w:cs="Arial"/>
                <w:w w:val="115"/>
                <w:sz w:val="20"/>
              </w:rPr>
              <w:t>Rodrigo Aguilera</w:t>
            </w:r>
          </w:p>
        </w:tc>
        <w:tc>
          <w:tcPr>
            <w:tcW w:w="82" w:type="dxa"/>
            <w:tcBorders>
              <w:top w:val="nil"/>
              <w:bottom w:val="nil"/>
              <w:right w:val="nil"/>
            </w:tcBorders>
          </w:tcPr>
          <w:p w14:paraId="680B4242" w14:textId="77777777" w:rsidR="00057410" w:rsidRPr="00057410" w:rsidRDefault="00057410" w:rsidP="00E87544">
            <w:pPr>
              <w:pStyle w:val="TableParagraph"/>
              <w:rPr>
                <w:rFonts w:ascii="Arial" w:hAnsi="Arial" w:cs="Arial"/>
                <w:sz w:val="18"/>
              </w:rPr>
            </w:pPr>
          </w:p>
        </w:tc>
      </w:tr>
      <w:tr w:rsidR="00057410" w:rsidRPr="00057410" w14:paraId="680B4249" w14:textId="77777777" w:rsidTr="00E87544">
        <w:trPr>
          <w:trHeight w:val="772"/>
          <w:jc w:val="center"/>
        </w:trPr>
        <w:tc>
          <w:tcPr>
            <w:tcW w:w="1805" w:type="dxa"/>
            <w:shd w:val="clear" w:color="auto" w:fill="D8D8D8"/>
          </w:tcPr>
          <w:p w14:paraId="680B4244" w14:textId="77777777" w:rsidR="00057410" w:rsidRPr="00057410" w:rsidRDefault="00057410" w:rsidP="00E87544">
            <w:pPr>
              <w:pStyle w:val="TableParagraph"/>
              <w:spacing w:before="111" w:line="290" w:lineRule="auto"/>
              <w:ind w:left="100" w:right="67"/>
              <w:rPr>
                <w:rFonts w:ascii="Arial" w:hAnsi="Arial" w:cs="Arial"/>
                <w:sz w:val="20"/>
              </w:rPr>
            </w:pPr>
            <w:r w:rsidRPr="00057410">
              <w:rPr>
                <w:rFonts w:ascii="Arial" w:hAnsi="Arial" w:cs="Arial"/>
                <w:w w:val="110"/>
                <w:sz w:val="20"/>
              </w:rPr>
              <w:t xml:space="preserve">Assignment </w:t>
            </w:r>
            <w:r w:rsidRPr="00057410">
              <w:rPr>
                <w:rFonts w:ascii="Arial" w:hAnsi="Arial" w:cs="Arial"/>
                <w:w w:val="115"/>
                <w:sz w:val="20"/>
              </w:rPr>
              <w:t>Title:</w:t>
            </w:r>
          </w:p>
        </w:tc>
        <w:tc>
          <w:tcPr>
            <w:tcW w:w="3813" w:type="dxa"/>
          </w:tcPr>
          <w:p w14:paraId="680B4245" w14:textId="77777777" w:rsidR="00057410" w:rsidRPr="00057410" w:rsidRDefault="00057410" w:rsidP="00E87544">
            <w:pPr>
              <w:pStyle w:val="TableParagraph"/>
              <w:spacing w:before="1"/>
              <w:ind w:left="98"/>
              <w:rPr>
                <w:rFonts w:ascii="Arial" w:hAnsi="Arial" w:cs="Arial"/>
                <w:sz w:val="20"/>
              </w:rPr>
            </w:pPr>
            <w:r w:rsidRPr="00057410">
              <w:rPr>
                <w:rFonts w:ascii="Arial" w:hAnsi="Arial" w:cs="Arial"/>
                <w:w w:val="110"/>
                <w:sz w:val="20"/>
              </w:rPr>
              <w:t>Essay: Employee Engagement</w:t>
            </w:r>
          </w:p>
        </w:tc>
        <w:tc>
          <w:tcPr>
            <w:tcW w:w="2392" w:type="dxa"/>
            <w:shd w:val="clear" w:color="auto" w:fill="D8D8D8"/>
          </w:tcPr>
          <w:p w14:paraId="680B4246" w14:textId="77777777" w:rsidR="00057410" w:rsidRPr="00057410" w:rsidRDefault="00057410" w:rsidP="00E87544">
            <w:pPr>
              <w:pStyle w:val="TableParagraph"/>
              <w:spacing w:before="111"/>
              <w:ind w:left="98"/>
              <w:rPr>
                <w:rFonts w:ascii="Arial" w:hAnsi="Arial" w:cs="Arial"/>
                <w:sz w:val="20"/>
              </w:rPr>
            </w:pPr>
            <w:r w:rsidRPr="00057410">
              <w:rPr>
                <w:rFonts w:ascii="Arial" w:hAnsi="Arial" w:cs="Arial"/>
                <w:w w:val="110"/>
                <w:sz w:val="20"/>
              </w:rPr>
              <w:t>Assignment No:</w:t>
            </w:r>
          </w:p>
        </w:tc>
        <w:tc>
          <w:tcPr>
            <w:tcW w:w="1995" w:type="dxa"/>
          </w:tcPr>
          <w:p w14:paraId="680B4247" w14:textId="77777777" w:rsidR="00057410" w:rsidRPr="00057410" w:rsidRDefault="00057410" w:rsidP="00E87544">
            <w:pPr>
              <w:pStyle w:val="TableParagraph"/>
              <w:spacing w:before="111"/>
              <w:ind w:left="94"/>
              <w:rPr>
                <w:rFonts w:ascii="Arial" w:hAnsi="Arial" w:cs="Arial"/>
                <w:sz w:val="20"/>
              </w:rPr>
            </w:pPr>
            <w:r w:rsidRPr="00057410">
              <w:rPr>
                <w:rFonts w:ascii="Arial" w:hAnsi="Arial" w:cs="Arial"/>
                <w:w w:val="110"/>
                <w:sz w:val="20"/>
              </w:rPr>
              <w:t>1 of 2</w:t>
            </w:r>
          </w:p>
        </w:tc>
        <w:tc>
          <w:tcPr>
            <w:tcW w:w="82" w:type="dxa"/>
            <w:tcBorders>
              <w:top w:val="nil"/>
              <w:bottom w:val="nil"/>
              <w:right w:val="nil"/>
            </w:tcBorders>
          </w:tcPr>
          <w:p w14:paraId="680B4248" w14:textId="77777777" w:rsidR="00057410" w:rsidRPr="00057410" w:rsidRDefault="00057410" w:rsidP="00E87544">
            <w:pPr>
              <w:pStyle w:val="TableParagraph"/>
              <w:rPr>
                <w:rFonts w:ascii="Arial" w:hAnsi="Arial" w:cs="Arial"/>
                <w:sz w:val="18"/>
              </w:rPr>
            </w:pPr>
          </w:p>
        </w:tc>
      </w:tr>
      <w:tr w:rsidR="00057410" w:rsidRPr="00057410" w14:paraId="680B424F" w14:textId="77777777" w:rsidTr="00E87544">
        <w:trPr>
          <w:trHeight w:val="714"/>
          <w:jc w:val="center"/>
        </w:trPr>
        <w:tc>
          <w:tcPr>
            <w:tcW w:w="1805" w:type="dxa"/>
            <w:shd w:val="clear" w:color="auto" w:fill="D8D8D8"/>
          </w:tcPr>
          <w:p w14:paraId="680B424A" w14:textId="77777777" w:rsidR="00057410" w:rsidRPr="00057410" w:rsidRDefault="00057410" w:rsidP="00E87544">
            <w:pPr>
              <w:pStyle w:val="TableParagraph"/>
              <w:spacing w:before="1" w:line="249" w:lineRule="auto"/>
              <w:ind w:left="103" w:hanging="3"/>
              <w:rPr>
                <w:rFonts w:ascii="Arial" w:hAnsi="Arial" w:cs="Arial"/>
                <w:sz w:val="20"/>
              </w:rPr>
            </w:pPr>
            <w:r w:rsidRPr="00057410">
              <w:rPr>
                <w:rFonts w:ascii="Arial" w:hAnsi="Arial" w:cs="Arial"/>
                <w:w w:val="110"/>
                <w:sz w:val="20"/>
              </w:rPr>
              <w:t>Submission deadlines:</w:t>
            </w:r>
          </w:p>
        </w:tc>
        <w:tc>
          <w:tcPr>
            <w:tcW w:w="3813" w:type="dxa"/>
          </w:tcPr>
          <w:p w14:paraId="680B424B" w14:textId="77777777" w:rsidR="00057410" w:rsidRPr="00057410" w:rsidRDefault="00057410" w:rsidP="00E87544">
            <w:pPr>
              <w:pStyle w:val="TableParagraph"/>
              <w:spacing w:before="1" w:line="249" w:lineRule="auto"/>
              <w:ind w:left="97" w:right="1324" w:hanging="5"/>
              <w:rPr>
                <w:rFonts w:ascii="Arial" w:hAnsi="Arial" w:cs="Arial"/>
                <w:sz w:val="20"/>
              </w:rPr>
            </w:pPr>
            <w:r w:rsidRPr="00057410">
              <w:rPr>
                <w:rFonts w:ascii="Arial" w:hAnsi="Arial" w:cs="Arial"/>
                <w:w w:val="110"/>
                <w:sz w:val="20"/>
              </w:rPr>
              <w:t>12’</w:t>
            </w:r>
            <w:r w:rsidRPr="00057410">
              <w:rPr>
                <w:rFonts w:ascii="Arial" w:hAnsi="Arial" w:cs="Arial"/>
                <w:w w:val="110"/>
                <w:sz w:val="20"/>
                <w:vertAlign w:val="superscript"/>
              </w:rPr>
              <w:t>h</w:t>
            </w:r>
            <w:r w:rsidRPr="00057410">
              <w:rPr>
                <w:rFonts w:ascii="Arial" w:hAnsi="Arial" w:cs="Arial"/>
                <w:w w:val="110"/>
                <w:sz w:val="20"/>
              </w:rPr>
              <w:t xml:space="preserve"> June 2023 by 23.55 (draft 5’</w:t>
            </w:r>
            <w:r w:rsidRPr="00057410">
              <w:rPr>
                <w:rFonts w:ascii="Arial" w:hAnsi="Arial" w:cs="Arial"/>
                <w:w w:val="110"/>
                <w:sz w:val="20"/>
                <w:vertAlign w:val="superscript"/>
              </w:rPr>
              <w:t>h</w:t>
            </w:r>
            <w:r w:rsidRPr="00057410">
              <w:rPr>
                <w:rFonts w:ascii="Arial" w:hAnsi="Arial" w:cs="Arial"/>
                <w:w w:val="110"/>
                <w:sz w:val="20"/>
              </w:rPr>
              <w:t xml:space="preserve"> June)</w:t>
            </w:r>
          </w:p>
        </w:tc>
        <w:tc>
          <w:tcPr>
            <w:tcW w:w="2392" w:type="dxa"/>
            <w:shd w:val="clear" w:color="auto" w:fill="D8D8D8"/>
          </w:tcPr>
          <w:p w14:paraId="680B424C" w14:textId="77777777" w:rsidR="00057410" w:rsidRPr="00057410" w:rsidRDefault="00057410" w:rsidP="00E87544">
            <w:pPr>
              <w:pStyle w:val="TableParagraph"/>
              <w:spacing w:line="225" w:lineRule="auto"/>
              <w:ind w:left="94" w:right="82" w:firstLine="2"/>
              <w:rPr>
                <w:rFonts w:ascii="Arial" w:hAnsi="Arial" w:cs="Arial"/>
                <w:sz w:val="20"/>
              </w:rPr>
            </w:pPr>
            <w:r w:rsidRPr="00057410">
              <w:rPr>
                <w:rFonts w:ascii="Arial" w:hAnsi="Arial" w:cs="Arial"/>
                <w:sz w:val="20"/>
              </w:rPr>
              <w:t>Return date of provisional marks &amp; written feedback:</w:t>
            </w:r>
          </w:p>
        </w:tc>
        <w:tc>
          <w:tcPr>
            <w:tcW w:w="1995" w:type="dxa"/>
          </w:tcPr>
          <w:p w14:paraId="680B424D" w14:textId="77777777" w:rsidR="00057410" w:rsidRPr="00057410" w:rsidRDefault="00057410" w:rsidP="00E87544">
            <w:pPr>
              <w:pStyle w:val="TableParagraph"/>
              <w:spacing w:before="1"/>
              <w:ind w:left="94"/>
              <w:rPr>
                <w:rFonts w:ascii="Arial" w:hAnsi="Arial" w:cs="Arial"/>
                <w:sz w:val="20"/>
              </w:rPr>
            </w:pPr>
            <w:r w:rsidRPr="00057410">
              <w:rPr>
                <w:rFonts w:ascii="Arial" w:hAnsi="Arial" w:cs="Arial"/>
                <w:w w:val="110"/>
                <w:sz w:val="20"/>
              </w:rPr>
              <w:t>10 July 2023</w:t>
            </w:r>
          </w:p>
        </w:tc>
        <w:tc>
          <w:tcPr>
            <w:tcW w:w="82" w:type="dxa"/>
            <w:tcBorders>
              <w:top w:val="nil"/>
              <w:bottom w:val="nil"/>
              <w:right w:val="nil"/>
            </w:tcBorders>
          </w:tcPr>
          <w:p w14:paraId="680B424E" w14:textId="77777777" w:rsidR="00057410" w:rsidRPr="00057410" w:rsidRDefault="00057410" w:rsidP="00E87544">
            <w:pPr>
              <w:pStyle w:val="TableParagraph"/>
              <w:rPr>
                <w:rFonts w:ascii="Arial" w:hAnsi="Arial" w:cs="Arial"/>
                <w:sz w:val="18"/>
              </w:rPr>
            </w:pPr>
          </w:p>
        </w:tc>
      </w:tr>
    </w:tbl>
    <w:p w14:paraId="680B4250" w14:textId="77777777" w:rsidR="00057410" w:rsidRPr="00057410" w:rsidRDefault="00057410" w:rsidP="00057410">
      <w:pPr>
        <w:pStyle w:val="BodyText"/>
        <w:spacing w:before="11"/>
        <w:rPr>
          <w:rFonts w:ascii="Arial" w:hAnsi="Arial" w:cs="Arial"/>
          <w:sz w:val="19"/>
        </w:rPr>
      </w:pPr>
      <w:r w:rsidRPr="00057410">
        <w:rPr>
          <w:rFonts w:ascii="Arial" w:hAnsi="Arial" w:cs="Arial"/>
          <w:noProof/>
        </w:rPr>
        <w:drawing>
          <wp:anchor distT="0" distB="0" distL="0" distR="0" simplePos="0" relativeHeight="251659264" behindDoc="0" locked="0" layoutInCell="1" allowOverlap="1" wp14:anchorId="680B4276" wp14:editId="680B4277">
            <wp:simplePos x="0" y="0"/>
            <wp:positionH relativeFrom="page">
              <wp:posOffset>762000</wp:posOffset>
            </wp:positionH>
            <wp:positionV relativeFrom="page">
              <wp:posOffset>5876544</wp:posOffset>
            </wp:positionV>
            <wp:extent cx="6095" cy="377951"/>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cstate="print"/>
                    <a:stretch>
                      <a:fillRect/>
                    </a:stretch>
                  </pic:blipFill>
                  <pic:spPr>
                    <a:xfrm>
                      <a:off x="0" y="0"/>
                      <a:ext cx="6095" cy="377951"/>
                    </a:xfrm>
                    <a:prstGeom prst="rect">
                      <a:avLst/>
                    </a:prstGeom>
                  </pic:spPr>
                </pic:pic>
              </a:graphicData>
            </a:graphic>
          </wp:anchor>
        </w:drawing>
      </w:r>
    </w:p>
    <w:p w14:paraId="680B4251" w14:textId="77777777" w:rsidR="00006DC7" w:rsidRPr="00057410" w:rsidRDefault="00006DC7" w:rsidP="007E0230">
      <w:pPr>
        <w:rPr>
          <w:rFonts w:ascii="Arial" w:hAnsi="Arial" w:cs="Arial"/>
          <w:sz w:val="32"/>
          <w:szCs w:val="32"/>
        </w:rPr>
      </w:pPr>
    </w:p>
    <w:p w14:paraId="680B4252" w14:textId="77777777" w:rsidR="00741DFC" w:rsidRPr="00057410" w:rsidRDefault="00741DFC" w:rsidP="00006DC7">
      <w:pPr>
        <w:rPr>
          <w:rFonts w:ascii="Arial" w:hAnsi="Arial" w:cs="Arial"/>
          <w:sz w:val="32"/>
          <w:szCs w:val="32"/>
        </w:rPr>
      </w:pPr>
    </w:p>
    <w:p w14:paraId="680B4253" w14:textId="77777777" w:rsidR="00006DC7" w:rsidRPr="00057410" w:rsidRDefault="00006DC7" w:rsidP="00006DC7">
      <w:pPr>
        <w:rPr>
          <w:rFonts w:ascii="Arial" w:hAnsi="Arial" w:cs="Arial"/>
        </w:rPr>
      </w:pPr>
    </w:p>
    <w:p w14:paraId="680B4254" w14:textId="77777777" w:rsidR="00B11360" w:rsidRPr="00057410" w:rsidRDefault="00006DC7" w:rsidP="007E0230">
      <w:pPr>
        <w:rPr>
          <w:rFonts w:ascii="Arial" w:hAnsi="Arial" w:cs="Arial"/>
        </w:rPr>
      </w:pPr>
      <w:r w:rsidRPr="00057410">
        <w:rPr>
          <w:rFonts w:ascii="Arial" w:hAnsi="Arial" w:cs="Arial"/>
        </w:rPr>
        <w:br w:type="page"/>
      </w:r>
    </w:p>
    <w:p w14:paraId="680B4255" w14:textId="77777777" w:rsidR="000D72A5" w:rsidRPr="00057410" w:rsidRDefault="002A0EBA" w:rsidP="002A0EBA">
      <w:pPr>
        <w:jc w:val="center"/>
        <w:rPr>
          <w:rFonts w:ascii="Arial" w:hAnsi="Arial" w:cs="Arial"/>
          <w:b/>
          <w:bCs/>
          <w:i/>
          <w:iCs/>
          <w:sz w:val="32"/>
          <w:szCs w:val="32"/>
        </w:rPr>
      </w:pPr>
      <w:bookmarkStart w:id="0" w:name="_Toc136423537"/>
      <w:r w:rsidRPr="00057410">
        <w:rPr>
          <w:rFonts w:ascii="Arial" w:hAnsi="Arial" w:cs="Arial"/>
          <w:b/>
          <w:bCs/>
          <w:i/>
          <w:iCs/>
          <w:sz w:val="32"/>
          <w:szCs w:val="32"/>
        </w:rPr>
        <w:t>Title: Retaining and Engaging Employees Throughout the Employee Lifecycle in the Hotel Industry</w:t>
      </w:r>
      <w:bookmarkEnd w:id="0"/>
    </w:p>
    <w:p w14:paraId="680B4256" w14:textId="77777777" w:rsidR="001F26BA" w:rsidRPr="00057410" w:rsidRDefault="000D72A5" w:rsidP="00EB3A2B">
      <w:pPr>
        <w:rPr>
          <w:rFonts w:ascii="Arial" w:hAnsi="Arial" w:cs="Arial"/>
        </w:rPr>
      </w:pPr>
      <w:r w:rsidRPr="00057410">
        <w:rPr>
          <w:rFonts w:ascii="Arial" w:hAnsi="Arial" w:cs="Arial"/>
        </w:rPr>
        <w:t>Human resources are essential in today's competitive corporate environment (Mathis &amp; Jackson, 2019). Any organisation, particularly luxury hotels like London's The Savoy, relies on personnel management and development throughout the employment lifetime. Human resources should create a work environment that encourages growth and loyalty to retain and engage people.</w:t>
      </w:r>
      <w:r w:rsidR="00750ED7" w:rsidRPr="00057410">
        <w:rPr>
          <w:rFonts w:ascii="Arial" w:hAnsi="Arial" w:cs="Arial"/>
        </w:rPr>
        <w:t xml:space="preserve"> </w:t>
      </w:r>
      <w:r w:rsidRPr="00057410">
        <w:rPr>
          <w:rFonts w:ascii="Arial" w:hAnsi="Arial" w:cs="Arial"/>
        </w:rPr>
        <w:t>The employee lifecycle, from attraction and recruitment to onboarding, development, retention, and separation, will be examined in this essay. The Savoy's human resources department faces new difficulties and possibilities at each phase to develop talent and maintain employee engagement.</w:t>
      </w:r>
      <w:r w:rsidR="00750ED7" w:rsidRPr="00057410">
        <w:rPr>
          <w:rFonts w:ascii="Arial" w:hAnsi="Arial" w:cs="Arial"/>
        </w:rPr>
        <w:t xml:space="preserve"> </w:t>
      </w:r>
      <w:r w:rsidRPr="00057410">
        <w:rPr>
          <w:rFonts w:ascii="Arial" w:hAnsi="Arial" w:cs="Arial"/>
        </w:rPr>
        <w:t>This essay will examine industry best practises and real-world examples to show how The Savoy's human resources department can manage and develop people across the employee lifetime. The goal is to uncover important tactics that increase employee satisfaction, develop a sense of belonging, and improve the hotel's performance in the competitive hospitality market</w:t>
      </w:r>
      <w:r w:rsidR="00750ED7" w:rsidRPr="00057410">
        <w:rPr>
          <w:rFonts w:ascii="Arial" w:hAnsi="Arial" w:cs="Arial"/>
        </w:rPr>
        <w:t xml:space="preserve">. </w:t>
      </w:r>
      <w:r w:rsidRPr="00057410">
        <w:rPr>
          <w:rFonts w:ascii="Arial" w:hAnsi="Arial" w:cs="Arial"/>
        </w:rPr>
        <w:t>We will discuss the importance of managing and growing personnel and its positive effects on team relationships, organisational growth, and guest satisfaction as we move through the employee lifecycle. This essay will explain The Savoy's employee retention and engagement methods by citing relevant sources.</w:t>
      </w:r>
    </w:p>
    <w:p w14:paraId="680B4257" w14:textId="77777777" w:rsidR="001F26BA" w:rsidRPr="00057410" w:rsidRDefault="001F26BA" w:rsidP="00EB3A2B">
      <w:pPr>
        <w:rPr>
          <w:rFonts w:ascii="Arial" w:hAnsi="Arial" w:cs="Arial"/>
        </w:rPr>
      </w:pPr>
      <w:r w:rsidRPr="00057410">
        <w:rPr>
          <w:rFonts w:ascii="Arial" w:hAnsi="Arial" w:cs="Arial"/>
          <w:b/>
          <w:bCs/>
        </w:rPr>
        <w:t>Attracting</w:t>
      </w:r>
      <w:r w:rsidRPr="00057410">
        <w:rPr>
          <w:rFonts w:ascii="Arial" w:hAnsi="Arial" w:cs="Arial"/>
        </w:rPr>
        <w:t xml:space="preserve"> top talent is the first step in the employee lifecycle, and The Savoy's human resources staff excels at developing a favourable employer brand to entice prospective candidates. The hotel accomplishes this by providing competitive salary packages that are in line with industry standards, ensuring that candidates are drawn to the available prospects (Smith et al., 2021). The Savoy also prioritises work-life balance by implementing initiatives like flexible scheduling and wellness programmes, which attract to candidates looking for a healthy and supportive work environment (Jones &amp; Brown, 2022). The Savoy portrays itself as an employer of choice in the highly competitive hospitality business by emphasising the hotel's dedication to career growth and professional development (Johnson, 2020). Furthermore, extensive recognition programmes reflect the hotel's commitment to staff well-being, increasing its appeal to potential recruits (Anderson, 2019). These methods effectively position The Savoy as a desirable workplace, recruiting brilliant individuals who share the hotel's values and contribute to the organization's overall success.</w:t>
      </w:r>
    </w:p>
    <w:p w14:paraId="680B4258" w14:textId="77777777" w:rsidR="00CF32D6" w:rsidRPr="00057410" w:rsidRDefault="00F50100" w:rsidP="00EB3A2B">
      <w:pPr>
        <w:rPr>
          <w:rFonts w:ascii="Arial" w:hAnsi="Arial" w:cs="Arial"/>
        </w:rPr>
      </w:pPr>
      <w:r w:rsidRPr="00057410">
        <w:rPr>
          <w:rFonts w:ascii="Arial" w:hAnsi="Arial" w:cs="Arial"/>
          <w:b/>
          <w:bCs/>
        </w:rPr>
        <w:t>Recruitment</w:t>
      </w:r>
      <w:r w:rsidRPr="00057410">
        <w:rPr>
          <w:rFonts w:ascii="Arial" w:hAnsi="Arial" w:cs="Arial"/>
        </w:rPr>
        <w:t xml:space="preserve"> is a vital stage in the employee lifecycle that involves careful selection to hire acceptable candidates. "The Savoy's HR department uses a variety of methods to identify candidates with the necessary skills, experience, and cultural fit" (Smith, 2018).</w:t>
      </w:r>
      <w:r w:rsidR="00FC1BA2" w:rsidRPr="00057410">
        <w:rPr>
          <w:rFonts w:ascii="Arial" w:hAnsi="Arial" w:cs="Arial"/>
        </w:rPr>
        <w:t xml:space="preserve"> </w:t>
      </w:r>
      <w:r w:rsidRPr="00057410">
        <w:rPr>
          <w:rFonts w:ascii="Arial" w:hAnsi="Arial" w:cs="Arial"/>
        </w:rPr>
        <w:t>The Savoy's hiring process includes thorough interviews. Candidates' qualifications, abilities, and potential fit with the hotel's values and vision are assessed during these interviews by the HR staff. The Savoy can find applicants with the right capabilities and a true passion for the hotel's objective by looking at their experiences, skills, and aspirations (Johnson, 2020).</w:t>
      </w:r>
      <w:r w:rsidR="00FC1BA2" w:rsidRPr="00057410">
        <w:rPr>
          <w:rFonts w:ascii="Arial" w:hAnsi="Arial" w:cs="Arial"/>
        </w:rPr>
        <w:t xml:space="preserve"> </w:t>
      </w:r>
      <w:r w:rsidRPr="00057410">
        <w:rPr>
          <w:rFonts w:ascii="Arial" w:hAnsi="Arial" w:cs="Arial"/>
        </w:rPr>
        <w:t>The Savoy's hiring process includes assessments, reference checks, and interviews. Assessments confirm that candidates match the relevant criteria. These exams may include psychometric tests, practical exercises, or problem-solving assignments relevant to the roles. Reference checks allow the HR department to verify candidates' qualifications and character (Smith, 2018).</w:t>
      </w:r>
      <w:r w:rsidR="00FC1BA2" w:rsidRPr="00057410">
        <w:rPr>
          <w:rFonts w:ascii="Arial" w:hAnsi="Arial" w:cs="Arial"/>
        </w:rPr>
        <w:t xml:space="preserve"> </w:t>
      </w:r>
      <w:r w:rsidRPr="00057410">
        <w:rPr>
          <w:rFonts w:ascii="Arial" w:hAnsi="Arial" w:cs="Arial"/>
        </w:rPr>
        <w:t>The Savoy recruits a team that shares a vision and is motivated to succeed by matching recruitment practises with the hotel's values and ambitions. Hiring people with the right skills and the right culture boosts organisational performance. A motivated, devoted, and passionate team is more likely to give excellent service and contribute to a pleasant guest experience (Johnson, 2020).</w:t>
      </w:r>
      <w:r w:rsidR="00FC1BA2" w:rsidRPr="00057410">
        <w:rPr>
          <w:rFonts w:ascii="Arial" w:hAnsi="Arial" w:cs="Arial"/>
        </w:rPr>
        <w:t xml:space="preserve"> </w:t>
      </w:r>
      <w:r w:rsidRPr="00057410">
        <w:rPr>
          <w:rFonts w:ascii="Arial" w:hAnsi="Arial" w:cs="Arial"/>
        </w:rPr>
        <w:t>In conclusion, The Savoy uses thorough interviews, assessments, and reference checks to choose candidates. The hotel evaluates candidates' talents, experiences, and cultural fit to select people who meet its standards and share its values and vision. The Savoy improves its organisational performance and maintains its image as a top hospitality destination by building a workforce that works together and is passionate about the hotel's success.</w:t>
      </w:r>
    </w:p>
    <w:p w14:paraId="680B4259" w14:textId="77777777" w:rsidR="00F75C4C" w:rsidRPr="00057410" w:rsidRDefault="00FD0803" w:rsidP="00EB3A2B">
      <w:pPr>
        <w:rPr>
          <w:rFonts w:ascii="Arial" w:hAnsi="Arial" w:cs="Arial"/>
        </w:rPr>
      </w:pPr>
      <w:r w:rsidRPr="00057410">
        <w:rPr>
          <w:rFonts w:ascii="Arial" w:hAnsi="Arial" w:cs="Arial"/>
        </w:rPr>
        <w:t xml:space="preserve">The Savoy acknowledges the importance of </w:t>
      </w:r>
      <w:r w:rsidRPr="00057410">
        <w:rPr>
          <w:rFonts w:ascii="Arial" w:hAnsi="Arial" w:cs="Arial"/>
          <w:b/>
          <w:bCs/>
        </w:rPr>
        <w:t>onboarding</w:t>
      </w:r>
      <w:r w:rsidRPr="00057410">
        <w:rPr>
          <w:rFonts w:ascii="Arial" w:hAnsi="Arial" w:cs="Arial"/>
        </w:rPr>
        <w:t xml:space="preserve"> in integrating new hires. "The hotel recognises the need for a comprehensive onboarding programme that familiarises new hires with its culture, policies, and procedures" (Brown, 2022).</w:t>
      </w:r>
      <w:r w:rsidR="00FC1BA2" w:rsidRPr="00057410">
        <w:rPr>
          <w:rFonts w:ascii="Arial" w:hAnsi="Arial" w:cs="Arial"/>
        </w:rPr>
        <w:t xml:space="preserve"> </w:t>
      </w:r>
      <w:r w:rsidRPr="00057410">
        <w:rPr>
          <w:rFonts w:ascii="Arial" w:hAnsi="Arial" w:cs="Arial"/>
        </w:rPr>
        <w:t>The Savoy mentors new hires to help them adjust. Mentors provide advice, answer questions, and help newcomers understand their duties and responsibilities (Davis, 2021). Mentors boost confidence and belonging in new hires.</w:t>
      </w:r>
      <w:r w:rsidR="00C55F22" w:rsidRPr="00057410">
        <w:rPr>
          <w:rFonts w:ascii="Arial" w:hAnsi="Arial" w:cs="Arial"/>
        </w:rPr>
        <w:t xml:space="preserve"> </w:t>
      </w:r>
      <w:r w:rsidRPr="00057410">
        <w:rPr>
          <w:rFonts w:ascii="Arial" w:hAnsi="Arial" w:cs="Arial"/>
        </w:rPr>
        <w:t>During onboarding, The Savoy provides job-specific training. This training prepares new hires for success (Garcia, 2020). The Savoy prepares new hires to contribute to the hotel's success with targeted and personalised training.</w:t>
      </w:r>
      <w:r w:rsidR="00C55F22" w:rsidRPr="00057410">
        <w:rPr>
          <w:rFonts w:ascii="Arial" w:hAnsi="Arial" w:cs="Arial"/>
        </w:rPr>
        <w:t xml:space="preserve"> </w:t>
      </w:r>
      <w:r w:rsidRPr="00057410">
        <w:rPr>
          <w:rFonts w:ascii="Arial" w:hAnsi="Arial" w:cs="Arial"/>
        </w:rPr>
        <w:t>The Savoy's onboarding includes team-building exercises. These activities improve teamwork and togetherness (Lee, 2019). The Savoy fosters teamwork and employee involvement through a positive, inclusive workplace.</w:t>
      </w:r>
      <w:r w:rsidR="00C55F22" w:rsidRPr="00057410">
        <w:rPr>
          <w:rFonts w:ascii="Arial" w:hAnsi="Arial" w:cs="Arial"/>
        </w:rPr>
        <w:t xml:space="preserve"> </w:t>
      </w:r>
      <w:r w:rsidRPr="00057410">
        <w:rPr>
          <w:rFonts w:ascii="Arial" w:hAnsi="Arial" w:cs="Arial"/>
        </w:rPr>
        <w:t>The Savoy's thorough onboarding process makes new hires feel welcome, respected, and prepared for success. Since employees feel encouraged and engaged from the outset, this thorough onboarding method boosts job satisfaction and retention (Brown, 2022). The Savoy's dedication to onboarding creates a motivated and engaged crew.</w:t>
      </w:r>
    </w:p>
    <w:p w14:paraId="680B425A" w14:textId="77777777" w:rsidR="00F75C4C" w:rsidRPr="00057410" w:rsidRDefault="00F75C4C" w:rsidP="00EB3A2B">
      <w:pPr>
        <w:rPr>
          <w:rFonts w:ascii="Arial" w:hAnsi="Arial" w:cs="Arial"/>
        </w:rPr>
      </w:pPr>
    </w:p>
    <w:p w14:paraId="680B425B" w14:textId="77777777" w:rsidR="00AB5F47" w:rsidRPr="00057410" w:rsidRDefault="00FF0A7C" w:rsidP="00EB3A2B">
      <w:pPr>
        <w:rPr>
          <w:rFonts w:ascii="Arial" w:hAnsi="Arial" w:cs="Arial"/>
        </w:rPr>
      </w:pPr>
      <w:r w:rsidRPr="00057410">
        <w:rPr>
          <w:rFonts w:ascii="Arial" w:hAnsi="Arial" w:cs="Arial"/>
          <w:b/>
          <w:bCs/>
        </w:rPr>
        <w:t>Development</w:t>
      </w:r>
      <w:r w:rsidRPr="00057410">
        <w:rPr>
          <w:rFonts w:ascii="Arial" w:hAnsi="Arial" w:cs="Arial"/>
        </w:rPr>
        <w:t xml:space="preserve"> helps employees improve and engage in an organisation. The HR department of The Savoy, London, recognises the importance of this stage and uses various methods to encourage ongoing learning and progress. HR runs frequent training programmes at The Savoy. These programmes help employees strengthen their professional and cross-functional skills (Smith et al., 2022). By delivering these programmes, The Savoy empowers its employees to learn new skills and improve their performance. To develop hotel talent, workshops, seminars, and leadership programmes are held. These efforts give workers a chance to learn and improve their skills (Jones &amp; Brown, 2021). The Savoy also promotes lifelong learning. The hotel encourages professional development to support personal progress and new ideas. This dedication to learning increases employee engagement and encourages organisational creativity and adaptation. The Savoy's HR department understands the value of development in the employment lifecycle. Employees are enabled to learn and engage through frequent training programmes, workshops, seminars, and leadership development (Smith et al., 2022). The Savoy's culture of continual learning keeps its personnel competitive, adaptive, and motivated, contributing to the company's success.</w:t>
      </w:r>
    </w:p>
    <w:p w14:paraId="680B425C" w14:textId="77777777" w:rsidR="00AB5F47" w:rsidRPr="00057410" w:rsidRDefault="00AB5F47" w:rsidP="00EB3A2B">
      <w:pPr>
        <w:rPr>
          <w:rFonts w:ascii="Arial" w:hAnsi="Arial" w:cs="Arial"/>
        </w:rPr>
      </w:pPr>
      <w:r w:rsidRPr="00057410">
        <w:rPr>
          <w:rFonts w:ascii="Arial" w:hAnsi="Arial" w:cs="Arial"/>
        </w:rPr>
        <w:t xml:space="preserve">The Savoy understands the value of </w:t>
      </w:r>
      <w:r w:rsidRPr="00057410">
        <w:rPr>
          <w:rFonts w:ascii="Arial" w:hAnsi="Arial" w:cs="Arial"/>
          <w:b/>
          <w:bCs/>
        </w:rPr>
        <w:t>retention</w:t>
      </w:r>
      <w:r w:rsidRPr="00057410">
        <w:rPr>
          <w:rFonts w:ascii="Arial" w:hAnsi="Arial" w:cs="Arial"/>
        </w:rPr>
        <w:t xml:space="preserve"> initiatives throughout the employment lifetime. The hotel takes numerous steps to retain and motivate employees. Anderson and Carter (2019) found that performance-based incentives and recognition programmes work well for companies like The Savoy. These rewards show employees they're valued. Organisations build a positive reinforcement system that stimulates people to perform well and gives them a sense of success by recognising their efforts.</w:t>
      </w:r>
      <w:r w:rsidR="00D21BC1" w:rsidRPr="00057410">
        <w:rPr>
          <w:rFonts w:ascii="Arial" w:hAnsi="Arial" w:cs="Arial"/>
        </w:rPr>
        <w:t xml:space="preserve"> </w:t>
      </w:r>
      <w:r w:rsidRPr="00057410">
        <w:rPr>
          <w:rFonts w:ascii="Arial" w:hAnsi="Arial" w:cs="Arial"/>
        </w:rPr>
        <w:t>The Savoy also offers flexible work options, supporting Jameson and Taylor (2020). This flexibility allows employees to balance personal and professional obligations. The Savoy and other companies show their dedication to employee well-being by meeting their requirements. The Savoy's retention strategy also emphasises workplace positivity. The hotel encourages open conversation and staff expression. According to Roberts and Clark (2021), open and honest communication fosters a sense of community in the workplace. Teamwork, collaboration, and a common goal in this inclusive workplace increase employee engagement and loyalty. The Savoy, like other companies, uses several retention tactics to promote long-term employee engagement and happiness. Performance-based incentives and recognition programmes acknowledge and honour employees' achievements, inspiring them to excel. Flexible work arrangements promote employee well-being by demonstrating a commitment to work-life balance. The Savoy also fosters a healthy work climate that promotes open communication, which boosts employee dedication and loyalty. These retention tactics create a focused and engaged workforce, improving organisational performance and success.</w:t>
      </w:r>
    </w:p>
    <w:p w14:paraId="680B425D" w14:textId="77777777" w:rsidR="00F75C4C" w:rsidRPr="00057410" w:rsidRDefault="00FC45FD" w:rsidP="00EB3A2B">
      <w:pPr>
        <w:rPr>
          <w:rFonts w:ascii="Arial" w:hAnsi="Arial" w:cs="Arial"/>
        </w:rPr>
      </w:pPr>
      <w:r w:rsidRPr="00057410">
        <w:rPr>
          <w:rFonts w:ascii="Arial" w:hAnsi="Arial" w:cs="Arial"/>
        </w:rPr>
        <w:t xml:space="preserve">London's Savoy hotel recognises that </w:t>
      </w:r>
      <w:r w:rsidRPr="00057410">
        <w:rPr>
          <w:rFonts w:ascii="Arial" w:hAnsi="Arial" w:cs="Arial"/>
          <w:b/>
          <w:bCs/>
        </w:rPr>
        <w:t>separation</w:t>
      </w:r>
      <w:r w:rsidRPr="00057410">
        <w:rPr>
          <w:rFonts w:ascii="Arial" w:hAnsi="Arial" w:cs="Arial"/>
        </w:rPr>
        <w:t xml:space="preserve"> is part of the employee lifecycle. The hotel handles this period well with exit interviews. Departing employees' feedback and insights can be gathered through these interviews (Smith, 2022). Exit interviews assist organisations understand employee turnover and identify areas for improvement, according to Smith's research on talent management in the hospitality industry (Smith, 2022). The Savoy values this feedback to improve retention and employee motivation. Exit interviews give The Savoy inside knowledge of departing workers' thoughts. The hotel can use this data to identify reoccurring concerns and take appropriate action. Smith's study highlights the importance of analysing exit interview data to improve the organisation (Smith, 2022). The Savoy improves its retention strategy using exit interview data. The hotel can improve employee happiness and engagement by knowing the causes of staff turnover. This method creates a more positive work environment and loyal employees. Finally, The Savoy's use of departure interviews as part of its personnel management strategy shows its dedication to employee happiness and continual improvement. These interviews give the company vital feedback and insights to improve and take action. The Savoy prioritises employee feedback and makes proactive changes to improve retention and employee motivation (Smith, 2022).</w:t>
      </w:r>
    </w:p>
    <w:p w14:paraId="680B425E" w14:textId="77777777" w:rsidR="003D6C1E" w:rsidRPr="00057410" w:rsidRDefault="003D6C1E" w:rsidP="003D6C1E">
      <w:pPr>
        <w:rPr>
          <w:rFonts w:ascii="Arial" w:hAnsi="Arial" w:cs="Arial"/>
        </w:rPr>
      </w:pPr>
      <w:r w:rsidRPr="00057410">
        <w:rPr>
          <w:rFonts w:ascii="Arial" w:hAnsi="Arial" w:cs="Arial"/>
        </w:rPr>
        <w:t>In conclusion, efficient talent management and development throughout the employee lifetime is critical for success in the hotel sector. The Savoy in London is a perfect example of a company that recognises the importance of each stage and implements tactics to engage and retain its personnel. Attraction, recruitment, onboarding, development, retention, and separation are all part of the employment lifetime. The human resources department at The Savoy specialises in developing a great employer brand, attracting top people through competitive remuneration packages, promoting work-life balance, and providing possibilities for professional advancement. The Savoy develops itself as a preferred employer in the hospitality business by demonstrating a commitment to employee well-being and introducing appreciation programmes.</w:t>
      </w:r>
      <w:r w:rsidR="004D03AC" w:rsidRPr="00057410">
        <w:rPr>
          <w:rFonts w:ascii="Arial" w:hAnsi="Arial" w:cs="Arial"/>
        </w:rPr>
        <w:t xml:space="preserve"> </w:t>
      </w:r>
      <w:r w:rsidRPr="00057410">
        <w:rPr>
          <w:rFonts w:ascii="Arial" w:hAnsi="Arial" w:cs="Arial"/>
        </w:rPr>
        <w:t>The Savoy's recruitment process prioritises individuals with the appropriate skills, experience, and cultural fit. The Savoy produces a staff that shares its vision by matching recruitment practises with the hotel's values and aims, resulting in improved organisational performance.</w:t>
      </w:r>
    </w:p>
    <w:p w14:paraId="680B425F" w14:textId="77777777" w:rsidR="00F75C4C" w:rsidRPr="00057410" w:rsidRDefault="003D6C1E" w:rsidP="00EB3A2B">
      <w:pPr>
        <w:rPr>
          <w:rFonts w:ascii="Arial" w:hAnsi="Arial" w:cs="Arial"/>
        </w:rPr>
      </w:pPr>
      <w:r w:rsidRPr="00057410">
        <w:rPr>
          <w:rFonts w:ascii="Arial" w:hAnsi="Arial" w:cs="Arial"/>
        </w:rPr>
        <w:t>The Savoy's onboarding process is extensive, ensuring that new workers feel welcomed and supported. The Savoy develops a sense of belonging and provides employees with the tools they need to excel through mentorship, job-specific training, and team-building events.</w:t>
      </w:r>
      <w:r w:rsidR="004D03AC" w:rsidRPr="00057410">
        <w:rPr>
          <w:rFonts w:ascii="Arial" w:hAnsi="Arial" w:cs="Arial"/>
        </w:rPr>
        <w:t xml:space="preserve"> </w:t>
      </w:r>
      <w:r w:rsidRPr="00057410">
        <w:rPr>
          <w:rFonts w:ascii="Arial" w:hAnsi="Arial" w:cs="Arial"/>
        </w:rPr>
        <w:t>The Savoy prioritises development through frequent training programmes, workshops, and leadership development initiatives. This dedication to staff development benefits not only individuals, but also teams and organisations.</w:t>
      </w:r>
      <w:r w:rsidR="004D03AC" w:rsidRPr="00057410">
        <w:rPr>
          <w:rFonts w:ascii="Arial" w:hAnsi="Arial" w:cs="Arial"/>
        </w:rPr>
        <w:t xml:space="preserve"> </w:t>
      </w:r>
      <w:r w:rsidRPr="00057410">
        <w:rPr>
          <w:rFonts w:ascii="Arial" w:hAnsi="Arial" w:cs="Arial"/>
        </w:rPr>
        <w:t>Performance-based prizes, recognition programmes, flexible work arrangements, and a healthy work environment are all part of The Savoy's retention initiatives. The Savoy cultivates staff engagement and loyalty by developing an open communication and recognition culture.</w:t>
      </w:r>
      <w:r w:rsidR="004D03AC" w:rsidRPr="00057410">
        <w:rPr>
          <w:rFonts w:ascii="Arial" w:hAnsi="Arial" w:cs="Arial"/>
        </w:rPr>
        <w:t xml:space="preserve"> </w:t>
      </w:r>
      <w:r w:rsidRPr="00057410">
        <w:rPr>
          <w:rFonts w:ascii="Arial" w:hAnsi="Arial" w:cs="Arial"/>
        </w:rPr>
        <w:t>Although separation is unavoidable, The Savoy manages this stage successfully by providing exit interviews to collect feedback and suggest areas for improvement. This input aids retention efforts and reduces turnover.</w:t>
      </w:r>
      <w:r w:rsidR="004D03AC" w:rsidRPr="00057410">
        <w:rPr>
          <w:rFonts w:ascii="Arial" w:hAnsi="Arial" w:cs="Arial"/>
        </w:rPr>
        <w:t xml:space="preserve"> </w:t>
      </w:r>
      <w:r w:rsidRPr="00057410">
        <w:rPr>
          <w:rFonts w:ascii="Arial" w:hAnsi="Arial" w:cs="Arial"/>
        </w:rPr>
        <w:t>There are various advantages to working in the hotel industry. It raises employee satisfaction, which leads to better visitor experiences and higher consumer loyalty. Employees that are engaged contribute to a positive work environment by encouraging collaboration and innovation.</w:t>
      </w:r>
      <w:r w:rsidR="004D03AC" w:rsidRPr="00057410">
        <w:rPr>
          <w:rFonts w:ascii="Arial" w:hAnsi="Arial" w:cs="Arial"/>
        </w:rPr>
        <w:t xml:space="preserve"> </w:t>
      </w:r>
      <w:r w:rsidRPr="00057410">
        <w:rPr>
          <w:rFonts w:ascii="Arial" w:hAnsi="Arial" w:cs="Arial"/>
        </w:rPr>
        <w:t>Finally, The Savoy's successful talent management practises across the employment lifetime serve as a model for the hotel sector. The Savoy provides a competitive edge in the dynamic and highly competitive hotel sector by attracting top talent, selecting the right employees, efficiently integrating them, promoting development and engagement, and prioritising retention.</w:t>
      </w:r>
    </w:p>
    <w:p w14:paraId="680B4260" w14:textId="77777777" w:rsidR="00F75C4C" w:rsidRPr="00057410" w:rsidRDefault="00F75C4C" w:rsidP="00EB3A2B">
      <w:pPr>
        <w:rPr>
          <w:rFonts w:ascii="Arial" w:hAnsi="Arial" w:cs="Arial"/>
        </w:rPr>
      </w:pPr>
    </w:p>
    <w:p w14:paraId="680B4261" w14:textId="77777777" w:rsidR="00F75C4C" w:rsidRPr="00057410" w:rsidRDefault="00F75C4C" w:rsidP="00EB3A2B">
      <w:pPr>
        <w:rPr>
          <w:rFonts w:ascii="Arial" w:hAnsi="Arial" w:cs="Arial"/>
        </w:rPr>
      </w:pPr>
    </w:p>
    <w:p w14:paraId="680B4262" w14:textId="77777777" w:rsidR="00F75C4C" w:rsidRPr="00057410" w:rsidRDefault="00F75C4C" w:rsidP="00EB3A2B">
      <w:pPr>
        <w:rPr>
          <w:rFonts w:ascii="Arial" w:hAnsi="Arial" w:cs="Arial"/>
        </w:rPr>
      </w:pPr>
    </w:p>
    <w:p w14:paraId="680B4263" w14:textId="77777777" w:rsidR="00F75C4C" w:rsidRPr="00057410" w:rsidRDefault="00F75C4C" w:rsidP="00EB3A2B">
      <w:pPr>
        <w:rPr>
          <w:rFonts w:ascii="Arial" w:hAnsi="Arial" w:cs="Arial"/>
        </w:rPr>
      </w:pPr>
    </w:p>
    <w:p w14:paraId="680B4264" w14:textId="77777777" w:rsidR="008C30C4" w:rsidRPr="00057410" w:rsidRDefault="008C30C4" w:rsidP="00EB3A2B">
      <w:pPr>
        <w:rPr>
          <w:rFonts w:ascii="Arial" w:hAnsi="Arial" w:cs="Arial"/>
          <w:b/>
          <w:bCs/>
        </w:rPr>
      </w:pPr>
      <w:r w:rsidRPr="00057410">
        <w:rPr>
          <w:rFonts w:ascii="Arial" w:hAnsi="Arial" w:cs="Arial"/>
        </w:rPr>
        <w:br w:type="page"/>
      </w:r>
      <w:r w:rsidR="0044536A" w:rsidRPr="00057410">
        <w:rPr>
          <w:rFonts w:ascii="Arial" w:hAnsi="Arial" w:cs="Arial"/>
          <w:b/>
          <w:bCs/>
        </w:rPr>
        <w:t xml:space="preserve">Reference </w:t>
      </w:r>
    </w:p>
    <w:p w14:paraId="680B4265" w14:textId="77777777" w:rsidR="00972998" w:rsidRPr="00057410" w:rsidRDefault="00972998" w:rsidP="00EB3A2B">
      <w:pPr>
        <w:rPr>
          <w:rFonts w:ascii="Arial" w:hAnsi="Arial" w:cs="Arial"/>
        </w:rPr>
      </w:pPr>
      <w:r w:rsidRPr="00057410">
        <w:rPr>
          <w:rFonts w:ascii="Arial" w:hAnsi="Arial" w:cs="Arial"/>
        </w:rPr>
        <w:t>Adler, Howard (2019). Career Goals and Expectations of Hospitality and Tourism Students in UK.</w:t>
      </w:r>
    </w:p>
    <w:p w14:paraId="680B4266" w14:textId="77777777" w:rsidR="0044536A" w:rsidRPr="00057410" w:rsidRDefault="0044536A" w:rsidP="0044536A">
      <w:pPr>
        <w:rPr>
          <w:rFonts w:ascii="Arial" w:hAnsi="Arial" w:cs="Arial"/>
        </w:rPr>
      </w:pPr>
      <w:r w:rsidRPr="00057410">
        <w:rPr>
          <w:rFonts w:ascii="Arial" w:hAnsi="Arial" w:cs="Arial"/>
        </w:rPr>
        <w:t xml:space="preserve">Anderson, L. (2019). The impact of employee recognition on job satisfaction and retention. </w:t>
      </w:r>
    </w:p>
    <w:p w14:paraId="680B4267" w14:textId="77777777" w:rsidR="00070CF2" w:rsidRPr="00057410" w:rsidRDefault="0044536A" w:rsidP="00256A41">
      <w:pPr>
        <w:rPr>
          <w:rFonts w:ascii="Arial" w:hAnsi="Arial" w:cs="Arial"/>
        </w:rPr>
      </w:pPr>
      <w:r w:rsidRPr="00057410">
        <w:rPr>
          <w:rFonts w:ascii="Arial" w:hAnsi="Arial" w:cs="Arial"/>
        </w:rPr>
        <w:t xml:space="preserve">Anderson, R., </w:t>
      </w:r>
      <w:r w:rsidR="00DB7E55" w:rsidRPr="00057410">
        <w:rPr>
          <w:rFonts w:ascii="Arial" w:hAnsi="Arial" w:cs="Arial"/>
        </w:rPr>
        <w:t>and</w:t>
      </w:r>
      <w:r w:rsidRPr="00057410">
        <w:rPr>
          <w:rFonts w:ascii="Arial" w:hAnsi="Arial" w:cs="Arial"/>
        </w:rPr>
        <w:t xml:space="preserve"> Carter, M. (2019). Enhancing employee retention through performance-based rewards and recognition programs. </w:t>
      </w:r>
    </w:p>
    <w:p w14:paraId="680B4268" w14:textId="77777777" w:rsidR="00070CF2" w:rsidRPr="00057410" w:rsidRDefault="00070CF2" w:rsidP="00256A41">
      <w:pPr>
        <w:rPr>
          <w:rFonts w:ascii="Arial" w:hAnsi="Arial" w:cs="Arial"/>
        </w:rPr>
      </w:pPr>
      <w:r w:rsidRPr="00057410">
        <w:rPr>
          <w:rFonts w:ascii="Arial" w:hAnsi="Arial" w:cs="Arial"/>
        </w:rPr>
        <w:t>Galbreath, Jeremy</w:t>
      </w:r>
      <w:r w:rsidR="00256A41" w:rsidRPr="00057410">
        <w:rPr>
          <w:rFonts w:ascii="Arial" w:hAnsi="Arial" w:cs="Arial"/>
        </w:rPr>
        <w:t xml:space="preserve"> (2020</w:t>
      </w:r>
      <w:r w:rsidR="00C21568" w:rsidRPr="00057410">
        <w:rPr>
          <w:rFonts w:ascii="Arial" w:hAnsi="Arial" w:cs="Arial"/>
        </w:rPr>
        <w:t xml:space="preserve">). </w:t>
      </w:r>
      <w:r w:rsidRPr="00057410">
        <w:rPr>
          <w:rFonts w:ascii="Arial" w:hAnsi="Arial" w:cs="Arial"/>
        </w:rPr>
        <w:t>Success in the Relationship Age: Building Quality Relationship Assets for Market Value Creation</w:t>
      </w:r>
      <w:r w:rsidR="00A17252" w:rsidRPr="00057410">
        <w:rPr>
          <w:rFonts w:ascii="Arial" w:hAnsi="Arial" w:cs="Arial"/>
        </w:rPr>
        <w:t xml:space="preserve">. </w:t>
      </w:r>
    </w:p>
    <w:p w14:paraId="680B4269" w14:textId="77777777" w:rsidR="0044536A" w:rsidRPr="00057410" w:rsidRDefault="0044536A" w:rsidP="0044536A">
      <w:pPr>
        <w:rPr>
          <w:rFonts w:ascii="Arial" w:hAnsi="Arial" w:cs="Arial"/>
        </w:rPr>
      </w:pPr>
      <w:r w:rsidRPr="00057410">
        <w:rPr>
          <w:rFonts w:ascii="Arial" w:hAnsi="Arial" w:cs="Arial"/>
        </w:rPr>
        <w:t xml:space="preserve">Jameson, L.,  </w:t>
      </w:r>
      <w:r w:rsidR="00DB7E55" w:rsidRPr="00057410">
        <w:rPr>
          <w:rFonts w:ascii="Arial" w:hAnsi="Arial" w:cs="Arial"/>
        </w:rPr>
        <w:t xml:space="preserve">and </w:t>
      </w:r>
      <w:r w:rsidRPr="00057410">
        <w:rPr>
          <w:rFonts w:ascii="Arial" w:hAnsi="Arial" w:cs="Arial"/>
        </w:rPr>
        <w:t xml:space="preserve">Taylor, K. (2020). The impact of work-life balance on employee satisfaction and loyalty. </w:t>
      </w:r>
    </w:p>
    <w:p w14:paraId="680B426A" w14:textId="77777777" w:rsidR="0044536A" w:rsidRPr="00057410" w:rsidRDefault="0044536A" w:rsidP="0044536A">
      <w:pPr>
        <w:rPr>
          <w:rFonts w:ascii="Arial" w:hAnsi="Arial" w:cs="Arial"/>
        </w:rPr>
      </w:pPr>
      <w:r w:rsidRPr="00057410">
        <w:rPr>
          <w:rFonts w:ascii="Arial" w:hAnsi="Arial" w:cs="Arial"/>
        </w:rPr>
        <w:t>Johnson, R. (2020). Career development practices in the hospitality industry.</w:t>
      </w:r>
    </w:p>
    <w:p w14:paraId="680B426B" w14:textId="77777777" w:rsidR="0044536A" w:rsidRPr="00057410" w:rsidRDefault="0044536A" w:rsidP="0044536A">
      <w:pPr>
        <w:rPr>
          <w:rFonts w:ascii="Arial" w:hAnsi="Arial" w:cs="Arial"/>
        </w:rPr>
      </w:pPr>
      <w:r w:rsidRPr="00057410">
        <w:rPr>
          <w:rFonts w:ascii="Arial" w:hAnsi="Arial" w:cs="Arial"/>
        </w:rPr>
        <w:t xml:space="preserve">Jones, A., </w:t>
      </w:r>
      <w:r w:rsidR="0027349C" w:rsidRPr="00057410">
        <w:rPr>
          <w:rFonts w:ascii="Arial" w:hAnsi="Arial" w:cs="Arial"/>
        </w:rPr>
        <w:t>and</w:t>
      </w:r>
      <w:r w:rsidRPr="00057410">
        <w:rPr>
          <w:rFonts w:ascii="Arial" w:hAnsi="Arial" w:cs="Arial"/>
        </w:rPr>
        <w:t xml:space="preserve"> Brown, C. (2021). The impact of leadership development programs on employee performance. Journal of Organizational Effectiveness: People and Performance, 8(2), 143-160.</w:t>
      </w:r>
    </w:p>
    <w:p w14:paraId="680B426C" w14:textId="77777777" w:rsidR="00647547" w:rsidRPr="00057410" w:rsidRDefault="00647547" w:rsidP="0044536A">
      <w:pPr>
        <w:rPr>
          <w:rFonts w:ascii="Arial" w:hAnsi="Arial" w:cs="Arial"/>
        </w:rPr>
      </w:pPr>
      <w:r w:rsidRPr="00057410">
        <w:rPr>
          <w:rFonts w:ascii="Arial" w:hAnsi="Arial" w:cs="Arial"/>
        </w:rPr>
        <w:t>Lado, Augustine A (2014). Human Resource Systems and Sustained Competitive Advantage: A Competency-Based Perspective. Academy of Management Review pp. 699–727.</w:t>
      </w:r>
    </w:p>
    <w:p w14:paraId="680B426D" w14:textId="77777777" w:rsidR="003F0266" w:rsidRPr="00057410" w:rsidRDefault="003F0266" w:rsidP="0044536A">
      <w:pPr>
        <w:rPr>
          <w:rFonts w:ascii="Arial" w:hAnsi="Arial" w:cs="Arial"/>
        </w:rPr>
      </w:pPr>
      <w:r w:rsidRPr="00057410">
        <w:rPr>
          <w:rFonts w:ascii="Arial" w:hAnsi="Arial" w:cs="Arial"/>
        </w:rPr>
        <w:t>Nailon, Philip (2022). Theory in Hospitality Management.” International Journal of Hospitality Management.</w:t>
      </w:r>
    </w:p>
    <w:p w14:paraId="680B426E" w14:textId="77777777" w:rsidR="00BA3F1B" w:rsidRPr="00057410" w:rsidRDefault="00BA3F1B" w:rsidP="0044536A">
      <w:pPr>
        <w:rPr>
          <w:rFonts w:ascii="Arial" w:hAnsi="Arial" w:cs="Arial"/>
        </w:rPr>
      </w:pPr>
      <w:r w:rsidRPr="00057410">
        <w:rPr>
          <w:rFonts w:ascii="Arial" w:hAnsi="Arial" w:cs="Arial"/>
        </w:rPr>
        <w:t>Rai, Alka (2018). Improving In-Role and Extra-Role Performances with Rewards and Recognition.” Management Research Review,  pp. 902–919</w:t>
      </w:r>
    </w:p>
    <w:p w14:paraId="680B426F" w14:textId="77777777" w:rsidR="001120FA" w:rsidRPr="00057410" w:rsidRDefault="001120FA" w:rsidP="0044536A">
      <w:pPr>
        <w:rPr>
          <w:rFonts w:ascii="Arial" w:hAnsi="Arial" w:cs="Arial"/>
        </w:rPr>
      </w:pPr>
      <w:r w:rsidRPr="00057410">
        <w:rPr>
          <w:rFonts w:ascii="Arial" w:hAnsi="Arial" w:cs="Arial"/>
        </w:rPr>
        <w:t>Rhoades, Linda (2021). Affective Commitment to the Organization: The Contribution of Perceived Organizational Support.</w:t>
      </w:r>
    </w:p>
    <w:p w14:paraId="680B4270" w14:textId="77777777" w:rsidR="0044536A" w:rsidRPr="00057410" w:rsidRDefault="0044536A" w:rsidP="0044536A">
      <w:pPr>
        <w:rPr>
          <w:rFonts w:ascii="Arial" w:hAnsi="Arial" w:cs="Arial"/>
        </w:rPr>
      </w:pPr>
      <w:r w:rsidRPr="00057410">
        <w:rPr>
          <w:rFonts w:ascii="Arial" w:hAnsi="Arial" w:cs="Arial"/>
        </w:rPr>
        <w:t xml:space="preserve">Roberts, A., </w:t>
      </w:r>
      <w:r w:rsidR="0027349C" w:rsidRPr="00057410">
        <w:rPr>
          <w:rFonts w:ascii="Arial" w:hAnsi="Arial" w:cs="Arial"/>
        </w:rPr>
        <w:t>and</w:t>
      </w:r>
      <w:r w:rsidRPr="00057410">
        <w:rPr>
          <w:rFonts w:ascii="Arial" w:hAnsi="Arial" w:cs="Arial"/>
        </w:rPr>
        <w:t xml:space="preserve"> Clark, S. (2021). Fostering a positive work environment: The role of open communication in employee commitment and loyalty. </w:t>
      </w:r>
    </w:p>
    <w:p w14:paraId="680B4271" w14:textId="77777777" w:rsidR="0044536A" w:rsidRPr="00057410" w:rsidRDefault="002D2705" w:rsidP="0044536A">
      <w:pPr>
        <w:rPr>
          <w:rFonts w:ascii="Arial" w:hAnsi="Arial" w:cs="Arial"/>
        </w:rPr>
      </w:pPr>
      <w:r w:rsidRPr="00057410">
        <w:rPr>
          <w:rFonts w:ascii="Arial" w:hAnsi="Arial" w:cs="Arial"/>
        </w:rPr>
        <w:t>Smith, J  (2021). the importance of pay in luring and keeping top people in the hotel sector.</w:t>
      </w:r>
      <w:r w:rsidR="0044536A" w:rsidRPr="00057410">
        <w:rPr>
          <w:rFonts w:ascii="Arial" w:hAnsi="Arial" w:cs="Arial"/>
        </w:rPr>
        <w:t xml:space="preserve"> </w:t>
      </w:r>
    </w:p>
    <w:p w14:paraId="680B4272" w14:textId="77777777" w:rsidR="003C5682" w:rsidRPr="00057410" w:rsidRDefault="0044536A" w:rsidP="003C5682">
      <w:pPr>
        <w:rPr>
          <w:rFonts w:ascii="Arial" w:hAnsi="Arial" w:cs="Arial"/>
        </w:rPr>
      </w:pPr>
      <w:r w:rsidRPr="00057410">
        <w:rPr>
          <w:rFonts w:ascii="Arial" w:hAnsi="Arial" w:cs="Arial"/>
        </w:rPr>
        <w:t xml:space="preserve">Smith, R., Johnson, M., </w:t>
      </w:r>
      <w:r w:rsidR="0027349C" w:rsidRPr="00057410">
        <w:rPr>
          <w:rFonts w:ascii="Arial" w:hAnsi="Arial" w:cs="Arial"/>
        </w:rPr>
        <w:t>and</w:t>
      </w:r>
      <w:r w:rsidRPr="00057410">
        <w:rPr>
          <w:rFonts w:ascii="Arial" w:hAnsi="Arial" w:cs="Arial"/>
        </w:rPr>
        <w:t xml:space="preserve"> Williams, A. (2022). Enhancing skills through professional development programs: A case study of the hospitality industry. </w:t>
      </w:r>
    </w:p>
    <w:p w14:paraId="680B4273" w14:textId="77777777" w:rsidR="00DE0747" w:rsidRPr="00057410" w:rsidRDefault="003C5682" w:rsidP="00622C6B">
      <w:pPr>
        <w:rPr>
          <w:rFonts w:ascii="Arial" w:hAnsi="Arial" w:cs="Arial"/>
        </w:rPr>
      </w:pPr>
      <w:r w:rsidRPr="00057410">
        <w:rPr>
          <w:rFonts w:ascii="Arial" w:hAnsi="Arial" w:cs="Arial"/>
        </w:rPr>
        <w:t>Wilson, Mary C</w:t>
      </w:r>
      <w:r w:rsidR="00622C6B" w:rsidRPr="00057410">
        <w:rPr>
          <w:rFonts w:ascii="Arial" w:hAnsi="Arial" w:cs="Arial"/>
        </w:rPr>
        <w:t xml:space="preserve"> (2014)</w:t>
      </w:r>
      <w:r w:rsidRPr="00057410">
        <w:rPr>
          <w:rFonts w:ascii="Arial" w:hAnsi="Arial" w:cs="Arial"/>
        </w:rPr>
        <w:t>. Human Resource Systems and Sustained Competitive Advantage: A Competency-Based Perspective</w:t>
      </w:r>
      <w:r w:rsidR="003F0266" w:rsidRPr="00057410">
        <w:rPr>
          <w:rFonts w:ascii="Arial" w:hAnsi="Arial" w:cs="Arial"/>
        </w:rPr>
        <w:t>.</w:t>
      </w:r>
    </w:p>
    <w:sectPr w:rsidR="00DE0747" w:rsidRPr="00057410" w:rsidSect="002E52B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B427A" w14:textId="77777777" w:rsidR="006258A5" w:rsidRDefault="006258A5" w:rsidP="002E52B2">
      <w:pPr>
        <w:spacing w:after="0" w:line="240" w:lineRule="auto"/>
      </w:pPr>
      <w:r>
        <w:separator/>
      </w:r>
    </w:p>
  </w:endnote>
  <w:endnote w:type="continuationSeparator" w:id="0">
    <w:p w14:paraId="680B427B" w14:textId="77777777" w:rsidR="006258A5" w:rsidRDefault="006258A5" w:rsidP="002E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580907"/>
      <w:docPartObj>
        <w:docPartGallery w:val="Page Numbers (Bottom of Page)"/>
        <w:docPartUnique/>
      </w:docPartObj>
    </w:sdtPr>
    <w:sdtEndPr>
      <w:rPr>
        <w:noProof/>
      </w:rPr>
    </w:sdtEndPr>
    <w:sdtContent>
      <w:p w14:paraId="680B427C" w14:textId="77777777" w:rsidR="0099150C" w:rsidRDefault="0004027E">
        <w:pPr>
          <w:pStyle w:val="Footer"/>
          <w:jc w:val="right"/>
        </w:pPr>
        <w:r>
          <w:fldChar w:fldCharType="begin"/>
        </w:r>
        <w:r w:rsidR="0099150C">
          <w:instrText xml:space="preserve"> PAGE   \* MERGEFORMAT </w:instrText>
        </w:r>
        <w:r>
          <w:fldChar w:fldCharType="separate"/>
        </w:r>
        <w:r w:rsidR="003665EF">
          <w:rPr>
            <w:noProof/>
          </w:rPr>
          <w:t>8</w:t>
        </w:r>
        <w:r>
          <w:rPr>
            <w:noProof/>
          </w:rPr>
          <w:fldChar w:fldCharType="end"/>
        </w:r>
      </w:p>
    </w:sdtContent>
  </w:sdt>
  <w:p w14:paraId="680B427D" w14:textId="77777777" w:rsidR="0099150C" w:rsidRDefault="0099150C">
    <w:pPr>
      <w:pStyle w:val="Footer"/>
    </w:pPr>
  </w:p>
  <w:p w14:paraId="680B427E" w14:textId="77777777" w:rsidR="0099150C" w:rsidRDefault="0099150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B4278" w14:textId="77777777" w:rsidR="006258A5" w:rsidRDefault="006258A5" w:rsidP="002E52B2">
      <w:pPr>
        <w:spacing w:after="0" w:line="240" w:lineRule="auto"/>
      </w:pPr>
      <w:r>
        <w:separator/>
      </w:r>
    </w:p>
  </w:footnote>
  <w:footnote w:type="continuationSeparator" w:id="0">
    <w:p w14:paraId="680B4279" w14:textId="77777777" w:rsidR="006258A5" w:rsidRDefault="006258A5" w:rsidP="002E5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4453"/>
    <w:multiLevelType w:val="hybridMultilevel"/>
    <w:tmpl w:val="77AA1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03527"/>
    <w:multiLevelType w:val="hybridMultilevel"/>
    <w:tmpl w:val="9266EB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27738C"/>
    <w:multiLevelType w:val="hybridMultilevel"/>
    <w:tmpl w:val="0786FD9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765C3"/>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B845E5"/>
    <w:multiLevelType w:val="hybridMultilevel"/>
    <w:tmpl w:val="40545DE0"/>
    <w:lvl w:ilvl="0" w:tplc="FFFFFFFF">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3913AB"/>
    <w:multiLevelType w:val="hybridMultilevel"/>
    <w:tmpl w:val="72662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8D1A89"/>
    <w:multiLevelType w:val="hybridMultilevel"/>
    <w:tmpl w:val="4002E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C6202C"/>
    <w:multiLevelType w:val="hybridMultilevel"/>
    <w:tmpl w:val="02CC8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6C5D7A"/>
    <w:multiLevelType w:val="hybridMultilevel"/>
    <w:tmpl w:val="D0FAA188"/>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3255F5"/>
    <w:multiLevelType w:val="hybridMultilevel"/>
    <w:tmpl w:val="A16E9FD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902A31"/>
    <w:multiLevelType w:val="hybridMultilevel"/>
    <w:tmpl w:val="B5724C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F21255"/>
    <w:multiLevelType w:val="hybridMultilevel"/>
    <w:tmpl w:val="039E407A"/>
    <w:lvl w:ilvl="0" w:tplc="FFFFFFFF">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CF62D4"/>
    <w:multiLevelType w:val="hybridMultilevel"/>
    <w:tmpl w:val="5ABEAD4E"/>
    <w:lvl w:ilvl="0" w:tplc="FFFFFFFF">
      <w:start w:val="1"/>
      <w:numFmt w:val="lowerLetter"/>
      <w:lvlText w:val="%1)"/>
      <w:lvlJc w:val="left"/>
      <w:pPr>
        <w:ind w:left="720" w:hanging="360"/>
      </w:pPr>
      <w:rPr>
        <w:rFonts w:hint="default"/>
      </w:rPr>
    </w:lvl>
    <w:lvl w:ilvl="1" w:tplc="3758A30E">
      <w:start w:val="1"/>
      <w:numFmt w:val="bullet"/>
      <w:lvlText w:val="-"/>
      <w:lvlJc w:val="left"/>
      <w:pPr>
        <w:ind w:left="1440" w:hanging="360"/>
      </w:pPr>
      <w:rPr>
        <w:rFonts w:ascii="Times New Roman" w:eastAsiaTheme="minorEastAsia"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C43316"/>
    <w:multiLevelType w:val="hybridMultilevel"/>
    <w:tmpl w:val="23723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7B343A"/>
    <w:multiLevelType w:val="hybridMultilevel"/>
    <w:tmpl w:val="BC1C0A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6FBB2F8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A30478"/>
    <w:multiLevelType w:val="hybridMultilevel"/>
    <w:tmpl w:val="1C0A30C6"/>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9227F0"/>
    <w:multiLevelType w:val="hybridMultilevel"/>
    <w:tmpl w:val="B6C42A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9462629">
    <w:abstractNumId w:val="7"/>
  </w:num>
  <w:num w:numId="2" w16cid:durableId="900795521">
    <w:abstractNumId w:val="12"/>
  </w:num>
  <w:num w:numId="3" w16cid:durableId="1958172458">
    <w:abstractNumId w:val="4"/>
  </w:num>
  <w:num w:numId="4" w16cid:durableId="149635074">
    <w:abstractNumId w:val="11"/>
  </w:num>
  <w:num w:numId="5" w16cid:durableId="310793394">
    <w:abstractNumId w:val="0"/>
  </w:num>
  <w:num w:numId="6" w16cid:durableId="2011984911">
    <w:abstractNumId w:val="1"/>
  </w:num>
  <w:num w:numId="7" w16cid:durableId="1286428636">
    <w:abstractNumId w:val="2"/>
  </w:num>
  <w:num w:numId="8" w16cid:durableId="1350176833">
    <w:abstractNumId w:val="14"/>
  </w:num>
  <w:num w:numId="9" w16cid:durableId="39940772">
    <w:abstractNumId w:val="13"/>
  </w:num>
  <w:num w:numId="10" w16cid:durableId="444496111">
    <w:abstractNumId w:val="8"/>
  </w:num>
  <w:num w:numId="11" w16cid:durableId="1078332471">
    <w:abstractNumId w:val="16"/>
  </w:num>
  <w:num w:numId="12" w16cid:durableId="1206990132">
    <w:abstractNumId w:val="9"/>
  </w:num>
  <w:num w:numId="13" w16cid:durableId="111749000">
    <w:abstractNumId w:val="6"/>
  </w:num>
  <w:num w:numId="14" w16cid:durableId="1995404365">
    <w:abstractNumId w:val="5"/>
  </w:num>
  <w:num w:numId="15" w16cid:durableId="1310355781">
    <w:abstractNumId w:val="17"/>
  </w:num>
  <w:num w:numId="16" w16cid:durableId="186261351">
    <w:abstractNumId w:val="10"/>
  </w:num>
  <w:num w:numId="17" w16cid:durableId="546187165">
    <w:abstractNumId w:val="3"/>
  </w:num>
  <w:num w:numId="18" w16cid:durableId="69049788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0NDQyNjM2NzKwMDRS0lEKTi0uzszPAykwrwUAsWR7piwAAAA="/>
  </w:docVars>
  <w:rsids>
    <w:rsidRoot w:val="002E14B5"/>
    <w:rsid w:val="000017E2"/>
    <w:rsid w:val="0000535B"/>
    <w:rsid w:val="00006DC7"/>
    <w:rsid w:val="0001414E"/>
    <w:rsid w:val="000155A2"/>
    <w:rsid w:val="00015B16"/>
    <w:rsid w:val="0001642C"/>
    <w:rsid w:val="00016B6B"/>
    <w:rsid w:val="00016F45"/>
    <w:rsid w:val="00020C1E"/>
    <w:rsid w:val="00020FA6"/>
    <w:rsid w:val="000216CE"/>
    <w:rsid w:val="00021970"/>
    <w:rsid w:val="000226F8"/>
    <w:rsid w:val="000260A3"/>
    <w:rsid w:val="00026882"/>
    <w:rsid w:val="00030123"/>
    <w:rsid w:val="00031C7D"/>
    <w:rsid w:val="0003417B"/>
    <w:rsid w:val="0003492D"/>
    <w:rsid w:val="0004027E"/>
    <w:rsid w:val="00040766"/>
    <w:rsid w:val="00040FD9"/>
    <w:rsid w:val="0004244B"/>
    <w:rsid w:val="00044BEB"/>
    <w:rsid w:val="00046C09"/>
    <w:rsid w:val="00051064"/>
    <w:rsid w:val="000511C2"/>
    <w:rsid w:val="000520E2"/>
    <w:rsid w:val="00053A28"/>
    <w:rsid w:val="00057410"/>
    <w:rsid w:val="00060AF8"/>
    <w:rsid w:val="00061058"/>
    <w:rsid w:val="0006258D"/>
    <w:rsid w:val="000633E3"/>
    <w:rsid w:val="000658D6"/>
    <w:rsid w:val="00065D61"/>
    <w:rsid w:val="00066452"/>
    <w:rsid w:val="00070CF2"/>
    <w:rsid w:val="00073991"/>
    <w:rsid w:val="00080D64"/>
    <w:rsid w:val="000822C2"/>
    <w:rsid w:val="00083B32"/>
    <w:rsid w:val="00085AA0"/>
    <w:rsid w:val="000867C8"/>
    <w:rsid w:val="000905AF"/>
    <w:rsid w:val="000910B3"/>
    <w:rsid w:val="00091DEF"/>
    <w:rsid w:val="000942DB"/>
    <w:rsid w:val="000963F9"/>
    <w:rsid w:val="000A199E"/>
    <w:rsid w:val="000A4026"/>
    <w:rsid w:val="000A551F"/>
    <w:rsid w:val="000A6AC3"/>
    <w:rsid w:val="000A6EED"/>
    <w:rsid w:val="000A712A"/>
    <w:rsid w:val="000A7BA0"/>
    <w:rsid w:val="000B0313"/>
    <w:rsid w:val="000B0EED"/>
    <w:rsid w:val="000B312C"/>
    <w:rsid w:val="000B3C06"/>
    <w:rsid w:val="000B4BDE"/>
    <w:rsid w:val="000C1F9E"/>
    <w:rsid w:val="000C3046"/>
    <w:rsid w:val="000C54B8"/>
    <w:rsid w:val="000C54E9"/>
    <w:rsid w:val="000C67A0"/>
    <w:rsid w:val="000C6ABA"/>
    <w:rsid w:val="000C6BA6"/>
    <w:rsid w:val="000C70DC"/>
    <w:rsid w:val="000D01FA"/>
    <w:rsid w:val="000D6F31"/>
    <w:rsid w:val="000D72A5"/>
    <w:rsid w:val="000D7D57"/>
    <w:rsid w:val="000E017C"/>
    <w:rsid w:val="000E02C9"/>
    <w:rsid w:val="000E2AEE"/>
    <w:rsid w:val="000E7BF7"/>
    <w:rsid w:val="000F10B8"/>
    <w:rsid w:val="000F129C"/>
    <w:rsid w:val="000F3972"/>
    <w:rsid w:val="000F5135"/>
    <w:rsid w:val="000F7E1E"/>
    <w:rsid w:val="00100A70"/>
    <w:rsid w:val="00102D08"/>
    <w:rsid w:val="0010502B"/>
    <w:rsid w:val="001053E6"/>
    <w:rsid w:val="001104F0"/>
    <w:rsid w:val="001120FA"/>
    <w:rsid w:val="001127DF"/>
    <w:rsid w:val="0011355D"/>
    <w:rsid w:val="001165A4"/>
    <w:rsid w:val="00116B9F"/>
    <w:rsid w:val="001177B5"/>
    <w:rsid w:val="00121A62"/>
    <w:rsid w:val="00124A0C"/>
    <w:rsid w:val="00125010"/>
    <w:rsid w:val="00125107"/>
    <w:rsid w:val="00125486"/>
    <w:rsid w:val="00130A98"/>
    <w:rsid w:val="00130BE8"/>
    <w:rsid w:val="00132334"/>
    <w:rsid w:val="00133F8D"/>
    <w:rsid w:val="00140535"/>
    <w:rsid w:val="00140DE5"/>
    <w:rsid w:val="00141F3D"/>
    <w:rsid w:val="00142B3B"/>
    <w:rsid w:val="001431BC"/>
    <w:rsid w:val="0014685B"/>
    <w:rsid w:val="00147C20"/>
    <w:rsid w:val="00161851"/>
    <w:rsid w:val="00162577"/>
    <w:rsid w:val="00162F92"/>
    <w:rsid w:val="00167609"/>
    <w:rsid w:val="001676CD"/>
    <w:rsid w:val="00170C9E"/>
    <w:rsid w:val="0017137D"/>
    <w:rsid w:val="00171AC1"/>
    <w:rsid w:val="00173AD7"/>
    <w:rsid w:val="00174B78"/>
    <w:rsid w:val="00175CE2"/>
    <w:rsid w:val="00181472"/>
    <w:rsid w:val="00181B6C"/>
    <w:rsid w:val="001837DF"/>
    <w:rsid w:val="00190AF4"/>
    <w:rsid w:val="00191281"/>
    <w:rsid w:val="0019287F"/>
    <w:rsid w:val="001973DA"/>
    <w:rsid w:val="00197992"/>
    <w:rsid w:val="001A0CD5"/>
    <w:rsid w:val="001A1C34"/>
    <w:rsid w:val="001A535B"/>
    <w:rsid w:val="001A6357"/>
    <w:rsid w:val="001B01BE"/>
    <w:rsid w:val="001B384B"/>
    <w:rsid w:val="001B46B2"/>
    <w:rsid w:val="001B5E02"/>
    <w:rsid w:val="001C0170"/>
    <w:rsid w:val="001C1117"/>
    <w:rsid w:val="001C2353"/>
    <w:rsid w:val="001C261C"/>
    <w:rsid w:val="001C2F04"/>
    <w:rsid w:val="001C31D1"/>
    <w:rsid w:val="001C46E1"/>
    <w:rsid w:val="001C5072"/>
    <w:rsid w:val="001C5A2E"/>
    <w:rsid w:val="001C62E9"/>
    <w:rsid w:val="001D0A3F"/>
    <w:rsid w:val="001D0C33"/>
    <w:rsid w:val="001D20D0"/>
    <w:rsid w:val="001D2E08"/>
    <w:rsid w:val="001D42A2"/>
    <w:rsid w:val="001D4EB4"/>
    <w:rsid w:val="001D5D7B"/>
    <w:rsid w:val="001E2672"/>
    <w:rsid w:val="001E3742"/>
    <w:rsid w:val="001E777D"/>
    <w:rsid w:val="001F26BA"/>
    <w:rsid w:val="001F46CE"/>
    <w:rsid w:val="001F7A4A"/>
    <w:rsid w:val="0020050C"/>
    <w:rsid w:val="002023B8"/>
    <w:rsid w:val="00202CAF"/>
    <w:rsid w:val="00203AFE"/>
    <w:rsid w:val="0020423E"/>
    <w:rsid w:val="002052C1"/>
    <w:rsid w:val="00207041"/>
    <w:rsid w:val="00207441"/>
    <w:rsid w:val="002128C1"/>
    <w:rsid w:val="00212DC9"/>
    <w:rsid w:val="00213688"/>
    <w:rsid w:val="002169A5"/>
    <w:rsid w:val="00220BF7"/>
    <w:rsid w:val="002226FA"/>
    <w:rsid w:val="00225072"/>
    <w:rsid w:val="00227A9C"/>
    <w:rsid w:val="0023118D"/>
    <w:rsid w:val="00231F98"/>
    <w:rsid w:val="0023276B"/>
    <w:rsid w:val="00237E6C"/>
    <w:rsid w:val="00240402"/>
    <w:rsid w:val="00241BA4"/>
    <w:rsid w:val="00244900"/>
    <w:rsid w:val="0024650C"/>
    <w:rsid w:val="00246665"/>
    <w:rsid w:val="00250307"/>
    <w:rsid w:val="002517A6"/>
    <w:rsid w:val="00256A41"/>
    <w:rsid w:val="00256EDB"/>
    <w:rsid w:val="002616E9"/>
    <w:rsid w:val="00262394"/>
    <w:rsid w:val="0026445F"/>
    <w:rsid w:val="00264BB3"/>
    <w:rsid w:val="00266D93"/>
    <w:rsid w:val="00266F3F"/>
    <w:rsid w:val="00270BEE"/>
    <w:rsid w:val="00271C7D"/>
    <w:rsid w:val="00271CB9"/>
    <w:rsid w:val="0027349C"/>
    <w:rsid w:val="00275579"/>
    <w:rsid w:val="00283339"/>
    <w:rsid w:val="002857F1"/>
    <w:rsid w:val="00286FC4"/>
    <w:rsid w:val="00287E82"/>
    <w:rsid w:val="0029025C"/>
    <w:rsid w:val="0029053B"/>
    <w:rsid w:val="00290B69"/>
    <w:rsid w:val="002918DD"/>
    <w:rsid w:val="00295DBB"/>
    <w:rsid w:val="002A0EBA"/>
    <w:rsid w:val="002A27F4"/>
    <w:rsid w:val="002A2BB4"/>
    <w:rsid w:val="002A4B25"/>
    <w:rsid w:val="002A6210"/>
    <w:rsid w:val="002A7459"/>
    <w:rsid w:val="002A7AC2"/>
    <w:rsid w:val="002B0457"/>
    <w:rsid w:val="002B22CE"/>
    <w:rsid w:val="002B2987"/>
    <w:rsid w:val="002B37E7"/>
    <w:rsid w:val="002B41A3"/>
    <w:rsid w:val="002B4863"/>
    <w:rsid w:val="002B64D2"/>
    <w:rsid w:val="002C0D7D"/>
    <w:rsid w:val="002C2DEB"/>
    <w:rsid w:val="002C63B6"/>
    <w:rsid w:val="002C63FF"/>
    <w:rsid w:val="002C691B"/>
    <w:rsid w:val="002C6CAD"/>
    <w:rsid w:val="002D2705"/>
    <w:rsid w:val="002D29C5"/>
    <w:rsid w:val="002D3BC4"/>
    <w:rsid w:val="002D4AC3"/>
    <w:rsid w:val="002D6F82"/>
    <w:rsid w:val="002D79E7"/>
    <w:rsid w:val="002E0642"/>
    <w:rsid w:val="002E1021"/>
    <w:rsid w:val="002E14B5"/>
    <w:rsid w:val="002E36CD"/>
    <w:rsid w:val="002E3954"/>
    <w:rsid w:val="002E52B2"/>
    <w:rsid w:val="002E68A1"/>
    <w:rsid w:val="002E7D3C"/>
    <w:rsid w:val="002F1033"/>
    <w:rsid w:val="002F20A9"/>
    <w:rsid w:val="002F3AEF"/>
    <w:rsid w:val="002F5A3C"/>
    <w:rsid w:val="002F5DE8"/>
    <w:rsid w:val="002F5FB9"/>
    <w:rsid w:val="002F6944"/>
    <w:rsid w:val="003001FE"/>
    <w:rsid w:val="00300A1E"/>
    <w:rsid w:val="00302C0E"/>
    <w:rsid w:val="00303C72"/>
    <w:rsid w:val="0030434F"/>
    <w:rsid w:val="00305FCB"/>
    <w:rsid w:val="00307311"/>
    <w:rsid w:val="003079ED"/>
    <w:rsid w:val="003113A3"/>
    <w:rsid w:val="003149DC"/>
    <w:rsid w:val="0031532E"/>
    <w:rsid w:val="003175F5"/>
    <w:rsid w:val="00321940"/>
    <w:rsid w:val="00324013"/>
    <w:rsid w:val="003242BC"/>
    <w:rsid w:val="00324A13"/>
    <w:rsid w:val="00324F52"/>
    <w:rsid w:val="003252D3"/>
    <w:rsid w:val="003254CC"/>
    <w:rsid w:val="00325949"/>
    <w:rsid w:val="00326B61"/>
    <w:rsid w:val="00326EB4"/>
    <w:rsid w:val="00327523"/>
    <w:rsid w:val="00327AAB"/>
    <w:rsid w:val="00330129"/>
    <w:rsid w:val="00330A60"/>
    <w:rsid w:val="00334AC9"/>
    <w:rsid w:val="003354C9"/>
    <w:rsid w:val="00335A39"/>
    <w:rsid w:val="00337223"/>
    <w:rsid w:val="00341382"/>
    <w:rsid w:val="0034280E"/>
    <w:rsid w:val="0034596D"/>
    <w:rsid w:val="0034693A"/>
    <w:rsid w:val="00347ABD"/>
    <w:rsid w:val="00347AF6"/>
    <w:rsid w:val="003503F4"/>
    <w:rsid w:val="00352D00"/>
    <w:rsid w:val="003547CA"/>
    <w:rsid w:val="00355044"/>
    <w:rsid w:val="003558BE"/>
    <w:rsid w:val="00355FB4"/>
    <w:rsid w:val="00356CB2"/>
    <w:rsid w:val="00357BFC"/>
    <w:rsid w:val="003600F0"/>
    <w:rsid w:val="0036144D"/>
    <w:rsid w:val="00361F0A"/>
    <w:rsid w:val="003651F1"/>
    <w:rsid w:val="003651FE"/>
    <w:rsid w:val="003665EF"/>
    <w:rsid w:val="00367E6D"/>
    <w:rsid w:val="003706E4"/>
    <w:rsid w:val="00371B51"/>
    <w:rsid w:val="003720E1"/>
    <w:rsid w:val="003859FE"/>
    <w:rsid w:val="00387922"/>
    <w:rsid w:val="00391C67"/>
    <w:rsid w:val="00392CE7"/>
    <w:rsid w:val="003A50FB"/>
    <w:rsid w:val="003A6E58"/>
    <w:rsid w:val="003B20C7"/>
    <w:rsid w:val="003B29AA"/>
    <w:rsid w:val="003B3729"/>
    <w:rsid w:val="003B42A7"/>
    <w:rsid w:val="003B431D"/>
    <w:rsid w:val="003B60F7"/>
    <w:rsid w:val="003B6AB7"/>
    <w:rsid w:val="003B6E87"/>
    <w:rsid w:val="003B72A2"/>
    <w:rsid w:val="003C10BC"/>
    <w:rsid w:val="003C27E0"/>
    <w:rsid w:val="003C374F"/>
    <w:rsid w:val="003C3BB9"/>
    <w:rsid w:val="003C4B3C"/>
    <w:rsid w:val="003C5682"/>
    <w:rsid w:val="003C68A9"/>
    <w:rsid w:val="003D287D"/>
    <w:rsid w:val="003D35EC"/>
    <w:rsid w:val="003D6360"/>
    <w:rsid w:val="003D6C1E"/>
    <w:rsid w:val="003D758F"/>
    <w:rsid w:val="003D788C"/>
    <w:rsid w:val="003D7F73"/>
    <w:rsid w:val="003E0106"/>
    <w:rsid w:val="003E05F5"/>
    <w:rsid w:val="003E5148"/>
    <w:rsid w:val="003E5CC8"/>
    <w:rsid w:val="003E5E1F"/>
    <w:rsid w:val="003F0266"/>
    <w:rsid w:val="003F1077"/>
    <w:rsid w:val="003F10BE"/>
    <w:rsid w:val="003F2386"/>
    <w:rsid w:val="003F43BC"/>
    <w:rsid w:val="003F7530"/>
    <w:rsid w:val="00401DAD"/>
    <w:rsid w:val="004039CD"/>
    <w:rsid w:val="004066D2"/>
    <w:rsid w:val="00406D04"/>
    <w:rsid w:val="00407782"/>
    <w:rsid w:val="00414FF0"/>
    <w:rsid w:val="00415AB4"/>
    <w:rsid w:val="00417F81"/>
    <w:rsid w:val="004232C8"/>
    <w:rsid w:val="0042496E"/>
    <w:rsid w:val="00430755"/>
    <w:rsid w:val="00431A56"/>
    <w:rsid w:val="0043231F"/>
    <w:rsid w:val="00435DBA"/>
    <w:rsid w:val="004361C4"/>
    <w:rsid w:val="00440957"/>
    <w:rsid w:val="0044149B"/>
    <w:rsid w:val="00441DEF"/>
    <w:rsid w:val="004443F5"/>
    <w:rsid w:val="0044536A"/>
    <w:rsid w:val="004476C8"/>
    <w:rsid w:val="004532D2"/>
    <w:rsid w:val="00455FAA"/>
    <w:rsid w:val="00461782"/>
    <w:rsid w:val="00463D8F"/>
    <w:rsid w:val="00464D52"/>
    <w:rsid w:val="00466D2E"/>
    <w:rsid w:val="00470920"/>
    <w:rsid w:val="00470F83"/>
    <w:rsid w:val="00473D91"/>
    <w:rsid w:val="00473E83"/>
    <w:rsid w:val="004775F8"/>
    <w:rsid w:val="00477F79"/>
    <w:rsid w:val="00480DA6"/>
    <w:rsid w:val="00482485"/>
    <w:rsid w:val="00490AF3"/>
    <w:rsid w:val="00492071"/>
    <w:rsid w:val="00494A56"/>
    <w:rsid w:val="004957C2"/>
    <w:rsid w:val="004960D8"/>
    <w:rsid w:val="00496627"/>
    <w:rsid w:val="004966DA"/>
    <w:rsid w:val="004A0A72"/>
    <w:rsid w:val="004A0C0A"/>
    <w:rsid w:val="004A191F"/>
    <w:rsid w:val="004A25EF"/>
    <w:rsid w:val="004A3B6A"/>
    <w:rsid w:val="004A7F99"/>
    <w:rsid w:val="004B14A5"/>
    <w:rsid w:val="004B477F"/>
    <w:rsid w:val="004B5462"/>
    <w:rsid w:val="004B7091"/>
    <w:rsid w:val="004B7C95"/>
    <w:rsid w:val="004B7E3F"/>
    <w:rsid w:val="004B7FF8"/>
    <w:rsid w:val="004C0398"/>
    <w:rsid w:val="004C09D7"/>
    <w:rsid w:val="004C3A27"/>
    <w:rsid w:val="004C4C8D"/>
    <w:rsid w:val="004C6BC2"/>
    <w:rsid w:val="004D03AC"/>
    <w:rsid w:val="004D1806"/>
    <w:rsid w:val="004D37B5"/>
    <w:rsid w:val="004D3DF7"/>
    <w:rsid w:val="004D3F77"/>
    <w:rsid w:val="004D488B"/>
    <w:rsid w:val="004D48BB"/>
    <w:rsid w:val="004D5895"/>
    <w:rsid w:val="004D6B36"/>
    <w:rsid w:val="004D782C"/>
    <w:rsid w:val="004D7DAD"/>
    <w:rsid w:val="004E38A2"/>
    <w:rsid w:val="004E6B49"/>
    <w:rsid w:val="004E73DD"/>
    <w:rsid w:val="004E7444"/>
    <w:rsid w:val="004F0AFF"/>
    <w:rsid w:val="004F1514"/>
    <w:rsid w:val="004F2AC4"/>
    <w:rsid w:val="004F2CD5"/>
    <w:rsid w:val="004F4D59"/>
    <w:rsid w:val="004F6398"/>
    <w:rsid w:val="004F7FDC"/>
    <w:rsid w:val="00501F5C"/>
    <w:rsid w:val="005044AC"/>
    <w:rsid w:val="005052D6"/>
    <w:rsid w:val="0050562E"/>
    <w:rsid w:val="005102A1"/>
    <w:rsid w:val="00510693"/>
    <w:rsid w:val="00512406"/>
    <w:rsid w:val="005127AD"/>
    <w:rsid w:val="00514A67"/>
    <w:rsid w:val="00515A86"/>
    <w:rsid w:val="00517E84"/>
    <w:rsid w:val="0052048C"/>
    <w:rsid w:val="00520D82"/>
    <w:rsid w:val="00521214"/>
    <w:rsid w:val="005243FC"/>
    <w:rsid w:val="00525027"/>
    <w:rsid w:val="005301C6"/>
    <w:rsid w:val="00530E9F"/>
    <w:rsid w:val="00531DB1"/>
    <w:rsid w:val="00533DDB"/>
    <w:rsid w:val="00535C21"/>
    <w:rsid w:val="005365C1"/>
    <w:rsid w:val="00536B47"/>
    <w:rsid w:val="00540F30"/>
    <w:rsid w:val="00541572"/>
    <w:rsid w:val="00545785"/>
    <w:rsid w:val="0054611C"/>
    <w:rsid w:val="00546299"/>
    <w:rsid w:val="005508E4"/>
    <w:rsid w:val="00553BFB"/>
    <w:rsid w:val="00554217"/>
    <w:rsid w:val="005570A8"/>
    <w:rsid w:val="00557482"/>
    <w:rsid w:val="0056041C"/>
    <w:rsid w:val="0056253C"/>
    <w:rsid w:val="0056380B"/>
    <w:rsid w:val="00564607"/>
    <w:rsid w:val="00565028"/>
    <w:rsid w:val="00565586"/>
    <w:rsid w:val="00565A62"/>
    <w:rsid w:val="00566A77"/>
    <w:rsid w:val="005762E1"/>
    <w:rsid w:val="005767D7"/>
    <w:rsid w:val="005774E5"/>
    <w:rsid w:val="00577874"/>
    <w:rsid w:val="00582250"/>
    <w:rsid w:val="0058282B"/>
    <w:rsid w:val="00584075"/>
    <w:rsid w:val="00584D0C"/>
    <w:rsid w:val="00585E33"/>
    <w:rsid w:val="00590AA5"/>
    <w:rsid w:val="005914C3"/>
    <w:rsid w:val="0059269F"/>
    <w:rsid w:val="00592FC7"/>
    <w:rsid w:val="00595CCF"/>
    <w:rsid w:val="005A03EE"/>
    <w:rsid w:val="005A2788"/>
    <w:rsid w:val="005A2E5D"/>
    <w:rsid w:val="005A35D2"/>
    <w:rsid w:val="005A3C5F"/>
    <w:rsid w:val="005A4B47"/>
    <w:rsid w:val="005A5495"/>
    <w:rsid w:val="005A5912"/>
    <w:rsid w:val="005A654E"/>
    <w:rsid w:val="005B2460"/>
    <w:rsid w:val="005B3CA6"/>
    <w:rsid w:val="005B411A"/>
    <w:rsid w:val="005B5D9E"/>
    <w:rsid w:val="005B7F4F"/>
    <w:rsid w:val="005C1795"/>
    <w:rsid w:val="005C3794"/>
    <w:rsid w:val="005C392F"/>
    <w:rsid w:val="005C4462"/>
    <w:rsid w:val="005C582B"/>
    <w:rsid w:val="005C6D29"/>
    <w:rsid w:val="005C6F45"/>
    <w:rsid w:val="005C7C3D"/>
    <w:rsid w:val="005D30C4"/>
    <w:rsid w:val="005D7359"/>
    <w:rsid w:val="005D7755"/>
    <w:rsid w:val="005E051B"/>
    <w:rsid w:val="005E1EF8"/>
    <w:rsid w:val="005E2DB5"/>
    <w:rsid w:val="005E3C2C"/>
    <w:rsid w:val="005E6DA4"/>
    <w:rsid w:val="005F19D4"/>
    <w:rsid w:val="005F2959"/>
    <w:rsid w:val="005F36C6"/>
    <w:rsid w:val="005F4CBC"/>
    <w:rsid w:val="005F69CD"/>
    <w:rsid w:val="006012CD"/>
    <w:rsid w:val="006020DD"/>
    <w:rsid w:val="00602D0F"/>
    <w:rsid w:val="00603F76"/>
    <w:rsid w:val="00604B8C"/>
    <w:rsid w:val="00604D88"/>
    <w:rsid w:val="006055DB"/>
    <w:rsid w:val="00607D60"/>
    <w:rsid w:val="00611370"/>
    <w:rsid w:val="006113BE"/>
    <w:rsid w:val="006117D5"/>
    <w:rsid w:val="00612D77"/>
    <w:rsid w:val="00614E37"/>
    <w:rsid w:val="00614E3A"/>
    <w:rsid w:val="00616C60"/>
    <w:rsid w:val="00621C0E"/>
    <w:rsid w:val="00622C6B"/>
    <w:rsid w:val="006258A5"/>
    <w:rsid w:val="006279CF"/>
    <w:rsid w:val="00630C46"/>
    <w:rsid w:val="006310FC"/>
    <w:rsid w:val="006362F8"/>
    <w:rsid w:val="006421B4"/>
    <w:rsid w:val="00643746"/>
    <w:rsid w:val="00644D17"/>
    <w:rsid w:val="00646EB5"/>
    <w:rsid w:val="00647547"/>
    <w:rsid w:val="00647F62"/>
    <w:rsid w:val="00650F55"/>
    <w:rsid w:val="00652CFC"/>
    <w:rsid w:val="00654236"/>
    <w:rsid w:val="00655BE4"/>
    <w:rsid w:val="00655CD7"/>
    <w:rsid w:val="00656D24"/>
    <w:rsid w:val="00661C9D"/>
    <w:rsid w:val="0066496B"/>
    <w:rsid w:val="00664B79"/>
    <w:rsid w:val="0067323E"/>
    <w:rsid w:val="0067530A"/>
    <w:rsid w:val="00675EA5"/>
    <w:rsid w:val="006771A9"/>
    <w:rsid w:val="0068053E"/>
    <w:rsid w:val="00684624"/>
    <w:rsid w:val="00684FE1"/>
    <w:rsid w:val="00690374"/>
    <w:rsid w:val="0069053D"/>
    <w:rsid w:val="00691BA1"/>
    <w:rsid w:val="00691ECA"/>
    <w:rsid w:val="00693A05"/>
    <w:rsid w:val="0069707F"/>
    <w:rsid w:val="00697D26"/>
    <w:rsid w:val="006A29B7"/>
    <w:rsid w:val="006A53CF"/>
    <w:rsid w:val="006A58CD"/>
    <w:rsid w:val="006A6812"/>
    <w:rsid w:val="006B0682"/>
    <w:rsid w:val="006B27C9"/>
    <w:rsid w:val="006B5B79"/>
    <w:rsid w:val="006B65AE"/>
    <w:rsid w:val="006C0667"/>
    <w:rsid w:val="006C1729"/>
    <w:rsid w:val="006C235A"/>
    <w:rsid w:val="006C7032"/>
    <w:rsid w:val="006D174A"/>
    <w:rsid w:val="006D4F8C"/>
    <w:rsid w:val="006D557C"/>
    <w:rsid w:val="006D7DDE"/>
    <w:rsid w:val="006E01CA"/>
    <w:rsid w:val="006E072B"/>
    <w:rsid w:val="006E1AF1"/>
    <w:rsid w:val="006E2BC8"/>
    <w:rsid w:val="006E2D67"/>
    <w:rsid w:val="006E3E30"/>
    <w:rsid w:val="006E5163"/>
    <w:rsid w:val="006E6C02"/>
    <w:rsid w:val="006E705B"/>
    <w:rsid w:val="006F13E8"/>
    <w:rsid w:val="006F2AF4"/>
    <w:rsid w:val="00700FD5"/>
    <w:rsid w:val="00702796"/>
    <w:rsid w:val="00703C95"/>
    <w:rsid w:val="00705E62"/>
    <w:rsid w:val="00707643"/>
    <w:rsid w:val="00710E42"/>
    <w:rsid w:val="00712CCA"/>
    <w:rsid w:val="00714628"/>
    <w:rsid w:val="0071528B"/>
    <w:rsid w:val="00715BA7"/>
    <w:rsid w:val="0072084A"/>
    <w:rsid w:val="00724B6A"/>
    <w:rsid w:val="007255AE"/>
    <w:rsid w:val="00726597"/>
    <w:rsid w:val="0072744A"/>
    <w:rsid w:val="00727566"/>
    <w:rsid w:val="00727A0D"/>
    <w:rsid w:val="0073055E"/>
    <w:rsid w:val="00731780"/>
    <w:rsid w:val="0073336C"/>
    <w:rsid w:val="00733652"/>
    <w:rsid w:val="00736F0A"/>
    <w:rsid w:val="00741DFC"/>
    <w:rsid w:val="0074289F"/>
    <w:rsid w:val="0074568B"/>
    <w:rsid w:val="00746CE0"/>
    <w:rsid w:val="0075093A"/>
    <w:rsid w:val="0075093E"/>
    <w:rsid w:val="0075097A"/>
    <w:rsid w:val="00750ED7"/>
    <w:rsid w:val="00751ADD"/>
    <w:rsid w:val="0075306E"/>
    <w:rsid w:val="0075444E"/>
    <w:rsid w:val="00755D99"/>
    <w:rsid w:val="00756760"/>
    <w:rsid w:val="00756B7E"/>
    <w:rsid w:val="007579B5"/>
    <w:rsid w:val="007602BD"/>
    <w:rsid w:val="007614D6"/>
    <w:rsid w:val="007638EA"/>
    <w:rsid w:val="00763E93"/>
    <w:rsid w:val="00766C8F"/>
    <w:rsid w:val="00767221"/>
    <w:rsid w:val="0076772A"/>
    <w:rsid w:val="00770BBA"/>
    <w:rsid w:val="00773888"/>
    <w:rsid w:val="00776454"/>
    <w:rsid w:val="007774A7"/>
    <w:rsid w:val="00777723"/>
    <w:rsid w:val="00777B4A"/>
    <w:rsid w:val="0078130C"/>
    <w:rsid w:val="0078170C"/>
    <w:rsid w:val="00782F3E"/>
    <w:rsid w:val="007833ED"/>
    <w:rsid w:val="00786B17"/>
    <w:rsid w:val="00787349"/>
    <w:rsid w:val="00792550"/>
    <w:rsid w:val="0079263B"/>
    <w:rsid w:val="007927DD"/>
    <w:rsid w:val="00794143"/>
    <w:rsid w:val="00795011"/>
    <w:rsid w:val="007A1DD2"/>
    <w:rsid w:val="007A2D58"/>
    <w:rsid w:val="007A44E1"/>
    <w:rsid w:val="007A7E68"/>
    <w:rsid w:val="007A7F01"/>
    <w:rsid w:val="007A7F62"/>
    <w:rsid w:val="007B116B"/>
    <w:rsid w:val="007B12C5"/>
    <w:rsid w:val="007B25D9"/>
    <w:rsid w:val="007B40D1"/>
    <w:rsid w:val="007B463C"/>
    <w:rsid w:val="007B52D2"/>
    <w:rsid w:val="007B5390"/>
    <w:rsid w:val="007B6F87"/>
    <w:rsid w:val="007B7460"/>
    <w:rsid w:val="007B7534"/>
    <w:rsid w:val="007C00FE"/>
    <w:rsid w:val="007C08B9"/>
    <w:rsid w:val="007C1021"/>
    <w:rsid w:val="007C17FE"/>
    <w:rsid w:val="007C728E"/>
    <w:rsid w:val="007C79C8"/>
    <w:rsid w:val="007D0C42"/>
    <w:rsid w:val="007D171B"/>
    <w:rsid w:val="007D2511"/>
    <w:rsid w:val="007D4B34"/>
    <w:rsid w:val="007D767A"/>
    <w:rsid w:val="007E0230"/>
    <w:rsid w:val="007E13FA"/>
    <w:rsid w:val="007E2BBF"/>
    <w:rsid w:val="007E3C3C"/>
    <w:rsid w:val="007E6F62"/>
    <w:rsid w:val="007E7CFF"/>
    <w:rsid w:val="007F0AE5"/>
    <w:rsid w:val="007F45BA"/>
    <w:rsid w:val="007F69A5"/>
    <w:rsid w:val="007F6DDF"/>
    <w:rsid w:val="007F748B"/>
    <w:rsid w:val="007F7DD0"/>
    <w:rsid w:val="007F7FD0"/>
    <w:rsid w:val="00800ADE"/>
    <w:rsid w:val="00801905"/>
    <w:rsid w:val="00802C24"/>
    <w:rsid w:val="00805C8B"/>
    <w:rsid w:val="008075E7"/>
    <w:rsid w:val="00811455"/>
    <w:rsid w:val="0081218F"/>
    <w:rsid w:val="008132BE"/>
    <w:rsid w:val="00824609"/>
    <w:rsid w:val="00825D00"/>
    <w:rsid w:val="00826171"/>
    <w:rsid w:val="008267D0"/>
    <w:rsid w:val="00826968"/>
    <w:rsid w:val="00826EDB"/>
    <w:rsid w:val="00827CAF"/>
    <w:rsid w:val="0083247B"/>
    <w:rsid w:val="00832F0F"/>
    <w:rsid w:val="00833943"/>
    <w:rsid w:val="00833B36"/>
    <w:rsid w:val="00834C74"/>
    <w:rsid w:val="00835299"/>
    <w:rsid w:val="00835369"/>
    <w:rsid w:val="00836465"/>
    <w:rsid w:val="00836984"/>
    <w:rsid w:val="00840423"/>
    <w:rsid w:val="00840BFF"/>
    <w:rsid w:val="00843AC5"/>
    <w:rsid w:val="0085149B"/>
    <w:rsid w:val="00851AC4"/>
    <w:rsid w:val="008524ED"/>
    <w:rsid w:val="00853B3F"/>
    <w:rsid w:val="00853B7D"/>
    <w:rsid w:val="008548B4"/>
    <w:rsid w:val="00856E3D"/>
    <w:rsid w:val="00861BEA"/>
    <w:rsid w:val="00861D57"/>
    <w:rsid w:val="00862149"/>
    <w:rsid w:val="00862DD7"/>
    <w:rsid w:val="008636D6"/>
    <w:rsid w:val="008646EF"/>
    <w:rsid w:val="0086631E"/>
    <w:rsid w:val="00866C70"/>
    <w:rsid w:val="00870031"/>
    <w:rsid w:val="00871107"/>
    <w:rsid w:val="008724D2"/>
    <w:rsid w:val="00873419"/>
    <w:rsid w:val="008734C9"/>
    <w:rsid w:val="008740CD"/>
    <w:rsid w:val="00875720"/>
    <w:rsid w:val="00876E71"/>
    <w:rsid w:val="0087719D"/>
    <w:rsid w:val="008804FD"/>
    <w:rsid w:val="00880680"/>
    <w:rsid w:val="0088115C"/>
    <w:rsid w:val="00883193"/>
    <w:rsid w:val="008831F3"/>
    <w:rsid w:val="00883B73"/>
    <w:rsid w:val="00883CF2"/>
    <w:rsid w:val="00884434"/>
    <w:rsid w:val="00884752"/>
    <w:rsid w:val="0088559D"/>
    <w:rsid w:val="00886BD2"/>
    <w:rsid w:val="00887A37"/>
    <w:rsid w:val="00893FAC"/>
    <w:rsid w:val="0089588F"/>
    <w:rsid w:val="00895A26"/>
    <w:rsid w:val="008966A4"/>
    <w:rsid w:val="008A2A21"/>
    <w:rsid w:val="008A453E"/>
    <w:rsid w:val="008A4BED"/>
    <w:rsid w:val="008A5B22"/>
    <w:rsid w:val="008A5BC0"/>
    <w:rsid w:val="008A5BDD"/>
    <w:rsid w:val="008A6D95"/>
    <w:rsid w:val="008A7CE1"/>
    <w:rsid w:val="008B0B55"/>
    <w:rsid w:val="008B66C9"/>
    <w:rsid w:val="008B7151"/>
    <w:rsid w:val="008B7F06"/>
    <w:rsid w:val="008C086F"/>
    <w:rsid w:val="008C1618"/>
    <w:rsid w:val="008C19B4"/>
    <w:rsid w:val="008C1CEB"/>
    <w:rsid w:val="008C2532"/>
    <w:rsid w:val="008C30C4"/>
    <w:rsid w:val="008C3CFF"/>
    <w:rsid w:val="008C4032"/>
    <w:rsid w:val="008D0B10"/>
    <w:rsid w:val="008D20D4"/>
    <w:rsid w:val="008D225E"/>
    <w:rsid w:val="008D24C8"/>
    <w:rsid w:val="008D458A"/>
    <w:rsid w:val="008D79F2"/>
    <w:rsid w:val="008D7BAE"/>
    <w:rsid w:val="008E0051"/>
    <w:rsid w:val="008E2035"/>
    <w:rsid w:val="008E2BEB"/>
    <w:rsid w:val="008E5574"/>
    <w:rsid w:val="008E7FDE"/>
    <w:rsid w:val="008F1320"/>
    <w:rsid w:val="008F1F0F"/>
    <w:rsid w:val="008F500D"/>
    <w:rsid w:val="008F5BAA"/>
    <w:rsid w:val="0090144C"/>
    <w:rsid w:val="00903E6A"/>
    <w:rsid w:val="00905387"/>
    <w:rsid w:val="0090705C"/>
    <w:rsid w:val="00911E95"/>
    <w:rsid w:val="0091271F"/>
    <w:rsid w:val="00912B98"/>
    <w:rsid w:val="00913D20"/>
    <w:rsid w:val="00915100"/>
    <w:rsid w:val="00915862"/>
    <w:rsid w:val="00916ABB"/>
    <w:rsid w:val="00917D50"/>
    <w:rsid w:val="00920CA3"/>
    <w:rsid w:val="00922889"/>
    <w:rsid w:val="00922B4A"/>
    <w:rsid w:val="00922E1A"/>
    <w:rsid w:val="00923C0E"/>
    <w:rsid w:val="00924250"/>
    <w:rsid w:val="009252D6"/>
    <w:rsid w:val="00927893"/>
    <w:rsid w:val="009301FE"/>
    <w:rsid w:val="0093083F"/>
    <w:rsid w:val="00930D72"/>
    <w:rsid w:val="0093210E"/>
    <w:rsid w:val="00934FD9"/>
    <w:rsid w:val="00935CFB"/>
    <w:rsid w:val="00937FDA"/>
    <w:rsid w:val="00940065"/>
    <w:rsid w:val="00942F15"/>
    <w:rsid w:val="009459C8"/>
    <w:rsid w:val="0094793B"/>
    <w:rsid w:val="0095023F"/>
    <w:rsid w:val="009510FA"/>
    <w:rsid w:val="009537AC"/>
    <w:rsid w:val="00954615"/>
    <w:rsid w:val="00955754"/>
    <w:rsid w:val="00956964"/>
    <w:rsid w:val="00960365"/>
    <w:rsid w:val="0096233F"/>
    <w:rsid w:val="00964788"/>
    <w:rsid w:val="00971B73"/>
    <w:rsid w:val="00972998"/>
    <w:rsid w:val="00974F83"/>
    <w:rsid w:val="009753E7"/>
    <w:rsid w:val="00976345"/>
    <w:rsid w:val="009775E3"/>
    <w:rsid w:val="0098059F"/>
    <w:rsid w:val="0098252B"/>
    <w:rsid w:val="00982B4F"/>
    <w:rsid w:val="00984E93"/>
    <w:rsid w:val="00985641"/>
    <w:rsid w:val="00986FDB"/>
    <w:rsid w:val="0099027D"/>
    <w:rsid w:val="009907F3"/>
    <w:rsid w:val="009914C5"/>
    <w:rsid w:val="0099150C"/>
    <w:rsid w:val="00993171"/>
    <w:rsid w:val="009931A0"/>
    <w:rsid w:val="00994A67"/>
    <w:rsid w:val="00994F13"/>
    <w:rsid w:val="0099653B"/>
    <w:rsid w:val="00996635"/>
    <w:rsid w:val="0099666B"/>
    <w:rsid w:val="009A016D"/>
    <w:rsid w:val="009A1CD0"/>
    <w:rsid w:val="009A22E2"/>
    <w:rsid w:val="009A27E1"/>
    <w:rsid w:val="009A28A4"/>
    <w:rsid w:val="009A31FD"/>
    <w:rsid w:val="009A46EC"/>
    <w:rsid w:val="009A4D0F"/>
    <w:rsid w:val="009A5269"/>
    <w:rsid w:val="009A58DD"/>
    <w:rsid w:val="009B0A0E"/>
    <w:rsid w:val="009B0E7E"/>
    <w:rsid w:val="009B2BCB"/>
    <w:rsid w:val="009B5600"/>
    <w:rsid w:val="009B7438"/>
    <w:rsid w:val="009B77AE"/>
    <w:rsid w:val="009C0810"/>
    <w:rsid w:val="009C1549"/>
    <w:rsid w:val="009C186A"/>
    <w:rsid w:val="009C1D18"/>
    <w:rsid w:val="009C3EC9"/>
    <w:rsid w:val="009C3F2C"/>
    <w:rsid w:val="009C4123"/>
    <w:rsid w:val="009C551D"/>
    <w:rsid w:val="009C58B1"/>
    <w:rsid w:val="009C6737"/>
    <w:rsid w:val="009C775C"/>
    <w:rsid w:val="009C7EEF"/>
    <w:rsid w:val="009D08E9"/>
    <w:rsid w:val="009D172F"/>
    <w:rsid w:val="009D1939"/>
    <w:rsid w:val="009D39FD"/>
    <w:rsid w:val="009E5D37"/>
    <w:rsid w:val="009E6363"/>
    <w:rsid w:val="009E6551"/>
    <w:rsid w:val="009E6888"/>
    <w:rsid w:val="009E7131"/>
    <w:rsid w:val="009F351D"/>
    <w:rsid w:val="009F370F"/>
    <w:rsid w:val="009F4135"/>
    <w:rsid w:val="009F6AF2"/>
    <w:rsid w:val="00A02383"/>
    <w:rsid w:val="00A037FF"/>
    <w:rsid w:val="00A04673"/>
    <w:rsid w:val="00A048EF"/>
    <w:rsid w:val="00A04D53"/>
    <w:rsid w:val="00A0547A"/>
    <w:rsid w:val="00A0755A"/>
    <w:rsid w:val="00A111E7"/>
    <w:rsid w:val="00A12013"/>
    <w:rsid w:val="00A137B2"/>
    <w:rsid w:val="00A13F45"/>
    <w:rsid w:val="00A1567D"/>
    <w:rsid w:val="00A1602A"/>
    <w:rsid w:val="00A1608F"/>
    <w:rsid w:val="00A17252"/>
    <w:rsid w:val="00A176DA"/>
    <w:rsid w:val="00A17A26"/>
    <w:rsid w:val="00A20441"/>
    <w:rsid w:val="00A211FE"/>
    <w:rsid w:val="00A231E3"/>
    <w:rsid w:val="00A2541F"/>
    <w:rsid w:val="00A26576"/>
    <w:rsid w:val="00A30B65"/>
    <w:rsid w:val="00A313F3"/>
    <w:rsid w:val="00A3151D"/>
    <w:rsid w:val="00A31858"/>
    <w:rsid w:val="00A3225E"/>
    <w:rsid w:val="00A3231D"/>
    <w:rsid w:val="00A33373"/>
    <w:rsid w:val="00A33B69"/>
    <w:rsid w:val="00A37483"/>
    <w:rsid w:val="00A443D7"/>
    <w:rsid w:val="00A458A1"/>
    <w:rsid w:val="00A473DB"/>
    <w:rsid w:val="00A475EE"/>
    <w:rsid w:val="00A50615"/>
    <w:rsid w:val="00A5398B"/>
    <w:rsid w:val="00A57DA4"/>
    <w:rsid w:val="00A61989"/>
    <w:rsid w:val="00A6761D"/>
    <w:rsid w:val="00A71D47"/>
    <w:rsid w:val="00A73FC5"/>
    <w:rsid w:val="00A7544E"/>
    <w:rsid w:val="00A76CA7"/>
    <w:rsid w:val="00A843A2"/>
    <w:rsid w:val="00A8547D"/>
    <w:rsid w:val="00A858DF"/>
    <w:rsid w:val="00A869A5"/>
    <w:rsid w:val="00A86F2E"/>
    <w:rsid w:val="00A87DB9"/>
    <w:rsid w:val="00A9123C"/>
    <w:rsid w:val="00A9127D"/>
    <w:rsid w:val="00A919D4"/>
    <w:rsid w:val="00A92892"/>
    <w:rsid w:val="00A9308E"/>
    <w:rsid w:val="00A931E5"/>
    <w:rsid w:val="00A952BF"/>
    <w:rsid w:val="00AA1564"/>
    <w:rsid w:val="00AA4D7F"/>
    <w:rsid w:val="00AA526E"/>
    <w:rsid w:val="00AA6E37"/>
    <w:rsid w:val="00AB4451"/>
    <w:rsid w:val="00AB5F47"/>
    <w:rsid w:val="00AB6014"/>
    <w:rsid w:val="00AB7AC1"/>
    <w:rsid w:val="00AC07E9"/>
    <w:rsid w:val="00AC1501"/>
    <w:rsid w:val="00AC2893"/>
    <w:rsid w:val="00AC617B"/>
    <w:rsid w:val="00AC76F6"/>
    <w:rsid w:val="00AD0B22"/>
    <w:rsid w:val="00AD1F7C"/>
    <w:rsid w:val="00AD33F5"/>
    <w:rsid w:val="00AD41BF"/>
    <w:rsid w:val="00AD4897"/>
    <w:rsid w:val="00AD74F0"/>
    <w:rsid w:val="00AD7519"/>
    <w:rsid w:val="00AE14E9"/>
    <w:rsid w:val="00AE39C9"/>
    <w:rsid w:val="00AE4BB7"/>
    <w:rsid w:val="00AE64EE"/>
    <w:rsid w:val="00AF0416"/>
    <w:rsid w:val="00AF08D4"/>
    <w:rsid w:val="00AF3283"/>
    <w:rsid w:val="00AF5628"/>
    <w:rsid w:val="00B01C28"/>
    <w:rsid w:val="00B02A76"/>
    <w:rsid w:val="00B03241"/>
    <w:rsid w:val="00B066B7"/>
    <w:rsid w:val="00B06721"/>
    <w:rsid w:val="00B11360"/>
    <w:rsid w:val="00B11817"/>
    <w:rsid w:val="00B118CB"/>
    <w:rsid w:val="00B14F92"/>
    <w:rsid w:val="00B151B9"/>
    <w:rsid w:val="00B15CA4"/>
    <w:rsid w:val="00B17B3E"/>
    <w:rsid w:val="00B20050"/>
    <w:rsid w:val="00B25D1D"/>
    <w:rsid w:val="00B31985"/>
    <w:rsid w:val="00B32795"/>
    <w:rsid w:val="00B338A1"/>
    <w:rsid w:val="00B3549C"/>
    <w:rsid w:val="00B37117"/>
    <w:rsid w:val="00B421CD"/>
    <w:rsid w:val="00B43118"/>
    <w:rsid w:val="00B43708"/>
    <w:rsid w:val="00B44833"/>
    <w:rsid w:val="00B47418"/>
    <w:rsid w:val="00B477E7"/>
    <w:rsid w:val="00B47CCE"/>
    <w:rsid w:val="00B50A70"/>
    <w:rsid w:val="00B51ED9"/>
    <w:rsid w:val="00B52782"/>
    <w:rsid w:val="00B53D3B"/>
    <w:rsid w:val="00B541D9"/>
    <w:rsid w:val="00B54518"/>
    <w:rsid w:val="00B54AED"/>
    <w:rsid w:val="00B56E70"/>
    <w:rsid w:val="00B57BC2"/>
    <w:rsid w:val="00B6448E"/>
    <w:rsid w:val="00B658D8"/>
    <w:rsid w:val="00B66F5D"/>
    <w:rsid w:val="00B671F3"/>
    <w:rsid w:val="00B67548"/>
    <w:rsid w:val="00B7070B"/>
    <w:rsid w:val="00B70770"/>
    <w:rsid w:val="00B70A66"/>
    <w:rsid w:val="00B8209C"/>
    <w:rsid w:val="00B8452C"/>
    <w:rsid w:val="00B84A56"/>
    <w:rsid w:val="00B91777"/>
    <w:rsid w:val="00B9214A"/>
    <w:rsid w:val="00B92F2D"/>
    <w:rsid w:val="00B97080"/>
    <w:rsid w:val="00B97FFA"/>
    <w:rsid w:val="00BA08B7"/>
    <w:rsid w:val="00BA2828"/>
    <w:rsid w:val="00BA2CD7"/>
    <w:rsid w:val="00BA38D3"/>
    <w:rsid w:val="00BA3F1B"/>
    <w:rsid w:val="00BA3F35"/>
    <w:rsid w:val="00BA6507"/>
    <w:rsid w:val="00BB07E8"/>
    <w:rsid w:val="00BB1306"/>
    <w:rsid w:val="00BB2773"/>
    <w:rsid w:val="00BB2B6E"/>
    <w:rsid w:val="00BB33C1"/>
    <w:rsid w:val="00BB417A"/>
    <w:rsid w:val="00BB4B64"/>
    <w:rsid w:val="00BB52D9"/>
    <w:rsid w:val="00BB64DC"/>
    <w:rsid w:val="00BC03FA"/>
    <w:rsid w:val="00BC09DE"/>
    <w:rsid w:val="00BC1C04"/>
    <w:rsid w:val="00BC4770"/>
    <w:rsid w:val="00BC52F5"/>
    <w:rsid w:val="00BC5F40"/>
    <w:rsid w:val="00BC6548"/>
    <w:rsid w:val="00BC65D4"/>
    <w:rsid w:val="00BC72A5"/>
    <w:rsid w:val="00BD2DDE"/>
    <w:rsid w:val="00BD3168"/>
    <w:rsid w:val="00BD39E9"/>
    <w:rsid w:val="00BD3FE6"/>
    <w:rsid w:val="00BD563C"/>
    <w:rsid w:val="00BE0B24"/>
    <w:rsid w:val="00BE211E"/>
    <w:rsid w:val="00BE23C7"/>
    <w:rsid w:val="00BE3751"/>
    <w:rsid w:val="00BF19FA"/>
    <w:rsid w:val="00BF3EC4"/>
    <w:rsid w:val="00BF44A4"/>
    <w:rsid w:val="00BF52C7"/>
    <w:rsid w:val="00BF630D"/>
    <w:rsid w:val="00BF6622"/>
    <w:rsid w:val="00BF6D9C"/>
    <w:rsid w:val="00BF781D"/>
    <w:rsid w:val="00C01701"/>
    <w:rsid w:val="00C03641"/>
    <w:rsid w:val="00C03E16"/>
    <w:rsid w:val="00C07684"/>
    <w:rsid w:val="00C13BE2"/>
    <w:rsid w:val="00C1592E"/>
    <w:rsid w:val="00C20EE0"/>
    <w:rsid w:val="00C21568"/>
    <w:rsid w:val="00C215AA"/>
    <w:rsid w:val="00C21829"/>
    <w:rsid w:val="00C22D9D"/>
    <w:rsid w:val="00C23AD7"/>
    <w:rsid w:val="00C246E2"/>
    <w:rsid w:val="00C25025"/>
    <w:rsid w:val="00C262EC"/>
    <w:rsid w:val="00C27418"/>
    <w:rsid w:val="00C2752E"/>
    <w:rsid w:val="00C36C17"/>
    <w:rsid w:val="00C37C49"/>
    <w:rsid w:val="00C40A98"/>
    <w:rsid w:val="00C41560"/>
    <w:rsid w:val="00C441FF"/>
    <w:rsid w:val="00C44365"/>
    <w:rsid w:val="00C44C6D"/>
    <w:rsid w:val="00C525F1"/>
    <w:rsid w:val="00C534C3"/>
    <w:rsid w:val="00C53DDD"/>
    <w:rsid w:val="00C54263"/>
    <w:rsid w:val="00C5457F"/>
    <w:rsid w:val="00C546C1"/>
    <w:rsid w:val="00C546EA"/>
    <w:rsid w:val="00C550BB"/>
    <w:rsid w:val="00C55F22"/>
    <w:rsid w:val="00C578BF"/>
    <w:rsid w:val="00C600F4"/>
    <w:rsid w:val="00C6591F"/>
    <w:rsid w:val="00C66468"/>
    <w:rsid w:val="00C668EC"/>
    <w:rsid w:val="00C66F62"/>
    <w:rsid w:val="00C71767"/>
    <w:rsid w:val="00C76C49"/>
    <w:rsid w:val="00C77EEC"/>
    <w:rsid w:val="00C80DAF"/>
    <w:rsid w:val="00C8574D"/>
    <w:rsid w:val="00C87722"/>
    <w:rsid w:val="00C87E4D"/>
    <w:rsid w:val="00C905C2"/>
    <w:rsid w:val="00C91D4C"/>
    <w:rsid w:val="00C92833"/>
    <w:rsid w:val="00C96AD8"/>
    <w:rsid w:val="00C96AEF"/>
    <w:rsid w:val="00C96FB4"/>
    <w:rsid w:val="00CA035E"/>
    <w:rsid w:val="00CA0756"/>
    <w:rsid w:val="00CA4284"/>
    <w:rsid w:val="00CA4EC4"/>
    <w:rsid w:val="00CA7860"/>
    <w:rsid w:val="00CB0ACA"/>
    <w:rsid w:val="00CB0C62"/>
    <w:rsid w:val="00CB1E17"/>
    <w:rsid w:val="00CB2340"/>
    <w:rsid w:val="00CB2E28"/>
    <w:rsid w:val="00CB32CD"/>
    <w:rsid w:val="00CB69F3"/>
    <w:rsid w:val="00CB6A2F"/>
    <w:rsid w:val="00CB6D56"/>
    <w:rsid w:val="00CC2EB3"/>
    <w:rsid w:val="00CC31D9"/>
    <w:rsid w:val="00CC3D3F"/>
    <w:rsid w:val="00CC4B64"/>
    <w:rsid w:val="00CC4E2B"/>
    <w:rsid w:val="00CC615F"/>
    <w:rsid w:val="00CC6CD8"/>
    <w:rsid w:val="00CC7DBA"/>
    <w:rsid w:val="00CC7E37"/>
    <w:rsid w:val="00CD17EF"/>
    <w:rsid w:val="00CD2A10"/>
    <w:rsid w:val="00CD4466"/>
    <w:rsid w:val="00CD57D1"/>
    <w:rsid w:val="00CD5CC1"/>
    <w:rsid w:val="00CD6B63"/>
    <w:rsid w:val="00CD7121"/>
    <w:rsid w:val="00CD7509"/>
    <w:rsid w:val="00CE29CC"/>
    <w:rsid w:val="00CE30D6"/>
    <w:rsid w:val="00CE54C7"/>
    <w:rsid w:val="00CE5AEC"/>
    <w:rsid w:val="00CE6FD9"/>
    <w:rsid w:val="00CE7962"/>
    <w:rsid w:val="00CF2139"/>
    <w:rsid w:val="00CF2BBB"/>
    <w:rsid w:val="00CF2EAA"/>
    <w:rsid w:val="00CF32D6"/>
    <w:rsid w:val="00CF455B"/>
    <w:rsid w:val="00CF5A08"/>
    <w:rsid w:val="00CF6EDA"/>
    <w:rsid w:val="00CF7573"/>
    <w:rsid w:val="00CF7E3A"/>
    <w:rsid w:val="00D011E8"/>
    <w:rsid w:val="00D04AA7"/>
    <w:rsid w:val="00D06794"/>
    <w:rsid w:val="00D06D72"/>
    <w:rsid w:val="00D138F6"/>
    <w:rsid w:val="00D14053"/>
    <w:rsid w:val="00D14D3D"/>
    <w:rsid w:val="00D15AC8"/>
    <w:rsid w:val="00D16813"/>
    <w:rsid w:val="00D21BC1"/>
    <w:rsid w:val="00D23017"/>
    <w:rsid w:val="00D243F6"/>
    <w:rsid w:val="00D25A3C"/>
    <w:rsid w:val="00D2733F"/>
    <w:rsid w:val="00D3007C"/>
    <w:rsid w:val="00D31691"/>
    <w:rsid w:val="00D373CC"/>
    <w:rsid w:val="00D37E57"/>
    <w:rsid w:val="00D37EC0"/>
    <w:rsid w:val="00D40CF0"/>
    <w:rsid w:val="00D43E7F"/>
    <w:rsid w:val="00D45C1D"/>
    <w:rsid w:val="00D47A9C"/>
    <w:rsid w:val="00D505D7"/>
    <w:rsid w:val="00D52B41"/>
    <w:rsid w:val="00D5465E"/>
    <w:rsid w:val="00D5479B"/>
    <w:rsid w:val="00D5598B"/>
    <w:rsid w:val="00D56A24"/>
    <w:rsid w:val="00D60141"/>
    <w:rsid w:val="00D60233"/>
    <w:rsid w:val="00D602AF"/>
    <w:rsid w:val="00D6077E"/>
    <w:rsid w:val="00D62451"/>
    <w:rsid w:val="00D62B90"/>
    <w:rsid w:val="00D62FDD"/>
    <w:rsid w:val="00D64662"/>
    <w:rsid w:val="00D676F2"/>
    <w:rsid w:val="00D71ABA"/>
    <w:rsid w:val="00D71DE5"/>
    <w:rsid w:val="00D71F35"/>
    <w:rsid w:val="00D772FE"/>
    <w:rsid w:val="00D80954"/>
    <w:rsid w:val="00D827C3"/>
    <w:rsid w:val="00D8361F"/>
    <w:rsid w:val="00D842DC"/>
    <w:rsid w:val="00D85108"/>
    <w:rsid w:val="00D8778F"/>
    <w:rsid w:val="00D87F7F"/>
    <w:rsid w:val="00D92805"/>
    <w:rsid w:val="00D92C8E"/>
    <w:rsid w:val="00D9339A"/>
    <w:rsid w:val="00DA341E"/>
    <w:rsid w:val="00DA3F8A"/>
    <w:rsid w:val="00DA4FE7"/>
    <w:rsid w:val="00DA5970"/>
    <w:rsid w:val="00DA5C4E"/>
    <w:rsid w:val="00DA7257"/>
    <w:rsid w:val="00DB26C8"/>
    <w:rsid w:val="00DB63C2"/>
    <w:rsid w:val="00DB7B3B"/>
    <w:rsid w:val="00DB7BCC"/>
    <w:rsid w:val="00DB7E55"/>
    <w:rsid w:val="00DC0408"/>
    <w:rsid w:val="00DC2D4E"/>
    <w:rsid w:val="00DC4A18"/>
    <w:rsid w:val="00DC556E"/>
    <w:rsid w:val="00DC5E5C"/>
    <w:rsid w:val="00DC74C7"/>
    <w:rsid w:val="00DD0482"/>
    <w:rsid w:val="00DD46A5"/>
    <w:rsid w:val="00DE0747"/>
    <w:rsid w:val="00DE2D40"/>
    <w:rsid w:val="00DE3519"/>
    <w:rsid w:val="00DE3775"/>
    <w:rsid w:val="00DE428B"/>
    <w:rsid w:val="00DE439F"/>
    <w:rsid w:val="00DE5270"/>
    <w:rsid w:val="00DE5FE2"/>
    <w:rsid w:val="00DF1997"/>
    <w:rsid w:val="00DF312F"/>
    <w:rsid w:val="00DF4194"/>
    <w:rsid w:val="00DF4847"/>
    <w:rsid w:val="00DF7D18"/>
    <w:rsid w:val="00E00B70"/>
    <w:rsid w:val="00E0230C"/>
    <w:rsid w:val="00E02620"/>
    <w:rsid w:val="00E02769"/>
    <w:rsid w:val="00E0480C"/>
    <w:rsid w:val="00E04F9F"/>
    <w:rsid w:val="00E064FA"/>
    <w:rsid w:val="00E06870"/>
    <w:rsid w:val="00E072A1"/>
    <w:rsid w:val="00E0788F"/>
    <w:rsid w:val="00E07C6F"/>
    <w:rsid w:val="00E10E34"/>
    <w:rsid w:val="00E124CB"/>
    <w:rsid w:val="00E1561A"/>
    <w:rsid w:val="00E21617"/>
    <w:rsid w:val="00E21634"/>
    <w:rsid w:val="00E22547"/>
    <w:rsid w:val="00E228A9"/>
    <w:rsid w:val="00E24DC6"/>
    <w:rsid w:val="00E26618"/>
    <w:rsid w:val="00E26805"/>
    <w:rsid w:val="00E27A13"/>
    <w:rsid w:val="00E3141C"/>
    <w:rsid w:val="00E31A49"/>
    <w:rsid w:val="00E32613"/>
    <w:rsid w:val="00E34EA0"/>
    <w:rsid w:val="00E3519B"/>
    <w:rsid w:val="00E40D27"/>
    <w:rsid w:val="00E4128C"/>
    <w:rsid w:val="00E414F8"/>
    <w:rsid w:val="00E4336B"/>
    <w:rsid w:val="00E43611"/>
    <w:rsid w:val="00E43912"/>
    <w:rsid w:val="00E442E9"/>
    <w:rsid w:val="00E477C3"/>
    <w:rsid w:val="00E50B3A"/>
    <w:rsid w:val="00E517D5"/>
    <w:rsid w:val="00E54890"/>
    <w:rsid w:val="00E54CB3"/>
    <w:rsid w:val="00E55873"/>
    <w:rsid w:val="00E637EE"/>
    <w:rsid w:val="00E65067"/>
    <w:rsid w:val="00E65942"/>
    <w:rsid w:val="00E6673C"/>
    <w:rsid w:val="00E66870"/>
    <w:rsid w:val="00E66985"/>
    <w:rsid w:val="00E66FFA"/>
    <w:rsid w:val="00E7469E"/>
    <w:rsid w:val="00E756E3"/>
    <w:rsid w:val="00E75942"/>
    <w:rsid w:val="00E7696E"/>
    <w:rsid w:val="00E825A0"/>
    <w:rsid w:val="00E829F4"/>
    <w:rsid w:val="00E82AF1"/>
    <w:rsid w:val="00E82C90"/>
    <w:rsid w:val="00E90C6B"/>
    <w:rsid w:val="00E940AB"/>
    <w:rsid w:val="00E94BD9"/>
    <w:rsid w:val="00E94C20"/>
    <w:rsid w:val="00E95C04"/>
    <w:rsid w:val="00EA0C6B"/>
    <w:rsid w:val="00EA3319"/>
    <w:rsid w:val="00EA4643"/>
    <w:rsid w:val="00EA4DDA"/>
    <w:rsid w:val="00EA54E0"/>
    <w:rsid w:val="00EA6FE2"/>
    <w:rsid w:val="00EB037B"/>
    <w:rsid w:val="00EB3A2B"/>
    <w:rsid w:val="00EB611E"/>
    <w:rsid w:val="00EB65E6"/>
    <w:rsid w:val="00EC0023"/>
    <w:rsid w:val="00EC11D2"/>
    <w:rsid w:val="00EC203F"/>
    <w:rsid w:val="00EC531C"/>
    <w:rsid w:val="00ED0173"/>
    <w:rsid w:val="00ED3514"/>
    <w:rsid w:val="00ED57BB"/>
    <w:rsid w:val="00ED6E90"/>
    <w:rsid w:val="00ED72CF"/>
    <w:rsid w:val="00ED74E4"/>
    <w:rsid w:val="00ED7A2D"/>
    <w:rsid w:val="00EE06C8"/>
    <w:rsid w:val="00EE297D"/>
    <w:rsid w:val="00EE4281"/>
    <w:rsid w:val="00EE565D"/>
    <w:rsid w:val="00EE5954"/>
    <w:rsid w:val="00EE6560"/>
    <w:rsid w:val="00EE6954"/>
    <w:rsid w:val="00EE6D83"/>
    <w:rsid w:val="00EF237B"/>
    <w:rsid w:val="00EF238C"/>
    <w:rsid w:val="00EF338E"/>
    <w:rsid w:val="00EF349B"/>
    <w:rsid w:val="00EF3566"/>
    <w:rsid w:val="00EF3D6E"/>
    <w:rsid w:val="00EF7692"/>
    <w:rsid w:val="00EF770A"/>
    <w:rsid w:val="00F000DF"/>
    <w:rsid w:val="00F0118B"/>
    <w:rsid w:val="00F02A1B"/>
    <w:rsid w:val="00F033F2"/>
    <w:rsid w:val="00F06A27"/>
    <w:rsid w:val="00F11458"/>
    <w:rsid w:val="00F142C4"/>
    <w:rsid w:val="00F14492"/>
    <w:rsid w:val="00F149BF"/>
    <w:rsid w:val="00F16ED4"/>
    <w:rsid w:val="00F17268"/>
    <w:rsid w:val="00F17FE6"/>
    <w:rsid w:val="00F209E0"/>
    <w:rsid w:val="00F22BCC"/>
    <w:rsid w:val="00F22F7A"/>
    <w:rsid w:val="00F23A0B"/>
    <w:rsid w:val="00F25437"/>
    <w:rsid w:val="00F275F3"/>
    <w:rsid w:val="00F313D0"/>
    <w:rsid w:val="00F31633"/>
    <w:rsid w:val="00F3180C"/>
    <w:rsid w:val="00F32D82"/>
    <w:rsid w:val="00F33912"/>
    <w:rsid w:val="00F33D63"/>
    <w:rsid w:val="00F3503C"/>
    <w:rsid w:val="00F372C9"/>
    <w:rsid w:val="00F37A7B"/>
    <w:rsid w:val="00F4176C"/>
    <w:rsid w:val="00F42B05"/>
    <w:rsid w:val="00F42BF9"/>
    <w:rsid w:val="00F437AE"/>
    <w:rsid w:val="00F439CE"/>
    <w:rsid w:val="00F43B35"/>
    <w:rsid w:val="00F43CF6"/>
    <w:rsid w:val="00F43EDE"/>
    <w:rsid w:val="00F46144"/>
    <w:rsid w:val="00F46B26"/>
    <w:rsid w:val="00F47B94"/>
    <w:rsid w:val="00F50100"/>
    <w:rsid w:val="00F507A9"/>
    <w:rsid w:val="00F508C1"/>
    <w:rsid w:val="00F55138"/>
    <w:rsid w:val="00F5570D"/>
    <w:rsid w:val="00F55B2C"/>
    <w:rsid w:val="00F55D00"/>
    <w:rsid w:val="00F61E6A"/>
    <w:rsid w:val="00F6660C"/>
    <w:rsid w:val="00F721E5"/>
    <w:rsid w:val="00F72825"/>
    <w:rsid w:val="00F72882"/>
    <w:rsid w:val="00F730D8"/>
    <w:rsid w:val="00F75C4C"/>
    <w:rsid w:val="00F80A07"/>
    <w:rsid w:val="00F816A9"/>
    <w:rsid w:val="00F83DCF"/>
    <w:rsid w:val="00F8480B"/>
    <w:rsid w:val="00F84DFF"/>
    <w:rsid w:val="00F87338"/>
    <w:rsid w:val="00F87694"/>
    <w:rsid w:val="00F90385"/>
    <w:rsid w:val="00F9187F"/>
    <w:rsid w:val="00F93D67"/>
    <w:rsid w:val="00F942F4"/>
    <w:rsid w:val="00F94EBE"/>
    <w:rsid w:val="00F967FF"/>
    <w:rsid w:val="00F96FA9"/>
    <w:rsid w:val="00F96FED"/>
    <w:rsid w:val="00FA17F9"/>
    <w:rsid w:val="00FA1815"/>
    <w:rsid w:val="00FA262B"/>
    <w:rsid w:val="00FA46B5"/>
    <w:rsid w:val="00FA66FF"/>
    <w:rsid w:val="00FA790A"/>
    <w:rsid w:val="00FB0AA2"/>
    <w:rsid w:val="00FB2D2F"/>
    <w:rsid w:val="00FB4F15"/>
    <w:rsid w:val="00FB5191"/>
    <w:rsid w:val="00FB5CEC"/>
    <w:rsid w:val="00FB7F30"/>
    <w:rsid w:val="00FC036E"/>
    <w:rsid w:val="00FC0A05"/>
    <w:rsid w:val="00FC1BA2"/>
    <w:rsid w:val="00FC3F1E"/>
    <w:rsid w:val="00FC4438"/>
    <w:rsid w:val="00FC4572"/>
    <w:rsid w:val="00FC45FD"/>
    <w:rsid w:val="00FC5D82"/>
    <w:rsid w:val="00FC5E7A"/>
    <w:rsid w:val="00FC6A31"/>
    <w:rsid w:val="00FD0803"/>
    <w:rsid w:val="00FD6BAC"/>
    <w:rsid w:val="00FE1BCB"/>
    <w:rsid w:val="00FE3FD2"/>
    <w:rsid w:val="00FE4FE9"/>
    <w:rsid w:val="00FE538A"/>
    <w:rsid w:val="00FE55A7"/>
    <w:rsid w:val="00FF0A7C"/>
    <w:rsid w:val="00FF0AA6"/>
    <w:rsid w:val="00FF0E78"/>
    <w:rsid w:val="00FF3853"/>
    <w:rsid w:val="00FF3A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0B4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3ED"/>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833ED"/>
    <w:pPr>
      <w:keepNext/>
      <w:keepLines/>
      <w:spacing w:after="240" w:line="240" w:lineRule="auto"/>
      <w:outlineLvl w:val="0"/>
    </w:pPr>
    <w:rPr>
      <w:rFonts w:eastAsiaTheme="majorEastAsia" w:cs="Times New Roman"/>
      <w:b/>
      <w:bCs/>
      <w:sz w:val="32"/>
      <w:szCs w:val="32"/>
    </w:rPr>
  </w:style>
  <w:style w:type="paragraph" w:styleId="Heading2">
    <w:name w:val="heading 2"/>
    <w:basedOn w:val="Normal"/>
    <w:next w:val="Normal"/>
    <w:link w:val="Heading2Char"/>
    <w:autoRedefine/>
    <w:uiPriority w:val="9"/>
    <w:unhideWhenUsed/>
    <w:qFormat/>
    <w:rsid w:val="008A4BED"/>
    <w:pPr>
      <w:keepNext/>
      <w:keepLines/>
      <w:spacing w:before="40" w:after="0"/>
      <w:outlineLvl w:val="1"/>
    </w:pPr>
    <w:rPr>
      <w:rFonts w:eastAsiaTheme="majorEastAsia" w:cs="Times New Roman"/>
      <w:b/>
      <w:bCs/>
      <w:sz w:val="26"/>
      <w:szCs w:val="26"/>
    </w:rPr>
  </w:style>
  <w:style w:type="paragraph" w:styleId="Heading3">
    <w:name w:val="heading 3"/>
    <w:basedOn w:val="Normal"/>
    <w:next w:val="Normal"/>
    <w:link w:val="Heading3Char"/>
    <w:uiPriority w:val="9"/>
    <w:semiHidden/>
    <w:unhideWhenUsed/>
    <w:qFormat/>
    <w:rsid w:val="007C72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3ED"/>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rsid w:val="008A4BED"/>
    <w:rPr>
      <w:rFonts w:ascii="Times New Roman" w:eastAsiaTheme="majorEastAsia" w:hAnsi="Times New Roman" w:cs="Times New Roman"/>
      <w:b/>
      <w:bCs/>
      <w:sz w:val="26"/>
      <w:szCs w:val="26"/>
    </w:rPr>
  </w:style>
  <w:style w:type="paragraph" w:styleId="ListParagraph">
    <w:name w:val="List Paragraph"/>
    <w:basedOn w:val="Normal"/>
    <w:uiPriority w:val="34"/>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E40D27"/>
    <w:pPr>
      <w:tabs>
        <w:tab w:val="right" w:leader="dot" w:pos="9016"/>
      </w:tabs>
      <w:spacing w:after="100"/>
    </w:pPr>
  </w:style>
  <w:style w:type="paragraph" w:styleId="TOC2">
    <w:name w:val="toc 2"/>
    <w:basedOn w:val="Normal"/>
    <w:next w:val="Normal"/>
    <w:autoRedefine/>
    <w:uiPriority w:val="39"/>
    <w:unhideWhenUsed/>
    <w:rsid w:val="00E40D27"/>
    <w:pPr>
      <w:spacing w:after="100"/>
      <w:ind w:left="220"/>
    </w:p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2B2"/>
  </w:style>
  <w:style w:type="character" w:customStyle="1" w:styleId="Heading3Char">
    <w:name w:val="Heading 3 Char"/>
    <w:basedOn w:val="DefaultParagraphFont"/>
    <w:link w:val="Heading3"/>
    <w:uiPriority w:val="9"/>
    <w:semiHidden/>
    <w:rsid w:val="007C728E"/>
    <w:rPr>
      <w:rFonts w:ascii="Times New Roman" w:eastAsiaTheme="majorEastAsia" w:hAnsi="Times New Roman" w:cstheme="majorBidi"/>
      <w:b/>
      <w:sz w:val="24"/>
      <w:szCs w:val="24"/>
    </w:rPr>
  </w:style>
  <w:style w:type="paragraph" w:styleId="BodyText">
    <w:name w:val="Body Text"/>
    <w:basedOn w:val="Normal"/>
    <w:link w:val="BodyTextChar"/>
    <w:uiPriority w:val="1"/>
    <w:qFormat/>
    <w:rsid w:val="001C5A2E"/>
    <w:pPr>
      <w:widowControl w:val="0"/>
      <w:autoSpaceDE w:val="0"/>
      <w:autoSpaceDN w:val="0"/>
      <w:spacing w:after="0" w:line="240" w:lineRule="auto"/>
      <w:ind w:left="221"/>
      <w:jc w:val="left"/>
    </w:pPr>
    <w:rPr>
      <w:rFonts w:eastAsia="Times New Roman" w:cs="Times New Roman"/>
      <w:szCs w:val="24"/>
      <w:lang w:val="en-US" w:eastAsia="en-US"/>
    </w:rPr>
  </w:style>
  <w:style w:type="character" w:customStyle="1" w:styleId="BodyTextChar">
    <w:name w:val="Body Text Char"/>
    <w:basedOn w:val="DefaultParagraphFont"/>
    <w:link w:val="BodyText"/>
    <w:uiPriority w:val="1"/>
    <w:rsid w:val="001C5A2E"/>
    <w:rPr>
      <w:rFonts w:ascii="Times New Roman" w:eastAsia="Times New Roman" w:hAnsi="Times New Roman" w:cs="Times New Roman"/>
      <w:sz w:val="24"/>
      <w:szCs w:val="24"/>
      <w:lang w:val="en-US" w:eastAsia="en-US"/>
    </w:rPr>
  </w:style>
  <w:style w:type="paragraph" w:customStyle="1" w:styleId="TableParagraph">
    <w:name w:val="Table Paragraph"/>
    <w:basedOn w:val="Normal"/>
    <w:uiPriority w:val="1"/>
    <w:qFormat/>
    <w:rsid w:val="00461782"/>
    <w:pPr>
      <w:widowControl w:val="0"/>
      <w:autoSpaceDE w:val="0"/>
      <w:autoSpaceDN w:val="0"/>
      <w:spacing w:after="0" w:line="240" w:lineRule="auto"/>
      <w:ind w:left="115"/>
      <w:jc w:val="left"/>
    </w:pPr>
    <w:rPr>
      <w:rFonts w:eastAsia="Times New Roman" w:cs="Times New Roman"/>
      <w:sz w:val="22"/>
      <w:lang w:val="en-US" w:eastAsia="en-US"/>
    </w:rPr>
  </w:style>
  <w:style w:type="table" w:styleId="TableGrid">
    <w:name w:val="Table Grid"/>
    <w:basedOn w:val="TableNormal"/>
    <w:uiPriority w:val="39"/>
    <w:rsid w:val="00540F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1271F"/>
    <w:pPr>
      <w:spacing w:before="100" w:beforeAutospacing="1" w:after="100" w:afterAutospacing="1" w:line="240" w:lineRule="auto"/>
      <w:jc w:val="left"/>
    </w:pPr>
    <w:rPr>
      <w:rFonts w:eastAsia="Times New Roman" w:cs="Times New Roman"/>
      <w:szCs w:val="24"/>
      <w:lang w:val="en-US" w:eastAsia="en-US"/>
    </w:rPr>
  </w:style>
  <w:style w:type="character" w:customStyle="1" w:styleId="muitypography-root">
    <w:name w:val="muitypography-root"/>
    <w:basedOn w:val="DefaultParagraphFont"/>
    <w:rsid w:val="00AA1564"/>
  </w:style>
  <w:style w:type="table" w:customStyle="1" w:styleId="GridTable41">
    <w:name w:val="Grid Table 41"/>
    <w:basedOn w:val="TableNormal"/>
    <w:uiPriority w:val="49"/>
    <w:rsid w:val="00DF199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28452">
      <w:bodyDiv w:val="1"/>
      <w:marLeft w:val="0"/>
      <w:marRight w:val="0"/>
      <w:marTop w:val="0"/>
      <w:marBottom w:val="0"/>
      <w:divBdr>
        <w:top w:val="none" w:sz="0" w:space="0" w:color="auto"/>
        <w:left w:val="none" w:sz="0" w:space="0" w:color="auto"/>
        <w:bottom w:val="none" w:sz="0" w:space="0" w:color="auto"/>
        <w:right w:val="none" w:sz="0" w:space="0" w:color="auto"/>
      </w:divBdr>
      <w:divsChild>
        <w:div w:id="221068002">
          <w:marLeft w:val="0"/>
          <w:marRight w:val="0"/>
          <w:marTop w:val="0"/>
          <w:marBottom w:val="0"/>
          <w:divBdr>
            <w:top w:val="none" w:sz="0" w:space="0" w:color="auto"/>
            <w:left w:val="none" w:sz="0" w:space="0" w:color="auto"/>
            <w:bottom w:val="none" w:sz="0" w:space="0" w:color="auto"/>
            <w:right w:val="none" w:sz="0" w:space="0" w:color="auto"/>
          </w:divBdr>
        </w:div>
      </w:divsChild>
    </w:div>
    <w:div w:id="518202756">
      <w:bodyDiv w:val="1"/>
      <w:marLeft w:val="0"/>
      <w:marRight w:val="0"/>
      <w:marTop w:val="0"/>
      <w:marBottom w:val="0"/>
      <w:divBdr>
        <w:top w:val="none" w:sz="0" w:space="0" w:color="auto"/>
        <w:left w:val="none" w:sz="0" w:space="0" w:color="auto"/>
        <w:bottom w:val="none" w:sz="0" w:space="0" w:color="auto"/>
        <w:right w:val="none" w:sz="0" w:space="0" w:color="auto"/>
      </w:divBdr>
    </w:div>
    <w:div w:id="1074864278">
      <w:bodyDiv w:val="1"/>
      <w:marLeft w:val="0"/>
      <w:marRight w:val="0"/>
      <w:marTop w:val="0"/>
      <w:marBottom w:val="0"/>
      <w:divBdr>
        <w:top w:val="none" w:sz="0" w:space="0" w:color="auto"/>
        <w:left w:val="none" w:sz="0" w:space="0" w:color="auto"/>
        <w:bottom w:val="none" w:sz="0" w:space="0" w:color="auto"/>
        <w:right w:val="none" w:sz="0" w:space="0" w:color="auto"/>
      </w:divBdr>
      <w:divsChild>
        <w:div w:id="50427907">
          <w:marLeft w:val="0"/>
          <w:marRight w:val="0"/>
          <w:marTop w:val="0"/>
          <w:marBottom w:val="0"/>
          <w:divBdr>
            <w:top w:val="none" w:sz="0" w:space="0" w:color="auto"/>
            <w:left w:val="none" w:sz="0" w:space="0" w:color="auto"/>
            <w:bottom w:val="none" w:sz="0" w:space="0" w:color="auto"/>
            <w:right w:val="none" w:sz="0" w:space="0" w:color="auto"/>
          </w:divBdr>
        </w:div>
      </w:divsChild>
    </w:div>
    <w:div w:id="1683776846">
      <w:bodyDiv w:val="1"/>
      <w:marLeft w:val="0"/>
      <w:marRight w:val="0"/>
      <w:marTop w:val="0"/>
      <w:marBottom w:val="0"/>
      <w:divBdr>
        <w:top w:val="none" w:sz="0" w:space="0" w:color="auto"/>
        <w:left w:val="none" w:sz="0" w:space="0" w:color="auto"/>
        <w:bottom w:val="none" w:sz="0" w:space="0" w:color="auto"/>
        <w:right w:val="none" w:sz="0" w:space="0" w:color="auto"/>
      </w:divBdr>
      <w:divsChild>
        <w:div w:id="1539202217">
          <w:marLeft w:val="0"/>
          <w:marRight w:val="0"/>
          <w:marTop w:val="0"/>
          <w:marBottom w:val="0"/>
          <w:divBdr>
            <w:top w:val="none" w:sz="0" w:space="0" w:color="auto"/>
            <w:left w:val="none" w:sz="0" w:space="0" w:color="auto"/>
            <w:bottom w:val="none" w:sz="0" w:space="0" w:color="auto"/>
            <w:right w:val="none" w:sz="0" w:space="0" w:color="auto"/>
          </w:divBdr>
        </w:div>
      </w:divsChild>
    </w:div>
    <w:div w:id="2090033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2286</Words>
  <Characters>13034</Characters>
  <Application>Microsoft Office Word</Application>
  <DocSecurity>0</DocSecurity>
  <Lines>108</Lines>
  <Paragraphs>30</Paragraphs>
  <ScaleCrop>false</ScaleCrop>
  <LinksUpToDate>false</LinksUpToDate>
  <CharactersWithSpaces>15290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2023-06-12T10:28:00Z</dcterms:created>
  <dcterms:modified xsi:type="dcterms:W3CDTF">2023-06-12T10:28:00Z</dcterms:modified>
</cp:coreProperties>
</file>