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4"/>
          <w:szCs w:val="24"/>
        </w:rPr>
      </w:pPr>
      <w:r w:rsidDel="00000000" w:rsidR="00000000" w:rsidRPr="00000000">
        <w:rPr>
          <w:sz w:val="24"/>
          <w:szCs w:val="24"/>
          <w:rtl w:val="0"/>
        </w:rPr>
        <w:t xml:space="preserve">Assessment 1- Academic study skills for students</w:t>
      </w:r>
    </w:p>
    <w:p w:rsidR="00000000" w:rsidDel="00000000" w:rsidP="00000000" w:rsidRDefault="00000000" w:rsidRPr="00000000" w14:paraId="00000002">
      <w:pPr>
        <w:rPr>
          <w:sz w:val="24"/>
          <w:szCs w:val="24"/>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sz w:val="24"/>
          <w:szCs w:val="24"/>
          <w:rtl w:val="0"/>
        </w:rPr>
        <w:t xml:space="preserve">Task 1- Paraphrase a section from a selected book chapter.</w:t>
      </w:r>
    </w:p>
    <w:p w:rsidR="00000000" w:rsidDel="00000000" w:rsidP="00000000" w:rsidRDefault="00000000" w:rsidRPr="00000000" w14:paraId="00000004">
      <w:pPr>
        <w:rPr>
          <w:sz w:val="24"/>
          <w:szCs w:val="24"/>
          <w:u w:val="single"/>
        </w:rPr>
      </w:pPr>
      <w:r w:rsidDel="00000000" w:rsidR="00000000" w:rsidRPr="00000000">
        <w:rPr>
          <w:sz w:val="24"/>
          <w:szCs w:val="24"/>
          <w:u w:val="single"/>
          <w:rtl w:val="0"/>
        </w:rPr>
        <w:t xml:space="preserve">Explaining Depression</w:t>
      </w:r>
    </w:p>
    <w:p w:rsidR="00000000" w:rsidDel="00000000" w:rsidP="00000000" w:rsidRDefault="00000000" w:rsidRPr="00000000" w14:paraId="00000005">
      <w:pPr>
        <w:rPr>
          <w:sz w:val="24"/>
          <w:szCs w:val="24"/>
        </w:rPr>
      </w:pPr>
      <w:r w:rsidDel="00000000" w:rsidR="00000000" w:rsidRPr="00000000">
        <w:rPr>
          <w:sz w:val="24"/>
          <w:szCs w:val="24"/>
          <w:rtl w:val="0"/>
        </w:rPr>
        <w:t xml:space="preserve">The most praised method of depression is the cognitive triad of depression (Beck,1963). It was used to treat people suffering with symptoms of depression and is still in use currently. The sad feelings of depression </w:t>
      </w:r>
      <w:r w:rsidDel="00000000" w:rsidR="00000000" w:rsidRPr="00000000">
        <w:rPr>
          <w:sz w:val="24"/>
          <w:szCs w:val="24"/>
          <w:rtl w:val="0"/>
        </w:rPr>
        <w:t xml:space="preserve">come</w:t>
      </w:r>
      <w:r w:rsidDel="00000000" w:rsidR="00000000" w:rsidRPr="00000000">
        <w:rPr>
          <w:sz w:val="24"/>
          <w:szCs w:val="24"/>
          <w:rtl w:val="0"/>
        </w:rPr>
        <w:t xml:space="preserve"> from a lack of Serotonin, noradrenaline or dopamine from the monoamine oxidase hypothesis. Studies from the 1950’s showed that reserpine caused levels of depression as a side effect, reserpine was used to treat people with high blood pressure. The learned helplessness theory (Seligman,1974). Showed that animals acted with disability when confronted with an extremely difficult scenario this tells you that there is a lack of ability when stressed as there is in humans. In theory this is replicated with depression in humans meaning when someone who has symptoms of depression is in a stressful situation they may seem to lack motivation and emotion. People who experience these feelings of depression lack the ability to cope whereas those who don't have these symptoms have different methods of dealing with these issues. Although they could not directly prove that helplessness leads to depression, there were strong arguments.The attributional theory of depression (Abramson et al.,1978) refers to the way people, with or without depression, react to their successes and failures. People who suffer with depression are more likely to blame themselves with reasons usually being that of internal, stable or global. When people who are more depression-prone are in stressful environments they are more likely to have low self-esteem, lack of motivation and depressing thoughts. As DAS brings in cognitive factors that LHT did not. It is thought that DAS is already an internal factor that depressed people carry, with levels changing and even disappearing when in stressful or non-stressful scenarios. The large majority of studies investigating depression have involved Serotonin (5-HT). Tricyclics stop the reuptake of 5-HT and noradrenaline which makes the next nerve impulse easier as there is more of the chemicals in the synaptic gap. Most of the commonly used antidepressants raise levels of serotonin, Giving them the nickname SRI’s (serotonin reuptake inhibitors). Due to the results shown when using serotonin to treat people with MDD, a greater link has been established between serotonin levels and depression. MAOIs increase the levels of serotonin and noradrenaline in the brain, this is caused by MAOIs stopping MAO breaking down neurotransmitters. With other evidence also backing up the statement that people with lower counts of neurotransmitters having higher levels of depression. The method of using serotonin and noradrenaline to treat depression can sometimes take 7-14 days before the patient notices any real difference. This is believed to be due to neurotransmitters returning to their normal condition after time.Therefore you could not say that these treatments decrease the extent of depression by increasing the neurotransmitter level (Davison and Neale, 2001). Experimental depletion studies, a direct test in which peoples serotonin levels were lowered to measure effect. Often these people do not show any heightened feelings or symptoms of depression (Claridge and Davis, 2003). Furthermore research also showed that when the serotonin levels in those with depression was not altered there was no dramatic result Delgado, 2000). In summary the various studies have shown a clear link between serotonin and noradrenaline levels and those with symptoms of/or suffering with depression.</w:t>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sz w:val="24"/>
          <w:szCs w:val="24"/>
        </w:rPr>
      </w:pPr>
      <w:r w:rsidDel="00000000" w:rsidR="00000000" w:rsidRPr="00000000">
        <w:rPr>
          <w:sz w:val="24"/>
          <w:szCs w:val="24"/>
          <w:rtl w:val="0"/>
        </w:rPr>
        <w:t xml:space="preserve">Task 2- Summarise three selected journal articles into abstracts </w:t>
      </w:r>
    </w:p>
    <w:p w:rsidR="00000000" w:rsidDel="00000000" w:rsidP="00000000" w:rsidRDefault="00000000" w:rsidRPr="00000000" w14:paraId="00000008">
      <w:pPr>
        <w:rPr>
          <w:sz w:val="24"/>
          <w:szCs w:val="24"/>
        </w:rPr>
      </w:pPr>
      <w:r w:rsidDel="00000000" w:rsidR="00000000" w:rsidRPr="00000000">
        <w:rPr>
          <w:sz w:val="24"/>
          <w:szCs w:val="24"/>
          <w:rtl w:val="0"/>
        </w:rPr>
        <w:t xml:space="preserve">‘Is gambing an emerging health issue for Wales,UK’</w:t>
      </w:r>
    </w:p>
    <w:p w:rsidR="00000000" w:rsidDel="00000000" w:rsidP="00000000" w:rsidRDefault="00000000" w:rsidRPr="00000000" w14:paraId="00000009">
      <w:pPr>
        <w:rPr>
          <w:sz w:val="24"/>
          <w:szCs w:val="24"/>
        </w:rPr>
      </w:pPr>
      <w:r w:rsidDel="00000000" w:rsidR="00000000" w:rsidRPr="00000000">
        <w:rPr>
          <w:sz w:val="24"/>
          <w:szCs w:val="24"/>
          <w:rtl w:val="0"/>
        </w:rPr>
        <w:t xml:space="preserve">With guidance from relevant information and statistics, the debate of the negative side effects of gambling has on the people of Wales will be answered. The gambling act of 2005 defines gambling as betting,gaming or participating in a lottery. Using the data provided and some prior knowledge we can establish a decent understanding of how many people are affected and furthermore, to what extent they are affected. Through the latest literature and a list from the welsh government this study explored the extent of harm gambling has on people in Wales, inturn the effect it has on their friends, families and communities. The results showed that over half of men and women in Wales gambled in the last 12 months with 30,000 admitting a gambling problem. This shows that gambling is a growing issue to the Welsh people and their associates.</w:t>
      </w:r>
      <w:r w:rsidDel="00000000" w:rsidR="00000000" w:rsidRPr="00000000">
        <w:rPr>
          <w:rFonts w:ascii="Calibri" w:cs="Calibri" w:eastAsia="Calibri" w:hAnsi="Calibri"/>
          <w:rtl w:val="0"/>
        </w:rPr>
        <w:t xml:space="preserve">(Atherton and Beynon, 2018)</w:t>
      </w:r>
      <w:r w:rsidDel="00000000" w:rsidR="00000000" w:rsidRPr="00000000">
        <w:rPr>
          <w:rtl w:val="0"/>
        </w:rPr>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sz w:val="24"/>
          <w:szCs w:val="24"/>
          <w:rtl w:val="0"/>
        </w:rPr>
        <w:t xml:space="preserve">‘The price of sexy;viewers perception of a sexualised versus non-sexualised facebook profile photo’</w:t>
      </w:r>
    </w:p>
    <w:p w:rsidR="00000000" w:rsidDel="00000000" w:rsidP="00000000" w:rsidRDefault="00000000" w:rsidRPr="00000000" w14:paraId="0000000C">
      <w:pPr>
        <w:rPr>
          <w:sz w:val="24"/>
          <w:szCs w:val="24"/>
        </w:rPr>
      </w:pPr>
      <w:r w:rsidDel="00000000" w:rsidR="00000000" w:rsidRPr="00000000">
        <w:rPr>
          <w:sz w:val="24"/>
          <w:szCs w:val="24"/>
          <w:rtl w:val="0"/>
        </w:rPr>
        <w:t xml:space="preserve">There is an increased pressure on females to look sexty. Sexy can be described as attractive,desirable and/or appealing. This desire to be sexy can have a considerable cost. A study was carried out to find out the different perceptions of adolescent girls and young adult females when viewing a sexualised and non-sexualised facebook profile picture. The two different profile pictures were shown to the women most of whom were from education and some from craigslist.com. The women had to judge the physical attraction, social attraction and task attraction. The results showed that the non-sexualised photo was deemed more attractive in all three ways. There was no significant difference in the results between ages. In conclusion females need educating further on the role of sexualisatiion and the risks. Females with non-sexualised photos will be deemed more attractive by other women.</w:t>
      </w:r>
      <w:r w:rsidDel="00000000" w:rsidR="00000000" w:rsidRPr="00000000">
        <w:rPr>
          <w:rFonts w:ascii="Calibri" w:cs="Calibri" w:eastAsia="Calibri" w:hAnsi="Calibri"/>
          <w:rtl w:val="0"/>
        </w:rPr>
        <w:t xml:space="preserve"> (Daniels and Zurbriggen, 2016)</w:t>
      </w: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rtl w:val="0"/>
        </w:rPr>
      </w:r>
    </w:p>
    <w:p w:rsidR="00000000" w:rsidDel="00000000" w:rsidP="00000000" w:rsidRDefault="00000000" w:rsidRPr="00000000" w14:paraId="0000000E">
      <w:pPr>
        <w:rPr>
          <w:sz w:val="24"/>
          <w:szCs w:val="24"/>
        </w:rPr>
      </w:pPr>
      <w:r w:rsidDel="00000000" w:rsidR="00000000" w:rsidRPr="00000000">
        <w:rPr>
          <w:sz w:val="24"/>
          <w:szCs w:val="24"/>
          <w:rtl w:val="0"/>
        </w:rPr>
        <w:t xml:space="preserve">‘The role of narcissism in health risk and health protective behaviours’</w:t>
      </w:r>
    </w:p>
    <w:p w:rsidR="00000000" w:rsidDel="00000000" w:rsidP="00000000" w:rsidRDefault="00000000" w:rsidRPr="00000000" w14:paraId="0000000F">
      <w:pPr>
        <w:rPr>
          <w:rFonts w:ascii="Calibri" w:cs="Calibri" w:eastAsia="Calibri" w:hAnsi="Calibri"/>
        </w:rPr>
      </w:pPr>
      <w:r w:rsidDel="00000000" w:rsidR="00000000" w:rsidRPr="00000000">
        <w:rPr>
          <w:sz w:val="24"/>
          <w:szCs w:val="24"/>
          <w:rtl w:val="0"/>
        </w:rPr>
        <w:t xml:space="preserve">It is widely acknowledged that narcissism will have an impact on psychological health. Narcissism is a health risk through both actions of risk taking and mental health. The study aimed to find any correlation between narcissism and health risk and health protective behaviour. Studies show men are more likely to be narcissistic.365 university undergraduates were given questionnaires which posed questions to do with these behaviours. Multinomial logistic regressions were used to determine the influence that narcissism has on the different behaviours. The results showed men having higher narcissism scores but no connection between age and narcissism. Narcissism did prove to have more health risk behaviours however it could also be linked to healthy eating and exercising. The experiment proved that narcissists were more likely to part-take in risky behaviour but also more likely to maintain somewhat of a healthy lifestyle.  </w:t>
      </w:r>
      <w:r w:rsidDel="00000000" w:rsidR="00000000" w:rsidRPr="00000000">
        <w:rPr>
          <w:rFonts w:ascii="Calibri" w:cs="Calibri" w:eastAsia="Calibri" w:hAnsi="Calibri"/>
          <w:rtl w:val="0"/>
        </w:rPr>
        <w:t xml:space="preserve">(Hill, 2016</w:t>
      </w:r>
    </w:p>
    <w:p w:rsidR="00000000" w:rsidDel="00000000" w:rsidP="00000000" w:rsidRDefault="00000000" w:rsidRPr="00000000" w14:paraId="00000010">
      <w:pPr>
        <w:rPr>
          <w:rFonts w:ascii="Calibri" w:cs="Calibri" w:eastAsia="Calibri" w:hAnsi="Calibri"/>
        </w:rPr>
      </w:pPr>
      <w:r w:rsidDel="00000000" w:rsidR="00000000" w:rsidRPr="00000000">
        <w:rPr>
          <w:rtl w:val="0"/>
        </w:rPr>
      </w:r>
    </w:p>
    <w:p w:rsidR="00000000" w:rsidDel="00000000" w:rsidP="00000000" w:rsidRDefault="00000000" w:rsidRPr="00000000" w14:paraId="00000011">
      <w:pPr>
        <w:spacing w:after="200" w:line="276"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2">
      <w:pPr>
        <w:spacing w:after="200" w:line="480" w:lineRule="auto"/>
        <w:ind w:left="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References</w:t>
      </w:r>
    </w:p>
    <w:p w:rsidR="00000000" w:rsidDel="00000000" w:rsidP="00000000" w:rsidRDefault="00000000" w:rsidRPr="00000000" w14:paraId="00000013">
      <w:pPr>
        <w:spacing w:after="160"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Adult drinking habits in Great Britain: 2005 to 2016. (2016, May 3). Retrieved from https://www.ons.gov.uk/peoplepopulationandcommunity/healthandsocialcare/drugusealcoholandsmoking/bulletins/opinionsandlifestylesurveyadultdrinkinghabit%20singreatbritain/2005to2016</w:t>
      </w:r>
    </w:p>
    <w:p w:rsidR="00000000" w:rsidDel="00000000" w:rsidP="00000000" w:rsidRDefault="00000000" w:rsidRPr="00000000" w14:paraId="00000014">
      <w:pPr>
        <w:spacing w:after="160" w:line="480" w:lineRule="auto"/>
        <w:ind w:left="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Bennett, P. (2011). </w:t>
      </w:r>
      <w:r w:rsidDel="00000000" w:rsidR="00000000" w:rsidRPr="00000000">
        <w:rPr>
          <w:rFonts w:ascii="Times New Roman" w:cs="Times New Roman" w:eastAsia="Times New Roman" w:hAnsi="Times New Roman"/>
          <w:i w:val="1"/>
          <w:sz w:val="24"/>
          <w:szCs w:val="24"/>
          <w:highlight w:val="white"/>
          <w:rtl w:val="0"/>
        </w:rPr>
        <w:t xml:space="preserve">Abnormal and clinical psychology: an introductory textbook</w:t>
      </w:r>
      <w:r w:rsidDel="00000000" w:rsidR="00000000" w:rsidRPr="00000000">
        <w:rPr>
          <w:rFonts w:ascii="Times New Roman" w:cs="Times New Roman" w:eastAsia="Times New Roman" w:hAnsi="Times New Roman"/>
          <w:sz w:val="24"/>
          <w:szCs w:val="24"/>
          <w:highlight w:val="white"/>
          <w:rtl w:val="0"/>
        </w:rPr>
        <w:t xml:space="preserve"> (3</w:t>
      </w:r>
      <w:r w:rsidDel="00000000" w:rsidR="00000000" w:rsidRPr="00000000">
        <w:rPr>
          <w:rFonts w:ascii="Times New Roman" w:cs="Times New Roman" w:eastAsia="Times New Roman" w:hAnsi="Times New Roman"/>
          <w:sz w:val="24"/>
          <w:szCs w:val="24"/>
          <w:highlight w:val="white"/>
          <w:vertAlign w:val="superscript"/>
          <w:rtl w:val="0"/>
        </w:rPr>
        <w:t xml:space="preserve">rd</w:t>
      </w:r>
      <w:r w:rsidDel="00000000" w:rsidR="00000000" w:rsidRPr="00000000">
        <w:rPr>
          <w:rFonts w:ascii="Times New Roman" w:cs="Times New Roman" w:eastAsia="Times New Roman" w:hAnsi="Times New Roman"/>
          <w:sz w:val="24"/>
          <w:szCs w:val="24"/>
          <w:highlight w:val="white"/>
          <w:rtl w:val="0"/>
        </w:rPr>
        <w:t xml:space="preserve"> ed.). Berkshire: Open university press.</w:t>
      </w:r>
    </w:p>
    <w:p w:rsidR="00000000" w:rsidDel="00000000" w:rsidP="00000000" w:rsidRDefault="00000000" w:rsidRPr="00000000" w14:paraId="00000015">
      <w:pPr>
        <w:spacing w:after="160"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Davey, G. (2014). </w:t>
      </w:r>
      <w:r w:rsidDel="00000000" w:rsidR="00000000" w:rsidRPr="00000000">
        <w:rPr>
          <w:rFonts w:ascii="Times New Roman" w:cs="Times New Roman" w:eastAsia="Times New Roman" w:hAnsi="Times New Roman"/>
          <w:i w:val="1"/>
          <w:sz w:val="24"/>
          <w:szCs w:val="24"/>
          <w:rtl w:val="0"/>
        </w:rPr>
        <w:t xml:space="preserve">Psychopathology: Research, Assessment, and Treatment in Clinical Psychology</w:t>
      </w:r>
      <w:r w:rsidDel="00000000" w:rsidR="00000000" w:rsidRPr="00000000">
        <w:rPr>
          <w:rFonts w:ascii="Times New Roman" w:cs="Times New Roman" w:eastAsia="Times New Roman" w:hAnsi="Times New Roman"/>
          <w:sz w:val="24"/>
          <w:szCs w:val="24"/>
          <w:rtl w:val="0"/>
        </w:rPr>
        <w:t xml:space="preserve"> (2nd ed9). Oxford, Blackwell.</w:t>
      </w:r>
    </w:p>
    <w:p w:rsidR="00000000" w:rsidDel="00000000" w:rsidP="00000000" w:rsidRDefault="00000000" w:rsidRPr="00000000" w14:paraId="00000016">
      <w:pPr>
        <w:spacing w:after="160" w:line="480" w:lineRule="auto"/>
        <w:ind w:left="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Day, S. (2016</w:t>
      </w:r>
      <w:r w:rsidDel="00000000" w:rsidR="00000000" w:rsidRPr="00000000">
        <w:rPr>
          <w:rFonts w:ascii="Times New Roman" w:cs="Times New Roman" w:eastAsia="Times New Roman" w:hAnsi="Times New Roman"/>
          <w:i w:val="1"/>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Developmental psychology section.</w:t>
      </w:r>
      <w:r w:rsidDel="00000000" w:rsidR="00000000" w:rsidRPr="00000000">
        <w:rPr>
          <w:rFonts w:ascii="Times New Roman" w:cs="Times New Roman" w:eastAsia="Times New Roman" w:hAnsi="Times New Roman"/>
          <w:i w:val="1"/>
          <w:sz w:val="24"/>
          <w:szCs w:val="24"/>
          <w:highlight w:val="white"/>
          <w:rtl w:val="0"/>
        </w:rPr>
        <w:t xml:space="preserve"> Families experience Poverty Stigma in Education</w:t>
      </w:r>
      <w:r w:rsidDel="00000000" w:rsidR="00000000" w:rsidRPr="00000000">
        <w:rPr>
          <w:rFonts w:ascii="Times New Roman" w:cs="Times New Roman" w:eastAsia="Times New Roman" w:hAnsi="Times New Roman"/>
          <w:sz w:val="24"/>
          <w:szCs w:val="24"/>
          <w:highlight w:val="white"/>
          <w:rtl w:val="0"/>
        </w:rPr>
        <w:t xml:space="preserve">:: British Psychological Society. 2015, September 9-11.University of Central Lancashire Psychology, 46(6), 369-375. </w:t>
      </w:r>
    </w:p>
    <w:p w:rsidR="00000000" w:rsidDel="00000000" w:rsidP="00000000" w:rsidRDefault="00000000" w:rsidRPr="00000000" w14:paraId="00000017">
      <w:pPr>
        <w:spacing w:after="160"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Evans, L., Mitchell, I.D., &amp; Jones, S. (2006). Psychological Response to Sport Injury. In S. Hanton &amp; S.D. Mellalieu (Ed.), Literature reviews in Sport Psychology (pp. 289-319). Hauppage, NY: Nova Science Publications.</w:t>
      </w:r>
    </w:p>
    <w:p w:rsidR="00000000" w:rsidDel="00000000" w:rsidP="00000000" w:rsidRDefault="00000000" w:rsidRPr="00000000" w14:paraId="00000018">
      <w:pPr>
        <w:spacing w:after="160" w:line="480" w:lineRule="auto"/>
        <w:ind w:left="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Geekie, J., &amp; Reed, J. (2009). </w:t>
      </w:r>
      <w:r w:rsidDel="00000000" w:rsidR="00000000" w:rsidRPr="00000000">
        <w:rPr>
          <w:rFonts w:ascii="Times New Roman" w:cs="Times New Roman" w:eastAsia="Times New Roman" w:hAnsi="Times New Roman"/>
          <w:i w:val="1"/>
          <w:sz w:val="24"/>
          <w:szCs w:val="24"/>
          <w:highlight w:val="white"/>
          <w:rtl w:val="0"/>
        </w:rPr>
        <w:t xml:space="preserve">Making sense of madness: Contesting the meaning of schizophrenia</w:t>
      </w:r>
      <w:r w:rsidDel="00000000" w:rsidR="00000000" w:rsidRPr="00000000">
        <w:rPr>
          <w:rFonts w:ascii="Times New Roman" w:cs="Times New Roman" w:eastAsia="Times New Roman" w:hAnsi="Times New Roman"/>
          <w:sz w:val="24"/>
          <w:szCs w:val="24"/>
          <w:highlight w:val="white"/>
          <w:rtl w:val="0"/>
        </w:rPr>
        <w:t xml:space="preserve">. [Ebook]. London: Routledge Taylor &amp; Francis. Retrieved from </w:t>
      </w:r>
      <w:hyperlink r:id="rId6">
        <w:r w:rsidDel="00000000" w:rsidR="00000000" w:rsidRPr="00000000">
          <w:rPr>
            <w:rFonts w:ascii="Times New Roman" w:cs="Times New Roman" w:eastAsia="Times New Roman" w:hAnsi="Times New Roman"/>
            <w:color w:val="0563c1"/>
            <w:sz w:val="24"/>
            <w:szCs w:val="24"/>
            <w:highlight w:val="white"/>
            <w:u w:val="single"/>
            <w:rtl w:val="0"/>
          </w:rPr>
          <w:t xml:space="preserve">http://www.tandfebooks.com/doi/view/10.4324/9780203878422</w:t>
        </w:r>
      </w:hyperlink>
      <w:r w:rsidDel="00000000" w:rsidR="00000000" w:rsidRPr="00000000">
        <w:rPr>
          <w:rtl w:val="0"/>
        </w:rPr>
      </w:r>
    </w:p>
    <w:p w:rsidR="00000000" w:rsidDel="00000000" w:rsidP="00000000" w:rsidRDefault="00000000" w:rsidRPr="00000000" w14:paraId="00000019">
      <w:pPr>
        <w:spacing w:after="160"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Hefferon, K. and Boniwell, I. (2011). </w:t>
      </w:r>
      <w:r w:rsidDel="00000000" w:rsidR="00000000" w:rsidRPr="00000000">
        <w:rPr>
          <w:rFonts w:ascii="Times New Roman" w:cs="Times New Roman" w:eastAsia="Times New Roman" w:hAnsi="Times New Roman"/>
          <w:i w:val="1"/>
          <w:sz w:val="24"/>
          <w:szCs w:val="24"/>
          <w:rtl w:val="0"/>
        </w:rPr>
        <w:t xml:space="preserve">Positive Psychology: theory, research and applications</w:t>
      </w:r>
      <w:r w:rsidDel="00000000" w:rsidR="00000000" w:rsidRPr="00000000">
        <w:rPr>
          <w:rFonts w:ascii="Times New Roman" w:cs="Times New Roman" w:eastAsia="Times New Roman" w:hAnsi="Times New Roman"/>
          <w:sz w:val="24"/>
          <w:szCs w:val="24"/>
          <w:rtl w:val="0"/>
        </w:rPr>
        <w:t xml:space="preserve">. New York, New York: Open University Press.</w:t>
      </w:r>
    </w:p>
    <w:p w:rsidR="00000000" w:rsidDel="00000000" w:rsidP="00000000" w:rsidRDefault="00000000" w:rsidRPr="00000000" w14:paraId="0000001A">
      <w:pPr>
        <w:spacing w:after="160" w:line="480" w:lineRule="auto"/>
        <w:ind w:left="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Hill, E. (2015). The role of narcissism in health-risk and health-protective behaviors. </w:t>
      </w:r>
      <w:r w:rsidDel="00000000" w:rsidR="00000000" w:rsidRPr="00000000">
        <w:rPr>
          <w:rFonts w:ascii="Times New Roman" w:cs="Times New Roman" w:eastAsia="Times New Roman" w:hAnsi="Times New Roman"/>
          <w:i w:val="1"/>
          <w:sz w:val="24"/>
          <w:szCs w:val="24"/>
          <w:highlight w:val="white"/>
          <w:rtl w:val="0"/>
        </w:rPr>
        <w:t xml:space="preserve">Journal Of Health Psychology</w:t>
      </w:r>
      <w:r w:rsidDel="00000000" w:rsidR="00000000" w:rsidRPr="00000000">
        <w:rPr>
          <w:rFonts w:ascii="Times New Roman" w:cs="Times New Roman" w:eastAsia="Times New Roman" w:hAnsi="Times New Roman"/>
          <w:sz w:val="24"/>
          <w:szCs w:val="24"/>
          <w:highlight w:val="white"/>
          <w:rtl w:val="0"/>
        </w:rPr>
        <w:t xml:space="preserve">, 1-12. doi: 10.1177/1359105315569858</w:t>
      </w:r>
    </w:p>
    <w:p w:rsidR="00000000" w:rsidDel="00000000" w:rsidP="00000000" w:rsidRDefault="00000000" w:rsidRPr="00000000" w14:paraId="0000001B">
      <w:pPr>
        <w:spacing w:after="160"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Mazzetti, G., Schaufeli, W.B., &amp; Guglielmi, D. (2014). Are workaholics born or made? Relations of workaholism with person characteristics and overwork climate. </w:t>
      </w:r>
      <w:r w:rsidDel="00000000" w:rsidR="00000000" w:rsidRPr="00000000">
        <w:rPr>
          <w:rFonts w:ascii="Times New Roman" w:cs="Times New Roman" w:eastAsia="Times New Roman" w:hAnsi="Times New Roman"/>
          <w:i w:val="1"/>
          <w:sz w:val="24"/>
          <w:szCs w:val="24"/>
          <w:rtl w:val="0"/>
        </w:rPr>
        <w:t xml:space="preserve">International Journal Of Stress Management</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i w:val="1"/>
          <w:sz w:val="24"/>
          <w:szCs w:val="24"/>
          <w:rtl w:val="0"/>
        </w:rPr>
        <w:t xml:space="preserve"> 23</w:t>
      </w:r>
      <w:r w:rsidDel="00000000" w:rsidR="00000000" w:rsidRPr="00000000">
        <w:rPr>
          <w:rFonts w:ascii="Times New Roman" w:cs="Times New Roman" w:eastAsia="Times New Roman" w:hAnsi="Times New Roman"/>
          <w:sz w:val="24"/>
          <w:szCs w:val="24"/>
          <w:rtl w:val="0"/>
        </w:rPr>
        <w:t xml:space="preserve">(3), 227-254. doi: 10.1037/a0035700</w:t>
      </w:r>
    </w:p>
    <w:p w:rsidR="00000000" w:rsidDel="00000000" w:rsidP="00000000" w:rsidRDefault="00000000" w:rsidRPr="00000000" w14:paraId="0000001C">
      <w:pPr>
        <w:spacing w:after="160" w:line="480" w:lineRule="auto"/>
        <w:ind w:left="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Mental Health Foundation. (2017, September 10). </w:t>
      </w:r>
      <w:r w:rsidDel="00000000" w:rsidR="00000000" w:rsidRPr="00000000">
        <w:rPr>
          <w:rFonts w:ascii="Times New Roman" w:cs="Times New Roman" w:eastAsia="Times New Roman" w:hAnsi="Times New Roman"/>
          <w:i w:val="1"/>
          <w:sz w:val="24"/>
          <w:szCs w:val="24"/>
          <w:highlight w:val="white"/>
          <w:rtl w:val="0"/>
        </w:rPr>
        <w:t xml:space="preserve">Computerised cognitive behavioural therapy</w:t>
      </w:r>
      <w:r w:rsidDel="00000000" w:rsidR="00000000" w:rsidRPr="00000000">
        <w:rPr>
          <w:rFonts w:ascii="Times New Roman" w:cs="Times New Roman" w:eastAsia="Times New Roman" w:hAnsi="Times New Roman"/>
          <w:sz w:val="24"/>
          <w:szCs w:val="24"/>
          <w:highlight w:val="white"/>
          <w:rtl w:val="0"/>
        </w:rPr>
        <w:t xml:space="preserve"> [Audio podcast]. Retrieved from </w:t>
      </w:r>
      <w:hyperlink r:id="rId7">
        <w:r w:rsidDel="00000000" w:rsidR="00000000" w:rsidRPr="00000000">
          <w:rPr>
            <w:rFonts w:ascii="Times New Roman" w:cs="Times New Roman" w:eastAsia="Times New Roman" w:hAnsi="Times New Roman"/>
            <w:color w:val="0563c1"/>
            <w:sz w:val="24"/>
            <w:szCs w:val="24"/>
            <w:highlight w:val="white"/>
            <w:u w:val="single"/>
            <w:rtl w:val="0"/>
          </w:rPr>
          <w:t xml:space="preserve">http://www.mentalhealth.org.uk/podcastsand-videos/computerised-cognitivebehavioural-therapy</w:t>
        </w:r>
      </w:hyperlink>
      <w:r w:rsidDel="00000000" w:rsidR="00000000" w:rsidRPr="00000000">
        <w:rPr>
          <w:rtl w:val="0"/>
        </w:rPr>
      </w:r>
    </w:p>
    <w:p w:rsidR="00000000" w:rsidDel="00000000" w:rsidP="00000000" w:rsidRDefault="00000000" w:rsidRPr="00000000" w14:paraId="0000001D">
      <w:pPr>
        <w:spacing w:after="160" w:line="480" w:lineRule="auto"/>
        <w:ind w:left="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Mohamed, S. (2011). </w:t>
      </w:r>
      <w:r w:rsidDel="00000000" w:rsidR="00000000" w:rsidRPr="00000000">
        <w:rPr>
          <w:rFonts w:ascii="Times New Roman" w:cs="Times New Roman" w:eastAsia="Times New Roman" w:hAnsi="Times New Roman"/>
          <w:i w:val="1"/>
          <w:sz w:val="24"/>
          <w:szCs w:val="24"/>
          <w:highlight w:val="white"/>
          <w:rtl w:val="0"/>
        </w:rPr>
        <w:t xml:space="preserve">Stigma and mental illness: are there cultural differences?</w:t>
      </w:r>
      <w:r w:rsidDel="00000000" w:rsidR="00000000" w:rsidRPr="00000000">
        <w:rPr>
          <w:rFonts w:ascii="Times New Roman" w:cs="Times New Roman" w:eastAsia="Times New Roman" w:hAnsi="Times New Roman"/>
          <w:sz w:val="24"/>
          <w:szCs w:val="24"/>
          <w:highlight w:val="white"/>
          <w:rtl w:val="0"/>
        </w:rPr>
        <w:t xml:space="preserve"> (Doctoral Dissertation, University of East Anglia) Retrieved from EThOS, uk.bl.ethos.573771.</w:t>
      </w:r>
    </w:p>
    <w:p w:rsidR="00000000" w:rsidDel="00000000" w:rsidP="00000000" w:rsidRDefault="00000000" w:rsidRPr="00000000" w14:paraId="0000001E">
      <w:pPr>
        <w:spacing w:after="160"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Phelps, C., Minou, M., Baker, A., Hughes, C., French, H., Hawkins, W., Leeuwenber,A., Crabtree,R.,&amp; Hutchings.,P.B (2016). </w:t>
      </w:r>
      <w:r w:rsidDel="00000000" w:rsidR="00000000" w:rsidRPr="00000000">
        <w:rPr>
          <w:rFonts w:ascii="Times New Roman" w:cs="Times New Roman" w:eastAsia="Times New Roman" w:hAnsi="Times New Roman"/>
          <w:i w:val="1"/>
          <w:sz w:val="24"/>
          <w:szCs w:val="24"/>
          <w:rtl w:val="0"/>
        </w:rPr>
        <w:t xml:space="preserve">Necessary but not sufficient? Engaging young people in the development of an avatar-based online intervention designed to provide psychosocial support to young people affected by their own or a family member's cancer diagnosis.</w:t>
      </w:r>
      <w:r w:rsidDel="00000000" w:rsidR="00000000" w:rsidRPr="00000000">
        <w:rPr>
          <w:rFonts w:ascii="Times New Roman" w:cs="Times New Roman" w:eastAsia="Times New Roman" w:hAnsi="Times New Roman"/>
          <w:sz w:val="24"/>
          <w:szCs w:val="24"/>
          <w:rtl w:val="0"/>
        </w:rPr>
        <w:t xml:space="preserve"> Health Expectations, 20(3), 459-470. doi: 10.1111/hex.12473</w:t>
      </w:r>
    </w:p>
    <w:p w:rsidR="00000000" w:rsidDel="00000000" w:rsidP="00000000" w:rsidRDefault="00000000" w:rsidRPr="00000000" w14:paraId="0000001F">
      <w:pPr>
        <w:spacing w:after="160" w:line="480" w:lineRule="auto"/>
        <w:ind w:left="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Tarrier, N., Liversidge, T., &amp; Gregg, L. (2006). The acceptability and preference for the psychological treatment of PTSD. Behaviour research and therapy, 44, 1643-1656.</w:t>
      </w:r>
    </w:p>
    <w:p w:rsidR="00000000" w:rsidDel="00000000" w:rsidP="00000000" w:rsidRDefault="00000000" w:rsidRPr="00000000" w14:paraId="00000020">
      <w:pPr>
        <w:spacing w:after="160" w:line="480" w:lineRule="auto"/>
        <w:ind w:left="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Ulleberg, P., Rundmo, T. (2003). </w:t>
      </w:r>
      <w:r w:rsidDel="00000000" w:rsidR="00000000" w:rsidRPr="00000000">
        <w:rPr>
          <w:rFonts w:ascii="Times New Roman" w:cs="Times New Roman" w:eastAsia="Times New Roman" w:hAnsi="Times New Roman"/>
          <w:i w:val="1"/>
          <w:sz w:val="24"/>
          <w:szCs w:val="24"/>
          <w:highlight w:val="white"/>
          <w:rtl w:val="0"/>
        </w:rPr>
        <w:t xml:space="preserve">Personality, attitudes and risk perception as predictors of risky driving behaviour among young drivers.</w:t>
      </w:r>
      <w:r w:rsidDel="00000000" w:rsidR="00000000" w:rsidRPr="00000000">
        <w:rPr>
          <w:rFonts w:ascii="Times New Roman" w:cs="Times New Roman" w:eastAsia="Times New Roman" w:hAnsi="Times New Roman"/>
          <w:sz w:val="24"/>
          <w:szCs w:val="24"/>
          <w:highlight w:val="white"/>
          <w:rtl w:val="0"/>
        </w:rPr>
        <w:t xml:space="preserve"> Safety science, 41, 427-443.</w:t>
      </w:r>
    </w:p>
    <w:p w:rsidR="00000000" w:rsidDel="00000000" w:rsidP="00000000" w:rsidRDefault="00000000" w:rsidRPr="00000000" w14:paraId="00000021">
      <w:pPr>
        <w:spacing w:after="160" w:line="480" w:lineRule="auto"/>
        <w:ind w:left="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Van Hasselt, V.B., &amp; Romeno, S.J., Vecchi, G.M. (2008). Role playing: Applications in hostage and crisis negotiation skills training. </w:t>
      </w:r>
      <w:r w:rsidDel="00000000" w:rsidR="00000000" w:rsidRPr="00000000">
        <w:rPr>
          <w:rFonts w:ascii="Times New Roman" w:cs="Times New Roman" w:eastAsia="Times New Roman" w:hAnsi="Times New Roman"/>
          <w:i w:val="1"/>
          <w:sz w:val="24"/>
          <w:szCs w:val="24"/>
          <w:highlight w:val="white"/>
          <w:rtl w:val="0"/>
        </w:rPr>
        <w:t xml:space="preserve">Behavior modification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32</w:t>
      </w:r>
      <w:r w:rsidDel="00000000" w:rsidR="00000000" w:rsidRPr="00000000">
        <w:rPr>
          <w:rFonts w:ascii="Times New Roman" w:cs="Times New Roman" w:eastAsia="Times New Roman" w:hAnsi="Times New Roman"/>
          <w:sz w:val="24"/>
          <w:szCs w:val="24"/>
          <w:highlight w:val="white"/>
          <w:rtl w:val="0"/>
        </w:rPr>
        <w:t xml:space="preserve">(2), 247-263. doi:10.1177/1359105315569858</w:t>
      </w:r>
    </w:p>
    <w:p w:rsidR="00000000" w:rsidDel="00000000" w:rsidP="00000000" w:rsidRDefault="00000000" w:rsidRPr="00000000" w14:paraId="00000022">
      <w:pPr>
        <w:spacing w:after="160" w:line="480" w:lineRule="auto"/>
        <w:ind w:left="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Vartanian, L., Trewartha, T., &amp; Vanman, E. (2016). Disgust predicts prejudice and discrimination toward individuals with obesity. </w:t>
      </w:r>
      <w:r w:rsidDel="00000000" w:rsidR="00000000" w:rsidRPr="00000000">
        <w:rPr>
          <w:rFonts w:ascii="Times New Roman" w:cs="Times New Roman" w:eastAsia="Times New Roman" w:hAnsi="Times New Roman"/>
          <w:i w:val="1"/>
          <w:sz w:val="24"/>
          <w:szCs w:val="24"/>
          <w:highlight w:val="white"/>
          <w:rtl w:val="0"/>
        </w:rPr>
        <w:t xml:space="preserve">Journal Of Applied Social Psychology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46</w:t>
      </w:r>
      <w:r w:rsidDel="00000000" w:rsidR="00000000" w:rsidRPr="00000000">
        <w:rPr>
          <w:rFonts w:ascii="Times New Roman" w:cs="Times New Roman" w:eastAsia="Times New Roman" w:hAnsi="Times New Roman"/>
          <w:sz w:val="24"/>
          <w:szCs w:val="24"/>
          <w:highlight w:val="white"/>
          <w:rtl w:val="0"/>
        </w:rPr>
        <w:t xml:space="preserve">(6), 369-375.</w:t>
      </w:r>
    </w:p>
    <w:p w:rsidR="00000000" w:rsidDel="00000000" w:rsidP="00000000" w:rsidRDefault="00000000" w:rsidRPr="00000000" w14:paraId="00000023">
      <w:pPr>
        <w:spacing w:after="160" w:line="480" w:lineRule="auto"/>
        <w:ind w:left="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Voigt, D., Dillard, J., Braddock, K., Anderson, J., Sopory, P., &amp; Stephenson, M. (2009). Carver and White's (1994) BIS/BAS scales and their relationship to risky health behaviours. Personality And Individual Differences, (47), 89-93.</w:t>
      </w:r>
    </w:p>
    <w:p w:rsidR="00000000" w:rsidDel="00000000" w:rsidP="00000000" w:rsidRDefault="00000000" w:rsidRPr="00000000" w14:paraId="00000024">
      <w:pPr>
        <w:spacing w:after="160" w:line="480" w:lineRule="auto"/>
        <w:ind w:left="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Welsh Government. (2015). Wellbeing of Future Generations (Wales) Act 2015. United Kingdom: The Office Stationary Limited</w:t>
      </w:r>
    </w:p>
    <w:p w:rsidR="00000000" w:rsidDel="00000000" w:rsidP="00000000" w:rsidRDefault="00000000" w:rsidRPr="00000000" w14:paraId="00000025">
      <w:pPr>
        <w:spacing w:after="160" w:line="480" w:lineRule="auto"/>
        <w:ind w:left="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Williamson, H. (2016) Centre of Appearance Research,</w:t>
      </w:r>
      <w:r w:rsidDel="00000000" w:rsidR="00000000" w:rsidRPr="00000000">
        <w:rPr>
          <w:rFonts w:ascii="Times New Roman" w:cs="Times New Roman" w:eastAsia="Times New Roman" w:hAnsi="Times New Roman"/>
          <w:i w:val="1"/>
          <w:sz w:val="24"/>
          <w:szCs w:val="24"/>
          <w:highlight w:val="white"/>
          <w:rtl w:val="0"/>
        </w:rPr>
        <w:t xml:space="preserve"> Annual Primary care conference </w:t>
      </w:r>
      <w:r w:rsidDel="00000000" w:rsidR="00000000" w:rsidRPr="00000000">
        <w:rPr>
          <w:rFonts w:ascii="Times New Roman" w:cs="Times New Roman" w:eastAsia="Times New Roman" w:hAnsi="Times New Roman"/>
          <w:sz w:val="24"/>
          <w:szCs w:val="24"/>
          <w:highlight w:val="white"/>
          <w:rtl w:val="0"/>
        </w:rPr>
        <w:t xml:space="preserve">University of the West of England, 2016, October 12-14.Royal College of General Practitioners.</w:t>
      </w:r>
    </w:p>
    <w:p w:rsidR="00000000" w:rsidDel="00000000" w:rsidP="00000000" w:rsidRDefault="00000000" w:rsidRPr="00000000" w14:paraId="00000026">
      <w:pPr>
        <w:spacing w:after="160" w:line="480" w:lineRule="auto"/>
        <w:ind w:left="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Young, E</w:t>
      </w:r>
      <w:r w:rsidDel="00000000" w:rsidR="00000000" w:rsidRPr="00000000">
        <w:rPr>
          <w:rFonts w:ascii="Times New Roman" w:cs="Times New Roman" w:eastAsia="Times New Roman" w:hAnsi="Times New Roman"/>
          <w:sz w:val="24"/>
          <w:szCs w:val="24"/>
          <w:highlight w:val="yellow"/>
          <w:rtl w:val="0"/>
        </w:rPr>
        <w:t xml:space="preserve">. (2017).</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Women know better than men what other women are thinking and feeling</w:t>
      </w:r>
      <w:r w:rsidDel="00000000" w:rsidR="00000000" w:rsidRPr="00000000">
        <w:rPr>
          <w:rFonts w:ascii="Times New Roman" w:cs="Times New Roman" w:eastAsia="Times New Roman" w:hAnsi="Times New Roman"/>
          <w:sz w:val="24"/>
          <w:szCs w:val="24"/>
          <w:highlight w:val="white"/>
          <w:rtl w:val="0"/>
        </w:rPr>
        <w:t xml:space="preserve">. Retrieved from </w:t>
      </w:r>
      <w:hyperlink r:id="rId8">
        <w:r w:rsidDel="00000000" w:rsidR="00000000" w:rsidRPr="00000000">
          <w:rPr>
            <w:rFonts w:ascii="Times New Roman" w:cs="Times New Roman" w:eastAsia="Times New Roman" w:hAnsi="Times New Roman"/>
            <w:color w:val="0563c1"/>
            <w:sz w:val="24"/>
            <w:szCs w:val="24"/>
            <w:highlight w:val="white"/>
            <w:u w:val="single"/>
            <w:rtl w:val="0"/>
          </w:rPr>
          <w:t xml:space="preserve">https://digest.bps.org.uk/2017/09/18/women-know-better-thanmenwhat-other-women-are-thinking-and-feeling</w:t>
        </w:r>
      </w:hyperlink>
      <w:r w:rsidDel="00000000" w:rsidR="00000000" w:rsidRPr="00000000">
        <w:rPr>
          <w:rtl w:val="0"/>
        </w:rPr>
      </w:r>
    </w:p>
    <w:p w:rsidR="00000000" w:rsidDel="00000000" w:rsidP="00000000" w:rsidRDefault="00000000" w:rsidRPr="00000000" w14:paraId="00000027">
      <w:pPr>
        <w:spacing w:after="200" w:line="276"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8">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www.tandfebooks.com/doi/view/10.4324/9780203878422" TargetMode="External"/><Relationship Id="rId7" Type="http://schemas.openxmlformats.org/officeDocument/2006/relationships/hyperlink" Target="http://www.mentalhealth.org.uk/podcastsand-videos/computerised-cognitivebehavioural-therapy" TargetMode="External"/><Relationship Id="rId8" Type="http://schemas.openxmlformats.org/officeDocument/2006/relationships/hyperlink" Target="https://digest.bps.org.uk/2017/09/18/women-know-better-thanmenwhat-other-women-are-thinking-and-fee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