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2">
      <w:pPr>
        <w:jc w:val="center"/>
        <w:rPr>
          <w:rFonts w:ascii="Arial" w:cs="Arial" w:eastAsia="Arial" w:hAnsi="Arial"/>
          <w:b w:val="1"/>
          <w:sz w:val="48"/>
          <w:szCs w:val="48"/>
        </w:rPr>
      </w:pPr>
      <w:r w:rsidDel="00000000" w:rsidR="00000000" w:rsidRPr="00000000">
        <w:rPr>
          <w:rFonts w:ascii="Arial" w:cs="Arial" w:eastAsia="Arial" w:hAnsi="Arial"/>
          <w:b w:val="1"/>
          <w:sz w:val="48"/>
          <w:szCs w:val="48"/>
          <w:rtl w:val="0"/>
        </w:rPr>
        <w:t xml:space="preserve">Final Business Plan</w:t>
      </w:r>
    </w:p>
    <w:p w:rsidR="00000000" w:rsidDel="00000000" w:rsidP="00000000" w:rsidRDefault="00000000" w:rsidRPr="00000000" w14:paraId="00000003">
      <w:pPr>
        <w:spacing w:line="240" w:lineRule="auto"/>
        <w:jc w:val="center"/>
        <w:rPr>
          <w:rFonts w:ascii="Arial" w:cs="Arial" w:eastAsia="Arial" w:hAnsi="Arial"/>
          <w:sz w:val="24"/>
          <w:szCs w:val="24"/>
        </w:rPr>
      </w:pPr>
      <w:r w:rsidDel="00000000" w:rsidR="00000000" w:rsidRPr="00000000">
        <w:rPr>
          <w:rFonts w:ascii="Arial" w:cs="Arial" w:eastAsia="Arial" w:hAnsi="Arial"/>
          <w:b w:val="1"/>
          <w:sz w:val="24"/>
          <w:szCs w:val="24"/>
          <w:rtl w:val="0"/>
        </w:rPr>
        <w:t xml:space="preserve">Student Name:</w:t>
      </w:r>
      <w:r w:rsidDel="00000000" w:rsidR="00000000" w:rsidRPr="00000000">
        <w:rPr>
          <w:rFonts w:ascii="Arial" w:cs="Arial" w:eastAsia="Arial" w:hAnsi="Arial"/>
          <w:sz w:val="24"/>
          <w:szCs w:val="24"/>
          <w:rtl w:val="0"/>
        </w:rPr>
        <w:t xml:space="preserve"> Abdur Rob </w:t>
      </w:r>
    </w:p>
    <w:p w:rsidR="00000000" w:rsidDel="00000000" w:rsidP="00000000" w:rsidRDefault="00000000" w:rsidRPr="00000000" w14:paraId="00000004">
      <w:pPr>
        <w:spacing w:line="240" w:lineRule="auto"/>
        <w:jc w:val="center"/>
        <w:rPr>
          <w:rFonts w:ascii="Arial" w:cs="Arial" w:eastAsia="Arial" w:hAnsi="Arial"/>
          <w:sz w:val="24"/>
          <w:szCs w:val="24"/>
        </w:rPr>
      </w:pPr>
      <w:r w:rsidDel="00000000" w:rsidR="00000000" w:rsidRPr="00000000">
        <w:rPr>
          <w:rFonts w:ascii="Arial" w:cs="Arial" w:eastAsia="Arial" w:hAnsi="Arial"/>
          <w:b w:val="1"/>
          <w:sz w:val="24"/>
          <w:szCs w:val="24"/>
          <w:rtl w:val="0"/>
        </w:rPr>
        <w:t xml:space="preserve">Student Number</w:t>
      </w:r>
      <w:r w:rsidDel="00000000" w:rsidR="00000000" w:rsidRPr="00000000">
        <w:rPr>
          <w:rFonts w:ascii="Arial" w:cs="Arial" w:eastAsia="Arial" w:hAnsi="Arial"/>
          <w:sz w:val="24"/>
          <w:szCs w:val="24"/>
          <w:rtl w:val="0"/>
        </w:rPr>
        <w:t xml:space="preserve">: 1705003</w:t>
      </w:r>
    </w:p>
    <w:p w:rsidR="00000000" w:rsidDel="00000000" w:rsidP="00000000" w:rsidRDefault="00000000" w:rsidRPr="00000000" w14:paraId="00000005">
      <w:pPr>
        <w:spacing w:line="24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University of Wales Trinity Saint David </w:t>
      </w:r>
    </w:p>
    <w:p w:rsidR="00000000" w:rsidDel="00000000" w:rsidP="00000000" w:rsidRDefault="00000000" w:rsidRPr="00000000" w14:paraId="00000006">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7">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8">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9">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A">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B">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C">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D">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E">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F">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0">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1">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2">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3">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4">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5">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6">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7">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8">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9">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A">
      <w:pPr>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B">
      <w:pPr>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C">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D">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E">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business plan outlines the proposal for setting up Costa coffee franchises in Bangladesh in the capital city of the country Dhaka. The proposal takes into account the country profile and the rationale for the proposal, along with an outline of the business objectives. This is further justified through the use of theoretical framework and corresponding tools that have been used to interrogate and analyse the market conditions. </w:t>
      </w:r>
    </w:p>
    <w:p w:rsidR="00000000" w:rsidDel="00000000" w:rsidP="00000000" w:rsidRDefault="00000000" w:rsidRPr="00000000" w14:paraId="0000001F">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0">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Country Profile and Rationale</w:t>
      </w:r>
    </w:p>
    <w:p w:rsidR="00000000" w:rsidDel="00000000" w:rsidP="00000000" w:rsidRDefault="00000000" w:rsidRPr="00000000" w14:paraId="00000021">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Bangladesh has been one of the most widely discussed Asian economy miracles in recent times, the country with the staggering population of 168 million people has created a very strong demand base that is supported by an unprecedented economic growth prospect (Euro Monitor, 2019). In fact, it has been rated as the second fastest growing economy in the world. The current GDP of Bangladesh is marginally higher than that of neighbouring countries India and Pakistan, as well as Myanmar and Sri Lanka. With an impressive per capita income, the country has become a major attraction for future business and economic activities. This is further supported by the fact that there has been a positive trend of disposable income, and it is projected that increased income will have a significant impact on the lifestyle of people, prompting them to spend more on consumption</w:t>
      </w:r>
    </w:p>
    <w:p w:rsidR="00000000" w:rsidDel="00000000" w:rsidP="00000000" w:rsidRDefault="00000000" w:rsidRPr="00000000" w14:paraId="00000022">
      <w:pPr>
        <w:jc w:val="center"/>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5219303" cy="2238737"/>
            <wp:effectExtent b="0" l="0" r="0" t="0"/>
            <wp:docPr id="1" name="image2.jpg"/>
            <a:graphic>
              <a:graphicData uri="http://schemas.openxmlformats.org/drawingml/2006/picture">
                <pic:pic>
                  <pic:nvPicPr>
                    <pic:cNvPr id="0" name="image2.jpg"/>
                    <pic:cNvPicPr preferRelativeResize="0"/>
                  </pic:nvPicPr>
                  <pic:blipFill>
                    <a:blip r:embed="rId6"/>
                    <a:srcRect b="0" l="0" r="0" t="0"/>
                    <a:stretch>
                      <a:fillRect/>
                    </a:stretch>
                  </pic:blipFill>
                  <pic:spPr>
                    <a:xfrm>
                      <a:off x="0" y="0"/>
                      <a:ext cx="5219303" cy="2238737"/>
                    </a:xfrm>
                    <a:prstGeom prst="rect"/>
                    <a:ln/>
                  </pic:spPr>
                </pic:pic>
              </a:graphicData>
            </a:graphic>
          </wp:inline>
        </w:drawing>
      </w:r>
      <w:r w:rsidDel="00000000" w:rsidR="00000000" w:rsidRPr="00000000">
        <w:rPr>
          <w:rtl w:val="0"/>
        </w:rPr>
      </w:r>
    </w:p>
    <w:p w:rsidR="00000000" w:rsidDel="00000000" w:rsidP="00000000" w:rsidRDefault="00000000" w:rsidRPr="00000000" w14:paraId="00000023">
      <w:pPr>
        <w:jc w:val="center"/>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Fig 1: Per capita disposable income in Bangladesh (1BDT = £0.0095)</w:t>
      </w:r>
    </w:p>
    <w:p w:rsidR="00000000" w:rsidDel="00000000" w:rsidP="00000000" w:rsidRDefault="00000000" w:rsidRPr="00000000" w14:paraId="00000024">
      <w:pPr>
        <w:jc w:val="center"/>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Source: Euro Monitor, 2019</w:t>
      </w:r>
    </w:p>
    <w:p w:rsidR="00000000" w:rsidDel="00000000" w:rsidP="00000000" w:rsidRDefault="00000000" w:rsidRPr="00000000" w14:paraId="00000025">
      <w:pPr>
        <w:jc w:val="center"/>
        <w:rPr>
          <w:rFonts w:ascii="Arial" w:cs="Arial" w:eastAsia="Arial" w:hAnsi="Arial"/>
          <w:i w:val="1"/>
          <w:sz w:val="24"/>
          <w:szCs w:val="24"/>
        </w:rPr>
      </w:pPr>
      <w:r w:rsidDel="00000000" w:rsidR="00000000" w:rsidRPr="00000000">
        <w:rPr>
          <w:rtl w:val="0"/>
        </w:rPr>
      </w:r>
    </w:p>
    <w:p w:rsidR="00000000" w:rsidDel="00000000" w:rsidP="00000000" w:rsidRDefault="00000000" w:rsidRPr="00000000" w14:paraId="00000026">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Coffee, although a regular drink in parts of the West and Europe is on the contrary an indicator of a more sophisticated lifestyle in a country like Bangladesh. Majority of the people in Bangladesh are tea drinkers. However, over the last few years, people have been more inclined to adopting global tastes and this dry for global convergence has made the increasing consumption of coffee a major food habit. Added to that is the rise of the higher middle income class segment in the country, which accounts for a significant percentage of the population. </w:t>
      </w:r>
    </w:p>
    <w:p w:rsidR="00000000" w:rsidDel="00000000" w:rsidP="00000000" w:rsidRDefault="00000000" w:rsidRPr="00000000" w14:paraId="00000027">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8">
      <w:pPr>
        <w:jc w:val="center"/>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5142510" cy="2063555"/>
            <wp:effectExtent b="0" l="0" r="0" t="0"/>
            <wp:docPr id="3" name="image3.jpg"/>
            <a:graphic>
              <a:graphicData uri="http://schemas.openxmlformats.org/drawingml/2006/picture">
                <pic:pic>
                  <pic:nvPicPr>
                    <pic:cNvPr id="0" name="image3.jpg"/>
                    <pic:cNvPicPr preferRelativeResize="0"/>
                  </pic:nvPicPr>
                  <pic:blipFill>
                    <a:blip r:embed="rId7"/>
                    <a:srcRect b="0" l="0" r="0" t="0"/>
                    <a:stretch>
                      <a:fillRect/>
                    </a:stretch>
                  </pic:blipFill>
                  <pic:spPr>
                    <a:xfrm>
                      <a:off x="0" y="0"/>
                      <a:ext cx="5142510" cy="2063555"/>
                    </a:xfrm>
                    <a:prstGeom prst="rect"/>
                    <a:ln/>
                  </pic:spPr>
                </pic:pic>
              </a:graphicData>
            </a:graphic>
          </wp:inline>
        </w:drawing>
      </w:r>
      <w:r w:rsidDel="00000000" w:rsidR="00000000" w:rsidRPr="00000000">
        <w:rPr>
          <w:rtl w:val="0"/>
        </w:rPr>
      </w:r>
    </w:p>
    <w:p w:rsidR="00000000" w:rsidDel="00000000" w:rsidP="00000000" w:rsidRDefault="00000000" w:rsidRPr="00000000" w14:paraId="00000029">
      <w:pPr>
        <w:jc w:val="center"/>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Fig 2: Disposable Income Growth Comparison of South Asian Countries</w:t>
      </w:r>
    </w:p>
    <w:p w:rsidR="00000000" w:rsidDel="00000000" w:rsidP="00000000" w:rsidRDefault="00000000" w:rsidRPr="00000000" w14:paraId="0000002A">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B">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People who fall in this bracket are much more inclined to drink coffee. In addition to that, a coffee shop can also be a significant source of relaxation and social gatherings, as well as the place to hold the impromptu meetings, study spaces, celebration of events as such. These collectively create a significant impetus for introducing our global coffee brand in Bangladesh, where there is a significant gap between demand and supply, as it stands. There are only two international coffee brands in Bangladesh, Gloria Jeans and North End Coffee Roasters both of which originate in the USA. There are no other known coffee brands that have an international reputation. Local coffees usually sell instant coffee that is sourced locally or more common brands, such as Nescafe. </w:t>
      </w:r>
    </w:p>
    <w:p w:rsidR="00000000" w:rsidDel="00000000" w:rsidP="00000000" w:rsidRDefault="00000000" w:rsidRPr="00000000" w14:paraId="0000002C">
      <w:pPr>
        <w:jc w:val="center"/>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4620621" cy="2096013"/>
            <wp:effectExtent b="0" l="0" r="0" t="0"/>
            <wp:docPr id="2" name="image4.jpg"/>
            <a:graphic>
              <a:graphicData uri="http://schemas.openxmlformats.org/drawingml/2006/picture">
                <pic:pic>
                  <pic:nvPicPr>
                    <pic:cNvPr id="0" name="image4.jpg"/>
                    <pic:cNvPicPr preferRelativeResize="0"/>
                  </pic:nvPicPr>
                  <pic:blipFill>
                    <a:blip r:embed="rId8"/>
                    <a:srcRect b="0" l="0" r="0" t="0"/>
                    <a:stretch>
                      <a:fillRect/>
                    </a:stretch>
                  </pic:blipFill>
                  <pic:spPr>
                    <a:xfrm>
                      <a:off x="0" y="0"/>
                      <a:ext cx="4620621" cy="2096013"/>
                    </a:xfrm>
                    <a:prstGeom prst="rect"/>
                    <a:ln/>
                  </pic:spPr>
                </pic:pic>
              </a:graphicData>
            </a:graphic>
          </wp:inline>
        </w:drawing>
      </w:r>
      <w:r w:rsidDel="00000000" w:rsidR="00000000" w:rsidRPr="00000000">
        <w:rPr>
          <w:rtl w:val="0"/>
        </w:rPr>
      </w:r>
    </w:p>
    <w:p w:rsidR="00000000" w:rsidDel="00000000" w:rsidP="00000000" w:rsidRDefault="00000000" w:rsidRPr="00000000" w14:paraId="0000002D">
      <w:pPr>
        <w:jc w:val="center"/>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Fig 3: Per capita consumer spending forecast on food and beverage (Euro Monitor, 2019)</w:t>
      </w:r>
    </w:p>
    <w:p w:rsidR="00000000" w:rsidDel="00000000" w:rsidP="00000000" w:rsidRDefault="00000000" w:rsidRPr="00000000" w14:paraId="0000002E">
      <w:pPr>
        <w:jc w:val="both"/>
        <w:rPr>
          <w:rFonts w:ascii="Arial" w:cs="Arial" w:eastAsia="Arial" w:hAnsi="Arial"/>
          <w:sz w:val="24"/>
          <w:szCs w:val="24"/>
        </w:rPr>
      </w:pPr>
      <w:bookmarkStart w:colFirst="0" w:colLast="0" w:name="_gjdgxs" w:id="0"/>
      <w:bookmarkEnd w:id="0"/>
      <w:r w:rsidDel="00000000" w:rsidR="00000000" w:rsidRPr="00000000">
        <w:rPr>
          <w:rFonts w:ascii="Arial" w:cs="Arial" w:eastAsia="Arial" w:hAnsi="Arial"/>
          <w:sz w:val="24"/>
          <w:szCs w:val="24"/>
          <w:rtl w:val="0"/>
        </w:rPr>
        <w:t xml:space="preserve">As it stands, the economic indicators, increase in consumer spending on food and beverage along with the gap between supply and demand are strongly suggestive of the fact that the coffee industry in Bangladesh is in its infancy and likely to enter the growth stage over the next decade. With only two international players in this market, the Industry offers high potential for new players.</w:t>
      </w:r>
    </w:p>
    <w:p w:rsidR="00000000" w:rsidDel="00000000" w:rsidP="00000000" w:rsidRDefault="00000000" w:rsidRPr="00000000" w14:paraId="0000002F">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Costa coffee is a known British coffee house chain that is currently a subsidiary of the Coca Cola company, which acquired it in 2019 for 3.9 billion pounds. The company is headquartered in Dunstable, England and was founded in 1971 in London by two brothers, Sergio and Bruno Costa. The company currently has more than 2100 UK outlets around 6,000 Costa express vending facilities and, and around 1280 outlets overseas (Costa, 2020). However, the company does not have a widespread presence in South Asian countries and is new to Bangladesh.</w:t>
      </w:r>
    </w:p>
    <w:p w:rsidR="00000000" w:rsidDel="00000000" w:rsidP="00000000" w:rsidRDefault="00000000" w:rsidRPr="00000000" w14:paraId="00000030">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1">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Market Analysis</w:t>
      </w:r>
    </w:p>
    <w:p w:rsidR="00000000" w:rsidDel="00000000" w:rsidP="00000000" w:rsidRDefault="00000000" w:rsidRPr="00000000" w14:paraId="00000032">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order to understand the hot beverage industry in Bangladesh better, it is important to undertake a market analysis. This is being done with Michael Porter's five forces analysis model, which will evaluate the industry environment accounting for external factors that influence the competitive scenario (Dobbs, 2014). This model provides relevant information for strategic planning and management to address the corresponding forces (Roy, 2011). Taking into account Porter's model, it is seen that the </w:t>
      </w:r>
      <w:r w:rsidDel="00000000" w:rsidR="00000000" w:rsidRPr="00000000">
        <w:rPr>
          <w:rFonts w:ascii="Arial" w:cs="Arial" w:eastAsia="Arial" w:hAnsi="Arial"/>
          <w:b w:val="1"/>
          <w:sz w:val="24"/>
          <w:szCs w:val="24"/>
          <w:rtl w:val="0"/>
        </w:rPr>
        <w:t xml:space="preserve">degree of competitive rivalry</w:t>
      </w:r>
      <w:r w:rsidDel="00000000" w:rsidR="00000000" w:rsidRPr="00000000">
        <w:rPr>
          <w:rFonts w:ascii="Arial" w:cs="Arial" w:eastAsia="Arial" w:hAnsi="Arial"/>
          <w:sz w:val="24"/>
          <w:szCs w:val="24"/>
          <w:rtl w:val="0"/>
        </w:rPr>
        <w:t xml:space="preserve"> or competition amongst international franchises in the hot beverage industry of Bangladesh is weak. This is owing to the fact that there are only two international brands in the market, both of which originate from the USA and do not have a widespread presence in Bangladesh. While there are local competitors which operate mostly in the form of local cafes, they sell instant coffee, and that does not necessarily account for direct competition in this proposed plan. </w:t>
      </w:r>
    </w:p>
    <w:p w:rsidR="00000000" w:rsidDel="00000000" w:rsidP="00000000" w:rsidRDefault="00000000" w:rsidRPr="00000000" w14:paraId="00000033">
      <w:pPr>
        <w:jc w:val="center"/>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3515381" cy="3390617"/>
            <wp:effectExtent b="0" l="0" r="0" t="0"/>
            <wp:docPr id="5"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3515381" cy="3390617"/>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jc w:val="center"/>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Fig 4: Porter's Five Forces Model</w:t>
      </w:r>
    </w:p>
    <w:p w:rsidR="00000000" w:rsidDel="00000000" w:rsidP="00000000" w:rsidRDefault="00000000" w:rsidRPr="00000000" w14:paraId="00000035">
      <w:pPr>
        <w:jc w:val="center"/>
        <w:rPr>
          <w:rFonts w:ascii="Arial" w:cs="Arial" w:eastAsia="Arial" w:hAnsi="Arial"/>
          <w:i w:val="1"/>
          <w:sz w:val="24"/>
          <w:szCs w:val="24"/>
        </w:rPr>
      </w:pPr>
      <w:r w:rsidDel="00000000" w:rsidR="00000000" w:rsidRPr="00000000">
        <w:rPr>
          <w:rtl w:val="0"/>
        </w:rPr>
      </w:r>
    </w:p>
    <w:p w:rsidR="00000000" w:rsidDel="00000000" w:rsidP="00000000" w:rsidRDefault="00000000" w:rsidRPr="00000000" w14:paraId="00000036">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Secondly, taking into account the bargaining power of Starbucks customers or buyers, it is noted that the </w:t>
      </w:r>
      <w:r w:rsidDel="00000000" w:rsidR="00000000" w:rsidRPr="00000000">
        <w:rPr>
          <w:rFonts w:ascii="Arial" w:cs="Arial" w:eastAsia="Arial" w:hAnsi="Arial"/>
          <w:b w:val="1"/>
          <w:sz w:val="24"/>
          <w:szCs w:val="24"/>
          <w:rtl w:val="0"/>
        </w:rPr>
        <w:t xml:space="preserve">bargaining power is between low to moderate</w:t>
      </w:r>
      <w:r w:rsidDel="00000000" w:rsidR="00000000" w:rsidRPr="00000000">
        <w:rPr>
          <w:rFonts w:ascii="Arial" w:cs="Arial" w:eastAsia="Arial" w:hAnsi="Arial"/>
          <w:sz w:val="24"/>
          <w:szCs w:val="24"/>
          <w:rtl w:val="0"/>
        </w:rPr>
        <w:t xml:space="preserve">, depending on the segment of the market (Burke et. al., 2011). Firstly, the number of individual buyers are significantly high. Secondly, there are very few substitutes available in the market. Both of this makes the bargaining power of customers or buyers low to moderate. While there are a lot of cafes that sell instant beverages on local vending machines, they all parade on a much lower price and do not cater to the same market as targeted by as targeted in this business plan, </w:t>
      </w:r>
    </w:p>
    <w:p w:rsidR="00000000" w:rsidDel="00000000" w:rsidP="00000000" w:rsidRDefault="00000000" w:rsidRPr="00000000" w14:paraId="00000037">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Thirdly, the </w:t>
      </w:r>
      <w:r w:rsidDel="00000000" w:rsidR="00000000" w:rsidRPr="00000000">
        <w:rPr>
          <w:rFonts w:ascii="Arial" w:cs="Arial" w:eastAsia="Arial" w:hAnsi="Arial"/>
          <w:b w:val="1"/>
          <w:sz w:val="24"/>
          <w:szCs w:val="24"/>
          <w:rtl w:val="0"/>
        </w:rPr>
        <w:t xml:space="preserve">bargaining power of coffee suppliers is also deemed to be weak</w:t>
      </w:r>
      <w:r w:rsidDel="00000000" w:rsidR="00000000" w:rsidRPr="00000000">
        <w:rPr>
          <w:rFonts w:ascii="Arial" w:cs="Arial" w:eastAsia="Arial" w:hAnsi="Arial"/>
          <w:sz w:val="24"/>
          <w:szCs w:val="24"/>
          <w:rtl w:val="0"/>
        </w:rPr>
        <w:t xml:space="preserve">. This is owing to the fact that Starbucks. This is all leading to the fact that the business plan outlines that the company will source its supplies internationally and will do so through dedicated contracts to credible suppliers currently with two brands operating in the market and with high availability of local suppliers, the scale tips in of the company. </w:t>
      </w:r>
    </w:p>
    <w:p w:rsidR="00000000" w:rsidDel="00000000" w:rsidP="00000000" w:rsidRDefault="00000000" w:rsidRPr="00000000" w14:paraId="00000038">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company is also like you to experience a </w:t>
      </w:r>
      <w:r w:rsidDel="00000000" w:rsidR="00000000" w:rsidRPr="00000000">
        <w:rPr>
          <w:rFonts w:ascii="Arial" w:cs="Arial" w:eastAsia="Arial" w:hAnsi="Arial"/>
          <w:b w:val="1"/>
          <w:sz w:val="24"/>
          <w:szCs w:val="24"/>
          <w:rtl w:val="0"/>
        </w:rPr>
        <w:t xml:space="preserve">moderate threat of substitution</w:t>
      </w:r>
      <w:r w:rsidDel="00000000" w:rsidR="00000000" w:rsidRPr="00000000">
        <w:rPr>
          <w:rFonts w:ascii="Arial" w:cs="Arial" w:eastAsia="Arial" w:hAnsi="Arial"/>
          <w:sz w:val="24"/>
          <w:szCs w:val="24"/>
          <w:rtl w:val="0"/>
        </w:rPr>
        <w:t xml:space="preserve">. This is leading to the fact that the availability of substitute products is limited. Bangladesh has historically been a tree drinking country. And over the recent times, there has been a growing trend for the adoption of drinking coffee by virtue of global convergence. While people are likely to consider tea as an alternative to coffee, other alternatives include cold drinks (maybe popular due to the hot and humid climate) which are also combated with the extensive product portfolio of Costa that also includes non-alcoholic cold beverages. </w:t>
      </w:r>
    </w:p>
    <w:p w:rsidR="00000000" w:rsidDel="00000000" w:rsidP="00000000" w:rsidRDefault="00000000" w:rsidRPr="00000000" w14:paraId="00000039">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However, the company does face a </w:t>
      </w:r>
      <w:r w:rsidDel="00000000" w:rsidR="00000000" w:rsidRPr="00000000">
        <w:rPr>
          <w:rFonts w:ascii="Arial" w:cs="Arial" w:eastAsia="Arial" w:hAnsi="Arial"/>
          <w:b w:val="1"/>
          <w:sz w:val="24"/>
          <w:szCs w:val="24"/>
          <w:rtl w:val="0"/>
        </w:rPr>
        <w:t xml:space="preserve">significant force in terms of the threat of new entrants </w:t>
      </w:r>
      <w:r w:rsidDel="00000000" w:rsidR="00000000" w:rsidRPr="00000000">
        <w:rPr>
          <w:rFonts w:ascii="Arial" w:cs="Arial" w:eastAsia="Arial" w:hAnsi="Arial"/>
          <w:sz w:val="24"/>
          <w:szCs w:val="24"/>
          <w:rtl w:val="0"/>
        </w:rPr>
        <w:t xml:space="preserve">in the industry. This is owing to the fact that the cost of doing business is moderate compared to international standards. And similarly supply chain costs and brand development costs are also much more affordable compared to international pricing standards. It's also to be noted that currency exchange rates are pivotal to this analysis. One of the things to be noted here is the fact that the country due to the significant gap between demand and supply and the country being a very offering a very lucrative economic climate for international investment does offer significant attraction to other international players. However, with Costa being a renowned British brand, the cost of brands development is not expected to be high. </w:t>
      </w:r>
    </w:p>
    <w:p w:rsidR="00000000" w:rsidDel="00000000" w:rsidP="00000000" w:rsidRDefault="00000000" w:rsidRPr="00000000" w14:paraId="0000003A">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B">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The Marketing Mix</w:t>
      </w:r>
    </w:p>
    <w:p w:rsidR="00000000" w:rsidDel="00000000" w:rsidP="00000000" w:rsidRDefault="00000000" w:rsidRPr="00000000" w14:paraId="0000003C">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product is a renowned British coffee brand, which has a significant global presence. Its portfolio accounts for a variety of coffee and supplementary products that include sandwiches, cold drinks like Frappuccino and iced tea, as well as bakery stuff.  In terms of pricing, premium pricing is proposed as it is justified by international branding and high quality (Kotler, 2008). Along with that, it is imperative to know that the target market is affluent and falls within the higher income bands in the chosen country. The target market includes private university students and professionals with an income of more than 500GBP per month purely because of their purchasing power capability. This is justified by the fact that the company is pursuing a premium pricing strategy and targeting people who are aware of the cost of brand and those who are digital users and prone to increasingly adopt the habit of drinking coffee. It has to be noted that local cafes usually sell a cup of coffee for anywhere between 50 pence to 80 pence. Whereas Costa will pursue a premium pricing strategy where a cup of coffee is highly likely to be sold at three times the price at a minimum of £1.80 equivalent.</w:t>
      </w:r>
    </w:p>
    <w:p w:rsidR="00000000" w:rsidDel="00000000" w:rsidP="00000000" w:rsidRDefault="00000000" w:rsidRPr="00000000" w14:paraId="0000003D">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plan in terms of place, is to choose three prominent locations in Dhaka, the capital. The choice of the city is justified by its high population of around 20 million and the significant number of people who fall within the socio-economic bands targeted in the business plan. Furthermore, the city is also home to the top business establishments and educational institutions catering to millions of individuals. The choice of location for the two Costa outlets are in the affluent residential areas of Dhanmondi and Gulshan, which are not only resident to people who are on the higher of the rungs of the social economy ladder, but also home to a significant number of business establishments and institutions, which are also likely to attract potential clientele. Furthermore, there is an affinity to socialise in restaurants, cafes and malls owing to the collectivist culture of the country and the lack of opportunities for people to engage in outdoor social engagements. The third location that has been chosen is the international airport. This is because the international airport is currently devoid of any standard coffee shops, let alone any international brands. The country has over the years, witnessed a commendable rise in the number of travellers who travel overseas purely for leisure purposes, as well as for business purposes. The increase in the amount of international travel is therefore likely to attract customers to the international coffee shop outlet.</w:t>
      </w:r>
    </w:p>
    <w:p w:rsidR="00000000" w:rsidDel="00000000" w:rsidP="00000000" w:rsidRDefault="00000000" w:rsidRPr="00000000" w14:paraId="0000003E">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terms of promotion, a variety of strategies are proposed to be pursued. This includes setting up billboards, digital marketing and social media marketing through suitable channels like Facebook, Twitter, Instagram, and YouTube. As has been discussed earlier, high mobile penetration and the rise of active digital users will enable greater outreach. Along with that, local celebrity endorsements will also enhance brand awareness and enable further validation amongst those who may not necessarily be aware of its global stance. </w:t>
      </w:r>
    </w:p>
    <w:p w:rsidR="00000000" w:rsidDel="00000000" w:rsidP="00000000" w:rsidRDefault="00000000" w:rsidRPr="00000000" w14:paraId="0000003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0">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Marketing Strategies </w:t>
      </w:r>
    </w:p>
    <w:p w:rsidR="00000000" w:rsidDel="00000000" w:rsidP="00000000" w:rsidRDefault="00000000" w:rsidRPr="00000000" w14:paraId="00000041">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Coffee is one of the products which in terms of functionality is seen as a basic commodity (Fitter and Kapinsky, 2009). It has many other aspects which makes it more of a lifestyle product. Differentiating the coffee itself is quite challenging notably in terms of consideration, such as diversity in flavour. In the context of this business plan for setting up Costa franchises in Bangladesh, the coffee therefore is not the prime focus for creation of value. Coffee shops, cafes in Bangladesh are largely lifestyle products which sell AN ambiance and image in the modern market, thereby being more creative and subjective from a customer perspective. What makes this then is that coffee becomes de-commodified and is only a service that is provided by the company. Differentiation, therefore should be the prime focus in the context of this business plan, whereby the company will rely on high degree of customer involvement, for instance through membership in Costa Coffee Clubs. In addition to building involvement and brand image, it's also an important aspect of the differentiation strategy (Kotler and Armstrong, 2009). Other aspects will include promoting ethical consumerism through creating awareness about the cost of foundation, the Rainforest Alliance certification and promoting itself as a socially responsible business (Linton, et. al., 2006). This makes cost leadership, a minimal concentration for the coffee market and places high emphasis on differentiation strategies through the measures discussed above.</w:t>
      </w:r>
    </w:p>
    <w:p w:rsidR="00000000" w:rsidDel="00000000" w:rsidP="00000000" w:rsidRDefault="00000000" w:rsidRPr="00000000" w14:paraId="0000004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3">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Financial Projections</w:t>
      </w:r>
    </w:p>
    <w:p w:rsidR="00000000" w:rsidDel="00000000" w:rsidP="00000000" w:rsidRDefault="00000000" w:rsidRPr="00000000" w14:paraId="00000044">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5">
      <w:pPr>
        <w:rPr>
          <w:rFonts w:ascii="Arial" w:cs="Arial" w:eastAsia="Arial" w:hAnsi="Arial"/>
          <w:sz w:val="24"/>
          <w:szCs w:val="24"/>
        </w:rPr>
      </w:pPr>
      <w:r w:rsidDel="00000000" w:rsidR="00000000" w:rsidRPr="00000000">
        <w:rPr>
          <w:rFonts w:ascii="Arial" w:cs="Arial" w:eastAsia="Arial" w:hAnsi="Arial"/>
          <w:sz w:val="24"/>
          <w:szCs w:val="24"/>
          <w:rtl w:val="0"/>
        </w:rPr>
        <w:t xml:space="preserve">Reviewing the UK metrics for Costa, its success creates a strong impetus for global expansion. With Bangladesh having higher growth in the consumer expenditure on foods and non-alcoholic beverages compared to India, Pakistan and Sri Lanka, it is logical to expect that consumer spending will have a stable but high growth form in future. High spending on food is reflective of consumer preferences.</w:t>
      </w:r>
    </w:p>
    <w:p w:rsidR="00000000" w:rsidDel="00000000" w:rsidP="00000000" w:rsidRDefault="00000000" w:rsidRPr="00000000" w14:paraId="00000046">
      <w:pPr>
        <w:rPr>
          <w:rFonts w:ascii="Arial" w:cs="Arial" w:eastAsia="Arial" w:hAnsi="Arial"/>
          <w:sz w:val="24"/>
          <w:szCs w:val="24"/>
        </w:rPr>
      </w:pPr>
      <w:r w:rsidDel="00000000" w:rsidR="00000000" w:rsidRPr="00000000">
        <w:rPr/>
        <w:drawing>
          <wp:inline distB="0" distT="0" distL="0" distR="0">
            <wp:extent cx="5731510" cy="1477645"/>
            <wp:effectExtent b="0" l="0" r="0" t="0"/>
            <wp:docPr id="4"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5731510" cy="1477645"/>
                    </a:xfrm>
                    <a:prstGeom prst="rect"/>
                    <a:ln/>
                  </pic:spPr>
                </pic:pic>
              </a:graphicData>
            </a:graphic>
          </wp:inline>
        </w:drawing>
      </w:r>
      <w:r w:rsidDel="00000000" w:rsidR="00000000" w:rsidRPr="00000000">
        <w:rPr>
          <w:rtl w:val="0"/>
        </w:rPr>
      </w:r>
    </w:p>
    <w:p w:rsidR="00000000" w:rsidDel="00000000" w:rsidP="00000000" w:rsidRDefault="00000000" w:rsidRPr="00000000" w14:paraId="0000004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8">
      <w:pPr>
        <w:jc w:val="center"/>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Fig 5: Costa UK Metrics FY2017/18 and 2018/19</w:t>
      </w:r>
    </w:p>
    <w:p w:rsidR="00000000" w:rsidDel="00000000" w:rsidP="00000000" w:rsidRDefault="00000000" w:rsidRPr="00000000" w14:paraId="00000049">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A">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high set up costs of an international franchise along with the acclimatisation period is likely to present a challenge for the company in terms of breaking even in the first quarter of its operations (Zairi, 2012). However, with increasing awareness and a growing customer base it is expected that the net profit margin will increase incrementally as the company begins to enjoy economies of scale. </w:t>
      </w:r>
    </w:p>
    <w:p w:rsidR="00000000" w:rsidDel="00000000" w:rsidP="00000000" w:rsidRDefault="00000000" w:rsidRPr="00000000" w14:paraId="0000004B">
      <w:pPr>
        <w:rPr>
          <w:rFonts w:ascii="Arial" w:cs="Arial" w:eastAsia="Arial" w:hAnsi="Arial"/>
          <w:sz w:val="24"/>
          <w:szCs w:val="24"/>
        </w:rPr>
      </w:pPr>
      <w:r w:rsidDel="00000000" w:rsidR="00000000" w:rsidRPr="00000000">
        <w:rPr>
          <w:rtl w:val="0"/>
        </w:rPr>
      </w:r>
    </w:p>
    <w:tbl>
      <w:tblPr>
        <w:tblStyle w:val="Table1"/>
        <w:tblW w:w="9225.0" w:type="dxa"/>
        <w:jc w:val="left"/>
        <w:tblInd w:w="-5.0" w:type="dxa"/>
        <w:tblLayout w:type="fixed"/>
        <w:tblLook w:val="0400"/>
      </w:tblPr>
      <w:tblGrid>
        <w:gridCol w:w="1633"/>
        <w:gridCol w:w="1770"/>
        <w:gridCol w:w="1770"/>
        <w:gridCol w:w="1770"/>
        <w:gridCol w:w="2282"/>
        <w:tblGridChange w:id="0">
          <w:tblGrid>
            <w:gridCol w:w="1633"/>
            <w:gridCol w:w="1770"/>
            <w:gridCol w:w="1770"/>
            <w:gridCol w:w="1770"/>
            <w:gridCol w:w="2282"/>
          </w:tblGrid>
        </w:tblGridChange>
      </w:tblGrid>
      <w:tr>
        <w:trPr>
          <w:trHeight w:val="391" w:hRule="atLeast"/>
        </w:trPr>
        <w:tc>
          <w:tcPr>
            <w:tcBorders>
              <w:top w:color="000000" w:space="0" w:sz="4" w:val="single"/>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4C">
            <w:pPr>
              <w:rPr>
                <w:rFonts w:ascii="Arial" w:cs="Arial" w:eastAsia="Arial" w:hAnsi="Arial"/>
                <w:sz w:val="24"/>
                <w:szCs w:val="24"/>
              </w:rPr>
            </w:pPr>
            <w:r w:rsidDel="00000000" w:rsidR="00000000" w:rsidRPr="00000000">
              <w:rPr>
                <w:rFonts w:ascii="Arial" w:cs="Arial" w:eastAsia="Arial" w:hAnsi="Arial"/>
                <w:sz w:val="24"/>
                <w:szCs w:val="24"/>
                <w:rtl w:val="0"/>
              </w:rPr>
              <w:t xml:space="preserve">Year 1</w:t>
            </w:r>
          </w:p>
        </w:tc>
        <w:tc>
          <w:tcPr>
            <w:tcBorders>
              <w:top w:color="000000" w:space="0" w:sz="4" w:val="single"/>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4D">
            <w:pPr>
              <w:rPr>
                <w:rFonts w:ascii="Arial" w:cs="Arial" w:eastAsia="Arial" w:hAnsi="Arial"/>
                <w:sz w:val="24"/>
                <w:szCs w:val="24"/>
              </w:rPr>
            </w:pPr>
            <w:r w:rsidDel="00000000" w:rsidR="00000000" w:rsidRPr="00000000">
              <w:rPr>
                <w:rFonts w:ascii="Arial" w:cs="Arial" w:eastAsia="Arial" w:hAnsi="Arial"/>
                <w:sz w:val="24"/>
                <w:szCs w:val="24"/>
                <w:rtl w:val="0"/>
              </w:rPr>
              <w:t xml:space="preserve">Actual revenue</w:t>
            </w:r>
          </w:p>
        </w:tc>
        <w:tc>
          <w:tcPr>
            <w:tcBorders>
              <w:top w:color="000000" w:space="0" w:sz="4" w:val="single"/>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4E">
            <w:pPr>
              <w:rPr>
                <w:rFonts w:ascii="Arial" w:cs="Arial" w:eastAsia="Arial" w:hAnsi="Arial"/>
                <w:sz w:val="24"/>
                <w:szCs w:val="24"/>
              </w:rPr>
            </w:pPr>
            <w:r w:rsidDel="00000000" w:rsidR="00000000" w:rsidRPr="00000000">
              <w:rPr>
                <w:rFonts w:ascii="Arial" w:cs="Arial" w:eastAsia="Arial" w:hAnsi="Arial"/>
                <w:sz w:val="24"/>
                <w:szCs w:val="24"/>
                <w:rtl w:val="0"/>
              </w:rPr>
              <w:t xml:space="preserve">Expenses</w:t>
            </w:r>
          </w:p>
        </w:tc>
        <w:tc>
          <w:tcPr>
            <w:tcBorders>
              <w:top w:color="000000" w:space="0" w:sz="4" w:val="single"/>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4F">
            <w:pPr>
              <w:rPr>
                <w:rFonts w:ascii="Arial" w:cs="Arial" w:eastAsia="Arial" w:hAnsi="Arial"/>
                <w:sz w:val="24"/>
                <w:szCs w:val="24"/>
              </w:rPr>
            </w:pPr>
            <w:r w:rsidDel="00000000" w:rsidR="00000000" w:rsidRPr="00000000">
              <w:rPr>
                <w:rFonts w:ascii="Arial" w:cs="Arial" w:eastAsia="Arial" w:hAnsi="Arial"/>
                <w:sz w:val="24"/>
                <w:szCs w:val="24"/>
                <w:rtl w:val="0"/>
              </w:rPr>
              <w:t xml:space="preserve">Net profit /loss</w:t>
            </w:r>
          </w:p>
        </w:tc>
        <w:tc>
          <w:tcPr>
            <w:tcBorders>
              <w:top w:color="000000" w:space="0" w:sz="4" w:val="single"/>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50">
            <w:pPr>
              <w:rPr>
                <w:rFonts w:ascii="Arial" w:cs="Arial" w:eastAsia="Arial" w:hAnsi="Arial"/>
                <w:sz w:val="24"/>
                <w:szCs w:val="24"/>
              </w:rPr>
            </w:pPr>
            <w:r w:rsidDel="00000000" w:rsidR="00000000" w:rsidRPr="00000000">
              <w:rPr>
                <w:rFonts w:ascii="Arial" w:cs="Arial" w:eastAsia="Arial" w:hAnsi="Arial"/>
                <w:sz w:val="24"/>
                <w:szCs w:val="24"/>
                <w:rtl w:val="0"/>
              </w:rPr>
              <w:t xml:space="preserve">Net profit margin</w:t>
            </w:r>
          </w:p>
        </w:tc>
      </w:tr>
      <w:tr>
        <w:trPr>
          <w:trHeight w:val="391" w:hRule="atLeast"/>
        </w:trPr>
        <w:tc>
          <w:tcPr>
            <w:tcBorders>
              <w:top w:color="000000" w:space="0" w:sz="0" w:val="nil"/>
              <w:left w:color="000000" w:space="0" w:sz="4" w:val="single"/>
              <w:bottom w:color="000000" w:space="0" w:sz="4" w:val="single"/>
              <w:right w:color="000000" w:space="0" w:sz="0" w:val="nil"/>
            </w:tcBorders>
            <w:shd w:fill="auto" w:val="clear"/>
            <w:vAlign w:val="bottom"/>
          </w:tcPr>
          <w:p w:rsidR="00000000" w:rsidDel="00000000" w:rsidP="00000000" w:rsidRDefault="00000000" w:rsidRPr="00000000" w14:paraId="00000051">
            <w:pPr>
              <w:rPr>
                <w:rFonts w:ascii="Arial" w:cs="Arial" w:eastAsia="Arial" w:hAnsi="Arial"/>
                <w:sz w:val="24"/>
                <w:szCs w:val="24"/>
              </w:rPr>
            </w:pPr>
            <w:r w:rsidDel="00000000" w:rsidR="00000000" w:rsidRPr="00000000">
              <w:rPr>
                <w:rFonts w:ascii="Arial" w:cs="Arial" w:eastAsia="Arial" w:hAnsi="Arial"/>
                <w:sz w:val="24"/>
                <w:szCs w:val="24"/>
                <w:rtl w:val="0"/>
              </w:rPr>
              <w:t xml:space="preserve">Quarter:</w:t>
            </w:r>
          </w:p>
        </w:tc>
        <w:tc>
          <w:tcPr>
            <w:tcBorders>
              <w:top w:color="000000" w:space="0" w:sz="0" w:val="nil"/>
              <w:left w:color="000000" w:space="0" w:sz="4" w:val="single"/>
              <w:bottom w:color="000000" w:space="0" w:sz="4" w:val="single"/>
              <w:right w:color="000000" w:space="0" w:sz="0" w:val="nil"/>
            </w:tcBorders>
            <w:shd w:fill="auto" w:val="clear"/>
            <w:vAlign w:val="bottom"/>
          </w:tcPr>
          <w:p w:rsidR="00000000" w:rsidDel="00000000" w:rsidP="00000000" w:rsidRDefault="00000000" w:rsidRPr="00000000" w14:paraId="00000052">
            <w:pP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tcBorders>
              <w:top w:color="000000" w:space="0" w:sz="0" w:val="nil"/>
              <w:left w:color="000000" w:space="0" w:sz="4" w:val="single"/>
              <w:bottom w:color="000000" w:space="0" w:sz="4" w:val="single"/>
              <w:right w:color="000000" w:space="0" w:sz="0" w:val="nil"/>
            </w:tcBorders>
            <w:shd w:fill="auto" w:val="clear"/>
            <w:vAlign w:val="bottom"/>
          </w:tcPr>
          <w:p w:rsidR="00000000" w:rsidDel="00000000" w:rsidP="00000000" w:rsidRDefault="00000000" w:rsidRPr="00000000" w14:paraId="00000053">
            <w:pP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54">
            <w:pP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55">
            <w:pPr>
              <w:rPr>
                <w:rFonts w:ascii="Arial" w:cs="Arial" w:eastAsia="Arial" w:hAnsi="Arial"/>
                <w:sz w:val="24"/>
                <w:szCs w:val="24"/>
              </w:rPr>
            </w:pPr>
            <w:r w:rsidDel="00000000" w:rsidR="00000000" w:rsidRPr="00000000">
              <w:rPr>
                <w:rFonts w:ascii="Arial" w:cs="Arial" w:eastAsia="Arial" w:hAnsi="Arial"/>
                <w:sz w:val="24"/>
                <w:szCs w:val="24"/>
                <w:rtl w:val="0"/>
              </w:rPr>
              <w:t xml:space="preserve">( net profit / revenue)</w:t>
            </w:r>
          </w:p>
        </w:tc>
      </w:tr>
      <w:tr>
        <w:trPr>
          <w:trHeight w:val="391"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56">
            <w:pPr>
              <w:rPr>
                <w:rFonts w:ascii="Arial" w:cs="Arial" w:eastAsia="Arial" w:hAnsi="Arial"/>
                <w:sz w:val="24"/>
                <w:szCs w:val="24"/>
              </w:rPr>
            </w:pPr>
            <w:r w:rsidDel="00000000" w:rsidR="00000000" w:rsidRPr="00000000">
              <w:rPr>
                <w:rFonts w:ascii="Arial" w:cs="Arial" w:eastAsia="Arial" w:hAnsi="Arial"/>
                <w:sz w:val="24"/>
                <w:szCs w:val="24"/>
                <w:rtl w:val="0"/>
              </w:rPr>
              <w:t xml:space="preserve">1</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57">
            <w:pPr>
              <w:rPr>
                <w:rFonts w:ascii="Arial" w:cs="Arial" w:eastAsia="Arial" w:hAnsi="Arial"/>
                <w:sz w:val="24"/>
                <w:szCs w:val="24"/>
              </w:rPr>
            </w:pPr>
            <w:r w:rsidDel="00000000" w:rsidR="00000000" w:rsidRPr="00000000">
              <w:rPr>
                <w:rFonts w:ascii="Arial" w:cs="Arial" w:eastAsia="Arial" w:hAnsi="Arial"/>
                <w:sz w:val="24"/>
                <w:szCs w:val="24"/>
                <w:rtl w:val="0"/>
              </w:rPr>
              <w:t xml:space="preserve">4800</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58">
            <w:pPr>
              <w:rPr>
                <w:rFonts w:ascii="Arial" w:cs="Arial" w:eastAsia="Arial" w:hAnsi="Arial"/>
                <w:sz w:val="24"/>
                <w:szCs w:val="24"/>
              </w:rPr>
            </w:pPr>
            <w:r w:rsidDel="00000000" w:rsidR="00000000" w:rsidRPr="00000000">
              <w:rPr>
                <w:rFonts w:ascii="Arial" w:cs="Arial" w:eastAsia="Arial" w:hAnsi="Arial"/>
                <w:sz w:val="24"/>
                <w:szCs w:val="24"/>
                <w:rtl w:val="0"/>
              </w:rPr>
              <w:t xml:space="preserve">6400</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59">
            <w:pPr>
              <w:rPr>
                <w:rFonts w:ascii="Arial" w:cs="Arial" w:eastAsia="Arial" w:hAnsi="Arial"/>
                <w:sz w:val="24"/>
                <w:szCs w:val="24"/>
              </w:rPr>
            </w:pPr>
            <w:r w:rsidDel="00000000" w:rsidR="00000000" w:rsidRPr="00000000">
              <w:rPr>
                <w:rFonts w:ascii="Arial" w:cs="Arial" w:eastAsia="Arial" w:hAnsi="Arial"/>
                <w:sz w:val="24"/>
                <w:szCs w:val="24"/>
                <w:rtl w:val="0"/>
              </w:rPr>
              <w:t xml:space="preserve">-1600</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5A">
            <w:pPr>
              <w:rPr>
                <w:rFonts w:ascii="Arial" w:cs="Arial" w:eastAsia="Arial" w:hAnsi="Arial"/>
                <w:sz w:val="24"/>
                <w:szCs w:val="24"/>
              </w:rPr>
            </w:pPr>
            <w:r w:rsidDel="00000000" w:rsidR="00000000" w:rsidRPr="00000000">
              <w:rPr>
                <w:rFonts w:ascii="Arial" w:cs="Arial" w:eastAsia="Arial" w:hAnsi="Arial"/>
                <w:sz w:val="24"/>
                <w:szCs w:val="24"/>
                <w:rtl w:val="0"/>
              </w:rPr>
              <w:t xml:space="preserve">-0.30</w:t>
            </w:r>
          </w:p>
        </w:tc>
      </w:tr>
      <w:tr>
        <w:trPr>
          <w:trHeight w:val="391"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5B">
            <w:pPr>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5C">
            <w:pPr>
              <w:rPr>
                <w:rFonts w:ascii="Arial" w:cs="Arial" w:eastAsia="Arial" w:hAnsi="Arial"/>
                <w:sz w:val="24"/>
                <w:szCs w:val="24"/>
              </w:rPr>
            </w:pPr>
            <w:r w:rsidDel="00000000" w:rsidR="00000000" w:rsidRPr="00000000">
              <w:rPr>
                <w:rFonts w:ascii="Arial" w:cs="Arial" w:eastAsia="Arial" w:hAnsi="Arial"/>
                <w:sz w:val="24"/>
                <w:szCs w:val="24"/>
                <w:rtl w:val="0"/>
              </w:rPr>
              <w:t xml:space="preserve">6400</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5D">
            <w:pPr>
              <w:rPr>
                <w:rFonts w:ascii="Arial" w:cs="Arial" w:eastAsia="Arial" w:hAnsi="Arial"/>
                <w:sz w:val="24"/>
                <w:szCs w:val="24"/>
              </w:rPr>
            </w:pPr>
            <w:r w:rsidDel="00000000" w:rsidR="00000000" w:rsidRPr="00000000">
              <w:rPr>
                <w:rFonts w:ascii="Arial" w:cs="Arial" w:eastAsia="Arial" w:hAnsi="Arial"/>
                <w:sz w:val="24"/>
                <w:szCs w:val="24"/>
                <w:rtl w:val="0"/>
              </w:rPr>
              <w:t xml:space="preserve">5000</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5E">
            <w:pPr>
              <w:rPr>
                <w:rFonts w:ascii="Arial" w:cs="Arial" w:eastAsia="Arial" w:hAnsi="Arial"/>
                <w:sz w:val="24"/>
                <w:szCs w:val="24"/>
              </w:rPr>
            </w:pPr>
            <w:r w:rsidDel="00000000" w:rsidR="00000000" w:rsidRPr="00000000">
              <w:rPr>
                <w:rFonts w:ascii="Arial" w:cs="Arial" w:eastAsia="Arial" w:hAnsi="Arial"/>
                <w:sz w:val="24"/>
                <w:szCs w:val="24"/>
                <w:rtl w:val="0"/>
              </w:rPr>
              <w:t xml:space="preserve">1400</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5F">
            <w:pPr>
              <w:rPr>
                <w:rFonts w:ascii="Arial" w:cs="Arial" w:eastAsia="Arial" w:hAnsi="Arial"/>
                <w:sz w:val="24"/>
                <w:szCs w:val="24"/>
              </w:rPr>
            </w:pPr>
            <w:r w:rsidDel="00000000" w:rsidR="00000000" w:rsidRPr="00000000">
              <w:rPr>
                <w:rFonts w:ascii="Arial" w:cs="Arial" w:eastAsia="Arial" w:hAnsi="Arial"/>
                <w:sz w:val="24"/>
                <w:szCs w:val="24"/>
                <w:rtl w:val="0"/>
              </w:rPr>
              <w:t xml:space="preserve">0.22</w:t>
            </w:r>
          </w:p>
        </w:tc>
      </w:tr>
      <w:tr>
        <w:trPr>
          <w:trHeight w:val="391"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60">
            <w:pPr>
              <w:rPr>
                <w:rFonts w:ascii="Arial" w:cs="Arial" w:eastAsia="Arial" w:hAnsi="Arial"/>
                <w:sz w:val="24"/>
                <w:szCs w:val="24"/>
              </w:rPr>
            </w:pPr>
            <w:r w:rsidDel="00000000" w:rsidR="00000000" w:rsidRPr="00000000">
              <w:rPr>
                <w:rFonts w:ascii="Arial" w:cs="Arial" w:eastAsia="Arial" w:hAnsi="Arial"/>
                <w:sz w:val="24"/>
                <w:szCs w:val="24"/>
                <w:rtl w:val="0"/>
              </w:rPr>
              <w:t xml:space="preserve">3</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61">
            <w:pPr>
              <w:rPr>
                <w:rFonts w:ascii="Arial" w:cs="Arial" w:eastAsia="Arial" w:hAnsi="Arial"/>
                <w:sz w:val="24"/>
                <w:szCs w:val="24"/>
              </w:rPr>
            </w:pPr>
            <w:r w:rsidDel="00000000" w:rsidR="00000000" w:rsidRPr="00000000">
              <w:rPr>
                <w:rFonts w:ascii="Arial" w:cs="Arial" w:eastAsia="Arial" w:hAnsi="Arial"/>
                <w:sz w:val="24"/>
                <w:szCs w:val="24"/>
                <w:rtl w:val="0"/>
              </w:rPr>
              <w:t xml:space="preserve">8000</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62">
            <w:pPr>
              <w:rPr>
                <w:rFonts w:ascii="Arial" w:cs="Arial" w:eastAsia="Arial" w:hAnsi="Arial"/>
                <w:sz w:val="24"/>
                <w:szCs w:val="24"/>
              </w:rPr>
            </w:pPr>
            <w:r w:rsidDel="00000000" w:rsidR="00000000" w:rsidRPr="00000000">
              <w:rPr>
                <w:rFonts w:ascii="Arial" w:cs="Arial" w:eastAsia="Arial" w:hAnsi="Arial"/>
                <w:sz w:val="24"/>
                <w:szCs w:val="24"/>
                <w:rtl w:val="0"/>
              </w:rPr>
              <w:t xml:space="preserve">6000</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63">
            <w:pPr>
              <w:rPr>
                <w:rFonts w:ascii="Arial" w:cs="Arial" w:eastAsia="Arial" w:hAnsi="Arial"/>
                <w:sz w:val="24"/>
                <w:szCs w:val="24"/>
              </w:rPr>
            </w:pPr>
            <w:r w:rsidDel="00000000" w:rsidR="00000000" w:rsidRPr="00000000">
              <w:rPr>
                <w:rFonts w:ascii="Arial" w:cs="Arial" w:eastAsia="Arial" w:hAnsi="Arial"/>
                <w:sz w:val="24"/>
                <w:szCs w:val="24"/>
                <w:rtl w:val="0"/>
              </w:rPr>
              <w:t xml:space="preserve">2000</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64">
            <w:pPr>
              <w:rPr>
                <w:rFonts w:ascii="Arial" w:cs="Arial" w:eastAsia="Arial" w:hAnsi="Arial"/>
                <w:sz w:val="24"/>
                <w:szCs w:val="24"/>
              </w:rPr>
            </w:pPr>
            <w:r w:rsidDel="00000000" w:rsidR="00000000" w:rsidRPr="00000000">
              <w:rPr>
                <w:rFonts w:ascii="Arial" w:cs="Arial" w:eastAsia="Arial" w:hAnsi="Arial"/>
                <w:sz w:val="24"/>
                <w:szCs w:val="24"/>
                <w:rtl w:val="0"/>
              </w:rPr>
              <w:t xml:space="preserve">0.25</w:t>
            </w:r>
          </w:p>
        </w:tc>
      </w:tr>
      <w:tr>
        <w:trPr>
          <w:trHeight w:val="391"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65">
            <w:pPr>
              <w:rPr>
                <w:rFonts w:ascii="Arial" w:cs="Arial" w:eastAsia="Arial" w:hAnsi="Arial"/>
                <w:sz w:val="24"/>
                <w:szCs w:val="24"/>
              </w:rPr>
            </w:pPr>
            <w:r w:rsidDel="00000000" w:rsidR="00000000" w:rsidRPr="00000000">
              <w:rPr>
                <w:rFonts w:ascii="Arial" w:cs="Arial" w:eastAsia="Arial" w:hAnsi="Arial"/>
                <w:sz w:val="24"/>
                <w:szCs w:val="24"/>
                <w:rtl w:val="0"/>
              </w:rPr>
              <w:t xml:space="preserve">4</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66">
            <w:pPr>
              <w:rPr>
                <w:rFonts w:ascii="Arial" w:cs="Arial" w:eastAsia="Arial" w:hAnsi="Arial"/>
                <w:sz w:val="24"/>
                <w:szCs w:val="24"/>
              </w:rPr>
            </w:pPr>
            <w:r w:rsidDel="00000000" w:rsidR="00000000" w:rsidRPr="00000000">
              <w:rPr>
                <w:rFonts w:ascii="Arial" w:cs="Arial" w:eastAsia="Arial" w:hAnsi="Arial"/>
                <w:sz w:val="24"/>
                <w:szCs w:val="24"/>
                <w:rtl w:val="0"/>
              </w:rPr>
              <w:t xml:space="preserve">9000</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67">
            <w:pPr>
              <w:rPr>
                <w:rFonts w:ascii="Arial" w:cs="Arial" w:eastAsia="Arial" w:hAnsi="Arial"/>
                <w:sz w:val="24"/>
                <w:szCs w:val="24"/>
              </w:rPr>
            </w:pPr>
            <w:r w:rsidDel="00000000" w:rsidR="00000000" w:rsidRPr="00000000">
              <w:rPr>
                <w:rFonts w:ascii="Arial" w:cs="Arial" w:eastAsia="Arial" w:hAnsi="Arial"/>
                <w:sz w:val="24"/>
                <w:szCs w:val="24"/>
                <w:rtl w:val="0"/>
              </w:rPr>
              <w:t xml:space="preserve">6000</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68">
            <w:pPr>
              <w:rPr>
                <w:rFonts w:ascii="Arial" w:cs="Arial" w:eastAsia="Arial" w:hAnsi="Arial"/>
                <w:sz w:val="24"/>
                <w:szCs w:val="24"/>
              </w:rPr>
            </w:pPr>
            <w:r w:rsidDel="00000000" w:rsidR="00000000" w:rsidRPr="00000000">
              <w:rPr>
                <w:rFonts w:ascii="Arial" w:cs="Arial" w:eastAsia="Arial" w:hAnsi="Arial"/>
                <w:sz w:val="24"/>
                <w:szCs w:val="24"/>
                <w:rtl w:val="0"/>
              </w:rPr>
              <w:t xml:space="preserve">3600</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69">
            <w:pPr>
              <w:rPr>
                <w:rFonts w:ascii="Arial" w:cs="Arial" w:eastAsia="Arial" w:hAnsi="Arial"/>
                <w:sz w:val="24"/>
                <w:szCs w:val="24"/>
              </w:rPr>
            </w:pPr>
            <w:r w:rsidDel="00000000" w:rsidR="00000000" w:rsidRPr="00000000">
              <w:rPr>
                <w:rFonts w:ascii="Arial" w:cs="Arial" w:eastAsia="Arial" w:hAnsi="Arial"/>
                <w:sz w:val="24"/>
                <w:szCs w:val="24"/>
                <w:rtl w:val="0"/>
              </w:rPr>
              <w:t xml:space="preserve">0.40</w:t>
            </w:r>
          </w:p>
        </w:tc>
      </w:tr>
    </w:tbl>
    <w:p w:rsidR="00000000" w:rsidDel="00000000" w:rsidP="00000000" w:rsidRDefault="00000000" w:rsidRPr="00000000" w14:paraId="0000006A">
      <w:pPr>
        <w:jc w:val="center"/>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Fig 6: Table showing quarterly sales projections for the first year</w:t>
      </w:r>
    </w:p>
    <w:p w:rsidR="00000000" w:rsidDel="00000000" w:rsidP="00000000" w:rsidRDefault="00000000" w:rsidRPr="00000000" w14:paraId="0000006B">
      <w:pPr>
        <w:rPr>
          <w:rFonts w:ascii="Arial" w:cs="Arial" w:eastAsia="Arial" w:hAnsi="Arial"/>
          <w:sz w:val="24"/>
          <w:szCs w:val="24"/>
        </w:rPr>
      </w:pPr>
      <w:r w:rsidDel="00000000" w:rsidR="00000000" w:rsidRPr="00000000">
        <w:rPr>
          <w:rFonts w:ascii="Arial" w:cs="Arial" w:eastAsia="Arial" w:hAnsi="Arial"/>
          <w:sz w:val="24"/>
          <w:szCs w:val="24"/>
          <w:rtl w:val="0"/>
        </w:rPr>
        <w:t xml:space="preserve">As can be seen from the sales projections above, the company is likely to enjoy an incrementally increasing profit margin from the second quarter of its operations and subsequently higher margins owing to increased sales and economies of scale.</w:t>
      </w:r>
    </w:p>
    <w:p w:rsidR="00000000" w:rsidDel="00000000" w:rsidP="00000000" w:rsidRDefault="00000000" w:rsidRPr="00000000" w14:paraId="0000006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D">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E">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0">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1">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Conclusion</w:t>
      </w:r>
    </w:p>
    <w:p w:rsidR="00000000" w:rsidDel="00000000" w:rsidP="00000000" w:rsidRDefault="00000000" w:rsidRPr="00000000" w14:paraId="00000072">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proposal laid out in the business plan above provides a strong outlook for the economy of Bangladesh creating a strong impetus for the development of the international coffee market which is currently characterised by an oligopolistic structure, a significant gap between demand and supply and changes in consumption patterns along with a growing preference towards coffee as a leisure drinks. With increasing purchasing power, the lack of international coffee shop brands to cater to a growing customer base, there is great potential for a global coffee brand like Costa to penetrate this market which is about to embark in its growth stage. </w:t>
      </w:r>
    </w:p>
    <w:p w:rsidR="00000000" w:rsidDel="00000000" w:rsidP="00000000" w:rsidRDefault="00000000" w:rsidRPr="00000000" w14:paraId="00000073">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4">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5">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9">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A">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B">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D">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E">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0">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3">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4">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5">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9">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References</w:t>
      </w:r>
    </w:p>
    <w:p w:rsidR="00000000" w:rsidDel="00000000" w:rsidP="00000000" w:rsidRDefault="00000000" w:rsidRPr="00000000" w14:paraId="0000008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Ambler, T. (1995). ‘Brand equity as a relational concept’: Journal of Brand Management, vol. 2(6), p 386, Palgrave Macmillan, available at </w:t>
      </w:r>
      <w:hyperlink r:id="rId11">
        <w:r w:rsidDel="00000000" w:rsidR="00000000" w:rsidRPr="00000000">
          <w:rPr>
            <w:rFonts w:ascii="Arial" w:cs="Arial" w:eastAsia="Arial" w:hAnsi="Arial"/>
            <w:color w:val="0563c1"/>
            <w:sz w:val="24"/>
            <w:szCs w:val="24"/>
            <w:u w:val="single"/>
            <w:rtl w:val="0"/>
          </w:rPr>
          <w:t xml:space="preserve">https://link.springer.com/article/10.1057/bm.1995.23</w:t>
        </w:r>
      </w:hyperlink>
      <w:r w:rsidDel="00000000" w:rsidR="00000000" w:rsidRPr="00000000">
        <w:rPr>
          <w:rtl w:val="0"/>
        </w:rPr>
      </w:r>
    </w:p>
    <w:p w:rsidR="00000000" w:rsidDel="00000000" w:rsidP="00000000" w:rsidRDefault="00000000" w:rsidRPr="00000000" w14:paraId="0000008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Armstrong, G.M., Kotler, P., Harker, M.J. and Brennan, R., (2018). Marketing: an introduction. Pearson UK.</w:t>
      </w:r>
    </w:p>
    <w:p w:rsidR="00000000" w:rsidDel="00000000" w:rsidP="00000000" w:rsidRDefault="00000000" w:rsidRPr="00000000" w14:paraId="0000008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Bettis, R. A. &amp; Prahalad, C. K. (1995) “The Dominant Logic: Retrospective and Extension” Strategic Management Journal 16 (1) pp. 5 – 14</w:t>
      </w:r>
    </w:p>
    <w:p w:rsidR="00000000" w:rsidDel="00000000" w:rsidP="00000000" w:rsidRDefault="00000000" w:rsidRPr="00000000" w14:paraId="0000008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Burke, A., Van Stel, A., &amp; Thurik, R. (2010). Blue ocean vs. five forces. </w:t>
      </w:r>
      <w:r w:rsidDel="00000000" w:rsidR="00000000" w:rsidRPr="00000000">
        <w:rPr>
          <w:rFonts w:ascii="Arial" w:cs="Arial" w:eastAsia="Arial" w:hAnsi="Arial"/>
          <w:i w:val="1"/>
          <w:sz w:val="24"/>
          <w:szCs w:val="24"/>
          <w:rtl w:val="0"/>
        </w:rPr>
        <w:t xml:space="preserve">Harvard Business Review</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88</w:t>
      </w:r>
      <w:r w:rsidDel="00000000" w:rsidR="00000000" w:rsidRPr="00000000">
        <w:rPr>
          <w:rFonts w:ascii="Arial" w:cs="Arial" w:eastAsia="Arial" w:hAnsi="Arial"/>
          <w:sz w:val="24"/>
          <w:szCs w:val="24"/>
          <w:rtl w:val="0"/>
        </w:rPr>
        <w:t xml:space="preserve">(5), 28-29.</w:t>
      </w:r>
    </w:p>
    <w:p w:rsidR="00000000" w:rsidDel="00000000" w:rsidP="00000000" w:rsidRDefault="00000000" w:rsidRPr="00000000" w14:paraId="0000008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Costa (2020). The Nation's Favourite Coffee Shop | Costa Coffee. [online] Available at: </w:t>
      </w:r>
      <w:hyperlink r:id="rId12">
        <w:r w:rsidDel="00000000" w:rsidR="00000000" w:rsidRPr="00000000">
          <w:rPr>
            <w:rFonts w:ascii="Arial" w:cs="Arial" w:eastAsia="Arial" w:hAnsi="Arial"/>
            <w:color w:val="0563c1"/>
            <w:sz w:val="24"/>
            <w:szCs w:val="24"/>
            <w:u w:val="single"/>
            <w:rtl w:val="0"/>
          </w:rPr>
          <w:t xml:space="preserve">https://www.costa.co.uk/</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8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Dobbs, M. (2014). Guidelines for applying Porter’s five forces framework: A set of industry analysis templates. </w:t>
      </w:r>
      <w:r w:rsidDel="00000000" w:rsidR="00000000" w:rsidRPr="00000000">
        <w:rPr>
          <w:rFonts w:ascii="Arial" w:cs="Arial" w:eastAsia="Arial" w:hAnsi="Arial"/>
          <w:i w:val="1"/>
          <w:sz w:val="24"/>
          <w:szCs w:val="24"/>
          <w:rtl w:val="0"/>
        </w:rPr>
        <w:t xml:space="preserve">Competitiveness Review</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24</w:t>
      </w:r>
      <w:r w:rsidDel="00000000" w:rsidR="00000000" w:rsidRPr="00000000">
        <w:rPr>
          <w:rFonts w:ascii="Arial" w:cs="Arial" w:eastAsia="Arial" w:hAnsi="Arial"/>
          <w:sz w:val="24"/>
          <w:szCs w:val="24"/>
          <w:rtl w:val="0"/>
        </w:rPr>
        <w:t xml:space="preserve">(1), 32-45.</w:t>
      </w:r>
    </w:p>
    <w:p w:rsidR="00000000" w:rsidDel="00000000" w:rsidP="00000000" w:rsidRDefault="00000000" w:rsidRPr="00000000" w14:paraId="0000009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Fitter, R. &amp; Kaplinsky, R. (2009) “Who Gains from Product Rents as the Coffee Market Becomes More Differentiated? A Value-chain Analysis” IDS Bulletin 32 (3) </w:t>
      </w:r>
    </w:p>
    <w:p w:rsidR="00000000" w:rsidDel="00000000" w:rsidP="00000000" w:rsidRDefault="00000000" w:rsidRPr="00000000" w14:paraId="0000009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Grundy, T. (2006). Rethinking and reinventing Michael Porter’s five forces model. </w:t>
      </w:r>
      <w:r w:rsidDel="00000000" w:rsidR="00000000" w:rsidRPr="00000000">
        <w:rPr>
          <w:rFonts w:ascii="Arial" w:cs="Arial" w:eastAsia="Arial" w:hAnsi="Arial"/>
          <w:i w:val="1"/>
          <w:sz w:val="24"/>
          <w:szCs w:val="24"/>
          <w:rtl w:val="0"/>
        </w:rPr>
        <w:t xml:space="preserve">Strategic Change</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15</w:t>
      </w:r>
      <w:r w:rsidDel="00000000" w:rsidR="00000000" w:rsidRPr="00000000">
        <w:rPr>
          <w:rFonts w:ascii="Arial" w:cs="Arial" w:eastAsia="Arial" w:hAnsi="Arial"/>
          <w:sz w:val="24"/>
          <w:szCs w:val="24"/>
          <w:rtl w:val="0"/>
        </w:rPr>
        <w:t xml:space="preserve">(5), 213-229.</w:t>
      </w:r>
    </w:p>
    <w:p w:rsidR="00000000" w:rsidDel="00000000" w:rsidP="00000000" w:rsidRDefault="00000000" w:rsidRPr="00000000" w14:paraId="0000009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Linton, A. Liou, C. C. &amp; Shaw, K. A. (2006) “A taste of trade justice: marketing global social responsibility via Fair Trade coffee” Globalizations 1 (2) pp. 223 – 246</w:t>
      </w:r>
    </w:p>
    <w:p w:rsidR="00000000" w:rsidDel="00000000" w:rsidP="00000000" w:rsidRDefault="00000000" w:rsidRPr="00000000" w14:paraId="0000009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Keller, K.L., (2016). Reflections on customer-based brand equity: perspectives, progress, and priorities. AMS review, 6(1-2), pp.1-16. </w:t>
      </w:r>
    </w:p>
    <w:p w:rsidR="00000000" w:rsidDel="00000000" w:rsidP="00000000" w:rsidRDefault="00000000" w:rsidRPr="00000000" w14:paraId="0000009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Keller, K.L. (2003). Strategic Brand Management: Building, Measuring and Managing Brand Equity, Prentice hall</w:t>
      </w:r>
    </w:p>
    <w:p w:rsidR="00000000" w:rsidDel="00000000" w:rsidP="00000000" w:rsidRDefault="00000000" w:rsidRPr="00000000" w14:paraId="0000009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Kotler et al (2008). Principles of Marketing. Financial Times, 5th edition, Prentice hall</w:t>
      </w:r>
    </w:p>
    <w:p w:rsidR="00000000" w:rsidDel="00000000" w:rsidP="00000000" w:rsidRDefault="00000000" w:rsidRPr="00000000" w14:paraId="0000009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Kotler, P., Armstrong, G. (2009). Principles of Marketing: Global Edition, 13th edition, Pearson</w:t>
      </w:r>
    </w:p>
    <w:p w:rsidR="00000000" w:rsidDel="00000000" w:rsidP="00000000" w:rsidRDefault="00000000" w:rsidRPr="00000000" w14:paraId="0000009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Roy, D. (2011). </w:t>
      </w:r>
      <w:r w:rsidDel="00000000" w:rsidR="00000000" w:rsidRPr="00000000">
        <w:rPr>
          <w:rFonts w:ascii="Arial" w:cs="Arial" w:eastAsia="Arial" w:hAnsi="Arial"/>
          <w:i w:val="1"/>
          <w:sz w:val="24"/>
          <w:szCs w:val="24"/>
          <w:rtl w:val="0"/>
        </w:rPr>
        <w:t xml:space="preserve">Strategic Foresight and Porter’s Five Forces</w:t>
      </w:r>
      <w:r w:rsidDel="00000000" w:rsidR="00000000" w:rsidRPr="00000000">
        <w:rPr>
          <w:rFonts w:ascii="Arial" w:cs="Arial" w:eastAsia="Arial" w:hAnsi="Arial"/>
          <w:sz w:val="24"/>
          <w:szCs w:val="24"/>
          <w:rtl w:val="0"/>
        </w:rPr>
        <w:t xml:space="preserve">. GRIN</w:t>
      </w:r>
    </w:p>
    <w:p w:rsidR="00000000" w:rsidDel="00000000" w:rsidP="00000000" w:rsidRDefault="00000000" w:rsidRPr="00000000" w14:paraId="0000009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Zairi, M., (2012). Measuring performance for business results. Springer Science &amp; Business Media.</w:t>
      </w:r>
    </w:p>
    <w:p w:rsidR="00000000" w:rsidDel="00000000" w:rsidP="00000000" w:rsidRDefault="00000000" w:rsidRPr="00000000" w14:paraId="00000099">
      <w:pPr>
        <w:widowControl w:val="0"/>
        <w:spacing w:after="0" w:line="276"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Ambler, T. (1995). ‘Brand equity as a relational concept’: Journal of Brand Management, vol. 2(6), p 386, Palgrave Macmillan, available at </w:t>
      </w:r>
      <w:hyperlink r:id="rId13">
        <w:r w:rsidDel="00000000" w:rsidR="00000000" w:rsidRPr="00000000">
          <w:rPr>
            <w:rFonts w:ascii="Arial" w:cs="Arial" w:eastAsia="Arial" w:hAnsi="Arial"/>
            <w:sz w:val="24"/>
            <w:szCs w:val="24"/>
            <w:rtl w:val="0"/>
          </w:rPr>
          <w:t xml:space="preserve">https://link.springer.com/article/10.1057/bm.1995.23</w:t>
        </w:r>
      </w:hyperlink>
      <w:r w:rsidDel="00000000" w:rsidR="00000000" w:rsidRPr="00000000">
        <w:rPr>
          <w:rtl w:val="0"/>
        </w:rPr>
      </w:r>
    </w:p>
    <w:p w:rsidR="00000000" w:rsidDel="00000000" w:rsidP="00000000" w:rsidRDefault="00000000" w:rsidRPr="00000000" w14:paraId="0000009A">
      <w:pPr>
        <w:widowControl w:val="0"/>
        <w:spacing w:after="0" w:before="398.2" w:line="276" w:lineRule="auto"/>
        <w:jc w:val="both"/>
        <w:rPr>
          <w:sz w:val="24"/>
          <w:szCs w:val="24"/>
        </w:rPr>
      </w:pPr>
      <w:r w:rsidDel="00000000" w:rsidR="00000000" w:rsidRPr="00000000">
        <w:rPr>
          <w:rFonts w:ascii="Arial" w:cs="Arial" w:eastAsia="Arial" w:hAnsi="Arial"/>
          <w:sz w:val="24"/>
          <w:szCs w:val="24"/>
          <w:rtl w:val="0"/>
        </w:rPr>
        <w:t xml:space="preserve">Armstrong, G.M., Kotler, P., Harker, M.J. and Brennan, R., (2018). Marketing: an introduction. Pearson UK.</w:t>
      </w:r>
      <w:r w:rsidDel="00000000" w:rsidR="00000000" w:rsidRPr="00000000">
        <w:rPr>
          <w:rtl w:val="0"/>
        </w:rPr>
      </w:r>
    </w:p>
    <w:p w:rsidR="00000000" w:rsidDel="00000000" w:rsidP="00000000" w:rsidRDefault="00000000" w:rsidRPr="00000000" w14:paraId="0000009B">
      <w:pPr>
        <w:widowControl w:val="0"/>
        <w:spacing w:after="0" w:before="398.2" w:line="276" w:lineRule="auto"/>
        <w:jc w:val="both"/>
        <w:rPr>
          <w:sz w:val="24"/>
          <w:szCs w:val="24"/>
        </w:rPr>
      </w:pPr>
      <w:r w:rsidDel="00000000" w:rsidR="00000000" w:rsidRPr="00000000">
        <w:rPr>
          <w:rFonts w:ascii="Arial" w:cs="Arial" w:eastAsia="Arial" w:hAnsi="Arial"/>
          <w:sz w:val="24"/>
          <w:szCs w:val="24"/>
          <w:rtl w:val="0"/>
        </w:rPr>
        <w:t xml:space="preserve">Costa (2020). The Nation's Favourite Coffee Shop | Costa Coffee. [online] Available at: </w:t>
      </w:r>
      <w:hyperlink r:id="rId14">
        <w:r w:rsidDel="00000000" w:rsidR="00000000" w:rsidRPr="00000000">
          <w:rPr>
            <w:rFonts w:ascii="Arial" w:cs="Arial" w:eastAsia="Arial" w:hAnsi="Arial"/>
            <w:sz w:val="24"/>
            <w:szCs w:val="24"/>
            <w:rtl w:val="0"/>
          </w:rPr>
          <w:t xml:space="preserve">https://www.costa.co.uk/</w:t>
        </w:r>
      </w:hyperlink>
      <w:r w:rsidDel="00000000" w:rsidR="00000000" w:rsidRPr="00000000">
        <w:rPr>
          <w:rFonts w:ascii="Arial" w:cs="Arial" w:eastAsia="Arial" w:hAnsi="Arial"/>
          <w:sz w:val="24"/>
          <w:szCs w:val="24"/>
          <w:rtl w:val="0"/>
        </w:rPr>
        <w:t xml:space="preserve">.</w:t>
      </w:r>
      <w:r w:rsidDel="00000000" w:rsidR="00000000" w:rsidRPr="00000000">
        <w:rPr>
          <w:rtl w:val="0"/>
        </w:rPr>
      </w:r>
    </w:p>
    <w:p w:rsidR="00000000" w:rsidDel="00000000" w:rsidP="00000000" w:rsidRDefault="00000000" w:rsidRPr="00000000" w14:paraId="0000009C">
      <w:pPr>
        <w:widowControl w:val="0"/>
        <w:spacing w:after="0" w:before="398.2" w:line="276" w:lineRule="auto"/>
        <w:jc w:val="both"/>
        <w:rPr>
          <w:sz w:val="24"/>
          <w:szCs w:val="24"/>
        </w:rPr>
      </w:pPr>
      <w:r w:rsidDel="00000000" w:rsidR="00000000" w:rsidRPr="00000000">
        <w:rPr>
          <w:rFonts w:ascii="Arial" w:cs="Arial" w:eastAsia="Arial" w:hAnsi="Arial"/>
          <w:sz w:val="24"/>
          <w:szCs w:val="24"/>
          <w:rtl w:val="0"/>
        </w:rPr>
        <w:t xml:space="preserve">Keller, K.L., 2016. Reflections on customer-based brand equity: perspectives, progress, and priorities. AMS review, 6(1-2), pp.1-16. </w:t>
      </w:r>
      <w:r w:rsidDel="00000000" w:rsidR="00000000" w:rsidRPr="00000000">
        <w:rPr>
          <w:rtl w:val="0"/>
        </w:rPr>
      </w:r>
    </w:p>
    <w:p w:rsidR="00000000" w:rsidDel="00000000" w:rsidP="00000000" w:rsidRDefault="00000000" w:rsidRPr="00000000" w14:paraId="0000009D">
      <w:pPr>
        <w:widowControl w:val="0"/>
        <w:spacing w:after="0" w:before="398.2" w:line="276" w:lineRule="auto"/>
        <w:jc w:val="both"/>
        <w:rPr>
          <w:sz w:val="24"/>
          <w:szCs w:val="24"/>
        </w:rPr>
      </w:pPr>
      <w:r w:rsidDel="00000000" w:rsidR="00000000" w:rsidRPr="00000000">
        <w:rPr>
          <w:rFonts w:ascii="Arial" w:cs="Arial" w:eastAsia="Arial" w:hAnsi="Arial"/>
          <w:sz w:val="24"/>
          <w:szCs w:val="24"/>
          <w:rtl w:val="0"/>
        </w:rPr>
        <w:t xml:space="preserve">Keller, K.L. (2003). Strategic Brand Management: Building, Measuring and Managing Brand Equity, Prentice hall</w:t>
      </w:r>
      <w:r w:rsidDel="00000000" w:rsidR="00000000" w:rsidRPr="00000000">
        <w:rPr>
          <w:rtl w:val="0"/>
        </w:rPr>
      </w:r>
    </w:p>
    <w:p w:rsidR="00000000" w:rsidDel="00000000" w:rsidP="00000000" w:rsidRDefault="00000000" w:rsidRPr="00000000" w14:paraId="0000009E">
      <w:pPr>
        <w:widowControl w:val="0"/>
        <w:spacing w:after="0" w:before="398.2" w:line="276" w:lineRule="auto"/>
        <w:jc w:val="both"/>
        <w:rPr>
          <w:sz w:val="24"/>
          <w:szCs w:val="24"/>
        </w:rPr>
      </w:pPr>
      <w:r w:rsidDel="00000000" w:rsidR="00000000" w:rsidRPr="00000000">
        <w:rPr>
          <w:rFonts w:ascii="Arial" w:cs="Arial" w:eastAsia="Arial" w:hAnsi="Arial"/>
          <w:sz w:val="24"/>
          <w:szCs w:val="24"/>
          <w:rtl w:val="0"/>
        </w:rPr>
        <w:t xml:space="preserve">Kotler et al (2008). Principles of Marketing. Financial Times, 5th edition, Prentice hall</w:t>
      </w:r>
      <w:r w:rsidDel="00000000" w:rsidR="00000000" w:rsidRPr="00000000">
        <w:rPr>
          <w:rtl w:val="0"/>
        </w:rPr>
      </w:r>
    </w:p>
    <w:p w:rsidR="00000000" w:rsidDel="00000000" w:rsidP="00000000" w:rsidRDefault="00000000" w:rsidRPr="00000000" w14:paraId="0000009F">
      <w:pPr>
        <w:widowControl w:val="0"/>
        <w:spacing w:after="0" w:before="398.2" w:line="276" w:lineRule="auto"/>
        <w:jc w:val="both"/>
        <w:rPr>
          <w:sz w:val="24"/>
          <w:szCs w:val="24"/>
        </w:rPr>
      </w:pPr>
      <w:r w:rsidDel="00000000" w:rsidR="00000000" w:rsidRPr="00000000">
        <w:rPr>
          <w:rFonts w:ascii="Arial" w:cs="Arial" w:eastAsia="Arial" w:hAnsi="Arial"/>
          <w:sz w:val="24"/>
          <w:szCs w:val="24"/>
          <w:rtl w:val="0"/>
        </w:rPr>
        <w:t xml:space="preserve">Kotler, P., Armstrong, G. (2009). Principles of Marketing: Global Edition, 13th edition, pp 72-79, ed. Pearson</w:t>
      </w:r>
      <w:r w:rsidDel="00000000" w:rsidR="00000000" w:rsidRPr="00000000">
        <w:rPr>
          <w:rtl w:val="0"/>
        </w:rPr>
      </w:r>
    </w:p>
    <w:p w:rsidR="00000000" w:rsidDel="00000000" w:rsidP="00000000" w:rsidRDefault="00000000" w:rsidRPr="00000000" w14:paraId="000000A0">
      <w:pPr>
        <w:widowControl w:val="0"/>
        <w:spacing w:after="0" w:before="398.2" w:line="276" w:lineRule="auto"/>
        <w:jc w:val="both"/>
        <w:rPr>
          <w:sz w:val="24"/>
          <w:szCs w:val="24"/>
        </w:rPr>
      </w:pPr>
      <w:r w:rsidDel="00000000" w:rsidR="00000000" w:rsidRPr="00000000">
        <w:rPr>
          <w:rFonts w:ascii="Arial" w:cs="Arial" w:eastAsia="Arial" w:hAnsi="Arial"/>
          <w:sz w:val="24"/>
          <w:szCs w:val="24"/>
          <w:rtl w:val="0"/>
        </w:rPr>
        <w:t xml:space="preserve">Zairi, M., (2012). Measuring performance for business results. Springer Science &amp; Business Media.</w:t>
      </w:r>
      <w:r w:rsidDel="00000000" w:rsidR="00000000" w:rsidRPr="00000000">
        <w:rPr>
          <w:rtl w:val="0"/>
        </w:rPr>
      </w:r>
    </w:p>
    <w:p w:rsidR="00000000" w:rsidDel="00000000" w:rsidP="00000000" w:rsidRDefault="00000000" w:rsidRPr="00000000" w14:paraId="000000A1">
      <w:pPr>
        <w:spacing w:line="276" w:lineRule="auto"/>
        <w:rPr>
          <w:rFonts w:ascii="Arial" w:cs="Arial" w:eastAsia="Arial" w:hAnsi="Arial"/>
          <w:sz w:val="24"/>
          <w:szCs w:val="24"/>
        </w:rPr>
      </w:pPr>
      <w:r w:rsidDel="00000000" w:rsidR="00000000" w:rsidRPr="00000000">
        <w:rPr>
          <w:rtl w:val="0"/>
        </w:rPr>
      </w:r>
    </w:p>
    <w:sectPr>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link.springer.com/article/10.1057/bm.1995.23" TargetMode="External"/><Relationship Id="rId10" Type="http://schemas.openxmlformats.org/officeDocument/2006/relationships/image" Target="media/image1.png"/><Relationship Id="rId13" Type="http://schemas.openxmlformats.org/officeDocument/2006/relationships/hyperlink" Target="https://link.springer.com/article/10.1057/bm.1995.23" TargetMode="External"/><Relationship Id="rId12" Type="http://schemas.openxmlformats.org/officeDocument/2006/relationships/hyperlink" Target="https://www.costa.co.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14" Type="http://schemas.openxmlformats.org/officeDocument/2006/relationships/hyperlink" Target="https://www.costa.co.uk/" TargetMode="External"/><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image" Target="media/image3.jpg"/><Relationship Id="rId8"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