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C95B4D" w14:textId="3222462C" w:rsidR="001417B4" w:rsidRDefault="001417B4" w:rsidP="00AE0B65">
      <w:pPr>
        <w:spacing w:line="360" w:lineRule="auto"/>
        <w:jc w:val="center"/>
        <w:rPr>
          <w:b/>
          <w:bCs/>
          <w:u w:val="single"/>
        </w:rPr>
      </w:pPr>
      <w:r w:rsidRPr="00501416">
        <w:rPr>
          <w:b/>
          <w:bCs/>
          <w:u w:val="single"/>
        </w:rPr>
        <w:t>A</w:t>
      </w:r>
      <w:r w:rsidR="00386E4E">
        <w:rPr>
          <w:b/>
          <w:bCs/>
          <w:u w:val="single"/>
        </w:rPr>
        <w:t xml:space="preserve">n account of the sources describing Alexander’s meeting with </w:t>
      </w:r>
      <w:proofErr w:type="spellStart"/>
      <w:r w:rsidR="00386E4E">
        <w:rPr>
          <w:b/>
          <w:bCs/>
          <w:u w:val="single"/>
        </w:rPr>
        <w:t>Thalestris</w:t>
      </w:r>
      <w:proofErr w:type="spellEnd"/>
    </w:p>
    <w:p w14:paraId="18090411" w14:textId="77777777" w:rsidR="00501416" w:rsidRPr="00501416" w:rsidRDefault="00501416" w:rsidP="00AE0B65">
      <w:pPr>
        <w:spacing w:line="360" w:lineRule="auto"/>
        <w:jc w:val="center"/>
        <w:rPr>
          <w:b/>
          <w:bCs/>
          <w:u w:val="single"/>
        </w:rPr>
      </w:pPr>
    </w:p>
    <w:p w14:paraId="3AE3D88E" w14:textId="04E925ED" w:rsidR="00D45AFA" w:rsidRDefault="00D45AFA" w:rsidP="0055469B">
      <w:pPr>
        <w:spacing w:line="360" w:lineRule="auto"/>
      </w:pPr>
      <w:r>
        <w:t xml:space="preserve">Alexander’s encounter with the Amazon queen </w:t>
      </w:r>
      <w:proofErr w:type="spellStart"/>
      <w:r>
        <w:t>Thalestris</w:t>
      </w:r>
      <w:proofErr w:type="spellEnd"/>
      <w:r>
        <w:t xml:space="preserve"> (</w:t>
      </w:r>
      <w:r w:rsidR="00501416">
        <w:t>sometimes</w:t>
      </w:r>
      <w:r>
        <w:t xml:space="preserve"> spelled </w:t>
      </w:r>
      <w:proofErr w:type="spellStart"/>
      <w:r>
        <w:t>Talestris</w:t>
      </w:r>
      <w:proofErr w:type="spellEnd"/>
      <w:r>
        <w:t>) is one of the most famous and controversial episodes in the Alexander tradition. Unlike the story between Alexander and Roxan</w:t>
      </w:r>
      <w:r w:rsidR="00EB1967">
        <w:t>n</w:t>
      </w:r>
      <w:r>
        <w:t xml:space="preserve">e, where their marriage is mostly accepted to be historical, </w:t>
      </w:r>
      <w:proofErr w:type="spellStart"/>
      <w:r>
        <w:t>Thalestris</w:t>
      </w:r>
      <w:proofErr w:type="spellEnd"/>
      <w:r>
        <w:t xml:space="preserve"> and Alexander’s encounter </w:t>
      </w:r>
      <w:r w:rsidR="00920BB7">
        <w:t>shifts</w:t>
      </w:r>
      <w:r>
        <w:t xml:space="preserve"> between history, legend and medieval romance. Many sources (such as Quintus Curtius Rufus</w:t>
      </w:r>
      <w:r w:rsidR="0055469B">
        <w:t xml:space="preserve"> 6.5.24-32</w:t>
      </w:r>
      <w:r>
        <w:t xml:space="preserve">, the </w:t>
      </w:r>
      <w:r w:rsidRPr="00610B94">
        <w:rPr>
          <w:i/>
          <w:iCs/>
        </w:rPr>
        <w:t xml:space="preserve">Historia de </w:t>
      </w:r>
      <w:proofErr w:type="spellStart"/>
      <w:r w:rsidRPr="00610B94">
        <w:rPr>
          <w:i/>
          <w:iCs/>
        </w:rPr>
        <w:t>preliis</w:t>
      </w:r>
      <w:proofErr w:type="spellEnd"/>
      <w:r>
        <w:t xml:space="preserve">, and Walter of </w:t>
      </w:r>
      <w:proofErr w:type="spellStart"/>
      <w:r>
        <w:t>Châtillon’s</w:t>
      </w:r>
      <w:proofErr w:type="spellEnd"/>
      <w:r>
        <w:t xml:space="preserve"> </w:t>
      </w:r>
      <w:proofErr w:type="spellStart"/>
      <w:r w:rsidRPr="00610B94">
        <w:rPr>
          <w:i/>
          <w:iCs/>
        </w:rPr>
        <w:t>Alexandreis</w:t>
      </w:r>
      <w:proofErr w:type="spellEnd"/>
      <w:r w:rsidR="000D68C3" w:rsidRPr="000D68C3">
        <w:rPr>
          <w:i/>
          <w:iCs/>
        </w:rPr>
        <w:t xml:space="preserve"> </w:t>
      </w:r>
      <w:r w:rsidR="000D68C3" w:rsidRPr="000D68C3">
        <w:t>8.1-48</w:t>
      </w:r>
      <w:r>
        <w:t>) provide different versions of the encounter, each difference showing cultural expectations towards gender, royalty and power.</w:t>
      </w:r>
      <w:r w:rsidR="005269FA">
        <w:t xml:space="preserve"> </w:t>
      </w:r>
      <w:r w:rsidR="005269FA" w:rsidRPr="005269FA">
        <w:t>Many scholars believe this story to be untrue.</w:t>
      </w:r>
      <w:r w:rsidR="005269FA">
        <w:rPr>
          <w:rStyle w:val="FootnoteReference"/>
        </w:rPr>
        <w:footnoteReference w:id="1"/>
      </w:r>
    </w:p>
    <w:p w14:paraId="78C93642" w14:textId="77777777" w:rsidR="00501416" w:rsidRPr="00501416" w:rsidRDefault="00501416" w:rsidP="00AE0B65">
      <w:pPr>
        <w:spacing w:line="360" w:lineRule="auto"/>
        <w:rPr>
          <w:b/>
          <w:bCs/>
        </w:rPr>
      </w:pPr>
    </w:p>
    <w:p w14:paraId="6CFAAD92" w14:textId="4658A1F5" w:rsidR="00EB4C10" w:rsidRDefault="00D45AFA" w:rsidP="00AE0B65">
      <w:pPr>
        <w:spacing w:line="360" w:lineRule="auto"/>
      </w:pPr>
      <w:r>
        <w:t>Quintus Curtius Rufus</w:t>
      </w:r>
      <w:r w:rsidR="008C0128">
        <w:t>’</w:t>
      </w:r>
      <w:r>
        <w:t xml:space="preserve"> account offers the most straightforward and seemingly historical account. </w:t>
      </w:r>
      <w:r w:rsidR="00FC7FCC">
        <w:t xml:space="preserve">There is debate surrounding the date of </w:t>
      </w:r>
      <w:r w:rsidR="00AF5008">
        <w:t xml:space="preserve">composition of </w:t>
      </w:r>
      <w:r w:rsidR="00FC7FCC">
        <w:t xml:space="preserve">this account, </w:t>
      </w:r>
      <w:r w:rsidR="00253902">
        <w:t xml:space="preserve">Hamilton suggests a likely date of around </w:t>
      </w:r>
      <w:r w:rsidR="00644033">
        <w:t xml:space="preserve">the middle </w:t>
      </w:r>
      <w:r w:rsidR="008B592E">
        <w:t>of the first century AD during the reign of Claudius.</w:t>
      </w:r>
      <w:r w:rsidR="00DC7E76">
        <w:rPr>
          <w:rStyle w:val="FootnoteReference"/>
        </w:rPr>
        <w:footnoteReference w:id="2"/>
      </w:r>
      <w:r w:rsidR="00015E36">
        <w:t xml:space="preserve"> </w:t>
      </w:r>
      <w:r>
        <w:t xml:space="preserve">He tells us that </w:t>
      </w:r>
      <w:proofErr w:type="spellStart"/>
      <w:r>
        <w:t>Thalestris</w:t>
      </w:r>
      <w:proofErr w:type="spellEnd"/>
      <w:r>
        <w:t xml:space="preserve"> came to Alexander </w:t>
      </w:r>
      <w:r w:rsidR="00B8519F">
        <w:t>accompanied</w:t>
      </w:r>
      <w:r>
        <w:t xml:space="preserve"> by an escort of </w:t>
      </w:r>
      <w:r w:rsidR="00640DBC">
        <w:t>female</w:t>
      </w:r>
      <w:r>
        <w:t xml:space="preserve"> warriors</w:t>
      </w:r>
      <w:r w:rsidR="00640DBC">
        <w:t>. Having heard of his fame</w:t>
      </w:r>
      <w:r w:rsidR="00B8519F">
        <w:t>,</w:t>
      </w:r>
      <w:r w:rsidR="00640DBC">
        <w:t xml:space="preserve"> she states that she wants to have his offspring in the hopes that the child would</w:t>
      </w:r>
      <w:r w:rsidR="00EB4C10">
        <w:t xml:space="preserve"> inherit the best qualities of both of them. </w:t>
      </w:r>
      <w:r w:rsidR="006C0A85">
        <w:t>Curtius</w:t>
      </w:r>
      <w:r w:rsidR="00EB4C10">
        <w:t xml:space="preserve"> puts emphasis on the </w:t>
      </w:r>
      <w:r w:rsidR="00000144">
        <w:t xml:space="preserve">unusual </w:t>
      </w:r>
      <w:r w:rsidR="00EB4C10">
        <w:t xml:space="preserve">Amazonian gender roles in which the women rule and fight </w:t>
      </w:r>
      <w:r w:rsidR="00B11607">
        <w:t xml:space="preserve">and are </w:t>
      </w:r>
      <w:r w:rsidR="00EB4C10">
        <w:t xml:space="preserve">able to choose their sexual partners freely. This would be considered exotic and likely unsettling from the Greco-Roman perspective. </w:t>
      </w:r>
      <w:r w:rsidR="00D62A82">
        <w:t>In this telling Alexander</w:t>
      </w:r>
      <w:r w:rsidR="00A1281A">
        <w:t xml:space="preserve"> is shown to respond with curiosity as opposed to desire and </w:t>
      </w:r>
      <w:r w:rsidR="006C0A85">
        <w:t>Curtius</w:t>
      </w:r>
      <w:r w:rsidR="00A1281A">
        <w:t xml:space="preserve"> </w:t>
      </w:r>
      <w:r w:rsidR="00665150">
        <w:t>avoids excessive detail</w:t>
      </w:r>
      <w:r w:rsidR="00D24046">
        <w:t>. Alexander spen</w:t>
      </w:r>
      <w:r w:rsidR="00203AB3">
        <w:t xml:space="preserve">ds </w:t>
      </w:r>
      <w:r w:rsidR="00D24046">
        <w:t xml:space="preserve">several days with </w:t>
      </w:r>
      <w:proofErr w:type="spellStart"/>
      <w:r w:rsidR="00D24046">
        <w:t>Thalestris</w:t>
      </w:r>
      <w:proofErr w:type="spellEnd"/>
      <w:r w:rsidR="00D24046">
        <w:t xml:space="preserve"> before she le</w:t>
      </w:r>
      <w:r w:rsidR="00203AB3">
        <w:t>aves</w:t>
      </w:r>
      <w:r w:rsidR="00D24046">
        <w:t xml:space="preserve"> after achieving her aim. </w:t>
      </w:r>
      <w:r w:rsidR="006C0A85">
        <w:t>C</w:t>
      </w:r>
      <w:r w:rsidR="00086A19">
        <w:t>urtius</w:t>
      </w:r>
      <w:r w:rsidR="00D24046">
        <w:t xml:space="preserve"> is shown to not fully endorse this story, he mentions that it is accepted by some historians and rejected by others. This shows that </w:t>
      </w:r>
      <w:r w:rsidR="00086A19">
        <w:t>Curtius</w:t>
      </w:r>
      <w:r w:rsidR="00D24046">
        <w:t xml:space="preserve"> uses critical judgement in his account.</w:t>
      </w:r>
      <w:r w:rsidR="00015E36">
        <w:t xml:space="preserve"> </w:t>
      </w:r>
    </w:p>
    <w:p w14:paraId="0926B565" w14:textId="51EAEEC4" w:rsidR="000F7F08" w:rsidRDefault="009C1A1C" w:rsidP="00AE0B65">
      <w:pPr>
        <w:spacing w:line="360" w:lineRule="auto"/>
      </w:pPr>
      <w:r>
        <w:t xml:space="preserve">The account written by </w:t>
      </w:r>
      <w:r w:rsidRPr="009C1A1C">
        <w:t xml:space="preserve">Walter of </w:t>
      </w:r>
      <w:proofErr w:type="spellStart"/>
      <w:r w:rsidRPr="009C1A1C">
        <w:t>Châtillon</w:t>
      </w:r>
      <w:proofErr w:type="spellEnd"/>
      <w:r>
        <w:t xml:space="preserve"> was written in the twelfth century and is reshaped in order to meet the morals and norms of medieval epics. </w:t>
      </w:r>
      <w:proofErr w:type="spellStart"/>
      <w:r>
        <w:t>Thalestris</w:t>
      </w:r>
      <w:proofErr w:type="spellEnd"/>
      <w:r>
        <w:t xml:space="preserve"> is written as a powerful but subordinate figure towards Alexander, </w:t>
      </w:r>
      <w:r w:rsidR="00F61B72">
        <w:t>she</w:t>
      </w:r>
      <w:r w:rsidR="00F61B72" w:rsidRPr="00F61B72">
        <w:t xml:space="preserve"> is viewed less as a political equal </w:t>
      </w:r>
      <w:r w:rsidR="00F61B72" w:rsidRPr="00F61B72">
        <w:lastRenderedPageBreak/>
        <w:t xml:space="preserve">and more as a figure of marvel, representing tales of the East. The arrival of </w:t>
      </w:r>
      <w:proofErr w:type="spellStart"/>
      <w:r w:rsidR="00F61B72" w:rsidRPr="00F61B72">
        <w:t>Thalestris</w:t>
      </w:r>
      <w:proofErr w:type="spellEnd"/>
      <w:r w:rsidR="00F61B72" w:rsidRPr="00F61B72">
        <w:t xml:space="preserve"> is written more like a ceremony and she is shown to admire Alexander to a higher </w:t>
      </w:r>
      <w:proofErr w:type="gramStart"/>
      <w:r w:rsidR="00F61B72" w:rsidRPr="00F61B72">
        <w:t>degree,</w:t>
      </w:r>
      <w:proofErr w:type="gramEnd"/>
      <w:r w:rsidR="00F61B72" w:rsidRPr="00F61B72">
        <w:t xml:space="preserve"> this shifts the emphasis from calculated reward to the universal desire for Alexander. In this account the encounters reality is unquestioned in historical plausibility, focusing more on the greatness of Alexander being such that it even transcends cultures and is the ideal sire for the future line of the Amazon queen</w:t>
      </w:r>
      <w:r w:rsidR="00F61B72">
        <w:t xml:space="preserve">, </w:t>
      </w:r>
      <w:r w:rsidR="00556B8B">
        <w:t xml:space="preserve">confirming his world dominance. </w:t>
      </w:r>
      <w:r w:rsidR="00556B8B" w:rsidRPr="00556B8B">
        <w:t xml:space="preserve">Walter of </w:t>
      </w:r>
      <w:proofErr w:type="spellStart"/>
      <w:r w:rsidR="00556B8B" w:rsidRPr="00556B8B">
        <w:t>Châtillon</w:t>
      </w:r>
      <w:proofErr w:type="spellEnd"/>
      <w:r w:rsidR="00556B8B">
        <w:t xml:space="preserve"> adds more erotic tension to this account, portraying more symbolism of the different societal norms of the East and West, showing the West’s male sovereignty as favoured over the East’s female autonomy. </w:t>
      </w:r>
      <w:proofErr w:type="spellStart"/>
      <w:r w:rsidR="00556B8B">
        <w:t>Thalestris</w:t>
      </w:r>
      <w:proofErr w:type="spellEnd"/>
      <w:r w:rsidR="00556B8B">
        <w:t xml:space="preserve"> is still written with bold words, but her reasoning is framed more as recognition of Alexander’s superiority rather than dynastic planning. This account reinforces the medieval ideals of kingship and gender hierarchy, it subtly deals with the threat of the Amazons via </w:t>
      </w:r>
      <w:r w:rsidR="00501416">
        <w:t>bringing them into Alexander’s orbit</w:t>
      </w:r>
      <w:r w:rsidR="00F728AF">
        <w:t xml:space="preserve"> </w:t>
      </w:r>
      <w:r w:rsidR="00F728AF" w:rsidRPr="00F728AF">
        <w:t>and puts emphasis on the sexual male fantasy as mentioned by Peltonen.</w:t>
      </w:r>
      <w:r w:rsidR="00F728AF">
        <w:t xml:space="preserve"> </w:t>
      </w:r>
      <w:r w:rsidR="00F728AF">
        <w:rPr>
          <w:rStyle w:val="FootnoteReference"/>
        </w:rPr>
        <w:footnoteReference w:id="3"/>
      </w:r>
    </w:p>
    <w:p w14:paraId="2EFB0206" w14:textId="77777777" w:rsidR="00805838" w:rsidRDefault="00805838" w:rsidP="00AE0B65">
      <w:pPr>
        <w:spacing w:line="360" w:lineRule="auto"/>
      </w:pPr>
    </w:p>
    <w:p w14:paraId="5D9274C3" w14:textId="77777777" w:rsidR="008162B0" w:rsidRDefault="008162B0" w:rsidP="00AE0B65">
      <w:pPr>
        <w:spacing w:line="360" w:lineRule="auto"/>
        <w:rPr>
          <w:u w:val="single"/>
        </w:rPr>
      </w:pPr>
    </w:p>
    <w:p w14:paraId="5D37F1CF" w14:textId="77777777" w:rsidR="008162B0" w:rsidRDefault="008162B0" w:rsidP="00AE0B65">
      <w:pPr>
        <w:spacing w:line="360" w:lineRule="auto"/>
        <w:rPr>
          <w:u w:val="single"/>
        </w:rPr>
      </w:pPr>
    </w:p>
    <w:p w14:paraId="4E9797C3" w14:textId="77777777" w:rsidR="008162B0" w:rsidRDefault="008162B0" w:rsidP="00AE0B65">
      <w:pPr>
        <w:spacing w:line="360" w:lineRule="auto"/>
        <w:rPr>
          <w:u w:val="single"/>
        </w:rPr>
      </w:pPr>
    </w:p>
    <w:p w14:paraId="0392DBBF" w14:textId="77777777" w:rsidR="008162B0" w:rsidRDefault="008162B0" w:rsidP="00AE0B65">
      <w:pPr>
        <w:spacing w:line="360" w:lineRule="auto"/>
        <w:rPr>
          <w:u w:val="single"/>
        </w:rPr>
      </w:pPr>
    </w:p>
    <w:p w14:paraId="38378588" w14:textId="77777777" w:rsidR="008162B0" w:rsidRDefault="008162B0" w:rsidP="00AE0B65">
      <w:pPr>
        <w:spacing w:line="360" w:lineRule="auto"/>
        <w:rPr>
          <w:u w:val="single"/>
        </w:rPr>
      </w:pPr>
    </w:p>
    <w:p w14:paraId="3D3DC664" w14:textId="77777777" w:rsidR="008162B0" w:rsidRDefault="008162B0" w:rsidP="00AE0B65">
      <w:pPr>
        <w:spacing w:line="360" w:lineRule="auto"/>
        <w:rPr>
          <w:u w:val="single"/>
        </w:rPr>
      </w:pPr>
    </w:p>
    <w:p w14:paraId="010FB262" w14:textId="77777777" w:rsidR="008162B0" w:rsidRDefault="008162B0" w:rsidP="00AE0B65">
      <w:pPr>
        <w:spacing w:line="360" w:lineRule="auto"/>
        <w:rPr>
          <w:u w:val="single"/>
        </w:rPr>
      </w:pPr>
    </w:p>
    <w:p w14:paraId="3DE79026" w14:textId="77777777" w:rsidR="008162B0" w:rsidRDefault="008162B0" w:rsidP="00AE0B65">
      <w:pPr>
        <w:spacing w:line="360" w:lineRule="auto"/>
        <w:rPr>
          <w:u w:val="single"/>
        </w:rPr>
      </w:pPr>
    </w:p>
    <w:p w14:paraId="2E70DF79" w14:textId="77777777" w:rsidR="008162B0" w:rsidRDefault="008162B0" w:rsidP="00AE0B65">
      <w:pPr>
        <w:spacing w:line="360" w:lineRule="auto"/>
        <w:rPr>
          <w:u w:val="single"/>
        </w:rPr>
      </w:pPr>
    </w:p>
    <w:p w14:paraId="38AC03E8" w14:textId="77777777" w:rsidR="008162B0" w:rsidRDefault="008162B0" w:rsidP="00AE0B65">
      <w:pPr>
        <w:spacing w:line="360" w:lineRule="auto"/>
        <w:rPr>
          <w:u w:val="single"/>
        </w:rPr>
      </w:pPr>
    </w:p>
    <w:p w14:paraId="6A4399F2" w14:textId="77777777" w:rsidR="00A257F0" w:rsidRDefault="00A257F0" w:rsidP="00AE0B65">
      <w:pPr>
        <w:spacing w:line="360" w:lineRule="auto"/>
        <w:rPr>
          <w:u w:val="single"/>
        </w:rPr>
      </w:pPr>
    </w:p>
    <w:p w14:paraId="7C430B6D" w14:textId="124B352C" w:rsidR="00DC7EAE" w:rsidRPr="00E574DF" w:rsidRDefault="00DC7EAE" w:rsidP="00AE0B65">
      <w:pPr>
        <w:spacing w:line="360" w:lineRule="auto"/>
        <w:rPr>
          <w:u w:val="single"/>
        </w:rPr>
      </w:pPr>
      <w:r w:rsidRPr="00E574DF">
        <w:rPr>
          <w:u w:val="single"/>
        </w:rPr>
        <w:t xml:space="preserve">Bibliography </w:t>
      </w:r>
    </w:p>
    <w:p w14:paraId="2F28DCDF" w14:textId="38F4C89D" w:rsidR="00DC7EAE" w:rsidRPr="00E574DF" w:rsidRDefault="00DC7EAE" w:rsidP="00AE0B65">
      <w:pPr>
        <w:spacing w:line="360" w:lineRule="auto"/>
        <w:rPr>
          <w:b/>
          <w:bCs/>
        </w:rPr>
      </w:pPr>
      <w:r w:rsidRPr="00E574DF">
        <w:rPr>
          <w:b/>
          <w:bCs/>
        </w:rPr>
        <w:t>Primary sources</w:t>
      </w:r>
    </w:p>
    <w:p w14:paraId="68FDEA65" w14:textId="67C6D297" w:rsidR="00DC7EAE" w:rsidRDefault="00DC7EAE" w:rsidP="00AE0B65">
      <w:pPr>
        <w:spacing w:line="360" w:lineRule="auto"/>
      </w:pPr>
      <w:r w:rsidRPr="00DC7EAE">
        <w:t>Quintus Curtius. History of Alexander, Volume II: Books 6-10. Translated by J. C. Rolfe. Loeb Classical Library 369. Cambridge, MA: Harvard University Press, 1946.</w:t>
      </w:r>
    </w:p>
    <w:p w14:paraId="38D417FC" w14:textId="3F64258E" w:rsidR="00DC7EAE" w:rsidRDefault="00F94FCE" w:rsidP="00AE0B65">
      <w:pPr>
        <w:spacing w:line="360" w:lineRule="auto"/>
      </w:pPr>
      <w:r w:rsidRPr="00F94FCE">
        <w:t xml:space="preserve">Chatillon, Walter, The </w:t>
      </w:r>
      <w:proofErr w:type="spellStart"/>
      <w:r w:rsidRPr="00F94FCE">
        <w:t>Alexandreis</w:t>
      </w:r>
      <w:proofErr w:type="spellEnd"/>
      <w:r w:rsidRPr="00F94FCE">
        <w:t>: A Twelfth-Century Epic, trans. by David Townsend (Broadview Press, 2006)</w:t>
      </w:r>
    </w:p>
    <w:p w14:paraId="049B3544" w14:textId="4B94D564" w:rsidR="00DC7EAE" w:rsidRPr="00E574DF" w:rsidRDefault="00DC7EAE" w:rsidP="00AE0B65">
      <w:pPr>
        <w:spacing w:line="360" w:lineRule="auto"/>
        <w:rPr>
          <w:b/>
          <w:bCs/>
        </w:rPr>
      </w:pPr>
      <w:r w:rsidRPr="00E574DF">
        <w:rPr>
          <w:b/>
          <w:bCs/>
        </w:rPr>
        <w:t>Secondary sources</w:t>
      </w:r>
    </w:p>
    <w:p w14:paraId="4FF9263D" w14:textId="77777777" w:rsidR="00E574DF" w:rsidRDefault="00E574DF" w:rsidP="00E574DF">
      <w:pPr>
        <w:spacing w:line="360" w:lineRule="auto"/>
      </w:pPr>
      <w:r>
        <w:t>Baynham, Elizabeth, ‘Alexander and the Amazons’, The Classical Quarterly, 51.1 (2001), pp. 115–26, doi:10.1093/</w:t>
      </w:r>
      <w:proofErr w:type="spellStart"/>
      <w:r>
        <w:t>cq</w:t>
      </w:r>
      <w:proofErr w:type="spellEnd"/>
      <w:r>
        <w:t>/51.1.115</w:t>
      </w:r>
    </w:p>
    <w:p w14:paraId="4C56A311" w14:textId="77777777" w:rsidR="00E574DF" w:rsidRDefault="00E574DF" w:rsidP="00E574DF">
      <w:pPr>
        <w:spacing w:line="360" w:lineRule="auto"/>
      </w:pPr>
      <w:r>
        <w:t xml:space="preserve">Hamilton, J. R., ‘The Date of Quintus Curtius Rufus’, Historia: </w:t>
      </w:r>
      <w:proofErr w:type="spellStart"/>
      <w:r>
        <w:t>Zeitschrift</w:t>
      </w:r>
      <w:proofErr w:type="spellEnd"/>
      <w:r>
        <w:t xml:space="preserve"> Für Alte </w:t>
      </w:r>
      <w:proofErr w:type="spellStart"/>
      <w:r>
        <w:t>Geschichte</w:t>
      </w:r>
      <w:proofErr w:type="spellEnd"/>
      <w:r>
        <w:t>, 37.4 (1988), pp. 445–56</w:t>
      </w:r>
    </w:p>
    <w:p w14:paraId="32BAA3E9" w14:textId="77777777" w:rsidR="00E574DF" w:rsidRDefault="00E574DF" w:rsidP="00E574DF">
      <w:pPr>
        <w:spacing w:line="360" w:lineRule="auto"/>
      </w:pPr>
      <w:r>
        <w:t>Mayor, Adrienne, ‘When Alexander Met Thalestris.’, History Today, 65.1 (2015), pp. 10–17, 100558437</w:t>
      </w:r>
    </w:p>
    <w:p w14:paraId="5666DC43" w14:textId="4B8FD6F5" w:rsidR="00F94FCE" w:rsidRPr="00DC7EAE" w:rsidRDefault="00E574DF" w:rsidP="00E574DF">
      <w:pPr>
        <w:spacing w:line="360" w:lineRule="auto"/>
      </w:pPr>
      <w:r>
        <w:t xml:space="preserve">Peltonen, </w:t>
      </w:r>
      <w:proofErr w:type="spellStart"/>
      <w:r>
        <w:t>Jaakkojuhani</w:t>
      </w:r>
      <w:proofErr w:type="spellEnd"/>
      <w:r>
        <w:t xml:space="preserve">, ‘“Thirteen Days Were Devoted to Serving Her Passion”’, in K.R. Moore, The Routledge Companion to the Reception of Ancient Greek and Roman Gender and Sexuality, 1st </w:t>
      </w:r>
      <w:proofErr w:type="spellStart"/>
      <w:r>
        <w:t>edn</w:t>
      </w:r>
      <w:proofErr w:type="spellEnd"/>
      <w:r>
        <w:t xml:space="preserve"> (Routledge, 2022), pp. 473–88, doi:10.4324/9781003024378-27</w:t>
      </w:r>
    </w:p>
    <w:sectPr w:rsidR="00F94FCE" w:rsidRPr="00DC7E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76C501" w14:textId="77777777" w:rsidR="002E765E" w:rsidRDefault="002E765E" w:rsidP="00DC7E76">
      <w:pPr>
        <w:spacing w:after="0" w:line="240" w:lineRule="auto"/>
      </w:pPr>
      <w:r>
        <w:separator/>
      </w:r>
    </w:p>
  </w:endnote>
  <w:endnote w:type="continuationSeparator" w:id="0">
    <w:p w14:paraId="7E840451" w14:textId="77777777" w:rsidR="002E765E" w:rsidRDefault="002E765E" w:rsidP="00DC7E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E7EC3" w14:textId="77777777" w:rsidR="002E765E" w:rsidRDefault="002E765E" w:rsidP="00DC7E76">
      <w:pPr>
        <w:spacing w:after="0" w:line="240" w:lineRule="auto"/>
      </w:pPr>
      <w:r>
        <w:separator/>
      </w:r>
    </w:p>
  </w:footnote>
  <w:footnote w:type="continuationSeparator" w:id="0">
    <w:p w14:paraId="357BC9BE" w14:textId="77777777" w:rsidR="002E765E" w:rsidRDefault="002E765E" w:rsidP="00DC7E76">
      <w:pPr>
        <w:spacing w:after="0" w:line="240" w:lineRule="auto"/>
      </w:pPr>
      <w:r>
        <w:continuationSeparator/>
      </w:r>
    </w:p>
  </w:footnote>
  <w:footnote w:id="1">
    <w:p w14:paraId="7F60B229" w14:textId="690B3B54" w:rsidR="005269FA" w:rsidRDefault="005269FA">
      <w:pPr>
        <w:pStyle w:val="FootnoteText"/>
      </w:pPr>
      <w:r>
        <w:rPr>
          <w:rStyle w:val="FootnoteReference"/>
        </w:rPr>
        <w:footnoteRef/>
      </w:r>
      <w:r>
        <w:t xml:space="preserve"> </w:t>
      </w:r>
      <w:r>
        <w:fldChar w:fldCharType="begin"/>
      </w:r>
      <w:r>
        <w:instrText xml:space="preserve"> ADDIN ZOTERO_ITEM CSL_CITATION {"citationID":"fOwopqsI","properties":{"formattedCitation":"Elizabeth Baynham, \\uc0\\u8216{}Alexander and the Amazons\\uc0\\u8217{}, {\\i{}The Classical Quarterly}, 51.1 (2001), pp. 115\\uc0\\u8211{}26, doi:10.1093/cq/51.1.115.","plainCitation":"Elizabeth Baynham, ‘Alexander and the Amazons’, The Classical Quarterly, 51.1 (2001), pp. 115–26, doi:10.1093/cq/51.1.115.","noteIndex":1},"citationItems":[{"id":304,"uris":["http://zotero.org/users/local/DUM6qIJ6/items/2U5L9ZVZ"],"itemData":{"id":304,"type":"article-journal","container-title":"The Classical Quarterly","DOI":"10.1093/cq/51.1.115","ISSN":"0009-8388, 1471-6844","issue":"1","journalAbbreviation":"The Class. Q.","language":"en","license":"https://www.cambridge.org/core/terms","page":"115-126","source":"DOI.org (Crossref)","title":"Alexander and the Amazons","volume":"51","author":[{"family":"Baynham","given":"Elizabeth"}],"issued":{"date-parts":[["2001",7]]}}}],"schema":"https://github.com/citation-style-language/schema/raw/master/csl-citation.json"} </w:instrText>
      </w:r>
      <w:r>
        <w:fldChar w:fldCharType="separate"/>
      </w:r>
      <w:r w:rsidRPr="005269FA">
        <w:rPr>
          <w:rFonts w:ascii="Calibri" w:hAnsi="Calibri" w:cs="Calibri"/>
          <w:kern w:val="0"/>
        </w:rPr>
        <w:t xml:space="preserve">Elizabeth Baynham, ‘Alexander and the Amazons’, </w:t>
      </w:r>
      <w:r w:rsidRPr="005269FA">
        <w:rPr>
          <w:rFonts w:ascii="Calibri" w:hAnsi="Calibri" w:cs="Calibri"/>
          <w:i/>
          <w:iCs/>
          <w:kern w:val="0"/>
        </w:rPr>
        <w:t>The Classical Quarterly</w:t>
      </w:r>
      <w:r w:rsidRPr="005269FA">
        <w:rPr>
          <w:rFonts w:ascii="Calibri" w:hAnsi="Calibri" w:cs="Calibri"/>
          <w:kern w:val="0"/>
        </w:rPr>
        <w:t>, 51.1 (2001), pp. 115–26, doi:10.1093/cq/51.1.115.</w:t>
      </w:r>
      <w:r>
        <w:fldChar w:fldCharType="end"/>
      </w:r>
    </w:p>
  </w:footnote>
  <w:footnote w:id="2">
    <w:p w14:paraId="7F467063" w14:textId="3790602E" w:rsidR="00DC7E76" w:rsidRDefault="00DC7E76">
      <w:pPr>
        <w:pStyle w:val="FootnoteText"/>
      </w:pPr>
      <w:r>
        <w:rPr>
          <w:rStyle w:val="FootnoteReference"/>
        </w:rPr>
        <w:footnoteRef/>
      </w:r>
      <w:r>
        <w:t xml:space="preserve"> </w:t>
      </w:r>
      <w:r>
        <w:fldChar w:fldCharType="begin"/>
      </w:r>
      <w:r>
        <w:instrText xml:space="preserve"> ADDIN ZOTERO_ITEM CSL_CITATION {"citationID":"C99Pw99R","properties":{"formattedCitation":"J. R. Hamilton, \\uc0\\u8216{}The Date of Quintus Curtius Rufus\\uc0\\u8217{}, {\\i{}Historia: Zeitschrift F\\uc0\\u252{}r Alte Geschichte}, 37.4 (1988), pp. 445\\uc0\\u8211{}56.","plainCitation":"J. R. Hamilton, ‘The Date of Quintus Curtius Rufus’, Historia: Zeitschrift Für Alte Geschichte, 37.4 (1988), pp. 445–56.","noteIndex":1},"citationItems":[{"id":306,"uris":["http://zotero.org/users/local/DUM6qIJ6/items/WK4YE9TF"],"itemData":{"id":306,"type":"article-journal","container-title":"Historia: Zeitschrift für Alte Geschichte","ISSN":"0018-2311","issue":"4","note":"publisher: Franz Steiner Verlag","page":"445-456","source":"JSTOR","title":"The Date of Quintus Curtius Rufus","volume":"37","author":[{"family":"Hamilton","given":"J. R."}],"issued":{"date-parts":[["1988"]]}}}],"schema":"https://github.com/citation-style-language/schema/raw/master/csl-citation.json"} </w:instrText>
      </w:r>
      <w:r>
        <w:fldChar w:fldCharType="separate"/>
      </w:r>
      <w:r w:rsidRPr="00DC7E76">
        <w:rPr>
          <w:rFonts w:ascii="Calibri" w:hAnsi="Calibri" w:cs="Calibri"/>
          <w:kern w:val="0"/>
        </w:rPr>
        <w:t xml:space="preserve">J. R. Hamilton, ‘The Date of Quintus Curtius Rufus’, </w:t>
      </w:r>
      <w:r w:rsidRPr="00DC7E76">
        <w:rPr>
          <w:rFonts w:ascii="Calibri" w:hAnsi="Calibri" w:cs="Calibri"/>
          <w:i/>
          <w:iCs/>
          <w:kern w:val="0"/>
        </w:rPr>
        <w:t>Historia: Zeitschrift Für Alte Geschichte</w:t>
      </w:r>
      <w:r w:rsidRPr="00DC7E76">
        <w:rPr>
          <w:rFonts w:ascii="Calibri" w:hAnsi="Calibri" w:cs="Calibri"/>
          <w:kern w:val="0"/>
        </w:rPr>
        <w:t>, 37.4 (1988), pp. 445–56.</w:t>
      </w:r>
      <w:r>
        <w:fldChar w:fldCharType="end"/>
      </w:r>
    </w:p>
  </w:footnote>
  <w:footnote w:id="3">
    <w:p w14:paraId="3CD6BE41" w14:textId="1AF18D64" w:rsidR="00F728AF" w:rsidRDefault="00F728AF">
      <w:pPr>
        <w:pStyle w:val="FootnoteText"/>
      </w:pPr>
      <w:r>
        <w:rPr>
          <w:rStyle w:val="FootnoteReference"/>
        </w:rPr>
        <w:footnoteRef/>
      </w:r>
      <w:r>
        <w:t xml:space="preserve"> </w:t>
      </w:r>
      <w:fldSimple w:instr=" ADDIN ZOTERO_TEMP ">
        <w:r>
          <w:t>{</w:t>
        </w:r>
        <w:r w:rsidR="00DD259E" w:rsidRPr="00DD259E">
          <w:t>Jaakkojuhani Peltonen</w:t>
        </w:r>
        <w:r w:rsidR="001669CC">
          <w:t>, '</w:t>
        </w:r>
        <w:r w:rsidR="001669CC" w:rsidRPr="001669CC">
          <w:t xml:space="preserve"> </w:t>
        </w:r>
        <w:r w:rsidR="001669CC" w:rsidRPr="001669CC">
          <w:rPr>
            <w:i/>
            <w:iCs/>
          </w:rPr>
          <w:t>“Thirteen Days Were Devoted to Serving Her Passion”  Amazon Queen Thalestris as a Sexual Male Fantasy in Roman Historiography and Medieval Epic'</w:t>
        </w:r>
        <w:r w:rsidR="001669CC">
          <w:rPr>
            <w:i/>
            <w:iCs/>
          </w:rPr>
          <w:t>,</w:t>
        </w:r>
        <w:r w:rsidR="00B51B9D">
          <w:rPr>
            <w:i/>
            <w:iCs/>
          </w:rPr>
          <w:t xml:space="preserve"> </w:t>
        </w:r>
        <w:r w:rsidR="00B51B9D">
          <w:t>pp.473,</w:t>
        </w:r>
        <w:r w:rsidR="00B51B9D" w:rsidRPr="00B51B9D">
          <w:t xml:space="preserve"> DOI: 10.4324/9781003024378-27</w:t>
        </w:r>
        <w:r>
          <w:t>}</w:t>
        </w:r>
      </w:fldSimple>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7B4"/>
    <w:rsid w:val="00000144"/>
    <w:rsid w:val="00015E36"/>
    <w:rsid w:val="00086A19"/>
    <w:rsid w:val="00087AB0"/>
    <w:rsid w:val="000D68C3"/>
    <w:rsid w:val="000F7F08"/>
    <w:rsid w:val="001417B4"/>
    <w:rsid w:val="001669CC"/>
    <w:rsid w:val="00184A75"/>
    <w:rsid w:val="00203AB3"/>
    <w:rsid w:val="002342D4"/>
    <w:rsid w:val="00253902"/>
    <w:rsid w:val="002E765E"/>
    <w:rsid w:val="00357D6F"/>
    <w:rsid w:val="00386E4E"/>
    <w:rsid w:val="003E6371"/>
    <w:rsid w:val="00501416"/>
    <w:rsid w:val="005269FA"/>
    <w:rsid w:val="0055469B"/>
    <w:rsid w:val="00556B8B"/>
    <w:rsid w:val="005C205E"/>
    <w:rsid w:val="00610B94"/>
    <w:rsid w:val="006121F6"/>
    <w:rsid w:val="00640DBC"/>
    <w:rsid w:val="00644033"/>
    <w:rsid w:val="00665150"/>
    <w:rsid w:val="006C0A85"/>
    <w:rsid w:val="006F6538"/>
    <w:rsid w:val="006F6E93"/>
    <w:rsid w:val="00796992"/>
    <w:rsid w:val="007E5B9D"/>
    <w:rsid w:val="00805838"/>
    <w:rsid w:val="008162B0"/>
    <w:rsid w:val="008647B3"/>
    <w:rsid w:val="00895415"/>
    <w:rsid w:val="008B592E"/>
    <w:rsid w:val="008C0128"/>
    <w:rsid w:val="008C3A14"/>
    <w:rsid w:val="00920BB7"/>
    <w:rsid w:val="009537D5"/>
    <w:rsid w:val="00961D81"/>
    <w:rsid w:val="009C1A1C"/>
    <w:rsid w:val="009E2716"/>
    <w:rsid w:val="009F5076"/>
    <w:rsid w:val="00A1281A"/>
    <w:rsid w:val="00A257F0"/>
    <w:rsid w:val="00AE0B65"/>
    <w:rsid w:val="00AF5008"/>
    <w:rsid w:val="00B11607"/>
    <w:rsid w:val="00B51B9D"/>
    <w:rsid w:val="00B8519F"/>
    <w:rsid w:val="00D24046"/>
    <w:rsid w:val="00D334C3"/>
    <w:rsid w:val="00D45AFA"/>
    <w:rsid w:val="00D62A82"/>
    <w:rsid w:val="00DC7E76"/>
    <w:rsid w:val="00DC7EAE"/>
    <w:rsid w:val="00DD259E"/>
    <w:rsid w:val="00E574DF"/>
    <w:rsid w:val="00EB1967"/>
    <w:rsid w:val="00EB4C10"/>
    <w:rsid w:val="00F61B72"/>
    <w:rsid w:val="00F728AF"/>
    <w:rsid w:val="00F94FCE"/>
    <w:rsid w:val="00FC7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3F4D6"/>
  <w15:chartTrackingRefBased/>
  <w15:docId w15:val="{A9272B47-7226-4F42-95EF-B94963123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7B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417B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417B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417B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417B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417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17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17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17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7B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417B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417B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417B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417B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417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17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17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17B4"/>
    <w:rPr>
      <w:rFonts w:eastAsiaTheme="majorEastAsia" w:cstheme="majorBidi"/>
      <w:color w:val="272727" w:themeColor="text1" w:themeTint="D8"/>
    </w:rPr>
  </w:style>
  <w:style w:type="paragraph" w:styleId="Title">
    <w:name w:val="Title"/>
    <w:basedOn w:val="Normal"/>
    <w:next w:val="Normal"/>
    <w:link w:val="TitleChar"/>
    <w:uiPriority w:val="10"/>
    <w:qFormat/>
    <w:rsid w:val="001417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17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17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17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17B4"/>
    <w:pPr>
      <w:spacing w:before="160"/>
      <w:jc w:val="center"/>
    </w:pPr>
    <w:rPr>
      <w:i/>
      <w:iCs/>
      <w:color w:val="404040" w:themeColor="text1" w:themeTint="BF"/>
    </w:rPr>
  </w:style>
  <w:style w:type="character" w:customStyle="1" w:styleId="QuoteChar">
    <w:name w:val="Quote Char"/>
    <w:basedOn w:val="DefaultParagraphFont"/>
    <w:link w:val="Quote"/>
    <w:uiPriority w:val="29"/>
    <w:rsid w:val="001417B4"/>
    <w:rPr>
      <w:i/>
      <w:iCs/>
      <w:color w:val="404040" w:themeColor="text1" w:themeTint="BF"/>
    </w:rPr>
  </w:style>
  <w:style w:type="paragraph" w:styleId="ListParagraph">
    <w:name w:val="List Paragraph"/>
    <w:basedOn w:val="Normal"/>
    <w:uiPriority w:val="34"/>
    <w:qFormat/>
    <w:rsid w:val="001417B4"/>
    <w:pPr>
      <w:ind w:left="720"/>
      <w:contextualSpacing/>
    </w:pPr>
  </w:style>
  <w:style w:type="character" w:styleId="IntenseEmphasis">
    <w:name w:val="Intense Emphasis"/>
    <w:basedOn w:val="DefaultParagraphFont"/>
    <w:uiPriority w:val="21"/>
    <w:qFormat/>
    <w:rsid w:val="001417B4"/>
    <w:rPr>
      <w:i/>
      <w:iCs/>
      <w:color w:val="2F5496" w:themeColor="accent1" w:themeShade="BF"/>
    </w:rPr>
  </w:style>
  <w:style w:type="paragraph" w:styleId="IntenseQuote">
    <w:name w:val="Intense Quote"/>
    <w:basedOn w:val="Normal"/>
    <w:next w:val="Normal"/>
    <w:link w:val="IntenseQuoteChar"/>
    <w:uiPriority w:val="30"/>
    <w:qFormat/>
    <w:rsid w:val="001417B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417B4"/>
    <w:rPr>
      <w:i/>
      <w:iCs/>
      <w:color w:val="2F5496" w:themeColor="accent1" w:themeShade="BF"/>
    </w:rPr>
  </w:style>
  <w:style w:type="character" w:styleId="IntenseReference">
    <w:name w:val="Intense Reference"/>
    <w:basedOn w:val="DefaultParagraphFont"/>
    <w:uiPriority w:val="32"/>
    <w:qFormat/>
    <w:rsid w:val="001417B4"/>
    <w:rPr>
      <w:b/>
      <w:bCs/>
      <w:smallCaps/>
      <w:color w:val="2F5496" w:themeColor="accent1" w:themeShade="BF"/>
      <w:spacing w:val="5"/>
    </w:rPr>
  </w:style>
  <w:style w:type="paragraph" w:styleId="FootnoteText">
    <w:name w:val="footnote text"/>
    <w:basedOn w:val="Normal"/>
    <w:link w:val="FootnoteTextChar"/>
    <w:uiPriority w:val="99"/>
    <w:semiHidden/>
    <w:unhideWhenUsed/>
    <w:rsid w:val="00DC7E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C7E76"/>
    <w:rPr>
      <w:sz w:val="20"/>
      <w:szCs w:val="20"/>
    </w:rPr>
  </w:style>
  <w:style w:type="character" w:styleId="FootnoteReference">
    <w:name w:val="footnote reference"/>
    <w:basedOn w:val="DefaultParagraphFont"/>
    <w:uiPriority w:val="99"/>
    <w:semiHidden/>
    <w:unhideWhenUsed/>
    <w:rsid w:val="00DC7E76"/>
    <w:rPr>
      <w:vertAlign w:val="superscript"/>
    </w:rPr>
  </w:style>
  <w:style w:type="paragraph" w:styleId="Bibliography">
    <w:name w:val="Bibliography"/>
    <w:basedOn w:val="Normal"/>
    <w:next w:val="Normal"/>
    <w:uiPriority w:val="37"/>
    <w:semiHidden/>
    <w:unhideWhenUsed/>
    <w:rsid w:val="00F728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3</Pages>
  <Words>631</Words>
  <Characters>3599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50</cp:revision>
  <dcterms:created xsi:type="dcterms:W3CDTF">2026-01-30T02:39:00Z</dcterms:created>
  <dcterms:modified xsi:type="dcterms:W3CDTF">2026-01-31T03:40:00Z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0e38effa-339f-4495-8a0f-dab487ddd7a3</vt:lpwstr>
  </property>
  <property fmtid="{D5CDD505-2E9C-101B-9397-08002B2CF9AE}" pid="3" name="ZOTERO_PREF_1">
    <vt:lpwstr>&lt;data data-version="3" zotero-version="7.0.30"&gt;&lt;session id="31JSQ5ZX"/&gt;&lt;style id="http://www.zotero.org/styles/mhra-notes" hasBibliography="1" bibliographyStyleHasBeenSet="1"/&gt;&lt;prefs&gt;&lt;pref name="fieldType" value="Field"/&gt;&lt;pref name="automaticJournalAbbrev</vt:lpwstr>
  </property>
  <property fmtid="{D5CDD505-2E9C-101B-9397-08002B2CF9AE}" pid="4" name="ZOTERO_PREF_2">
    <vt:lpwstr>iations" value="true"/&gt;&lt;pref name="noteType" value="1"/&gt;&lt;/prefs&gt;&lt;/data&gt;</vt:lpwstr>
  </property>
</Properties>
</file>