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media/image1.jpeg" ContentType="image/jpe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40" w:before="0" w:after="0"/>
        <w:ind w:right="-334" w:hanging="0"/>
        <w:rPr>
          <w:rFonts w:ascii="Georgia" w:hAnsi="Georgia" w:eastAsia="SimSun" w:cs="Times New Roman"/>
          <w:color w:val="000000"/>
          <w:sz w:val="21"/>
          <w:szCs w:val="21"/>
          <w:lang w:eastAsia="zh-CN"/>
        </w:rPr>
      </w:pPr>
      <w:r>
        <w:rPr>
          <w:rFonts w:eastAsia="SimSun" w:cs="Times New Roman" w:ascii="Georgia" w:hAnsi="Georgia"/>
          <w:color w:val="000000"/>
          <w:sz w:val="21"/>
          <w:szCs w:val="21"/>
          <w:lang w:eastAsia="zh-CN"/>
        </w:rPr>
      </w:r>
    </w:p>
    <w:p>
      <w:pPr>
        <w:pStyle w:val="Normal"/>
        <w:spacing w:lineRule="auto" w:line="240" w:before="0" w:after="0"/>
        <w:ind w:left="-180" w:right="-334" w:hanging="0"/>
        <w:rPr>
          <w:rFonts w:ascii="Georgia" w:hAnsi="Georgia" w:eastAsia="SimSun" w:cs="Times New Roman"/>
          <w:color w:val="000000"/>
          <w:sz w:val="21"/>
          <w:szCs w:val="21"/>
          <w:lang w:eastAsia="zh-CN"/>
        </w:rPr>
      </w:pPr>
      <w:r>
        <w:rPr/>
        <w:drawing>
          <wp:inline distT="0" distB="0" distL="0" distR="0">
            <wp:extent cx="2381250" cy="93472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2381250" cy="934720"/>
                    </a:xfrm>
                    <a:prstGeom prst="rect">
                      <a:avLst/>
                    </a:prstGeom>
                  </pic:spPr>
                </pic:pic>
              </a:graphicData>
            </a:graphic>
          </wp:inline>
        </w:drawing>
      </w:r>
    </w:p>
    <w:p>
      <w:pPr>
        <w:pStyle w:val="Normal"/>
        <w:spacing w:lineRule="auto" w:line="240" w:before="0" w:after="0"/>
        <w:ind w:left="-180" w:right="-334" w:hanging="0"/>
        <w:rPr>
          <w:rFonts w:ascii="Georgia" w:hAnsi="Georgia" w:eastAsia="SimSun" w:cs="Times New Roman"/>
          <w:color w:val="000000"/>
          <w:sz w:val="21"/>
          <w:szCs w:val="21"/>
          <w:lang w:eastAsia="zh-CN"/>
        </w:rPr>
      </w:pPr>
      <w:r>
        <w:rPr>
          <w:rFonts w:eastAsia="SimSun" w:cs="Times New Roman" w:ascii="Georgia" w:hAnsi="Georgia"/>
          <w:color w:val="000000"/>
          <w:sz w:val="21"/>
          <w:szCs w:val="21"/>
          <w:lang w:eastAsia="zh-CN"/>
        </w:rPr>
      </w:r>
    </w:p>
    <w:p>
      <w:pPr>
        <w:pStyle w:val="Normal"/>
        <w:spacing w:lineRule="auto" w:line="240" w:before="0" w:after="0"/>
        <w:ind w:left="-180" w:right="-334" w:hanging="0"/>
        <w:jc w:val="center"/>
        <w:rPr>
          <w:rFonts w:ascii="Arial" w:hAnsi="Arial" w:eastAsia="SimSun" w:cs="Arial"/>
          <w:b/>
          <w:b/>
          <w:color w:val="000000"/>
          <w:sz w:val="28"/>
          <w:szCs w:val="28"/>
          <w:lang w:val="cy-GB" w:eastAsia="zh-CN"/>
        </w:rPr>
      </w:pPr>
      <w:r>
        <w:rPr>
          <w:rFonts w:eastAsia="SimSun" w:cs="Arial" w:ascii="Arial" w:hAnsi="Arial"/>
          <w:b/>
          <w:color w:val="000000"/>
          <w:sz w:val="28"/>
          <w:szCs w:val="28"/>
          <w:lang w:val="cy-GB" w:eastAsia="zh-CN"/>
        </w:rPr>
        <w:t xml:space="preserve">Postgraduate/Distance Learning </w:t>
      </w:r>
    </w:p>
    <w:p>
      <w:pPr>
        <w:pStyle w:val="Normal"/>
        <w:spacing w:lineRule="auto" w:line="240" w:before="0" w:after="0"/>
        <w:ind w:left="-180" w:right="-334" w:hanging="0"/>
        <w:jc w:val="center"/>
        <w:rPr>
          <w:rFonts w:ascii="Arial" w:hAnsi="Arial" w:eastAsia="SimSun" w:cs="Arial"/>
          <w:b/>
          <w:b/>
          <w:color w:val="000000"/>
          <w:sz w:val="28"/>
          <w:szCs w:val="28"/>
          <w:lang w:eastAsia="zh-CN"/>
        </w:rPr>
      </w:pPr>
      <w:r>
        <w:rPr>
          <w:rFonts w:eastAsia="SimSun" w:cs="Arial" w:ascii="Arial" w:hAnsi="Arial"/>
          <w:b/>
          <w:color w:val="000000"/>
          <w:sz w:val="28"/>
          <w:szCs w:val="28"/>
          <w:lang w:val="cy-GB" w:eastAsia="zh-CN"/>
        </w:rPr>
        <w:t>Assignment Coversheet &amp; Feedback Form</w:t>
      </w:r>
    </w:p>
    <w:p>
      <w:pPr>
        <w:pStyle w:val="Normal"/>
        <w:spacing w:lineRule="auto" w:line="240" w:before="0" w:after="0"/>
        <w:rPr>
          <w:rFonts w:ascii="Arial" w:hAnsi="Arial" w:eastAsia="SimSun" w:cs="Arial"/>
          <w:sz w:val="28"/>
          <w:szCs w:val="28"/>
          <w:lang w:val="cy-GB" w:eastAsia="zh-CN"/>
        </w:rPr>
      </w:pPr>
      <w:r>
        <w:rPr>
          <w:rFonts w:eastAsia="SimSun" w:cs="Arial" w:ascii="Arial" w:hAnsi="Arial"/>
          <w:sz w:val="28"/>
          <w:szCs w:val="28"/>
          <w:lang w:val="cy-GB" w:eastAsia="zh-CN"/>
        </w:rPr>
      </w:r>
    </w:p>
    <w:p>
      <w:pPr>
        <w:pStyle w:val="Normal"/>
        <w:spacing w:lineRule="auto" w:line="240" w:before="0" w:after="0"/>
        <w:jc w:val="center"/>
        <w:rPr>
          <w:rFonts w:ascii="Arial" w:hAnsi="Arial" w:eastAsia="SimSun" w:cs="Arial"/>
          <w:sz w:val="20"/>
          <w:szCs w:val="20"/>
          <w:lang w:val="cy-GB" w:eastAsia="zh-CN"/>
        </w:rPr>
      </w:pPr>
      <w:r>
        <w:rPr>
          <w:rFonts w:eastAsia="SimSun" w:cs="Arial" w:ascii="Arial" w:hAnsi="Arial"/>
          <w:sz w:val="20"/>
          <w:szCs w:val="20"/>
          <w:lang w:val="cy-GB" w:eastAsia="zh-CN"/>
        </w:rPr>
        <w:t>[Please insert this coversheet as the first page of the assignment you are submitting]</w:t>
      </w:r>
    </w:p>
    <w:p>
      <w:pPr>
        <w:pStyle w:val="Normal"/>
        <w:keepNext/>
        <w:numPr>
          <w:ilvl w:val="0"/>
          <w:numId w:val="0"/>
        </w:numPr>
        <w:spacing w:lineRule="auto" w:line="240" w:before="0" w:after="0"/>
        <w:ind w:left="720" w:hanging="0"/>
        <w:jc w:val="center"/>
        <w:outlineLvl w:val="2"/>
        <w:rPr>
          <w:rFonts w:ascii="Arial" w:hAnsi="Arial" w:eastAsia="SimSun" w:cs="Arial"/>
          <w:b/>
          <w:b/>
          <w:bCs/>
          <w:sz w:val="20"/>
          <w:szCs w:val="20"/>
          <w:lang w:eastAsia="zh-CN"/>
        </w:rPr>
      </w:pPr>
      <w:r>
        <w:rPr>
          <w:rFonts w:eastAsia="SimSun" w:cs="Arial" w:ascii="Arial" w:hAnsi="Arial"/>
          <w:b/>
          <w:bCs/>
          <w:sz w:val="20"/>
          <w:szCs w:val="20"/>
          <w:lang w:eastAsia="zh-CN"/>
        </w:rPr>
      </w:r>
    </w:p>
    <w:tbl>
      <w:tblPr>
        <w:tblW w:w="8857" w:type="dxa"/>
        <w:jc w:val="left"/>
        <w:tblInd w:w="0" w:type="dxa"/>
        <w:tblBorders>
          <w:top w:val="single" w:sz="4" w:space="0" w:color="000001"/>
          <w:left w:val="single" w:sz="4" w:space="0" w:color="000001"/>
          <w:bottom w:val="single" w:sz="4" w:space="0" w:color="000001"/>
          <w:right w:val="single" w:sz="4" w:space="0" w:color="000001"/>
          <w:insideH w:val="single" w:sz="4" w:space="0" w:color="000001"/>
          <w:insideV w:val="single" w:sz="4" w:space="0" w:color="000001"/>
        </w:tblBorders>
        <w:tblCellMar>
          <w:top w:w="0" w:type="dxa"/>
          <w:left w:w="108" w:type="dxa"/>
          <w:bottom w:w="0" w:type="dxa"/>
          <w:right w:w="108" w:type="dxa"/>
        </w:tblCellMar>
        <w:tblLook w:firstRow="1" w:noVBand="1" w:lastRow="0" w:firstColumn="1" w:lastColumn="0" w:noHBand="0" w:val="04a0"/>
      </w:tblPr>
      <w:tblGrid>
        <w:gridCol w:w="4788"/>
        <w:gridCol w:w="1980"/>
        <w:gridCol w:w="286"/>
        <w:gridCol w:w="1803"/>
      </w:tblGrid>
      <w:tr>
        <w:trPr>
          <w:trHeight w:val="724"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b/>
                <w:color w:val="000000"/>
                <w:lang w:eastAsia="zh-CN"/>
              </w:rPr>
              <w:t>For completion by the student</w:t>
            </w:r>
            <w:r>
              <w:rPr>
                <w:rFonts w:eastAsia="SimSun" w:cs="Arial" w:ascii="Arial" w:hAnsi="Arial"/>
                <w:color w:val="000000"/>
                <w:lang w:eastAsia="zh-CN"/>
              </w:rPr>
              <w:t>:</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Student Name: Amy Martin</w:t>
            </w:r>
          </w:p>
        </w:tc>
      </w:tr>
      <w:tr>
        <w:trPr>
          <w:trHeight w:val="693" w:hRule="atLeast"/>
        </w:trPr>
        <w:tc>
          <w:tcPr>
            <w:tcW w:w="4788" w:type="dxa"/>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Module code: CSPH7064</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c>
          <w:tcPr>
            <w:tcW w:w="2266" w:type="dxa"/>
            <w:gridSpan w:val="2"/>
            <w:vMerge w:val="restart"/>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Student University Number:</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1604164</w:t>
            </w:r>
          </w:p>
        </w:tc>
        <w:tc>
          <w:tcPr>
            <w:tcW w:w="1803" w:type="dxa"/>
            <w:vMerge w:val="restart"/>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Educational support needs:</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No</w:t>
            </w:r>
          </w:p>
        </w:tc>
      </w:tr>
      <w:tr>
        <w:trPr>
          <w:trHeight w:val="630" w:hRule="atLeast"/>
        </w:trPr>
        <w:tc>
          <w:tcPr>
            <w:tcW w:w="4788" w:type="dxa"/>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Module title: Indigeny Today</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c>
          <w:tcPr>
            <w:tcW w:w="2266" w:type="dxa"/>
            <w:gridSpan w:val="2"/>
            <w:vMerge w:val="continue"/>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c>
          <w:tcPr>
            <w:tcW w:w="1803" w:type="dxa"/>
            <w:vMerge w:val="continue"/>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r>
      <w:tr>
        <w:trPr>
          <w:trHeight w:val="630"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Module tutor: Fiona Tilley</w:t>
            </w:r>
          </w:p>
        </w:tc>
      </w:tr>
      <w:tr>
        <w:trPr>
          <w:trHeight w:val="630"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widowControl/>
              <w:bidi w:val="0"/>
              <w:spacing w:lineRule="auto" w:line="276" w:before="0" w:after="200"/>
              <w:jc w:val="left"/>
              <w:rPr>
                <w:rFonts w:ascii="Arial" w:hAnsi="Arial" w:cs="Arial"/>
                <w:i/>
                <w:i/>
                <w:iCs/>
              </w:rPr>
            </w:pPr>
            <w:r>
              <w:rPr>
                <w:rFonts w:eastAsia="SimSun" w:cs="Arial" w:ascii="Arial" w:hAnsi="Arial"/>
                <w:color w:val="000000"/>
                <w:lang w:eastAsia="zh-CN"/>
              </w:rPr>
              <w:t xml:space="preserve">Assignment title: </w:t>
            </w:r>
            <w:r>
              <w:rPr>
                <w:rFonts w:cs="Arial" w:ascii="Arial" w:hAnsi="Arial"/>
                <w:iCs/>
              </w:rPr>
              <w:t>How do the experiential, in-the-moment, embodied rituals that are known in indigenous communities, affect our relational capacities? Examine what a ‘relational-knowing’ may offer a modern secular western society.</w:t>
            </w:r>
          </w:p>
        </w:tc>
      </w:tr>
      <w:tr>
        <w:trPr>
          <w:trHeight w:val="630"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Assignment due date: 18</w:t>
            </w:r>
            <w:r>
              <w:rPr>
                <w:rFonts w:eastAsia="SimSun" w:cs="Arial" w:ascii="Arial" w:hAnsi="Arial"/>
                <w:color w:val="000000"/>
                <w:vertAlign w:val="superscript"/>
                <w:lang w:eastAsia="zh-CN"/>
              </w:rPr>
              <w:t>th</w:t>
            </w:r>
            <w:r>
              <w:rPr>
                <w:rFonts w:eastAsia="SimSun" w:cs="Arial" w:ascii="Arial" w:hAnsi="Arial"/>
                <w:color w:val="000000"/>
                <w:lang w:eastAsia="zh-CN"/>
              </w:rPr>
              <w:t xml:space="preserve"> May 2018</w:t>
            </w:r>
          </w:p>
        </w:tc>
      </w:tr>
      <w:tr>
        <w:trPr>
          <w:trHeight w:val="978"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color="auto" w:fill="D9D9D9"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I confirm that this is my original work and that I have adhered to the University policy on plagiarism.</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Name: Amy Martin</w:t>
            </w:r>
          </w:p>
        </w:tc>
      </w:tr>
      <w:tr>
        <w:trPr>
          <w:trHeight w:val="3972"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rPr>
                <w:rFonts w:ascii="Arial" w:hAnsi="Arial" w:eastAsia="SimSun" w:cs="Arial"/>
                <w:b/>
                <w:b/>
                <w:sz w:val="24"/>
                <w:szCs w:val="24"/>
                <w:lang w:eastAsia="zh-CN"/>
              </w:rPr>
            </w:pPr>
            <w:r>
              <w:rPr>
                <w:rFonts w:eastAsia="SimSun" w:cs="Arial" w:ascii="Arial" w:hAnsi="Arial"/>
                <w:b/>
                <w:sz w:val="24"/>
                <w:szCs w:val="24"/>
                <w:lang w:eastAsia="zh-CN"/>
              </w:rPr>
            </w:r>
          </w:p>
          <w:p>
            <w:pPr>
              <w:pStyle w:val="Normal"/>
              <w:spacing w:lineRule="auto" w:line="240" w:before="0" w:after="0"/>
              <w:rPr>
                <w:rFonts w:ascii="Arial" w:hAnsi="Arial" w:eastAsia="SimSun" w:cs="Arial"/>
                <w:sz w:val="24"/>
                <w:szCs w:val="24"/>
                <w:lang w:eastAsia="zh-CN"/>
              </w:rPr>
            </w:pPr>
            <w:r>
              <w:rPr>
                <w:rFonts w:eastAsia="SimSun" w:cs="Arial" w:ascii="Arial" w:hAnsi="Arial"/>
                <w:b/>
                <w:sz w:val="24"/>
                <w:szCs w:val="24"/>
                <w:lang w:eastAsia="zh-CN"/>
              </w:rPr>
              <w:t>Assignment Mark</w:t>
            </w:r>
          </w:p>
          <w:tbl>
            <w:tblPr>
              <w:tblW w:w="8630"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3" w:type="dxa"/>
                <w:bottom w:w="0" w:type="dxa"/>
                <w:right w:w="108" w:type="dxa"/>
              </w:tblCellMar>
              <w:tblLook w:firstRow="1" w:noVBand="0" w:lastRow="1" w:firstColumn="1" w:lastColumn="1" w:noHBand="0" w:val="01e0"/>
            </w:tblPr>
            <w:tblGrid>
              <w:gridCol w:w="6969"/>
              <w:gridCol w:w="1660"/>
            </w:tblGrid>
            <w:tr>
              <w:trPr/>
              <w:tc>
                <w:tcPr>
                  <w:tcW w:w="69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r>
                </w:p>
                <w:p>
                  <w:pPr>
                    <w:pStyle w:val="Normal"/>
                    <w:spacing w:lineRule="auto" w:line="240" w:before="0" w:after="0"/>
                    <w:rPr>
                      <w:rFonts w:ascii="Arial" w:hAnsi="Arial" w:eastAsia="SimSun" w:cs="Arial"/>
                      <w:lang w:eastAsia="zh-CN"/>
                    </w:rPr>
                  </w:pPr>
                  <w:r>
                    <w:rPr>
                      <w:rFonts w:eastAsia="SimSun" w:cs="Arial" w:ascii="Arial" w:hAnsi="Arial"/>
                      <w:lang w:eastAsia="zh-CN"/>
                    </w:rPr>
                    <w:t>1</w:t>
                  </w:r>
                  <w:r>
                    <w:rPr>
                      <w:rFonts w:eastAsia="SimSun" w:cs="Arial" w:ascii="Arial" w:hAnsi="Arial"/>
                      <w:vertAlign w:val="superscript"/>
                      <w:lang w:eastAsia="zh-CN"/>
                    </w:rPr>
                    <w:t>st</w:t>
                  </w:r>
                  <w:r>
                    <w:rPr>
                      <w:rFonts w:eastAsia="SimSun" w:cs="Arial" w:ascii="Arial" w:hAnsi="Arial"/>
                      <w:lang w:eastAsia="zh-CN"/>
                    </w:rPr>
                    <w:t xml:space="preserve"> Marker’s Provisional mark</w:t>
                  </w:r>
                </w:p>
              </w:tc>
              <w:tc>
                <w:tcPr>
                  <w:tcW w:w="16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sz w:val="20"/>
                      <w:szCs w:val="20"/>
                      <w:lang w:eastAsia="zh-CN"/>
                    </w:rPr>
                  </w:pPr>
                  <w:r>
                    <w:rPr>
                      <w:rFonts w:eastAsia="SimSun" w:cs="Arial" w:ascii="Arial" w:hAnsi="Arial"/>
                      <w:sz w:val="20"/>
                      <w:szCs w:val="20"/>
                      <w:lang w:eastAsia="zh-CN"/>
                    </w:rPr>
                  </w:r>
                </w:p>
              </w:tc>
            </w:tr>
            <w:tr>
              <w:trPr/>
              <w:tc>
                <w:tcPr>
                  <w:tcW w:w="69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r>
                </w:p>
                <w:p>
                  <w:pPr>
                    <w:pStyle w:val="Normal"/>
                    <w:spacing w:lineRule="auto" w:line="240" w:before="0" w:after="0"/>
                    <w:rPr>
                      <w:rFonts w:ascii="Arial" w:hAnsi="Arial" w:eastAsia="SimSun" w:cs="Arial"/>
                      <w:lang w:eastAsia="zh-CN"/>
                    </w:rPr>
                  </w:pPr>
                  <w:r>
                    <w:rPr>
                      <w:rFonts w:eastAsia="SimSun" w:cs="Arial" w:ascii="Arial" w:hAnsi="Arial"/>
                      <w:lang w:eastAsia="zh-CN"/>
                    </w:rPr>
                    <w:t>2</w:t>
                  </w:r>
                  <w:r>
                    <w:rPr>
                      <w:rFonts w:eastAsia="SimSun" w:cs="Arial" w:ascii="Arial" w:hAnsi="Arial"/>
                      <w:vertAlign w:val="superscript"/>
                      <w:lang w:eastAsia="zh-CN"/>
                    </w:rPr>
                    <w:t>nd</w:t>
                  </w:r>
                  <w:r>
                    <w:rPr>
                      <w:rFonts w:eastAsia="SimSun" w:cs="Arial" w:ascii="Arial" w:hAnsi="Arial"/>
                      <w:lang w:eastAsia="zh-CN"/>
                    </w:rPr>
                    <w:t xml:space="preserve"> Marker’s/Moderator’s provisional mark</w:t>
                  </w:r>
                </w:p>
              </w:tc>
              <w:tc>
                <w:tcPr>
                  <w:tcW w:w="16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sz w:val="20"/>
                      <w:szCs w:val="20"/>
                      <w:lang w:eastAsia="zh-CN"/>
                    </w:rPr>
                  </w:pPr>
                  <w:r>
                    <w:rPr>
                      <w:rFonts w:eastAsia="SimSun" w:cs="Arial" w:ascii="Arial" w:hAnsi="Arial"/>
                      <w:sz w:val="20"/>
                      <w:szCs w:val="20"/>
                      <w:lang w:eastAsia="zh-CN"/>
                    </w:rPr>
                  </w:r>
                </w:p>
              </w:tc>
            </w:tr>
            <w:tr>
              <w:trPr/>
              <w:tc>
                <w:tcPr>
                  <w:tcW w:w="69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r>
                </w:p>
                <w:p>
                  <w:pPr>
                    <w:pStyle w:val="Normal"/>
                    <w:spacing w:lineRule="auto" w:line="240" w:before="0" w:after="0"/>
                    <w:rPr>
                      <w:rFonts w:ascii="Arial" w:hAnsi="Arial" w:eastAsia="SimSun" w:cs="Arial"/>
                      <w:lang w:eastAsia="zh-CN"/>
                    </w:rPr>
                  </w:pPr>
                  <w:r>
                    <w:rPr>
                      <w:rFonts w:eastAsia="SimSun" w:cs="Arial" w:ascii="Arial" w:hAnsi="Arial"/>
                      <w:lang w:eastAsia="zh-CN"/>
                    </w:rPr>
                    <w:t>External Examiner mark (if relevant)</w:t>
                  </w:r>
                </w:p>
              </w:tc>
              <w:tc>
                <w:tcPr>
                  <w:tcW w:w="16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sz w:val="20"/>
                      <w:szCs w:val="20"/>
                      <w:lang w:eastAsia="zh-CN"/>
                    </w:rPr>
                  </w:pPr>
                  <w:r>
                    <w:rPr>
                      <w:rFonts w:eastAsia="SimSun" w:cs="Arial" w:ascii="Arial" w:hAnsi="Arial"/>
                      <w:sz w:val="20"/>
                      <w:szCs w:val="20"/>
                      <w:lang w:eastAsia="zh-CN"/>
                    </w:rPr>
                  </w:r>
                </w:p>
              </w:tc>
            </w:tr>
            <w:tr>
              <w:trPr/>
              <w:tc>
                <w:tcPr>
                  <w:tcW w:w="69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r>
                </w:p>
                <w:p>
                  <w:pPr>
                    <w:pStyle w:val="Normal"/>
                    <w:spacing w:lineRule="auto" w:line="240" w:before="0" w:after="0"/>
                    <w:rPr>
                      <w:rFonts w:ascii="Arial" w:hAnsi="Arial" w:eastAsia="SimSun" w:cs="Arial"/>
                      <w:b/>
                      <w:b/>
                      <w:lang w:eastAsia="zh-CN"/>
                    </w:rPr>
                  </w:pPr>
                  <w:r>
                    <w:rPr>
                      <w:rFonts w:eastAsia="SimSun" w:cs="Arial" w:ascii="Arial" w:hAnsi="Arial"/>
                      <w:b/>
                      <w:lang w:eastAsia="zh-CN"/>
                    </w:rPr>
                    <w:t>Final Mark</w:t>
                  </w:r>
                </w:p>
                <w:p>
                  <w:pPr>
                    <w:pStyle w:val="Normal"/>
                    <w:spacing w:lineRule="auto" w:line="240" w:before="0" w:after="0"/>
                    <w:rPr>
                      <w:rFonts w:ascii="Arial" w:hAnsi="Arial" w:eastAsia="SimSun" w:cs="Arial"/>
                      <w:lang w:eastAsia="zh-CN"/>
                    </w:rPr>
                  </w:pPr>
                  <w:r>
                    <w:rPr>
                      <w:rFonts w:eastAsia="SimSun" w:cs="Arial" w:ascii="Arial" w:hAnsi="Arial"/>
                      <w:lang w:eastAsia="zh-CN"/>
                    </w:rPr>
                  </w:r>
                </w:p>
              </w:tc>
              <w:tc>
                <w:tcPr>
                  <w:tcW w:w="16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b/>
                      <w:b/>
                      <w:sz w:val="20"/>
                      <w:szCs w:val="20"/>
                      <w:lang w:eastAsia="zh-CN"/>
                    </w:rPr>
                  </w:pPr>
                  <w:r>
                    <w:rPr>
                      <w:rFonts w:eastAsia="SimSun" w:cs="Arial" w:ascii="Arial" w:hAnsi="Arial"/>
                      <w:b/>
                      <w:sz w:val="20"/>
                      <w:szCs w:val="20"/>
                      <w:lang w:eastAsia="zh-CN"/>
                    </w:rPr>
                  </w:r>
                </w:p>
              </w:tc>
            </w:tr>
          </w:tbl>
          <w:p>
            <w:pPr>
              <w:pStyle w:val="Normal"/>
              <w:spacing w:lineRule="auto" w:line="240" w:before="0" w:after="0"/>
              <w:ind w:left="142" w:right="34" w:hanging="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ind w:left="142" w:right="34" w:hanging="0"/>
              <w:jc w:val="center"/>
              <w:rPr>
                <w:rFonts w:ascii="Arial" w:hAnsi="Arial" w:eastAsia="SimSun" w:cs="Arial"/>
                <w:b/>
                <w:b/>
                <w:color w:val="000000"/>
                <w:lang w:eastAsia="zh-CN"/>
              </w:rPr>
            </w:pPr>
            <w:r>
              <w:rPr>
                <w:rFonts w:eastAsia="SimSun" w:cs="Arial" w:ascii="Arial" w:hAnsi="Arial"/>
                <w:b/>
                <w:color w:val="000000"/>
                <w:lang w:eastAsia="zh-CN"/>
              </w:rPr>
              <w:t>NB.  All marks are provisional until confirmed by the Final Examination Board</w:t>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t>For completion by Marker 1:</w:t>
            </w:r>
          </w:p>
          <w:p>
            <w:pPr>
              <w:pStyle w:val="Normal"/>
              <w:spacing w:lineRule="auto" w:line="240" w:beforeAutospacing="1" w:afterAutospacing="1"/>
              <w:rPr>
                <w:rFonts w:ascii="Arial" w:hAnsi="Arial" w:eastAsia="SimSun" w:cs="Arial"/>
                <w:color w:val="000000"/>
                <w:lang w:eastAsia="zh-CN"/>
              </w:rPr>
            </w:pPr>
            <w:r>
              <w:rPr>
                <w:rFonts w:eastAsia="SimSun" w:cs="Arial" w:ascii="Arial" w:hAnsi="Arial"/>
                <w:color w:val="000000"/>
                <w:lang w:eastAsia="zh-CN"/>
              </w:rPr>
              <w:t>Comments:</w:t>
            </w:r>
          </w:p>
        </w:tc>
      </w:tr>
      <w:tr>
        <w:trPr>
          <w:trHeight w:val="408" w:hRule="atLeast"/>
        </w:trPr>
        <w:tc>
          <w:tcPr>
            <w:tcW w:w="6768"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Autospacing="1" w:afterAutospacing="1"/>
              <w:ind w:right="34" w:hanging="0"/>
              <w:rPr>
                <w:rFonts w:ascii="Arial" w:hAnsi="Arial" w:eastAsia="SimSun" w:cs="Arial"/>
                <w:color w:val="000000"/>
                <w:lang w:eastAsia="zh-CN"/>
              </w:rPr>
            </w:pPr>
            <w:r>
              <w:rPr>
                <w:rFonts w:eastAsia="SimSun" w:cs="Arial" w:ascii="Arial" w:hAnsi="Arial"/>
                <w:color w:val="000000"/>
                <w:lang w:eastAsia="zh-CN"/>
              </w:rPr>
              <w:t>Marker 1 signature:</w:t>
            </w:r>
          </w:p>
        </w:tc>
        <w:tc>
          <w:tcPr>
            <w:tcW w:w="2089"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Autospacing="1" w:afterAutospacing="1"/>
              <w:ind w:left="142" w:right="34" w:hanging="0"/>
              <w:rPr>
                <w:rFonts w:ascii="Arial" w:hAnsi="Arial" w:eastAsia="SimSun" w:cs="Arial"/>
                <w:color w:val="000000"/>
                <w:lang w:eastAsia="zh-CN"/>
              </w:rPr>
            </w:pPr>
            <w:r>
              <w:rPr>
                <w:rFonts w:eastAsia="SimSun" w:cs="Arial" w:ascii="Arial" w:hAnsi="Arial"/>
                <w:color w:val="000000"/>
                <w:lang w:eastAsia="zh-CN"/>
              </w:rPr>
              <w:t>Date:</w:t>
            </w:r>
          </w:p>
        </w:tc>
      </w:tr>
      <w:tr>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34" w:hanging="0"/>
              <w:rPr>
                <w:rFonts w:ascii="Arial" w:hAnsi="Arial" w:eastAsia="SimSun" w:cs="Arial"/>
                <w:bCs/>
                <w:i/>
                <w:i/>
                <w:color w:val="000000"/>
                <w:lang w:eastAsia="zh-CN"/>
              </w:rPr>
            </w:pPr>
            <w:r>
              <w:rPr>
                <w:rFonts w:eastAsia="SimSun" w:cs="Arial" w:ascii="Arial" w:hAnsi="Arial"/>
                <w:bCs/>
                <w:i/>
                <w:color w:val="000000"/>
                <w:lang w:eastAsia="zh-CN"/>
              </w:rPr>
            </w:r>
          </w:p>
          <w:p>
            <w:pPr>
              <w:pStyle w:val="Normal"/>
              <w:spacing w:lineRule="auto" w:line="240" w:before="0" w:after="0"/>
              <w:ind w:right="-334" w:hanging="0"/>
              <w:rPr>
                <w:rFonts w:ascii="Arial" w:hAnsi="Arial" w:eastAsia="SimSun" w:cs="Arial"/>
                <w:b/>
                <w:b/>
                <w:bCs/>
                <w:color w:val="000000"/>
                <w:lang w:eastAsia="zh-CN"/>
              </w:rPr>
            </w:pPr>
            <w:r>
              <w:rPr>
                <w:rFonts w:eastAsia="SimSun" w:cs="Arial" w:ascii="Arial" w:hAnsi="Arial"/>
                <w:b/>
                <w:bCs/>
                <w:color w:val="000000"/>
                <w:lang w:eastAsia="zh-CN"/>
              </w:rPr>
              <w:t>For completion by Marker 2 / Moderator:</w:t>
            </w:r>
          </w:p>
          <w:p>
            <w:pPr>
              <w:pStyle w:val="Normal"/>
              <w:spacing w:lineRule="auto" w:line="240" w:before="0" w:after="0"/>
              <w:ind w:right="-334" w:hanging="0"/>
              <w:rPr>
                <w:rFonts w:ascii="Arial" w:hAnsi="Arial" w:eastAsia="SimSun" w:cs="Arial"/>
                <w:b/>
                <w:b/>
                <w:bCs/>
                <w:color w:val="000000"/>
                <w:lang w:eastAsia="zh-CN"/>
              </w:rPr>
            </w:pPr>
            <w:r>
              <w:rPr>
                <w:rFonts w:eastAsia="SimSun" w:cs="Arial" w:ascii="Arial" w:hAnsi="Arial"/>
                <w:b/>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t>Comments:</w:t>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tc>
      </w:tr>
      <w:tr>
        <w:trPr>
          <w:trHeight w:val="398" w:hRule="atLeast"/>
        </w:trPr>
        <w:tc>
          <w:tcPr>
            <w:tcW w:w="6768"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t>Marker 2 / Moderator signature:</w:t>
            </w:r>
          </w:p>
        </w:tc>
        <w:tc>
          <w:tcPr>
            <w:tcW w:w="2089"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t>Date:</w:t>
            </w:r>
          </w:p>
        </w:tc>
      </w:tr>
      <w:tr>
        <w:trPr>
          <w:trHeight w:val="720"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rPr>
                <w:rFonts w:ascii="Arial" w:hAnsi="Arial" w:eastAsia="SimSun" w:cs="Arial"/>
                <w:b/>
                <w:b/>
                <w:lang w:eastAsia="zh-CN"/>
              </w:rPr>
            </w:pPr>
            <w:r>
              <w:rPr>
                <w:rFonts w:eastAsia="SimSun" w:cs="Arial" w:ascii="Arial" w:hAnsi="Arial"/>
                <w:b/>
                <w:lang w:eastAsia="zh-CN"/>
              </w:rPr>
            </w:r>
          </w:p>
          <w:p>
            <w:pPr>
              <w:pStyle w:val="Normal"/>
              <w:spacing w:lineRule="auto" w:line="240" w:before="0" w:after="0"/>
              <w:rPr>
                <w:rFonts w:ascii="Arial" w:hAnsi="Arial" w:eastAsia="SimSun" w:cs="Arial"/>
                <w:b/>
                <w:b/>
                <w:lang w:eastAsia="zh-CN"/>
              </w:rPr>
            </w:pPr>
            <w:r>
              <w:rPr>
                <w:rFonts w:eastAsia="SimSun" w:cs="Arial" w:ascii="Arial" w:hAnsi="Arial"/>
                <w:b/>
                <w:lang w:eastAsia="zh-CN"/>
              </w:rPr>
              <w:t>External Examiner’s comments (if relevant):</w:t>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tc>
      </w:tr>
      <w:tr>
        <w:trPr>
          <w:trHeight w:val="479" w:hRule="atLeast"/>
        </w:trPr>
        <w:tc>
          <w:tcPr>
            <w:tcW w:w="6768"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t>External Examiner signature:</w:t>
            </w:r>
          </w:p>
        </w:tc>
        <w:tc>
          <w:tcPr>
            <w:tcW w:w="2089"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t>Date:</w:t>
            </w:r>
          </w:p>
        </w:tc>
      </w:tr>
    </w:tbl>
    <w:p>
      <w:pPr>
        <w:pStyle w:val="Normal"/>
        <w:spacing w:lineRule="auto" w:line="240" w:before="0" w:after="0"/>
        <w:ind w:right="-334" w:hanging="0"/>
        <w:rPr>
          <w:rFonts w:ascii="Arial" w:hAnsi="Arial" w:eastAsia="SimSun" w:cs="Arial"/>
          <w:bCs/>
          <w:color w:val="000000"/>
          <w:sz w:val="24"/>
          <w:szCs w:val="24"/>
          <w:lang w:eastAsia="zh-CN"/>
        </w:rPr>
      </w:pPr>
      <w:r>
        <w:rPr>
          <w:rFonts w:eastAsia="SimSun" w:cs="Arial" w:ascii="Arial" w:hAnsi="Arial"/>
          <w:bCs/>
          <w:color w:val="000000"/>
          <w:sz w:val="24"/>
          <w:szCs w:val="24"/>
          <w:lang w:eastAsia="zh-CN"/>
        </w:rPr>
      </w:r>
    </w:p>
    <w:p>
      <w:pPr>
        <w:pStyle w:val="Normal"/>
        <w:rPr>
          <w:rFonts w:ascii="Arial" w:hAnsi="Arial" w:cs="Arial"/>
          <w:i/>
          <w:i/>
          <w:iCs/>
        </w:rPr>
      </w:pPr>
      <w:r>
        <w:rPr>
          <w:rFonts w:cs="Arial" w:ascii="Arial" w:hAnsi="Arial"/>
          <w:i/>
          <w:iCs/>
        </w:rPr>
        <w:t>How do the experiential, in-the-moment, embodied rituals that are known in indigenous communities, affect our relational capacities? Examine what a ‘relational-knowing’ may offer a modern secular western society.</w:t>
      </w:r>
    </w:p>
    <w:p>
      <w:pPr>
        <w:pStyle w:val="Normal"/>
        <w:rPr/>
      </w:pPr>
      <w:r>
        <w:rPr/>
        <w:t>For this paper I am going to first discuss what is meant by ‘experiential, in-the-moment, embodied rituals that are known in indigenous communities’. I will refer to these as simply ‘embodied ritual’ or ‘rituals’. I will then consider what is meant by ‘relational-knowing’, and how rituals affect our relational capacities. I will look at what relational-knowing through ritual offers a ‘modern secular western’ society, what its limitations may be, and how we can overcome these limitations. I will conclude that embodied ritual affects our relational capacities by providing a framework for direct relationship with people’s local environment, which includes non-human persons. There are many ways in which relational-knowing through ritual can help heal people, communities and Earth as a whole.</w:t>
      </w:r>
    </w:p>
    <w:p>
      <w:pPr>
        <w:pStyle w:val="Normal"/>
        <w:rPr>
          <w:b/>
          <w:b/>
          <w:u w:val="single"/>
        </w:rPr>
      </w:pPr>
      <w:r>
        <w:rPr>
          <w:b/>
          <w:u w:val="single"/>
        </w:rPr>
        <w:t>What are rituals?</w:t>
      </w:r>
    </w:p>
    <w:p>
      <w:pPr>
        <w:pStyle w:val="Normal"/>
        <w:rPr/>
      </w:pPr>
      <w:r>
        <w:rPr/>
        <w:t xml:space="preserve">The word </w:t>
      </w:r>
      <w:r>
        <w:rPr>
          <w:i/>
        </w:rPr>
        <w:t>ritual</w:t>
      </w:r>
      <w:r>
        <w:rPr/>
        <w:t xml:space="preserve"> comes from the Sanskit word </w:t>
      </w:r>
      <w:r>
        <w:rPr>
          <w:i/>
        </w:rPr>
        <w:t>rita,</w:t>
      </w:r>
      <w:r>
        <w:rPr/>
        <w:t xml:space="preserve"> meaning ‘cosmic order’, and is related to the Latin </w:t>
      </w:r>
      <w:r>
        <w:rPr>
          <w:i/>
        </w:rPr>
        <w:t>ritus</w:t>
      </w:r>
      <w:r>
        <w:rPr/>
        <w:t xml:space="preserve"> meaning rite or ritual.  The aim of embodied ritual is to bring about ‘a liveable world’ (Apffel-Marglin 2011: 162), or ‘cosmic order’. Edward Goldsmith emphasises the cosmic nature of ritual, which should be ‘designed to maintain the correct distribution of vital force at each level of the cosmic hierarchy’, to ‘maintain the critical order and stability of the cosmos’ (Goldsmith 1996: 412). To neglect a ritual is to break a sacred law, disrupting </w:t>
      </w:r>
      <w:r>
        <w:rPr>
          <w:rFonts w:cs="Calibri" w:cstheme="minorHAnsi"/>
        </w:rPr>
        <w:t>‘the universal order, which is at once nature and society’ (Caillois in Goldsmith 1996: 412).</w:t>
      </w:r>
    </w:p>
    <w:p>
      <w:pPr>
        <w:pStyle w:val="Normal"/>
        <w:rPr>
          <w:rFonts w:cs="Calibri" w:cstheme="minorHAnsi"/>
          <w:color w:val="000000" w:themeColor="text1"/>
        </w:rPr>
      </w:pPr>
      <w:r>
        <w:rPr/>
        <w:t xml:space="preserve">Frederique Apffel-Marglin describes rituals like the scores of a musical performance: </w:t>
      </w:r>
      <w:r>
        <w:rPr>
          <w:rFonts w:cs="Calibri" w:cstheme="minorHAnsi"/>
          <w:color w:val="000000" w:themeColor="text1"/>
        </w:rPr>
        <w:t xml:space="preserve">‘the performance and enactment of these actions, gestures, and utterances is what makes, creates, and achieves the sought-after continuity and regeneration of the world(s)’ (Apffel-Marglin 2011: 164). The ritual may fail entirely, but ’It is precisely this characteristic that makes continuity an achievement’ (Apffel-Marglin 2011: 164). Everything is involved in the ritual, which brings something into being </w:t>
      </w:r>
      <w:r>
        <w:rPr>
          <w:rFonts w:cs="Calibri" w:cstheme="minorHAnsi"/>
        </w:rPr>
        <w:t>‘through the actions of the sun, the moon, the soil, the constellations, the winds, the waters, the seeds, the plants, the insects, the birds, the tools, other animals, the actions of humans, and so forth’</w:t>
      </w:r>
      <w:r>
        <w:rPr>
          <w:rFonts w:cs="Calibri" w:cstheme="minorHAnsi"/>
          <w:b/>
        </w:rPr>
        <w:t xml:space="preserve"> </w:t>
      </w:r>
      <w:r>
        <w:rPr>
          <w:rFonts w:cs="Calibri" w:cstheme="minorHAnsi"/>
          <w:color w:val="000000" w:themeColor="text1"/>
        </w:rPr>
        <w:t xml:space="preserve">(Apffel-Marglin 2011: 162). In this way Indigenous people relate to the whole of their environment. </w:t>
      </w:r>
    </w:p>
    <w:p>
      <w:pPr>
        <w:pStyle w:val="Normal"/>
        <w:rPr>
          <w:rFonts w:cs="Calibri" w:cstheme="minorHAnsi"/>
          <w:color w:val="00B050"/>
        </w:rPr>
      </w:pPr>
      <w:r>
        <w:rPr>
          <w:rFonts w:cs="Calibri" w:cstheme="minorHAnsi"/>
          <w:color w:val="000000" w:themeColor="text1"/>
        </w:rPr>
        <w:t>Examples of these experiential, in-the-moment embodied rituals include ‘</w:t>
      </w:r>
      <w:r>
        <w:rPr>
          <w:rFonts w:cs="Calibri" w:cstheme="minorHAnsi"/>
        </w:rPr>
        <w:t xml:space="preserve">communal performances, costumes, masks, chant and song, music, procession’ (Kripal 2014: 116), </w:t>
      </w:r>
      <w:r>
        <w:rPr>
          <w:rFonts w:cs="Calibri" w:cstheme="minorHAnsi"/>
          <w:color w:val="000000" w:themeColor="text1"/>
        </w:rPr>
        <w:t>which are ‘not metaphorical statements, but literal enactments that refer to actions that create or enact reality’ (Apffel-Marglin 2011: 53). Through performing rituals, Indigenous peoples</w:t>
      </w:r>
      <w:r>
        <w:rPr>
          <w:rFonts w:cs="Calibri" w:cstheme="minorHAnsi"/>
          <w:color w:val="00B050"/>
        </w:rPr>
        <w:t xml:space="preserve"> </w:t>
      </w:r>
      <w:r>
        <w:rPr>
          <w:rFonts w:cs="Calibri" w:cstheme="minorHAnsi"/>
        </w:rPr>
        <w:t>create and recreate their culture ‘to adjust to the pressures of change, reinforce their true and private environments, incorporate and modify foreign cultural elements to make them theirs, and cyclically repeat collective dramatizations as a way of expressing and renewing their identity’</w:t>
      </w:r>
      <w:r>
        <w:rPr>
          <w:rFonts w:cs="Calibri" w:cstheme="minorHAnsi"/>
          <w:b/>
        </w:rPr>
        <w:t xml:space="preserve"> </w:t>
      </w:r>
      <w:r>
        <w:rPr>
          <w:rFonts w:cs="Calibri" w:cstheme="minorHAnsi"/>
        </w:rPr>
        <w:t>(Galicia Silva 2001: 304).</w:t>
      </w:r>
      <w:r>
        <w:rPr>
          <w:rFonts w:cs="Calibri" w:cstheme="minorHAnsi"/>
          <w:b/>
        </w:rPr>
        <w:t xml:space="preserve"> </w:t>
      </w:r>
      <w:r>
        <w:rPr>
          <w:rFonts w:cs="Calibri" w:cstheme="minorHAnsi"/>
        </w:rPr>
        <w:t xml:space="preserve">Therefore ritual reinforces relationship with both the environment and the community. </w:t>
      </w:r>
    </w:p>
    <w:p>
      <w:pPr>
        <w:pStyle w:val="Normal"/>
        <w:rPr>
          <w:rFonts w:cs="Calibri" w:cstheme="minorHAnsi"/>
        </w:rPr>
      </w:pPr>
      <w:r>
        <w:rPr>
          <w:rFonts w:cs="Calibri" w:cstheme="minorHAnsi"/>
          <w:color w:val="000000" w:themeColor="text1"/>
        </w:rPr>
        <w:t xml:space="preserve">Ritual establishes reciprocal communication </w:t>
      </w:r>
      <w:r>
        <w:rPr>
          <w:rFonts w:cs="Calibri" w:cstheme="minorHAnsi"/>
        </w:rPr>
        <w:t>‘with one another and with the earthly and cosmological powers’, forming ‘a single integral community- a universe’ (Berry 2016: 21). Ritual offerings to the sun, water, Earth, trees and animals are ‘received expressions of personal gratitude for those gifts that made life possible’ (Berry 2016: 21). This communication and reciprocity is embedded in Indigenous life, as ‘communion with Earth and spirit that nourished them and at the same time nourished creation’ (Vaughan-Lee 2016: 298).</w:t>
      </w:r>
    </w:p>
    <w:p>
      <w:pPr>
        <w:pStyle w:val="Normal"/>
        <w:rPr>
          <w:rFonts w:cs="Calibri" w:cstheme="minorHAnsi"/>
          <w:b/>
          <w:b/>
          <w:u w:val="single"/>
        </w:rPr>
      </w:pPr>
      <w:r>
        <w:rPr>
          <w:b/>
          <w:u w:val="single"/>
        </w:rPr>
        <w:t>What is relational-knowing?</w:t>
      </w:r>
    </w:p>
    <w:p>
      <w:pPr>
        <w:pStyle w:val="Normal"/>
        <w:rPr>
          <w:rFonts w:cs="Calibri" w:cstheme="minorHAnsi"/>
          <w:color w:val="000000" w:themeColor="text1"/>
        </w:rPr>
      </w:pPr>
      <w:r>
        <w:rPr>
          <w:rFonts w:cs="Calibri" w:cstheme="minorHAnsi"/>
          <w:color w:val="000000" w:themeColor="text1"/>
        </w:rPr>
        <w:t xml:space="preserve">During the Indigeny Today module we experienced ritual as relational-knowing. Singing together and hearing the syncing of our voices, dancing, and preparing and performing a steam ritual, all enhanced our community spirit. The pilgrimage on Dartmoor saw us giving thanks to the Earth and elements, and to the four directions, for nourishing us. The Purification Lodge ceremony gave us an embodied experience of entering the Earth’s womb, communing with spirits, and asking for medicine for ourselves and the world. We experienced relational-knowing of ourselves and our community, our local environment, the wider world and the cosmos, and the unseen realm of spirits, energies and powers. </w:t>
      </w:r>
    </w:p>
    <w:p>
      <w:pPr>
        <w:pStyle w:val="Normal"/>
        <w:rPr>
          <w:rFonts w:cs="Calibri" w:cstheme="minorHAnsi"/>
        </w:rPr>
      </w:pPr>
      <w:r>
        <w:rPr>
          <w:rFonts w:cs="Calibri" w:cstheme="minorHAnsi"/>
          <w:color w:val="000000" w:themeColor="text1"/>
        </w:rPr>
        <w:t xml:space="preserve">Discussions of ritual and relational-knowing can be difficult because of the limitations of 1) the English language and 2) modern, secular, western worldviews. I find it very difficult to describe the effect that the above list of rituals had on me, and wonder whether I should even try to put it into words. I hesitate because I also do not want to impose my ‘modern, secular, western worldviews’. John A. Grim states that most discussions of religion and ecology are </w:t>
      </w:r>
      <w:r>
        <w:rPr>
          <w:rFonts w:cs="Calibri" w:cstheme="minorHAnsi"/>
        </w:rPr>
        <w:t xml:space="preserve">‘typically framed in the language and categories of dominant knowledge systems’ (Grim 2006: 286). So how is best to discuss Indigenous knowledge? </w:t>
      </w:r>
    </w:p>
    <w:p>
      <w:pPr>
        <w:pStyle w:val="Normal"/>
        <w:rPr>
          <w:rFonts w:cs="Calibri" w:cstheme="minorHAnsi"/>
        </w:rPr>
      </w:pPr>
      <w:r>
        <w:rPr>
          <w:rFonts w:cs="Calibri" w:cstheme="minorHAnsi"/>
        </w:rPr>
        <w:t>There are as many versions of Indigenous knowledge as there are Indigenous communities, but a satisfying unifying statement is by Marie Battiste (2000):</w:t>
      </w:r>
    </w:p>
    <w:p>
      <w:pPr>
        <w:pStyle w:val="Normal"/>
        <w:ind w:left="720" w:hanging="0"/>
        <w:rPr/>
      </w:pPr>
      <w:r>
        <w:rPr>
          <w:rFonts w:cs="Calibri" w:cstheme="minorHAnsi"/>
        </w:rPr>
        <w:t>‘</w:t>
      </w:r>
      <w:r>
        <w:rPr>
          <w:rFonts w:cs="Calibri" w:cstheme="minorHAnsi"/>
        </w:rPr>
        <w:t xml:space="preserve">Perhaps the closest one can get to describing unity in Indigenous knowledge is that knowledge is the expression of the vibrant relationships between people, their eco-systems, and other living beings and spirits that share their lands… All aspects of knowledge are interrelated and cannot be separated from the traditional territories of the people concerned… The purpose of these ways of knowing is to reunify the world or at least to reconcile the world to itself. Indigenous knowledge is </w:t>
      </w:r>
      <w:r>
        <w:rPr>
          <w:rFonts w:cs="Calibri" w:cstheme="minorHAnsi"/>
          <w:i/>
        </w:rPr>
        <w:t>the way of living</w:t>
      </w:r>
      <w:r>
        <w:rPr>
          <w:rFonts w:cs="Calibri" w:cstheme="minorHAnsi"/>
        </w:rPr>
        <w:t xml:space="preserve"> within contexts of flux, paradox, and tension, respecting the pull of dualism and reconciling opposing forces’ (Battiste in Grim 2017: 108. </w:t>
      </w:r>
      <w:r>
        <w:rPr>
          <w:rFonts w:cs="Calibri" w:cstheme="minorHAnsi"/>
        </w:rPr>
        <w:t>Italics in original</w:t>
      </w:r>
      <w:r>
        <w:rPr>
          <w:rFonts w:cs="Calibri" w:cstheme="minorHAnsi"/>
        </w:rPr>
        <w:t>).</w:t>
      </w:r>
    </w:p>
    <w:p>
      <w:pPr>
        <w:pStyle w:val="Normal"/>
        <w:rPr>
          <w:rFonts w:cs="Calibri" w:cstheme="minorHAnsi"/>
          <w:color w:val="7030A0"/>
        </w:rPr>
      </w:pPr>
      <w:r>
        <w:rPr>
          <w:rFonts w:cs="Calibri" w:cstheme="minorHAnsi"/>
        </w:rPr>
        <w:t>Gregory Cajete (1994) describes the natural world as ‘a sacred pathway of knowledge, of learning and teaching the nature of being truly human, truly alive’ (Cajete 1994: 88). F. David Peat (1994) would describe this not as acquired knowledge, but of ‘coming-to-knowing’ (Peat 1994: 55). People come-to-know through watching and listening: ‘through direct experience of songs and ceremonies, through the activities of hunting and daily life, from trees and animals, and in dreams and visions’ (Peat 1994: 65)</w:t>
      </w:r>
      <w:r>
        <w:rPr>
          <w:rFonts w:cs="Calibri" w:cstheme="minorHAnsi"/>
          <w:color w:val="7030A0"/>
        </w:rPr>
        <w:t xml:space="preserve">. </w:t>
      </w:r>
    </w:p>
    <w:p>
      <w:pPr>
        <w:pStyle w:val="Normal"/>
        <w:rPr>
          <w:rFonts w:cs="Calibri" w:cstheme="minorHAnsi"/>
          <w:color w:val="FF0000"/>
        </w:rPr>
      </w:pPr>
      <w:r>
        <w:rPr>
          <w:b/>
          <w:u w:val="single"/>
        </w:rPr>
        <w:t>How do rituals affect our relational capacities?</w:t>
      </w:r>
    </w:p>
    <w:p>
      <w:pPr>
        <w:pStyle w:val="Normal"/>
        <w:rPr>
          <w:rFonts w:cs="Calibri" w:cstheme="minorHAnsi"/>
          <w:color w:val="0070C0"/>
        </w:rPr>
      </w:pPr>
      <w:r>
        <w:rPr>
          <w:rFonts w:cs="Calibri" w:cstheme="minorHAnsi"/>
          <w:color w:val="000000" w:themeColor="text1"/>
        </w:rPr>
        <w:t xml:space="preserve">Rituals may be considered ‘relational’ because they provide access to the knowledge of </w:t>
      </w:r>
      <w:r>
        <w:rPr>
          <w:rFonts w:cs="Calibri" w:cstheme="minorHAnsi"/>
        </w:rPr>
        <w:t>‘other-than-humans’ (Apffel-Marglin 2011: 11)</w:t>
      </w:r>
      <w:r>
        <w:rPr>
          <w:rFonts w:cs="Calibri" w:cstheme="minorHAnsi"/>
          <w:color w:val="000000" w:themeColor="text1"/>
        </w:rPr>
        <w:t>, acquired through physical experience rather than through the mind. Cajete agrees: ‘ritual and ceremony may be personal or communal “technologies” for accessing knowledge, and symbols are used to remember key understandings of the natural world’ (Cajete 2000: 6). Ceremony is for ‘maintaining and restoring balance, renewal, cultivating relationship, and creative participation with nature’ (Cajete 2000: 9). Therefore a major way that indigenous people ‘come-to-know’ is through embodied ritual, connecting them to their local and wider environments.</w:t>
      </w:r>
    </w:p>
    <w:p>
      <w:pPr>
        <w:pStyle w:val="Normal"/>
        <w:rPr>
          <w:rFonts w:cs="Calibri" w:cstheme="minorHAnsi"/>
          <w:color w:val="000000" w:themeColor="text1"/>
        </w:rPr>
      </w:pPr>
      <w:r>
        <w:rPr>
          <w:rFonts w:cs="Calibri" w:cstheme="minorHAnsi"/>
        </w:rPr>
        <w:t>I would like to explore the example of the Purification Lodge ceremony we performed. Grim describes a ‘sweat lodge’ experience as expressing ‘</w:t>
      </w:r>
      <w:r>
        <w:rPr>
          <w:rFonts w:cs="Calibri" w:cstheme="minorHAnsi"/>
          <w:color w:val="000000" w:themeColor="text1"/>
        </w:rPr>
        <w:t>personal responsibility, its embodied experience of cosmological harmonies, and its commitment to local place and people’ (Grim 2006: 295). Our own ceremony allowed an embodied experience of being within the Earths’ womb, a commitment to taking it seriously for the physical and spiritual health of our little community, and an experience of relating to our wider community through repeating the words ‘all my relations’, a common Native American phrase, which incorporates all other-than-human beings and ancestors.</w:t>
      </w:r>
    </w:p>
    <w:p>
      <w:pPr>
        <w:pStyle w:val="Normal"/>
        <w:rPr/>
      </w:pPr>
      <w:r>
        <w:rPr>
          <w:rFonts w:cs="Calibri" w:cstheme="minorHAnsi"/>
          <w:color w:val="000000" w:themeColor="text1"/>
        </w:rPr>
        <w:t>During the ceremony one’s personhood is being reconstructed through ‘intense spiritual experiences… [during] which one’s own body becomes closely identified with other embodied realms’ (Grim 2006: 295). I myself had intense spiritual experiences, including visions. We were physically being ‘identified with other embodied realms’ when we called in ancestral and other spirits, and asking for healing. ‘One’s own body’ is identified with these realms, which was certainly an aspect for me: in the morning I felt more aligned and healthy than I had for a very long time.</w:t>
      </w:r>
      <w:r>
        <w:rPr>
          <w:rStyle w:val="FootnoteAnchor"/>
          <w:rFonts w:cs="Calibri" w:cstheme="minorHAnsi"/>
          <w:color w:val="000000" w:themeColor="text1"/>
        </w:rPr>
        <w:footnoteReference w:id="2"/>
      </w:r>
      <w:r>
        <w:rPr>
          <w:rFonts w:cs="Calibri" w:cstheme="minorHAnsi"/>
          <w:color w:val="000000" w:themeColor="text1"/>
        </w:rPr>
        <w:t xml:space="preserve"> </w:t>
      </w:r>
    </w:p>
    <w:p>
      <w:pPr>
        <w:pStyle w:val="Normal"/>
        <w:rPr>
          <w:rFonts w:cs="Calibri" w:cstheme="minorHAnsi"/>
        </w:rPr>
      </w:pPr>
      <w:r>
        <w:rPr>
          <w:rFonts w:cs="Calibri" w:cstheme="minorHAnsi"/>
        </w:rPr>
        <w:t xml:space="preserve">Is this a similar experience to what an Indigenous person might have? Barbara Ward says that to interpret ‘the native insiders’ understanding of their own culture one must try to comprehend– and use– their categories, not impose ones’ own’ (Ward in Bell 1997: 138). Therefore a problem in trying to determine whether relational-knowing through ritual would be beneficial to a western society is again with the English language and modern worldviews. </w:t>
      </w:r>
    </w:p>
    <w:p>
      <w:pPr>
        <w:pStyle w:val="Normal"/>
        <w:rPr>
          <w:b/>
          <w:b/>
          <w:u w:val="single"/>
        </w:rPr>
      </w:pPr>
      <w:r>
        <w:rPr/>
      </w:r>
    </w:p>
    <w:p>
      <w:pPr>
        <w:pStyle w:val="Normal"/>
        <w:rPr/>
      </w:pPr>
      <w:r>
        <w:rPr>
          <w:b/>
          <w:u w:val="single"/>
        </w:rPr>
        <w:t>What can relational-knowing through ritual offer a ‘modern, secular, western’ society?</w:t>
      </w:r>
    </w:p>
    <w:p>
      <w:pPr>
        <w:pStyle w:val="Normal"/>
        <w:rPr/>
      </w:pPr>
      <w:r>
        <w:rPr>
          <w:rFonts w:cs="Calibri" w:cstheme="minorHAnsi"/>
        </w:rPr>
        <w:t xml:space="preserve">In one way, Indigenous knowledge may never be transferred to the West, because it ‘cannot be translated, written down in a book, or transposed to an individual living thousands of miles away in a totally different environment. Knowledge belongs to a people, and the people belong to the landscape’ (Peat 1994: 63). However, Marijo Moore says that ‘somewhere in the deepest recesses of your heart, you can find your interconnectedness to the crows, trees, deserts, moon and rivers’ (Moore in Murphy 2013: 46). So maybe, no matter whom one is or where one lives, embodied, relational knowledge of the local environment can be remembered. </w:t>
      </w:r>
    </w:p>
    <w:p>
      <w:pPr>
        <w:pStyle w:val="Normal"/>
        <w:rPr>
          <w:rFonts w:cs="Calibri" w:cstheme="minorHAnsi"/>
        </w:rPr>
      </w:pPr>
      <w:r>
        <w:rPr/>
      </w:r>
    </w:p>
    <w:p>
      <w:pPr>
        <w:pStyle w:val="Normal"/>
        <w:rPr>
          <w:rFonts w:cs="Calibri" w:cstheme="minorHAnsi"/>
          <w:color w:val="000000" w:themeColor="text1"/>
        </w:rPr>
      </w:pPr>
      <w:r>
        <w:rPr>
          <w:rFonts w:cs="Calibri" w:cstheme="minorHAnsi"/>
        </w:rPr>
        <w:t>Goldsmith points out that ‘</w:t>
      </w:r>
      <w:r>
        <w:rPr>
          <w:rFonts w:cs="Calibri" w:cstheme="minorHAnsi"/>
          <w:color w:val="000000" w:themeColor="text1"/>
        </w:rPr>
        <w:t xml:space="preserve">The West values objective, rational knowledge, but this repression of our relational-knowing, emotions, and intuition eclipses one’s ‘associated values, his religiosity, his spirituality, his ability to sing and dance, laugh and weep, love and hate, </w:t>
      </w:r>
      <w:r>
        <w:rPr>
          <w:rFonts w:cs="Calibri" w:cstheme="minorHAnsi"/>
          <w:i/>
          <w:color w:val="000000" w:themeColor="text1"/>
        </w:rPr>
        <w:t xml:space="preserve">everything in fact, that makes him human’ </w:t>
      </w:r>
      <w:r>
        <w:rPr>
          <w:rFonts w:cs="Calibri" w:cstheme="minorHAnsi"/>
          <w:color w:val="000000" w:themeColor="text1"/>
        </w:rPr>
        <w:t xml:space="preserve">(Goldsmith 1996: 93. </w:t>
      </w:r>
      <w:r>
        <w:rPr>
          <w:rFonts w:cs="Calibri" w:cstheme="minorHAnsi"/>
          <w:color w:val="000000" w:themeColor="text1"/>
        </w:rPr>
        <w:t>Italics in original</w:t>
      </w:r>
      <w:r>
        <w:rPr>
          <w:rFonts w:cs="Calibri" w:cstheme="minorHAnsi"/>
          <w:color w:val="000000" w:themeColor="text1"/>
        </w:rPr>
        <w:t xml:space="preserve">). However, these things are not completely alien to everyone in the West. </w:t>
      </w:r>
    </w:p>
    <w:p>
      <w:pPr>
        <w:pStyle w:val="Normal"/>
        <w:rPr>
          <w:rFonts w:cs="Calibri" w:cstheme="minorHAnsi"/>
          <w:color w:val="000000" w:themeColor="text1"/>
        </w:rPr>
      </w:pPr>
      <w:r>
        <w:rPr>
          <w:rFonts w:cs="Calibri" w:cstheme="minorHAnsi"/>
          <w:color w:val="000000" w:themeColor="text1"/>
        </w:rPr>
        <w:t xml:space="preserve">For example, </w:t>
      </w:r>
      <w:r>
        <w:rPr>
          <w:rFonts w:cs="Calibri" w:cstheme="minorHAnsi"/>
        </w:rPr>
        <w:t xml:space="preserve">I think people in the West can, and do, cultivate relational-knowing, emotional health, and intuition through gardening. Galicia Silva describes the gardening knowledge of the Nahua people: ’The garden is the place where various types of knowledge come together. The interpretation of weather, the words of the animals, the knowledge of soils, the coexistence with other animals all converge in the relationship with seeds’ (Galicia Silva 2001: 138). For the modern western gardener, knowledge does not come solely in books, but through trial and error, knowledge of one’s own land, and relationship with the plants. </w:t>
      </w:r>
    </w:p>
    <w:p>
      <w:pPr>
        <w:pStyle w:val="Normal"/>
        <w:rPr>
          <w:rFonts w:cs="Calibri" w:cstheme="minorHAnsi"/>
        </w:rPr>
      </w:pPr>
      <w:r>
        <w:rPr>
          <w:rFonts w:cs="Calibri" w:cstheme="minorHAnsi"/>
        </w:rPr>
        <w:t>Linda Tuhiwai Smith (2012) describes the benefits to the West of adopting a more indigenous approach to knowledge, which has: ‘values and principles about human behaviour and ethics, about relationships, about wellness and leading a good life. Knowledge has beauty and can make the world beautiful if used in a good way’ (Smith 2012: 161).</w:t>
      </w:r>
      <w:r>
        <w:rPr>
          <w:rFonts w:cs="Calibri" w:cstheme="minorHAnsi"/>
          <w:color w:val="FF0000"/>
        </w:rPr>
        <w:t xml:space="preserve"> </w:t>
      </w:r>
      <w:r>
        <w:rPr>
          <w:rFonts w:cs="Calibri" w:cstheme="minorHAnsi"/>
        </w:rPr>
        <w:t xml:space="preserve">Embracing ritual may offer what Barry Bignell calls Beauty as a Way of Knowing: ‘Direct knowing and participation in the world through the experience of beauty can help fill the emptiness, heal the wounds, reduce the separation, ease the alienation, fulfil the longing, and satisfy the yearning in ways that do not rely on the false promises of consumerism and technological progress’ (Bignell 2009: 4). These are afflictions that many suffer with in western societies, so this is a big statement of what embodied ritual, through ‘direct knowing and participation’, can help to heal. </w:t>
      </w:r>
    </w:p>
    <w:p>
      <w:pPr>
        <w:pStyle w:val="Normal"/>
        <w:rPr>
          <w:rFonts w:cs="Calibri" w:cstheme="minorHAnsi"/>
          <w:b/>
          <w:b/>
          <w:u w:val="single"/>
        </w:rPr>
      </w:pPr>
      <w:r>
        <w:rPr>
          <w:rFonts w:cs="Calibri" w:cstheme="minorHAnsi"/>
          <w:b/>
          <w:u w:val="single"/>
        </w:rPr>
        <w:t>What are the limitations of relational-knowing through ritual in a western society?</w:t>
      </w:r>
    </w:p>
    <w:p>
      <w:pPr>
        <w:pStyle w:val="Normal"/>
        <w:rPr>
          <w:rFonts w:cs="Calibri" w:cstheme="minorHAnsi"/>
          <w:b/>
          <w:b/>
          <w:u w:val="single"/>
        </w:rPr>
      </w:pPr>
      <w:r>
        <w:rPr>
          <w:rFonts w:cs="Calibri" w:cstheme="minorHAnsi"/>
        </w:rPr>
        <w:t>In discussion of the dominance of western knowledge, Smith says: ‘Local or indigenous knowledges are even more at risk now than ever before. According to Vandana shiva, ‘Over and above rendering local knowledge invisible by declaring it non-existent or illegitimate, the dominant system also makes alternatives disappear by erasing and destroying the reality which they attempt to represent’ (Smith 2012: 103). This is a sad state of affairs, because</w:t>
      </w:r>
      <w:r>
        <w:rPr>
          <w:rFonts w:cs="Calibri" w:cstheme="minorHAnsi"/>
          <w:color w:val="FF0000"/>
        </w:rPr>
        <w:t xml:space="preserve"> </w:t>
      </w:r>
      <w:r>
        <w:rPr>
          <w:rFonts w:cs="Calibri" w:cstheme="minorHAnsi"/>
        </w:rPr>
        <w:t xml:space="preserve">‘indigenous peoples offer genuine alternatives to the current dominant form of development’ (Smith 2012: 109). </w:t>
      </w:r>
    </w:p>
    <w:p>
      <w:pPr>
        <w:pStyle w:val="Normal"/>
        <w:rPr>
          <w:rFonts w:cs="Calibri" w:cstheme="minorHAnsi"/>
          <w:color w:val="FF0000"/>
        </w:rPr>
      </w:pPr>
      <w:r>
        <w:rPr>
          <w:rFonts w:cs="Calibri" w:cstheme="minorHAnsi"/>
        </w:rPr>
        <w:t xml:space="preserve">Apffel-Marglin goes so far as to say the West actively attacks Indigenous rituals, because they ‘violate the separation between matter and spirit, between the utilitarian and the spiritual, boundaries that in the last instance guarantee as well as legitimate modern arrangements in the political, religious, and epistemological spheres’ (Apffel-Marglin 2011: 86). Without such separations, ‘the act of representing is replaced by the ritual performances of the generation and regeneration of the world’ (Apffel-Marglin 2011: 156). Therefore, performing ritual may enable western societies to adopt a more integrated, holistic and relational worldview. </w:t>
      </w:r>
    </w:p>
    <w:p>
      <w:pPr>
        <w:pStyle w:val="Normal"/>
        <w:rPr>
          <w:rFonts w:cs="Calibri" w:cstheme="minorHAnsi"/>
          <w:color w:val="000000" w:themeColor="text1"/>
        </w:rPr>
      </w:pPr>
      <w:r>
        <w:rPr>
          <w:rFonts w:cs="Calibri" w:cstheme="minorHAnsi"/>
          <w:color w:val="000000" w:themeColor="text1"/>
        </w:rPr>
        <w:t xml:space="preserve">I identify three ways-of-seeing, all mentioned by Catherine Bell, that are potential blocks to Western societies embracing ritual as relational-knowing. First is that the modern West sees ritual as antiquated and nothing to do with modernity. Ritual-like activity can be seen in our mass TV audiences, sports-crowds, or hand-shakes but generally western ritual is less established as a ‘public event, less codified by tradition, and less likely to appeal to divine beings’ (Bell 1997: 138). Second, the view that knowledge is acquired in the mind and everything can be rationalised, thinking about ritual can be frustrating, because rituals do not ‘encourage a great deal of immediate and overt explaining’ (Bell 1997: 138). Third, the romanticised vision of ritual as ‘a curative for the ills of modernity… independent of any sociocultural determinism’ (Bell 1997: 258) can be detrimental to placing the correct cultural context on our own rituals. </w:t>
      </w:r>
    </w:p>
    <w:p>
      <w:pPr>
        <w:pStyle w:val="Normal"/>
        <w:rPr>
          <w:rFonts w:cs="Calibri" w:cstheme="minorHAnsi"/>
          <w:b/>
          <w:b/>
          <w:color w:val="000000" w:themeColor="text1"/>
          <w:u w:val="single"/>
        </w:rPr>
      </w:pPr>
      <w:r>
        <w:rPr>
          <w:rFonts w:cs="Calibri" w:cstheme="minorHAnsi"/>
          <w:b/>
          <w:color w:val="000000" w:themeColor="text1"/>
          <w:u w:val="single"/>
        </w:rPr>
        <w:t>How can we overcome these limitations?</w:t>
      </w:r>
    </w:p>
    <w:p>
      <w:pPr>
        <w:pStyle w:val="Normal"/>
        <w:rPr>
          <w:rFonts w:cs="Calibri" w:cstheme="minorHAnsi"/>
        </w:rPr>
      </w:pPr>
      <w:r>
        <w:rPr>
          <w:rFonts w:cs="Calibri" w:cstheme="minorHAnsi"/>
          <w:color w:val="000000" w:themeColor="text1"/>
        </w:rPr>
        <w:t xml:space="preserve">Considering the previous points, I believe that western societies must concede that relational-knowing can come through experiencing rather than analysing ritual; that this knowing can be remembered by everyone, right now- there is no such thing as antiquated knowledge; and that one must not simply appropriate and romanticise indigenous ritual without its socio-cultural context, but find one’s own ways of performing ritual. I am tempted to discuss the pitfalls of western appropriation of Indigenous ritual, but will not find room for it in this paper, except to quote Piers Vietbsky: </w:t>
      </w:r>
      <w:r>
        <w:rPr>
          <w:rFonts w:cs="Calibri" w:cstheme="minorHAnsi"/>
        </w:rPr>
        <w:t xml:space="preserve">‘globalization (or modernization) may lead either to the downgrading and abandonment of indigenous knowledge, or on the contrary to its reassertion and transformation’ (Vietbsky 2003: 278). </w:t>
      </w:r>
    </w:p>
    <w:p>
      <w:pPr>
        <w:pStyle w:val="Normal"/>
        <w:rPr/>
      </w:pPr>
      <w:r>
        <w:rPr>
          <w:rFonts w:cs="Calibri" w:cstheme="minorHAnsi"/>
        </w:rPr>
        <w:t>Through ritual one can set the intention to ensure that appropriation of indigenous knowledge is not just copying indigenous thoughts, but experiencing ‘deep learning’ within oneself. Through direct interaction with the environment, western people may ‘begin the process of learning what for them are secondary discourses, even eventually finding their fundamental world `view affected. Over time, a secondary world view may be unconsciously acquired sometimes leaving the primary one fundamentally and irreversibly altered, even alienated’ (Haig-Brown 2010: 937). This change-of-mind may be a necessity on which: ‘psychological and spiritual health, the very sanity of humanity as well as its future survival depends’ (Bignell 2009: 4).</w:t>
      </w:r>
    </w:p>
    <w:p>
      <w:pPr>
        <w:pStyle w:val="Normal"/>
        <w:rPr>
          <w:rFonts w:cs="Calibri" w:cstheme="minorHAnsi"/>
        </w:rPr>
      </w:pPr>
      <w:r>
        <w:rPr>
          <w:rFonts w:cs="Calibri" w:cstheme="minorHAnsi"/>
        </w:rPr>
        <w:t>Ronald L. Grimes (2005) asks the question</w:t>
      </w:r>
      <w:r>
        <w:rPr>
          <w:rFonts w:cs="Calibri" w:cstheme="minorHAnsi"/>
          <w:color w:val="FF0000"/>
        </w:rPr>
        <w:t xml:space="preserve"> </w:t>
      </w:r>
      <w:r>
        <w:rPr>
          <w:rFonts w:cs="Calibri" w:cstheme="minorHAnsi"/>
        </w:rPr>
        <w:t xml:space="preserve">‘Should humans ritualize in order to be attuned to nature and thereby avoid planetary destruction?’ (Grimes 2005: 1386). Ritual participants the world over believe the rites allow synchronicity with the natural world, so ‘People behave with humility and receptivity’ (Grimes 2005: 1386): moral behaviour is embodied and enacted. Roy Rappaport ‘is intent on restoring ritual’s authority… hoping its emphasis on complementarity and reciprocity can displace the forces of disintegration’ (Grimes 2005: 1387). Grimes agrees that ‘effective environmental action has to be embodied action: in other words that it has to be ritualistic’ (Grimes in Apffel-Marglin 2011: 14). There is room for this in our western society, as activists Joanna Macy and John Seed have proved. They have: ‘labored to spread globally their ritual processes, believing that they reconnect people to the earth and its diverse inhabitants’ (Taylor 2010: 21). </w:t>
      </w:r>
    </w:p>
    <w:p>
      <w:pPr>
        <w:pStyle w:val="Normal"/>
        <w:rPr>
          <w:rFonts w:cs="Calibri" w:cstheme="minorHAnsi"/>
        </w:rPr>
      </w:pPr>
      <w:r>
        <w:rPr>
          <w:rFonts w:cs="Calibri" w:cstheme="minorHAnsi"/>
        </w:rPr>
        <w:t>Ritual may also help the western society build community, as Apffel-Marglin (2011) says that the potency of the Indian rituals faded once at home, because ‘my private and solitary ritual practice helped but could not wholly replace the lack of community’ (Apffel-Marglin 2011: 11). That ritual is born within a community provides a definition of order, and a ‘limitation of choice’ (Goldsmith 1996: 220). This prevents people from ‘undertaking activities which are inconsistent with the maintenance of the integrity and stability of the larger systems of which they are part’ (Goldsmith 1996: 220). The obligations and community limitations to ritual ensure the correct order of things.</w:t>
      </w:r>
    </w:p>
    <w:p>
      <w:pPr>
        <w:pStyle w:val="Normal"/>
        <w:rPr>
          <w:rFonts w:cs="Calibri" w:cstheme="minorHAnsi"/>
        </w:rPr>
      </w:pPr>
      <w:r>
        <w:rPr>
          <w:rFonts w:cs="Calibri" w:cstheme="minorHAnsi"/>
        </w:rPr>
      </w:r>
    </w:p>
    <w:p>
      <w:pPr>
        <w:pStyle w:val="Normal"/>
        <w:rPr/>
      </w:pPr>
      <w:r>
        <w:rPr>
          <w:rFonts w:cs="Calibri" w:cstheme="minorHAnsi"/>
          <w:b/>
          <w:u w:val="single"/>
        </w:rPr>
        <w:t>Conclusion</w:t>
      </w:r>
    </w:p>
    <w:p>
      <w:pPr>
        <w:pStyle w:val="Normal"/>
        <w:rPr>
          <w:rFonts w:cs="Calibri" w:cstheme="minorHAnsi"/>
        </w:rPr>
      </w:pPr>
      <w:r>
        <w:rPr>
          <w:rFonts w:cs="Calibri" w:cstheme="minorHAnsi"/>
        </w:rPr>
        <w:t xml:space="preserve">Embodied ritual involves maintaining the socio-cultural and cosmic order of the world, ensuring its continued survival, and reinforcing relationship with all in the local environment. It is embodied because things literally happen in the body, including physical healing and relationship to self and other. Ritual affects our relational capacities through physical relationship with people, land, animals, the cosmos and other-than-human beings. This coming-to-knowing happens through different rituals, which provide a framework for direct relationship with the environment. </w:t>
      </w:r>
    </w:p>
    <w:p>
      <w:pPr>
        <w:pStyle w:val="Normal"/>
        <w:rPr>
          <w:rFonts w:cs="Calibri" w:cstheme="minorHAnsi"/>
        </w:rPr>
      </w:pPr>
      <w:r>
        <w:rPr>
          <w:rFonts w:cs="Calibri" w:cstheme="minorHAnsi"/>
        </w:rPr>
        <w:t>Relational-knowing can offer so much to western society, including helping them to remember and re-connect to their own land and the other-than-human beings that inhabit it. People can embrace their emotions and intuition, be more healthy and well-rounded, and cultivate a more holistic worldview that may slow or even stop the disintegration of the Earth. Ritual can help people in the West achieve this, if they can overcome the dominant worldviews that inhibit them embracing ritual. Ritual can change peoples’ minds and attitudes; it can help create community; and it can potentially help to avoid planetary destruction by reminding people of the cosmic order of which they are part. I think there is a huge case for encouraging western societies to adopt ritual for healing of self, community, and planet.</w:t>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pPr>
      <w:r>
        <w:rPr>
          <w:rFonts w:cs="Calibri" w:cstheme="minorHAnsi"/>
        </w:rPr>
        <w:t xml:space="preserve">Word Count: </w:t>
      </w:r>
      <w:r>
        <w:rPr>
          <w:rFonts w:cs="Calibri" w:cstheme="minorHAnsi"/>
        </w:rPr>
        <w:t>2,539</w:t>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rPr>
      </w:pPr>
      <w:r>
        <w:rPr>
          <w:rFonts w:cs="Calibri" w:cstheme="minorHAnsi"/>
        </w:rPr>
      </w:r>
    </w:p>
    <w:p>
      <w:pPr>
        <w:pStyle w:val="Normal"/>
        <w:rPr>
          <w:rFonts w:cs="Calibri" w:cstheme="minorHAnsi"/>
          <w:b/>
          <w:b/>
          <w:u w:val="single"/>
        </w:rPr>
      </w:pPr>
      <w:r>
        <w:rPr>
          <w:rFonts w:cs="Calibri" w:cstheme="minorHAnsi"/>
          <w:b/>
          <w:u w:val="single"/>
        </w:rPr>
        <w:t>References</w:t>
      </w:r>
    </w:p>
    <w:p>
      <w:pPr>
        <w:pStyle w:val="Normal"/>
        <w:rPr>
          <w:rFonts w:cs="Calibri" w:cstheme="minorHAnsi"/>
        </w:rPr>
      </w:pPr>
      <w:r>
        <w:rPr>
          <w:rFonts w:cs="Calibri" w:cstheme="minorHAnsi"/>
        </w:rPr>
        <w:t xml:space="preserve">Apffel-Marglin, F (2011) </w:t>
      </w:r>
      <w:r>
        <w:rPr>
          <w:rFonts w:cs="Calibri" w:cstheme="minorHAnsi"/>
          <w:i/>
        </w:rPr>
        <w:t>Subversive Spiritualities, How Rituals Enact the World</w:t>
      </w:r>
      <w:r>
        <w:rPr>
          <w:rFonts w:cs="Calibri" w:cstheme="minorHAnsi"/>
        </w:rPr>
        <w:t>. Oxford University Press: Oxford.</w:t>
      </w:r>
    </w:p>
    <w:p>
      <w:pPr>
        <w:pStyle w:val="Normal"/>
        <w:spacing w:lineRule="auto" w:line="240" w:before="0" w:after="0"/>
        <w:rPr>
          <w:rFonts w:cs="Calibri" w:cstheme="minorHAnsi"/>
        </w:rPr>
      </w:pPr>
      <w:r>
        <w:rPr>
          <w:rFonts w:cs="Calibri" w:cstheme="minorHAnsi"/>
        </w:rPr>
        <w:t xml:space="preserve">Bell, C (1997) </w:t>
      </w:r>
      <w:r>
        <w:rPr>
          <w:rFonts w:cs="Calibri" w:cstheme="minorHAnsi"/>
          <w:i/>
        </w:rPr>
        <w:t>Ritual Perspectives and Dimensions</w:t>
      </w:r>
      <w:r>
        <w:rPr>
          <w:rFonts w:cs="Calibri" w:cstheme="minorHAnsi"/>
          <w:b/>
          <w:i/>
        </w:rPr>
        <w:t xml:space="preserve"> </w:t>
      </w:r>
      <w:r>
        <w:rPr>
          <w:rFonts w:cs="Calibri" w:cstheme="minorHAnsi"/>
        </w:rPr>
        <w:t>Oxford University Press: NY, Oxford.</w:t>
      </w:r>
    </w:p>
    <w:p>
      <w:pPr>
        <w:pStyle w:val="Normal"/>
        <w:spacing w:lineRule="auto" w:line="240" w:before="0" w:after="0"/>
        <w:rPr>
          <w:rFonts w:cs="Calibri" w:cstheme="minorHAnsi"/>
        </w:rPr>
      </w:pPr>
      <w:r>
        <w:rPr>
          <w:rFonts w:cs="Calibri" w:cstheme="minorHAnsi"/>
        </w:rPr>
      </w:r>
    </w:p>
    <w:p>
      <w:pPr>
        <w:pStyle w:val="Normal"/>
        <w:rPr>
          <w:rFonts w:cs="Calibri" w:cstheme="minorHAnsi"/>
        </w:rPr>
      </w:pPr>
      <w:r>
        <w:rPr>
          <w:rFonts w:cs="Calibri" w:cstheme="minorHAnsi"/>
        </w:rPr>
        <w:t xml:space="preserve">Berry, T (2016) ‘The World of Wonder’ in Vaughan-Lee, L (ed.) </w:t>
      </w:r>
      <w:r>
        <w:rPr>
          <w:rFonts w:cs="Calibri" w:cstheme="minorHAnsi"/>
          <w:i/>
        </w:rPr>
        <w:t>Spiritual Ecology: The Cry of the Earth</w:t>
      </w:r>
      <w:r>
        <w:rPr>
          <w:rFonts w:cs="Calibri" w:cstheme="minorHAnsi"/>
        </w:rPr>
        <w:t>. 2</w:t>
      </w:r>
      <w:r>
        <w:rPr>
          <w:rFonts w:cs="Calibri" w:cstheme="minorHAnsi"/>
          <w:vertAlign w:val="superscript"/>
        </w:rPr>
        <w:t>nd</w:t>
      </w:r>
      <w:r>
        <w:rPr>
          <w:rFonts w:cs="Calibri" w:cstheme="minorHAnsi"/>
        </w:rPr>
        <w:t xml:space="preserve"> edition. The Golden Sufi Centre: CA, USA. pp. 21-28</w:t>
      </w:r>
    </w:p>
    <w:p>
      <w:pPr>
        <w:pStyle w:val="Normal"/>
        <w:spacing w:before="0" w:after="200"/>
        <w:contextualSpacing/>
        <w:rPr>
          <w:rFonts w:cs="Calibri" w:cstheme="minorHAnsi"/>
        </w:rPr>
      </w:pPr>
      <w:r>
        <w:rPr>
          <w:rFonts w:cs="Calibri" w:cstheme="minorHAnsi"/>
          <w:bCs/>
        </w:rPr>
        <w:t xml:space="preserve">Bignell, B (2009) ‘Beauty as a Way of Knowing, </w:t>
      </w:r>
      <w:r>
        <w:rPr>
          <w:rFonts w:cs="Calibri" w:cstheme="minorHAnsi"/>
          <w:iCs/>
        </w:rPr>
        <w:t>the redemption of knowing through the experience of beauty’</w:t>
      </w:r>
      <w:r>
        <w:rPr>
          <w:rFonts w:cs="Calibri" w:cstheme="minorHAnsi"/>
          <w:i/>
          <w:iCs/>
        </w:rPr>
        <w:t xml:space="preserve"> </w:t>
      </w:r>
      <w:r>
        <w:rPr>
          <w:rFonts w:cs="Calibri" w:cstheme="minorHAnsi"/>
          <w:iCs/>
        </w:rPr>
        <w:t>in</w:t>
      </w:r>
      <w:r>
        <w:rPr>
          <w:rFonts w:cs="Calibri" w:cstheme="minorHAnsi"/>
          <w:i/>
          <w:iCs/>
        </w:rPr>
        <w:t xml:space="preserve"> </w:t>
      </w:r>
      <w:r>
        <w:rPr>
          <w:rFonts w:cs="Calibri" w:cstheme="minorHAnsi"/>
          <w:shd w:fill="FFFFFF" w:val="clear"/>
        </w:rPr>
        <w:t xml:space="preserve">Villiers-Stuart, P and Stibbe, A (eds.) </w:t>
      </w:r>
      <w:r>
        <w:rPr>
          <w:rFonts w:cs="Calibri" w:cstheme="minorHAnsi"/>
          <w:i/>
          <w:shd w:fill="FFFFFF" w:val="clear"/>
        </w:rPr>
        <w:t>The Handbook of Sustainability Literacy: multimedia version</w:t>
      </w:r>
      <w:r>
        <w:rPr>
          <w:rFonts w:cs="Calibri" w:cstheme="minorHAnsi"/>
          <w:shd w:fill="FFFFFF" w:val="clear"/>
        </w:rPr>
        <w:t xml:space="preserve">. Green Books: Cambridge, UK. </w:t>
      </w:r>
    </w:p>
    <w:p>
      <w:pPr>
        <w:pStyle w:val="Normal"/>
        <w:spacing w:before="0" w:after="200"/>
        <w:contextualSpacing/>
        <w:rPr/>
      </w:pPr>
      <w:r>
        <w:rPr/>
        <w:t>&lt;</w:t>
      </w:r>
      <w:hyperlink r:id="rId3">
        <w:r>
          <w:rPr>
            <w:rStyle w:val="InternetLink"/>
            <w:rFonts w:cs="Calibri" w:cstheme="minorHAnsi"/>
          </w:rPr>
          <w:t>http://arts.brighton.ac.uk/__data/assets/pdf_file/0010/6103/Beauty-as-a-Way-of-Knowing2.pdf</w:t>
        </w:r>
      </w:hyperlink>
      <w:r>
        <w:rPr>
          <w:rFonts w:cs="Calibri" w:cstheme="minorHAnsi"/>
          <w:color w:val="00000A"/>
          <w:u w:val="none"/>
        </w:rPr>
        <w:t>&gt;</w:t>
      </w:r>
      <w:r>
        <w:rPr>
          <w:rFonts w:cs="Calibri" w:cstheme="minorHAnsi"/>
        </w:rPr>
        <w:t xml:space="preserve"> Accessed 4/4/18. </w:t>
      </w:r>
    </w:p>
    <w:p>
      <w:pPr>
        <w:pStyle w:val="Normal"/>
        <w:spacing w:before="0" w:after="200"/>
        <w:contextualSpacing/>
        <w:rPr>
          <w:rFonts w:cs="Calibri" w:cstheme="minorHAnsi"/>
        </w:rPr>
      </w:pPr>
      <w:r>
        <w:rPr>
          <w:rFonts w:cs="Calibri" w:cstheme="minorHAnsi"/>
        </w:rPr>
      </w:r>
    </w:p>
    <w:p>
      <w:pPr>
        <w:pStyle w:val="Normal"/>
        <w:spacing w:before="0" w:after="200"/>
        <w:contextualSpacing/>
        <w:rPr>
          <w:rFonts w:cs="Calibri" w:cstheme="minorHAnsi"/>
        </w:rPr>
      </w:pPr>
      <w:r>
        <w:rPr>
          <w:rFonts w:cs="Calibri" w:cstheme="minorHAnsi"/>
        </w:rPr>
        <w:t xml:space="preserve">Cajete, G (1994) </w:t>
      </w:r>
      <w:r>
        <w:rPr>
          <w:rFonts w:cs="Calibri" w:cstheme="minorHAnsi"/>
          <w:i/>
        </w:rPr>
        <w:t>Look to the Mountain An Ecology of Indigenous Education</w:t>
      </w:r>
      <w:r>
        <w:rPr>
          <w:rFonts w:cs="Calibri" w:cstheme="minorHAnsi"/>
        </w:rPr>
        <w:t xml:space="preserve"> Kivaki Press: USA.</w:t>
      </w:r>
    </w:p>
    <w:p>
      <w:pPr>
        <w:pStyle w:val="Normal"/>
        <w:shd w:val="clear" w:color="auto" w:fill="FFFFFF"/>
        <w:spacing w:lineRule="atLeast" w:line="312" w:beforeAutospacing="1" w:after="150"/>
        <w:rPr>
          <w:rFonts w:eastAsia="Times New Roman" w:cs="Calibri" w:cstheme="minorHAnsi"/>
          <w:color w:val="000000"/>
          <w:lang w:eastAsia="en-GB"/>
        </w:rPr>
      </w:pPr>
      <w:r>
        <w:rPr>
          <w:rFonts w:eastAsia="Times New Roman" w:cs="Calibri" w:cstheme="minorHAnsi"/>
          <w:color w:val="000000"/>
          <w:lang w:eastAsia="en-GB"/>
        </w:rPr>
        <w:t>Cajete, G (2000) </w:t>
      </w:r>
      <w:r>
        <w:rPr>
          <w:rFonts w:eastAsia="Times New Roman" w:cs="Calibri" w:cstheme="minorHAnsi"/>
          <w:i/>
          <w:iCs/>
          <w:color w:val="000000"/>
          <w:lang w:eastAsia="en-GB"/>
        </w:rPr>
        <w:t>Native Science: Natural Laws of Interdependence</w:t>
      </w:r>
      <w:r>
        <w:rPr>
          <w:rFonts w:eastAsia="Times New Roman" w:cs="Calibri" w:cstheme="minorHAnsi"/>
          <w:color w:val="000000"/>
          <w:lang w:eastAsia="en-GB"/>
        </w:rPr>
        <w:t>. Clear Light Publishers: Santa Fe, N.M.</w:t>
      </w:r>
    </w:p>
    <w:p>
      <w:pPr>
        <w:pStyle w:val="Normal"/>
        <w:rPr>
          <w:rFonts w:cs="Calibri" w:cstheme="minorHAnsi"/>
        </w:rPr>
      </w:pPr>
      <w:r>
        <w:rPr>
          <w:rFonts w:cs="Calibri" w:cstheme="minorHAnsi"/>
        </w:rPr>
        <w:t xml:space="preserve">Goldsmith, E (1996) </w:t>
      </w:r>
      <w:r>
        <w:rPr>
          <w:rFonts w:cs="Calibri" w:cstheme="minorHAnsi"/>
          <w:i/>
        </w:rPr>
        <w:t>The Way. An Ecological World View</w:t>
      </w:r>
      <w:r>
        <w:rPr>
          <w:rFonts w:cs="Calibri" w:cstheme="minorHAnsi"/>
        </w:rPr>
        <w:t>. Themis Books: Devon.</w:t>
      </w:r>
    </w:p>
    <w:p>
      <w:pPr>
        <w:pStyle w:val="Normal"/>
        <w:spacing w:lineRule="auto" w:line="240" w:before="0" w:after="0"/>
        <w:rPr>
          <w:rFonts w:cs="Calibri" w:cstheme="minorHAnsi"/>
        </w:rPr>
      </w:pPr>
      <w:r>
        <w:rPr>
          <w:rFonts w:cs="Calibri" w:cstheme="minorHAnsi"/>
        </w:rPr>
        <w:t xml:space="preserve">Grim, J. A (2006) ‘Indigenous Traditions: Religion and Ecology’ in Gottlieb, R. S. (ed.) </w:t>
      </w:r>
      <w:r>
        <w:rPr>
          <w:rFonts w:cs="Calibri" w:cstheme="minorHAnsi"/>
          <w:i/>
        </w:rPr>
        <w:t>The Oxford Handbook of Religion and Ecology</w:t>
      </w:r>
      <w:r>
        <w:rPr>
          <w:rFonts w:cs="Calibri" w:cstheme="minorHAnsi"/>
        </w:rPr>
        <w:t xml:space="preserve">. Oxford University Press: Oxford. pp283-309. </w:t>
      </w:r>
    </w:p>
    <w:p>
      <w:pPr>
        <w:pStyle w:val="Normal"/>
        <w:spacing w:lineRule="auto" w:line="240" w:before="0" w:after="0"/>
        <w:rPr>
          <w:rFonts w:cs="Calibri" w:cstheme="minorHAnsi"/>
        </w:rPr>
      </w:pPr>
      <w:r>
        <w:rPr>
          <w:rFonts w:cs="Calibri" w:cstheme="minorHAnsi"/>
        </w:rPr>
      </w:r>
    </w:p>
    <w:p>
      <w:pPr>
        <w:pStyle w:val="Normal"/>
        <w:rPr>
          <w:rFonts w:cs="Calibri" w:cstheme="minorHAnsi"/>
        </w:rPr>
      </w:pPr>
      <w:r>
        <w:rPr>
          <w:rFonts w:cs="Calibri" w:cstheme="minorHAnsi"/>
        </w:rPr>
        <w:t xml:space="preserve">Grim, J. A (2017) ‘Part III, Indigenous Cosmovisions, Introduction’ in Jenkins, W, Tucker, M. E, and Grim, J (eds.) Routledge Handbook of Religion and Ecology. Routledge: London and NY. pp 107-108. </w:t>
      </w:r>
    </w:p>
    <w:p>
      <w:pPr>
        <w:pStyle w:val="Normal"/>
        <w:rPr>
          <w:rFonts w:cs="Calibri" w:cstheme="minorHAnsi"/>
        </w:rPr>
      </w:pPr>
      <w:r>
        <w:rPr>
          <w:rFonts w:cs="Calibri" w:cstheme="minorHAnsi"/>
        </w:rPr>
        <w:t xml:space="preserve">Grimes, R. L (2005) ‘Ritual’ in Taylor, B (ed.) </w:t>
      </w:r>
      <w:r>
        <w:rPr>
          <w:rFonts w:cs="Calibri" w:cstheme="minorHAnsi"/>
          <w:i/>
        </w:rPr>
        <w:t>Encyclopaedia of Religion and Nature Volume 11: K-Z</w:t>
      </w:r>
      <w:r>
        <w:rPr>
          <w:rFonts w:cs="Calibri" w:cstheme="minorHAnsi"/>
        </w:rPr>
        <w:t>. pp 1385-1388.</w:t>
      </w:r>
    </w:p>
    <w:p>
      <w:pPr>
        <w:pStyle w:val="Normal"/>
        <w:rPr/>
      </w:pPr>
      <w:r>
        <w:rPr>
          <w:rFonts w:cs="Calibri" w:cstheme="minorHAnsi"/>
        </w:rPr>
        <w:t>Haig-Brown, C (2010) ‘Indigenous Thought, Appropriation, and Non-Aboriginal People’ in Canadian Journal of Education / Revue canadienne de l'éducation, Vol. 33, No. 4, pp. 925-950. Canadian Society for the Study of Education. &lt;</w:t>
      </w:r>
      <w:hyperlink r:id="rId4">
        <w:r>
          <w:rPr>
            <w:rStyle w:val="InternetLink"/>
            <w:rFonts w:cs="Calibri" w:cstheme="minorHAnsi"/>
          </w:rPr>
          <w:t>http://www.jstor.org/stable/canajeducrevucan.33.4.925</w:t>
        </w:r>
      </w:hyperlink>
      <w:r>
        <w:rPr>
          <w:rFonts w:cs="Calibri" w:cstheme="minorHAnsi"/>
          <w:color w:val="00000A"/>
          <w:u w:val="none"/>
        </w:rPr>
        <w:t>&gt;</w:t>
      </w:r>
      <w:r>
        <w:rPr>
          <w:rFonts w:cs="Calibri" w:cstheme="minorHAnsi"/>
        </w:rPr>
        <w:t xml:space="preserve"> Accessed 4/4/18.</w:t>
      </w:r>
    </w:p>
    <w:p>
      <w:pPr>
        <w:pStyle w:val="Normal"/>
        <w:rPr>
          <w:rFonts w:cs="Calibri" w:cstheme="minorHAnsi"/>
        </w:rPr>
      </w:pPr>
      <w:r>
        <w:rPr>
          <w:rFonts w:cs="Calibri" w:cstheme="minorHAnsi"/>
        </w:rPr>
        <w:t xml:space="preserve">Kripal, J. J (2014) </w:t>
      </w:r>
      <w:r>
        <w:rPr>
          <w:rFonts w:cs="Calibri" w:cstheme="minorHAnsi"/>
          <w:i/>
        </w:rPr>
        <w:t>Comparing Religions</w:t>
      </w:r>
      <w:bookmarkStart w:id="0" w:name="_GoBack"/>
      <w:bookmarkEnd w:id="0"/>
      <w:r>
        <w:rPr>
          <w:rFonts w:cs="Calibri" w:cstheme="minorHAnsi"/>
        </w:rPr>
        <w:t xml:space="preserve">. John Wiley &amp; sons Ltd: Chichester, UK. </w:t>
      </w:r>
    </w:p>
    <w:p>
      <w:pPr>
        <w:pStyle w:val="Normal"/>
        <w:rPr>
          <w:rFonts w:cs="Calibri" w:cstheme="minorHAnsi"/>
        </w:rPr>
      </w:pPr>
      <w:r>
        <w:rPr>
          <w:rFonts w:cs="Calibri" w:cstheme="minorHAnsi"/>
        </w:rPr>
        <w:t xml:space="preserve">Murphy, S. Z (2013) ‘Quantum Physics and Good Old Indian Wisdom’ in Moore, M and Demeyer, T. A (eds.) </w:t>
      </w:r>
      <w:r>
        <w:rPr>
          <w:rFonts w:cs="Calibri" w:cstheme="minorHAnsi"/>
          <w:i/>
        </w:rPr>
        <w:t>Unravelling the Spreading Cloth of Time.</w:t>
      </w:r>
      <w:r>
        <w:rPr>
          <w:rFonts w:cs="Calibri" w:cstheme="minorHAnsi"/>
        </w:rPr>
        <w:t xml:space="preserve"> </w:t>
      </w:r>
      <w:r>
        <w:rPr>
          <w:rFonts w:cs="Calibri" w:cstheme="minorHAnsi"/>
          <w:i/>
        </w:rPr>
        <w:t>Indigenous Thoughts Concerning the Universe.</w:t>
      </w:r>
      <w:r>
        <w:rPr>
          <w:rFonts w:cs="Calibri" w:cstheme="minorHAnsi"/>
        </w:rPr>
        <w:t xml:space="preserve"> Renegrade Planets Publishing: USA. pp 37-51.</w:t>
      </w:r>
    </w:p>
    <w:p>
      <w:pPr>
        <w:pStyle w:val="Normal"/>
        <w:rPr>
          <w:rFonts w:cs="Calibri" w:cstheme="minorHAnsi"/>
        </w:rPr>
      </w:pPr>
      <w:r>
        <w:rPr>
          <w:rFonts w:cs="Calibri" w:cstheme="minorHAnsi"/>
        </w:rPr>
        <w:t xml:space="preserve">Peat, F. D (1994) </w:t>
      </w:r>
      <w:r>
        <w:rPr>
          <w:rFonts w:cs="Calibri" w:cstheme="minorHAnsi"/>
          <w:i/>
        </w:rPr>
        <w:t>Blackfoot Physics, A Journey into the Native American Universe</w:t>
      </w:r>
      <w:r>
        <w:rPr>
          <w:rFonts w:cs="Calibri" w:cstheme="minorHAnsi"/>
        </w:rPr>
        <w:t>. Forth Estate: London.</w:t>
      </w:r>
    </w:p>
    <w:p>
      <w:pPr>
        <w:pStyle w:val="Normal"/>
        <w:rPr>
          <w:rFonts w:cs="Calibri" w:cstheme="minorHAnsi"/>
          <w:color w:val="FF0000"/>
        </w:rPr>
      </w:pPr>
      <w:r>
        <w:rPr>
          <w:rFonts w:cs="Calibri" w:cstheme="minorHAnsi"/>
        </w:rPr>
        <w:t xml:space="preserve">Silva, J. G (2001) ‘Religion, Ritual, and Agriculture among the Present-Day Nahua of Mesoamerica’ in Grim. J. A. (ed.) </w:t>
      </w:r>
      <w:r>
        <w:rPr>
          <w:rFonts w:cs="Calibri" w:cstheme="minorHAnsi"/>
          <w:i/>
        </w:rPr>
        <w:t>Indigenous Traditions and Ecology: the interbeing of cosmology and community</w:t>
      </w:r>
      <w:r>
        <w:rPr>
          <w:rFonts w:cs="Calibri" w:cstheme="minorHAnsi"/>
        </w:rPr>
        <w:t>. Harvard University: Cambridge, Massachusetts. pp 303-323.</w:t>
      </w:r>
    </w:p>
    <w:p>
      <w:pPr>
        <w:pStyle w:val="Normal"/>
        <w:rPr>
          <w:rFonts w:cs="Calibri" w:cstheme="minorHAnsi"/>
        </w:rPr>
      </w:pPr>
      <w:r>
        <w:rPr>
          <w:rFonts w:cs="Calibri" w:cstheme="minorHAnsi"/>
        </w:rPr>
      </w:r>
    </w:p>
    <w:p>
      <w:pPr>
        <w:pStyle w:val="Normal"/>
        <w:rPr>
          <w:rFonts w:cs="Calibri" w:cstheme="minorHAnsi"/>
        </w:rPr>
      </w:pPr>
      <w:r>
        <w:rPr>
          <w:rFonts w:cs="Calibri" w:cstheme="minorHAnsi"/>
        </w:rPr>
        <w:t xml:space="preserve">Smith, L. T (2012) </w:t>
      </w:r>
      <w:r>
        <w:rPr>
          <w:rFonts w:cs="Calibri" w:cstheme="minorHAnsi"/>
          <w:i/>
        </w:rPr>
        <w:t>Decolonizing Methodologies, Research and Indigenous Peoples</w:t>
      </w:r>
      <w:r>
        <w:rPr>
          <w:rFonts w:cs="Calibri" w:cstheme="minorHAnsi"/>
        </w:rPr>
        <w:t>. 2</w:t>
      </w:r>
      <w:r>
        <w:rPr>
          <w:rFonts w:cs="Calibri" w:cstheme="minorHAnsi"/>
          <w:vertAlign w:val="superscript"/>
        </w:rPr>
        <w:t>nd</w:t>
      </w:r>
      <w:r>
        <w:rPr>
          <w:rFonts w:cs="Calibri" w:cstheme="minorHAnsi"/>
        </w:rPr>
        <w:t xml:space="preserve"> edition. Zed Books: London and NY; Otago University Press: Dunedin. </w:t>
      </w:r>
    </w:p>
    <w:p>
      <w:pPr>
        <w:pStyle w:val="Normal"/>
        <w:rPr>
          <w:rFonts w:cs="Calibri" w:cstheme="minorHAnsi"/>
        </w:rPr>
      </w:pPr>
      <w:r>
        <w:rPr>
          <w:rFonts w:cs="Calibri" w:cstheme="minorHAnsi"/>
        </w:rPr>
        <w:t xml:space="preserve">Taylor, B (2010) </w:t>
      </w:r>
      <w:r>
        <w:rPr>
          <w:rFonts w:cs="Calibri" w:cstheme="minorHAnsi"/>
          <w:i/>
        </w:rPr>
        <w:t>Dark Green Religion</w:t>
      </w:r>
      <w:r>
        <w:rPr>
          <w:rFonts w:cs="Calibri" w:cstheme="minorHAnsi"/>
        </w:rPr>
        <w:t>. University of California Press, Ltd: Berkeley, Los Angeles, London.</w:t>
      </w:r>
    </w:p>
    <w:p>
      <w:pPr>
        <w:pStyle w:val="Normal"/>
        <w:rPr>
          <w:rFonts w:cs="Calibri" w:cstheme="minorHAnsi"/>
        </w:rPr>
      </w:pPr>
      <w:r>
        <w:rPr>
          <w:rFonts w:cs="Calibri" w:cstheme="minorHAnsi"/>
        </w:rPr>
        <w:t xml:space="preserve">Turner, E (2003) ‘The Reality of Spirits’ in Harvey, G (ed.) </w:t>
      </w:r>
      <w:r>
        <w:rPr>
          <w:rFonts w:cs="Calibri" w:cstheme="minorHAnsi"/>
          <w:i/>
        </w:rPr>
        <w:t>Shamanism: A Reader.</w:t>
      </w:r>
      <w:r>
        <w:rPr>
          <w:rFonts w:cs="Calibri" w:cstheme="minorHAnsi"/>
        </w:rPr>
        <w:t xml:space="preserve"> Routledge: London. pp143-152.  </w:t>
      </w:r>
    </w:p>
    <w:p>
      <w:pPr>
        <w:pStyle w:val="Normal"/>
        <w:rPr>
          <w:rFonts w:cs="Calibri" w:cstheme="minorHAnsi"/>
        </w:rPr>
      </w:pPr>
      <w:r>
        <w:rPr>
          <w:rFonts w:cs="Calibri" w:cstheme="minorHAnsi"/>
        </w:rPr>
        <w:t xml:space="preserve">Vaughan-Lee, L (2016) ‘The Call of the Earth’ in Vaughan-Lee, L (ed.) </w:t>
      </w:r>
      <w:r>
        <w:rPr>
          <w:rFonts w:cs="Calibri" w:cstheme="minorHAnsi"/>
          <w:i/>
        </w:rPr>
        <w:t>Spiritual Ecology: The Cry of the Earth</w:t>
      </w:r>
      <w:r>
        <w:rPr>
          <w:rFonts w:cs="Calibri" w:cstheme="minorHAnsi"/>
        </w:rPr>
        <w:t>. 2</w:t>
      </w:r>
      <w:r>
        <w:rPr>
          <w:rFonts w:cs="Calibri" w:cstheme="minorHAnsi"/>
          <w:vertAlign w:val="superscript"/>
        </w:rPr>
        <w:t>nd</w:t>
      </w:r>
      <w:r>
        <w:rPr>
          <w:rFonts w:cs="Calibri" w:cstheme="minorHAnsi"/>
        </w:rPr>
        <w:t xml:space="preserve"> edition. The Golden Sufi Centre: CA, USA. pp.293-306.</w:t>
      </w:r>
    </w:p>
    <w:p>
      <w:pPr>
        <w:pStyle w:val="Normal"/>
        <w:rPr>
          <w:rFonts w:cs="Calibri" w:cstheme="minorHAnsi"/>
        </w:rPr>
      </w:pPr>
      <w:r>
        <w:rPr>
          <w:rFonts w:cs="Calibri" w:cstheme="minorHAnsi"/>
        </w:rPr>
        <w:t xml:space="preserve">Vietbsky, P (2003) ‘From Cosmology to Environmentalism. Shamanism as Local Knowledge in a Global Setting’. in Harvey, G (ed.) </w:t>
      </w:r>
      <w:r>
        <w:rPr>
          <w:rFonts w:cs="Calibri" w:cstheme="minorHAnsi"/>
          <w:i/>
        </w:rPr>
        <w:t>Shamanism: A Reader.</w:t>
      </w:r>
      <w:r>
        <w:rPr>
          <w:rFonts w:cs="Calibri" w:cstheme="minorHAnsi"/>
        </w:rPr>
        <w:t xml:space="preserve"> Routledge: London. pp. 276-298.</w:t>
      </w:r>
    </w:p>
    <w:p>
      <w:pPr>
        <w:pStyle w:val="Normal"/>
        <w:spacing w:lineRule="auto" w:line="240" w:before="0" w:after="0"/>
        <w:contextualSpacing/>
        <w:rPr>
          <w:rFonts w:cs="Calibri" w:cstheme="minorHAnsi"/>
          <w:b/>
          <w:b/>
          <w:bCs/>
        </w:rPr>
      </w:pPr>
      <w:r>
        <w:rPr>
          <w:rFonts w:cs="Calibri" w:cstheme="minorHAnsi"/>
          <w:b/>
          <w:bCs/>
        </w:rPr>
      </w:r>
    </w:p>
    <w:p>
      <w:pPr>
        <w:pStyle w:val="Normal"/>
        <w:spacing w:lineRule="auto" w:line="240" w:before="0" w:after="0"/>
        <w:contextualSpacing/>
        <w:rPr>
          <w:rFonts w:cs="Calibri" w:cstheme="minorHAnsi"/>
          <w:b/>
          <w:b/>
          <w:bCs/>
        </w:rPr>
      </w:pPr>
      <w:r>
        <w:rPr>
          <w:rFonts w:cs="Calibri" w:cstheme="minorHAnsi"/>
          <w:b/>
          <w:bCs/>
        </w:rPr>
      </w:r>
    </w:p>
    <w:p>
      <w:pPr>
        <w:pStyle w:val="Normal"/>
        <w:spacing w:lineRule="auto" w:line="240" w:before="0" w:after="0"/>
        <w:contextualSpacing/>
        <w:rPr>
          <w:rFonts w:cs="Calibri" w:cstheme="minorHAnsi"/>
          <w:b/>
          <w:b/>
          <w:bCs/>
        </w:rPr>
      </w:pPr>
      <w:r>
        <w:rPr>
          <w:rFonts w:cs="Calibri" w:cstheme="minorHAnsi"/>
          <w:b/>
          <w:bCs/>
        </w:rPr>
      </w:r>
    </w:p>
    <w:p>
      <w:pPr>
        <w:pStyle w:val="Normal"/>
        <w:spacing w:lineRule="auto" w:line="240" w:before="0" w:after="0"/>
        <w:rPr>
          <w:rFonts w:cs="Calibri" w:cstheme="minorHAnsi"/>
          <w:b/>
          <w:b/>
        </w:rPr>
      </w:pPr>
      <w:r>
        <w:rPr>
          <w:rFonts w:cs="Calibri" w:cstheme="minorHAnsi"/>
          <w:b/>
        </w:rPr>
      </w:r>
    </w:p>
    <w:p>
      <w:pPr>
        <w:pStyle w:val="Normal"/>
        <w:rPr>
          <w:rFonts w:cs="Calibri" w:cstheme="minorHAnsi"/>
          <w:b/>
          <w:b/>
        </w:rPr>
      </w:pPr>
      <w:r>
        <w:rPr>
          <w:rFonts w:cs="Calibri" w:cstheme="minorHAnsi"/>
          <w:b/>
        </w:rPr>
      </w:r>
    </w:p>
    <w:p>
      <w:pPr>
        <w:pStyle w:val="Normal"/>
        <w:rPr>
          <w:rFonts w:cs="Calibri" w:cstheme="minorHAnsi"/>
          <w:b/>
          <w:b/>
        </w:rPr>
      </w:pPr>
      <w:r>
        <w:rPr>
          <w:rFonts w:cs="Calibri" w:cstheme="minorHAnsi"/>
          <w:b/>
        </w:rPr>
      </w:r>
    </w:p>
    <w:p>
      <w:pPr>
        <w:pStyle w:val="Normal"/>
        <w:rPr>
          <w:rFonts w:cs="Calibri" w:cstheme="minorHAnsi"/>
          <w:b/>
          <w:b/>
        </w:rPr>
      </w:pPr>
      <w:r>
        <w:rPr>
          <w:rFonts w:cs="Calibri" w:cstheme="minorHAnsi"/>
          <w:b/>
        </w:rPr>
      </w:r>
    </w:p>
    <w:p>
      <w:pPr>
        <w:pStyle w:val="Normal"/>
        <w:rPr>
          <w:rFonts w:cs="Calibri" w:cstheme="minorHAnsi"/>
          <w:i/>
          <w:i/>
          <w:color w:val="FF0000"/>
        </w:rPr>
      </w:pPr>
      <w:r>
        <w:rPr>
          <w:rFonts w:cs="Calibri" w:cstheme="minorHAnsi"/>
          <w:i/>
          <w:color w:val="FF0000"/>
        </w:rPr>
      </w:r>
    </w:p>
    <w:p>
      <w:pPr>
        <w:pStyle w:val="Normal"/>
        <w:spacing w:before="0" w:after="200"/>
        <w:rPr/>
      </w:pPr>
      <w:r>
        <w:rPr/>
      </w:r>
    </w:p>
    <w:sectPr>
      <w:headerReference w:type="default" r:id="rId5"/>
      <w:footerReference w:type="default" r:id="rId6"/>
      <w:footnotePr>
        <w:numFmt w:val="decimal"/>
      </w:footnotePr>
      <w:type w:val="nextPage"/>
      <w:pgSz w:w="11906" w:h="16838"/>
      <w:pgMar w:left="1440" w:right="1440" w:header="708" w:top="1440" w:footer="708" w:bottom="1440"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swiss"/>
    <w:pitch w:val="variable"/>
  </w:font>
  <w:font w:name="Georgia">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t>Amy Martin - 1604164</w:t>
    </w:r>
  </w:p>
  <w:p>
    <w:pPr>
      <w:pStyle w:val="Footer"/>
      <w:rPr/>
    </w:pPr>
    <w:r>
      <w:rPr/>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p>
  </w:footnote>
  <w:footnote w:id="1" w:type="continuationSeparator">
    <w:p>
      <w:r>
        <w:continuationSeparator/>
      </w:r>
    </w:p>
  </w:footnote>
  <w:footnote w:id="2">
    <w:p>
      <w:pPr>
        <w:pStyle w:val="Normal"/>
        <w:spacing w:before="0" w:after="200"/>
        <w:rPr/>
      </w:pPr>
      <w:r>
        <w:rPr>
          <w:rFonts w:cs="Calibri" w:cstheme="minorHAnsi"/>
          <w:i/>
        </w:rPr>
        <w:footnoteRef/>
        <w:tab/>
        <w:t xml:space="preserve"> </w:t>
      </w:r>
      <w:r>
        <w:rPr>
          <w:rFonts w:cs="Calibri" w:cstheme="minorHAnsi"/>
          <w:i/>
          <w:iCs/>
        </w:rPr>
        <w:t xml:space="preserve">I feel able to speak about these experiences in terms of academic inquiry due to the excellent work of several anthropologists, including Edith Turner, who says in her discussion of how she, as an anthropologist, ‘went native’: </w:t>
      </w:r>
      <w:r>
        <w:rPr>
          <w:rFonts w:cs="Calibri" w:cstheme="minorHAnsi"/>
          <w:i/>
          <w:iCs/>
          <w:color w:val="000000" w:themeColor="text1"/>
        </w:rPr>
        <w:t xml:space="preserve">‘to reach a peak experience in a ritual, it really is necessary to sink oneself fully in it’ (Turner 2003: 146), and ’We anthropologists need training to see what the Natives see’ (Turner 2003: 150). Apffel-Marglin explains how performing </w:t>
      </w:r>
      <w:r>
        <w:rPr>
          <w:rFonts w:cs="Calibri" w:cstheme="minorHAnsi"/>
          <w:i/>
          <w:iCs/>
        </w:rPr>
        <w:t xml:space="preserve">rituals in India and at home ‘had transformed a secular Western anthropologist into a person with a very different relationship to rituals and to the beings that were invoked and conversed with during their enactment’ (Apffel-Marglin 2011: 8). </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493133096"/>
    </w:sdtPr>
    <w:sdtContent>
      <w:p>
        <w:pPr>
          <w:pStyle w:val="Header"/>
          <w:jc w:val="right"/>
          <w:rPr/>
        </w:pPr>
        <w:r>
          <w:rPr/>
          <w:fldChar w:fldCharType="begin"/>
        </w:r>
        <w:r>
          <w:instrText> PAGE </w:instrText>
        </w:r>
        <w:r>
          <w:fldChar w:fldCharType="separate"/>
        </w:r>
        <w:r>
          <w:t>10</w:t>
        </w:r>
        <w:r>
          <w:fldChar w:fldCharType="end"/>
        </w:r>
      </w:p>
    </w:sdtContent>
  </w:sdt>
  <w:p>
    <w:pPr>
      <w:pStyle w:val="Header"/>
      <w:rPr/>
    </w:pPr>
    <w:r>
      <w:rPr/>
    </w:r>
  </w:p>
</w:hdr>
</file>

<file path=word/settings.xml><?xml version="1.0" encoding="utf-8"?>
<w:settings xmlns:w="http://schemas.openxmlformats.org/wordprocessingml/2006/main">
  <w:zoom w:percent="140"/>
  <w:defaultTabStop w:val="720"/>
  <w:footnotePr>
    <w:numFmt w:val="decimal"/>
    <w:footnote w:id="0"/>
    <w:footnote w:id="1"/>
  </w:foot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76" w:before="0" w:after="200"/>
      <w:jc w:val="left"/>
    </w:pPr>
    <w:rPr>
      <w:rFonts w:ascii="Calibri" w:hAnsi="Calibri" w:eastAsia="Calibri" w:cs="" w:asciiTheme="minorHAnsi" w:cstheme="minorBidi" w:eastAsiaTheme="minorHAnsi" w:hAnsiTheme="minorHAnsi"/>
      <w:color w:val="auto"/>
      <w:sz w:val="22"/>
      <w:szCs w:val="22"/>
      <w:lang w:val="en-GB" w:eastAsia="en-US" w:bidi="ar-SA"/>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7f72e9"/>
    <w:rPr/>
  </w:style>
  <w:style w:type="character" w:styleId="FooterChar" w:customStyle="1">
    <w:name w:val="Footer Char"/>
    <w:basedOn w:val="DefaultParagraphFont"/>
    <w:link w:val="Footer"/>
    <w:uiPriority w:val="99"/>
    <w:qFormat/>
    <w:rsid w:val="007f72e9"/>
    <w:rPr/>
  </w:style>
  <w:style w:type="character" w:styleId="BalloonTextChar" w:customStyle="1">
    <w:name w:val="Balloon Text Char"/>
    <w:basedOn w:val="DefaultParagraphFont"/>
    <w:link w:val="BalloonText"/>
    <w:uiPriority w:val="99"/>
    <w:semiHidden/>
    <w:qFormat/>
    <w:rsid w:val="007f72e9"/>
    <w:rPr>
      <w:rFonts w:ascii="Tahoma" w:hAnsi="Tahoma" w:cs="Tahoma"/>
      <w:sz w:val="16"/>
      <w:szCs w:val="16"/>
    </w:rPr>
  </w:style>
  <w:style w:type="character" w:styleId="InternetLink">
    <w:name w:val="Internet Link"/>
    <w:basedOn w:val="DefaultParagraphFont"/>
    <w:uiPriority w:val="99"/>
    <w:unhideWhenUsed/>
    <w:rsid w:val="00dd1e2e"/>
    <w:rPr>
      <w:color w:val="0000FF" w:themeColor="hyperlink"/>
      <w:u w:val="single"/>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spacing w:before="240" w:after="120"/>
    </w:pPr>
    <w:rPr>
      <w:rFonts w:ascii="Liberation Sans" w:hAnsi="Liberation Sans" w:eastAsia="Microsoft YaHei" w:cs="Mang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rPr>
  </w:style>
  <w:style w:type="paragraph" w:styleId="Header">
    <w:name w:val="Header"/>
    <w:basedOn w:val="Normal"/>
    <w:link w:val="HeaderChar"/>
    <w:uiPriority w:val="99"/>
    <w:unhideWhenUsed/>
    <w:rsid w:val="007f72e9"/>
    <w:pPr>
      <w:tabs>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7f72e9"/>
    <w:pPr>
      <w:tabs>
        <w:tab w:val="center" w:pos="4513" w:leader="none"/>
        <w:tab w:val="right" w:pos="9026" w:leader="none"/>
      </w:tabs>
      <w:spacing w:lineRule="auto" w:line="240" w:before="0" w:after="0"/>
    </w:pPr>
    <w:rPr/>
  </w:style>
  <w:style w:type="paragraph" w:styleId="BalloonText">
    <w:name w:val="Balloon Text"/>
    <w:basedOn w:val="Normal"/>
    <w:link w:val="BalloonTextChar"/>
    <w:uiPriority w:val="99"/>
    <w:semiHidden/>
    <w:unhideWhenUsed/>
    <w:qFormat/>
    <w:rsid w:val="007f72e9"/>
    <w:pPr>
      <w:spacing w:lineRule="auto" w:line="240" w:before="0" w:after="0"/>
    </w:pPr>
    <w:rPr>
      <w:rFonts w:ascii="Tahoma" w:hAnsi="Tahoma" w:cs="Tahoma"/>
      <w:sz w:val="16"/>
      <w:szCs w:val="16"/>
    </w:rPr>
  </w:style>
  <w:style w:type="paragraph" w:styleId="Footnote">
    <w:name w:val="Footnote Text"/>
    <w:basedOn w:val="Normal"/>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arts.brighton.ac.uk/__data/assets/pdf_file/0010/6103/Beauty-as-a-Way-of-Knowing2.pdf" TargetMode="External"/><Relationship Id="rId4" Type="http://schemas.openxmlformats.org/officeDocument/2006/relationships/hyperlink" Target="http://www.jstor.org/stable/canajeducrevucan.33.4.925" TargetMode="Externa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3360</TotalTime>
  <Application>LibreOffice/5.2.1.2$Windows_X86_64 LibreOffice_project/31dd62db80d4e60af04904455ec9c9219178d620</Application>
  <Pages>10</Pages>
  <Words>3521</Words>
  <Characters>20019</Characters>
  <CharactersWithSpaces>23476</CharactersWithSpaces>
  <Paragraphs>95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2018-04-10T08:02:00Z</dcterms:created>
  <dc:creator>user</dc:creator>
  <dc:description/>
  <dc:language>en-GB</dc:language>
  <cp:lastModifiedBy/>
  <dcterms:modified xsi:type="dcterms:W3CDTF">2018-05-14T14:42:49Z</dcterms:modified>
  <cp:revision>44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