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pPr>
    </w:p>
    <w:p>
      <w:pPr>
        <w:spacing w:line="360" w:lineRule="auto"/>
        <w:jc w:val="center"/>
      </w:pPr>
      <w:r>
        <w:drawing>
          <wp:inline distT="0" distB="0" distL="0" distR="0">
            <wp:extent cx="4658360" cy="2066925"/>
            <wp:effectExtent l="0" t="0" r="8890" b="0"/>
            <wp:docPr id="1438667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667627" name="Picture 1"/>
                    <pic:cNvPicPr>
                      <a:picLocks noChangeAspect="1"/>
                    </pic:cNvPicPr>
                  </pic:nvPicPr>
                  <pic:blipFill>
                    <a:blip r:embed="rId7"/>
                    <a:stretch>
                      <a:fillRect/>
                    </a:stretch>
                  </pic:blipFill>
                  <pic:spPr>
                    <a:xfrm>
                      <a:off x="0" y="0"/>
                      <a:ext cx="4664297" cy="2069372"/>
                    </a:xfrm>
                    <a:prstGeom prst="rect">
                      <a:avLst/>
                    </a:prstGeom>
                  </pic:spPr>
                </pic:pic>
              </a:graphicData>
            </a:graphic>
          </wp:inline>
        </w:drawing>
      </w: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center"/>
        <w:rPr>
          <w:b/>
          <w:bCs/>
          <w:sz w:val="28"/>
          <w:szCs w:val="24"/>
        </w:rPr>
      </w:pPr>
      <w:r>
        <w:rPr>
          <w:b/>
          <w:bCs/>
          <w:sz w:val="28"/>
          <w:szCs w:val="24"/>
        </w:rPr>
        <w:t>Programme: MBA- Master of Business Administration</w:t>
      </w:r>
    </w:p>
    <w:p>
      <w:pPr>
        <w:spacing w:line="360" w:lineRule="auto"/>
        <w:jc w:val="center"/>
        <w:rPr>
          <w:rFonts w:hint="default"/>
          <w:b/>
          <w:bCs/>
          <w:sz w:val="28"/>
          <w:szCs w:val="24"/>
          <w:lang w:val="en-US"/>
        </w:rPr>
      </w:pPr>
      <w:r>
        <w:rPr>
          <w:b/>
          <w:bCs/>
          <w:sz w:val="28"/>
          <w:szCs w:val="24"/>
        </w:rPr>
        <w:t xml:space="preserve">Module: Marketing Management – Assessment </w:t>
      </w:r>
      <w:r>
        <w:rPr>
          <w:rFonts w:hint="default"/>
          <w:b/>
          <w:bCs/>
          <w:sz w:val="28"/>
          <w:szCs w:val="24"/>
          <w:lang w:val="en-US"/>
        </w:rPr>
        <w:t>1</w:t>
      </w:r>
    </w:p>
    <w:p>
      <w:pPr>
        <w:spacing w:line="360" w:lineRule="auto"/>
        <w:jc w:val="center"/>
        <w:rPr>
          <w:rFonts w:hint="default"/>
          <w:b/>
          <w:bCs/>
          <w:sz w:val="28"/>
          <w:szCs w:val="24"/>
          <w:lang w:val="en-US"/>
        </w:rPr>
      </w:pPr>
      <w:r>
        <w:rPr>
          <w:rFonts w:hint="default"/>
          <w:b/>
          <w:bCs/>
          <w:sz w:val="28"/>
          <w:szCs w:val="24"/>
          <w:lang w:val="en-US"/>
        </w:rPr>
        <w:t>Professor Name: Tushara balendran</w:t>
      </w:r>
    </w:p>
    <w:p>
      <w:pPr>
        <w:spacing w:line="360" w:lineRule="auto"/>
        <w:jc w:val="center"/>
        <w:rPr>
          <w:rFonts w:hint="default"/>
          <w:b/>
          <w:bCs/>
          <w:sz w:val="28"/>
          <w:szCs w:val="24"/>
          <w:lang w:val="en-US"/>
        </w:rPr>
      </w:pPr>
      <w:r>
        <w:rPr>
          <w:rFonts w:hint="default"/>
          <w:b/>
          <w:bCs/>
          <w:sz w:val="28"/>
          <w:szCs w:val="24"/>
          <w:lang w:val="en-US"/>
        </w:rPr>
        <w:t>Student ID:2237335</w:t>
      </w:r>
      <w:bookmarkStart w:id="21" w:name="_GoBack"/>
      <w:bookmarkEnd w:id="21"/>
    </w:p>
    <w:p>
      <w:pPr>
        <w:spacing w:line="360" w:lineRule="auto"/>
        <w:jc w:val="center"/>
        <w:rPr>
          <w:b/>
          <w:bCs/>
          <w:sz w:val="28"/>
          <w:szCs w:val="24"/>
        </w:rPr>
      </w:pPr>
      <w:r>
        <w:rPr>
          <w:b/>
          <w:bCs/>
          <w:sz w:val="28"/>
          <w:szCs w:val="24"/>
        </w:rPr>
        <w:t>Module code: LCMB7001</w:t>
      </w:r>
    </w:p>
    <w:p>
      <w:pPr>
        <w:spacing w:line="360" w:lineRule="auto"/>
        <w:jc w:val="center"/>
        <w:rPr>
          <w:b/>
          <w:bCs/>
          <w:sz w:val="28"/>
          <w:szCs w:val="24"/>
        </w:rPr>
      </w:pPr>
      <w:r>
        <w:rPr>
          <w:b/>
          <w:bCs/>
          <w:sz w:val="28"/>
          <w:szCs w:val="24"/>
        </w:rPr>
        <w:t>Word Count: 2150</w:t>
      </w:r>
    </w:p>
    <w:p>
      <w:pPr>
        <w:spacing w:line="360" w:lineRule="auto"/>
        <w:jc w:val="center"/>
        <w:rPr>
          <w:b/>
          <w:bCs/>
          <w:sz w:val="28"/>
          <w:szCs w:val="24"/>
        </w:rPr>
      </w:pPr>
    </w:p>
    <w:p>
      <w:pPr>
        <w:spacing w:line="360" w:lineRule="auto"/>
        <w:jc w:val="center"/>
        <w:rPr>
          <w:b/>
          <w:bCs/>
          <w:sz w:val="28"/>
          <w:szCs w:val="24"/>
        </w:rPr>
      </w:pPr>
    </w:p>
    <w:p>
      <w:pPr>
        <w:spacing w:line="360" w:lineRule="auto"/>
        <w:jc w:val="center"/>
        <w:rPr>
          <w:b/>
          <w:bCs/>
          <w:sz w:val="28"/>
          <w:szCs w:val="24"/>
        </w:rPr>
      </w:pPr>
    </w:p>
    <w:p>
      <w:pPr>
        <w:spacing w:line="360" w:lineRule="auto"/>
        <w:jc w:val="center"/>
        <w:rPr>
          <w:b/>
          <w:bCs/>
          <w:sz w:val="28"/>
          <w:szCs w:val="24"/>
        </w:rPr>
      </w:pPr>
    </w:p>
    <w:p>
      <w:pPr>
        <w:spacing w:line="360" w:lineRule="auto"/>
        <w:jc w:val="center"/>
        <w:rPr>
          <w:b/>
          <w:bCs/>
          <w:sz w:val="28"/>
          <w:szCs w:val="24"/>
        </w:rPr>
      </w:pPr>
    </w:p>
    <w:p>
      <w:pPr>
        <w:spacing w:line="360" w:lineRule="auto"/>
        <w:jc w:val="center"/>
        <w:rPr>
          <w:b/>
          <w:bCs/>
          <w:sz w:val="28"/>
          <w:szCs w:val="24"/>
        </w:rPr>
      </w:pPr>
    </w:p>
    <w:p>
      <w:pPr>
        <w:spacing w:line="360" w:lineRule="auto"/>
        <w:jc w:val="center"/>
        <w:rPr>
          <w:b/>
          <w:bCs/>
          <w:sz w:val="28"/>
          <w:szCs w:val="24"/>
        </w:rPr>
      </w:pPr>
    </w:p>
    <w:p>
      <w:pPr>
        <w:spacing w:line="360" w:lineRule="auto"/>
        <w:jc w:val="center"/>
        <w:rPr>
          <w:b/>
          <w:bCs/>
          <w:sz w:val="28"/>
          <w:szCs w:val="24"/>
        </w:rPr>
      </w:pPr>
    </w:p>
    <w:p>
      <w:pPr>
        <w:spacing w:line="360" w:lineRule="auto"/>
        <w:jc w:val="center"/>
        <w:rPr>
          <w:b/>
          <w:bCs/>
          <w:sz w:val="28"/>
          <w:szCs w:val="24"/>
        </w:rPr>
      </w:pPr>
    </w:p>
    <w:p>
      <w:pPr>
        <w:spacing w:line="360" w:lineRule="auto"/>
        <w:jc w:val="center"/>
        <w:rPr>
          <w:b/>
          <w:bCs/>
          <w:sz w:val="28"/>
          <w:szCs w:val="24"/>
        </w:rPr>
      </w:pPr>
    </w:p>
    <w:p>
      <w:pPr>
        <w:spacing w:line="360" w:lineRule="auto"/>
        <w:jc w:val="center"/>
        <w:rPr>
          <w:b/>
          <w:bCs/>
          <w:sz w:val="28"/>
          <w:szCs w:val="24"/>
        </w:rPr>
      </w:pPr>
    </w:p>
    <w:sdt>
      <w:sdtPr>
        <w:rPr>
          <w:rFonts w:ascii="Times New Roman" w:hAnsi="Times New Roman" w:cs="Arial" w:eastAsiaTheme="minorHAnsi"/>
          <w:color w:val="auto"/>
          <w:sz w:val="24"/>
          <w:szCs w:val="22"/>
          <w:lang w:val="en-GB"/>
        </w:rPr>
        <w:id w:val="-766691210"/>
        <w:docPartObj>
          <w:docPartGallery w:val="Table of Contents"/>
          <w:docPartUnique/>
        </w:docPartObj>
      </w:sdtPr>
      <w:sdtEndPr>
        <w:rPr>
          <w:rFonts w:ascii="Times New Roman" w:hAnsi="Times New Roman" w:cs="Arial" w:eastAsiaTheme="minorHAnsi"/>
          <w:b/>
          <w:bCs/>
          <w:color w:val="auto"/>
          <w:sz w:val="24"/>
          <w:szCs w:val="22"/>
          <w:lang w:val="en-GB"/>
        </w:rPr>
      </w:sdtEndPr>
      <w:sdtContent>
        <w:p>
          <w:pPr>
            <w:pStyle w:val="20"/>
          </w:pPr>
          <w:r>
            <w:t>Table of Contents</w:t>
          </w:r>
        </w:p>
        <w:p>
          <w:pPr>
            <w:pStyle w:val="12"/>
            <w:tabs>
              <w:tab w:val="left" w:pos="480"/>
              <w:tab w:val="right" w:leader="dot" w:pos="9016"/>
            </w:tabs>
            <w:rPr>
              <w:rFonts w:asciiTheme="minorHAnsi" w:hAnsiTheme="minorHAnsi" w:eastAsiaTheme="minorEastAsia" w:cstheme="minorBidi"/>
              <w:kern w:val="2"/>
              <w:sz w:val="22"/>
              <w:lang w:val="zh-CN" w:eastAsia="zh-CN"/>
              <w14:ligatures w14:val="standardContextual"/>
            </w:rPr>
          </w:pPr>
          <w:r>
            <w:fldChar w:fldCharType="begin"/>
          </w:r>
          <w:r>
            <w:instrText xml:space="preserve"> TOC \o "1-3" \h \z \u </w:instrText>
          </w:r>
          <w:r>
            <w:fldChar w:fldCharType="separate"/>
          </w:r>
          <w:r>
            <w:fldChar w:fldCharType="begin"/>
          </w:r>
          <w:r>
            <w:instrText xml:space="preserve"> HYPERLINK \l "_Toc143511471" </w:instrText>
          </w:r>
          <w:r>
            <w:fldChar w:fldCharType="separate"/>
          </w:r>
          <w:r>
            <w:rPr>
              <w:rStyle w:val="10"/>
            </w:rPr>
            <w:t>1.</w:t>
          </w:r>
          <w:r>
            <w:rPr>
              <w:rFonts w:asciiTheme="minorHAnsi" w:hAnsiTheme="minorHAnsi" w:eastAsiaTheme="minorEastAsia" w:cstheme="minorBidi"/>
              <w:kern w:val="2"/>
              <w:sz w:val="22"/>
              <w:lang w:val="zh-CN" w:eastAsia="zh-CN"/>
              <w14:ligatures w14:val="standardContextual"/>
            </w:rPr>
            <w:tab/>
          </w:r>
          <w:r>
            <w:rPr>
              <w:rStyle w:val="10"/>
            </w:rPr>
            <w:t>Introduction</w:t>
          </w:r>
          <w:r>
            <w:tab/>
          </w:r>
          <w:r>
            <w:fldChar w:fldCharType="begin"/>
          </w:r>
          <w:r>
            <w:instrText xml:space="preserve"> PAGEREF _Toc143511471 \h </w:instrText>
          </w:r>
          <w:r>
            <w:fldChar w:fldCharType="separate"/>
          </w:r>
          <w:r>
            <w:t>4</w:t>
          </w:r>
          <w:r>
            <w:fldChar w:fldCharType="end"/>
          </w:r>
          <w:r>
            <w:fldChar w:fldCharType="end"/>
          </w:r>
        </w:p>
        <w:p>
          <w:pPr>
            <w:pStyle w:val="12"/>
            <w:tabs>
              <w:tab w:val="left" w:pos="480"/>
              <w:tab w:val="right" w:leader="dot" w:pos="9016"/>
            </w:tabs>
            <w:rPr>
              <w:rFonts w:asciiTheme="minorHAnsi" w:hAnsiTheme="minorHAnsi" w:eastAsiaTheme="minorEastAsia" w:cstheme="minorBidi"/>
              <w:kern w:val="2"/>
              <w:sz w:val="22"/>
              <w:lang w:val="zh-CN" w:eastAsia="zh-CN"/>
              <w14:ligatures w14:val="standardContextual"/>
            </w:rPr>
          </w:pPr>
          <w:r>
            <w:fldChar w:fldCharType="begin"/>
          </w:r>
          <w:r>
            <w:instrText xml:space="preserve"> HYPERLINK \l "_Toc143511472" </w:instrText>
          </w:r>
          <w:r>
            <w:fldChar w:fldCharType="separate"/>
          </w:r>
          <w:r>
            <w:rPr>
              <w:rStyle w:val="10"/>
            </w:rPr>
            <w:t>2.</w:t>
          </w:r>
          <w:r>
            <w:rPr>
              <w:rFonts w:asciiTheme="minorHAnsi" w:hAnsiTheme="minorHAnsi" w:eastAsiaTheme="minorEastAsia" w:cstheme="minorBidi"/>
              <w:kern w:val="2"/>
              <w:sz w:val="22"/>
              <w:lang w:val="zh-CN" w:eastAsia="zh-CN"/>
              <w14:ligatures w14:val="standardContextual"/>
            </w:rPr>
            <w:tab/>
          </w:r>
          <w:r>
            <w:rPr>
              <w:rStyle w:val="10"/>
            </w:rPr>
            <w:t>Environmental Marketing Analysis</w:t>
          </w:r>
          <w:r>
            <w:tab/>
          </w:r>
          <w:r>
            <w:fldChar w:fldCharType="begin"/>
          </w:r>
          <w:r>
            <w:instrText xml:space="preserve"> PAGEREF _Toc143511472 \h </w:instrText>
          </w:r>
          <w:r>
            <w:fldChar w:fldCharType="separate"/>
          </w:r>
          <w:r>
            <w:t>4</w:t>
          </w:r>
          <w:r>
            <w:fldChar w:fldCharType="end"/>
          </w:r>
          <w:r>
            <w:fldChar w:fldCharType="end"/>
          </w:r>
        </w:p>
        <w:p>
          <w:pPr>
            <w:pStyle w:val="13"/>
            <w:tabs>
              <w:tab w:val="left" w:pos="880"/>
              <w:tab w:val="right" w:leader="dot" w:pos="9016"/>
            </w:tabs>
            <w:rPr>
              <w:rFonts w:asciiTheme="minorHAnsi" w:hAnsiTheme="minorHAnsi" w:eastAsiaTheme="minorEastAsia" w:cstheme="minorBidi"/>
              <w:kern w:val="2"/>
              <w:sz w:val="22"/>
              <w:lang w:val="zh-CN" w:eastAsia="zh-CN"/>
              <w14:ligatures w14:val="standardContextual"/>
            </w:rPr>
          </w:pPr>
          <w:r>
            <w:fldChar w:fldCharType="begin"/>
          </w:r>
          <w:r>
            <w:instrText xml:space="preserve"> HYPERLINK \l "_Toc143511473" </w:instrText>
          </w:r>
          <w:r>
            <w:fldChar w:fldCharType="separate"/>
          </w:r>
          <w:r>
            <w:rPr>
              <w:rStyle w:val="10"/>
            </w:rPr>
            <w:t>2.1.</w:t>
          </w:r>
          <w:r>
            <w:rPr>
              <w:rFonts w:asciiTheme="minorHAnsi" w:hAnsiTheme="minorHAnsi" w:eastAsiaTheme="minorEastAsia" w:cstheme="minorBidi"/>
              <w:kern w:val="2"/>
              <w:sz w:val="22"/>
              <w:lang w:val="zh-CN" w:eastAsia="zh-CN"/>
              <w14:ligatures w14:val="standardContextual"/>
            </w:rPr>
            <w:tab/>
          </w:r>
          <w:r>
            <w:rPr>
              <w:rStyle w:val="10"/>
            </w:rPr>
            <w:t>External Market Analysis Using PESTLE Analysis</w:t>
          </w:r>
          <w:r>
            <w:tab/>
          </w:r>
          <w:r>
            <w:fldChar w:fldCharType="begin"/>
          </w:r>
          <w:r>
            <w:instrText xml:space="preserve"> PAGEREF _Toc143511473 \h </w:instrText>
          </w:r>
          <w:r>
            <w:fldChar w:fldCharType="separate"/>
          </w:r>
          <w:r>
            <w:t>4</w:t>
          </w:r>
          <w:r>
            <w:fldChar w:fldCharType="end"/>
          </w:r>
          <w:r>
            <w:fldChar w:fldCharType="end"/>
          </w:r>
        </w:p>
        <w:p>
          <w:pPr>
            <w:pStyle w:val="14"/>
            <w:tabs>
              <w:tab w:val="left" w:pos="1320"/>
              <w:tab w:val="right" w:leader="dot" w:pos="9016"/>
            </w:tabs>
            <w:rPr>
              <w:rFonts w:asciiTheme="minorHAnsi" w:hAnsiTheme="minorHAnsi" w:eastAsiaTheme="minorEastAsia" w:cstheme="minorBidi"/>
              <w:kern w:val="2"/>
              <w:sz w:val="22"/>
              <w:lang w:val="zh-CN" w:eastAsia="zh-CN"/>
              <w14:ligatures w14:val="standardContextual"/>
            </w:rPr>
          </w:pPr>
          <w:r>
            <w:fldChar w:fldCharType="begin"/>
          </w:r>
          <w:r>
            <w:instrText xml:space="preserve"> HYPERLINK \l "_Toc143511474" </w:instrText>
          </w:r>
          <w:r>
            <w:fldChar w:fldCharType="separate"/>
          </w:r>
          <w:r>
            <w:rPr>
              <w:rStyle w:val="10"/>
            </w:rPr>
            <w:t>2.1.1.</w:t>
          </w:r>
          <w:r>
            <w:rPr>
              <w:rFonts w:asciiTheme="minorHAnsi" w:hAnsiTheme="minorHAnsi" w:eastAsiaTheme="minorEastAsia" w:cstheme="minorBidi"/>
              <w:kern w:val="2"/>
              <w:sz w:val="22"/>
              <w:lang w:val="zh-CN" w:eastAsia="zh-CN"/>
              <w14:ligatures w14:val="standardContextual"/>
            </w:rPr>
            <w:tab/>
          </w:r>
          <w:r>
            <w:rPr>
              <w:rStyle w:val="10"/>
            </w:rPr>
            <w:t>Political</w:t>
          </w:r>
          <w:r>
            <w:tab/>
          </w:r>
          <w:r>
            <w:fldChar w:fldCharType="begin"/>
          </w:r>
          <w:r>
            <w:instrText xml:space="preserve"> PAGEREF _Toc143511474 \h </w:instrText>
          </w:r>
          <w:r>
            <w:fldChar w:fldCharType="separate"/>
          </w:r>
          <w:r>
            <w:t>4</w:t>
          </w:r>
          <w:r>
            <w:fldChar w:fldCharType="end"/>
          </w:r>
          <w:r>
            <w:fldChar w:fldCharType="end"/>
          </w:r>
        </w:p>
        <w:p>
          <w:pPr>
            <w:pStyle w:val="14"/>
            <w:tabs>
              <w:tab w:val="left" w:pos="1320"/>
              <w:tab w:val="right" w:leader="dot" w:pos="9016"/>
            </w:tabs>
            <w:rPr>
              <w:rFonts w:asciiTheme="minorHAnsi" w:hAnsiTheme="minorHAnsi" w:eastAsiaTheme="minorEastAsia" w:cstheme="minorBidi"/>
              <w:kern w:val="2"/>
              <w:sz w:val="22"/>
              <w:lang w:val="zh-CN" w:eastAsia="zh-CN"/>
              <w14:ligatures w14:val="standardContextual"/>
            </w:rPr>
          </w:pPr>
          <w:r>
            <w:fldChar w:fldCharType="begin"/>
          </w:r>
          <w:r>
            <w:instrText xml:space="preserve"> HYPERLINK \l "_Toc143511475" </w:instrText>
          </w:r>
          <w:r>
            <w:fldChar w:fldCharType="separate"/>
          </w:r>
          <w:r>
            <w:rPr>
              <w:rStyle w:val="10"/>
            </w:rPr>
            <w:t>2.1.2.</w:t>
          </w:r>
          <w:r>
            <w:rPr>
              <w:rFonts w:asciiTheme="minorHAnsi" w:hAnsiTheme="minorHAnsi" w:eastAsiaTheme="minorEastAsia" w:cstheme="minorBidi"/>
              <w:kern w:val="2"/>
              <w:sz w:val="22"/>
              <w:lang w:val="zh-CN" w:eastAsia="zh-CN"/>
              <w14:ligatures w14:val="standardContextual"/>
            </w:rPr>
            <w:tab/>
          </w:r>
          <w:r>
            <w:rPr>
              <w:rStyle w:val="10"/>
            </w:rPr>
            <w:t>Economic</w:t>
          </w:r>
          <w:r>
            <w:tab/>
          </w:r>
          <w:r>
            <w:fldChar w:fldCharType="begin"/>
          </w:r>
          <w:r>
            <w:instrText xml:space="preserve"> PAGEREF _Toc143511475 \h </w:instrText>
          </w:r>
          <w:r>
            <w:fldChar w:fldCharType="separate"/>
          </w:r>
          <w:r>
            <w:t>5</w:t>
          </w:r>
          <w:r>
            <w:fldChar w:fldCharType="end"/>
          </w:r>
          <w:r>
            <w:fldChar w:fldCharType="end"/>
          </w:r>
        </w:p>
        <w:p>
          <w:pPr>
            <w:pStyle w:val="14"/>
            <w:tabs>
              <w:tab w:val="left" w:pos="1320"/>
              <w:tab w:val="right" w:leader="dot" w:pos="9016"/>
            </w:tabs>
            <w:rPr>
              <w:rFonts w:asciiTheme="minorHAnsi" w:hAnsiTheme="minorHAnsi" w:eastAsiaTheme="minorEastAsia" w:cstheme="minorBidi"/>
              <w:kern w:val="2"/>
              <w:sz w:val="22"/>
              <w:lang w:val="zh-CN" w:eastAsia="zh-CN"/>
              <w14:ligatures w14:val="standardContextual"/>
            </w:rPr>
          </w:pPr>
          <w:r>
            <w:fldChar w:fldCharType="begin"/>
          </w:r>
          <w:r>
            <w:instrText xml:space="preserve"> HYPERLINK \l "_Toc143511476" </w:instrText>
          </w:r>
          <w:r>
            <w:fldChar w:fldCharType="separate"/>
          </w:r>
          <w:r>
            <w:rPr>
              <w:rStyle w:val="10"/>
            </w:rPr>
            <w:t>2.1.3.</w:t>
          </w:r>
          <w:r>
            <w:rPr>
              <w:rFonts w:asciiTheme="minorHAnsi" w:hAnsiTheme="minorHAnsi" w:eastAsiaTheme="minorEastAsia" w:cstheme="minorBidi"/>
              <w:kern w:val="2"/>
              <w:sz w:val="22"/>
              <w:lang w:val="zh-CN" w:eastAsia="zh-CN"/>
              <w14:ligatures w14:val="standardContextual"/>
            </w:rPr>
            <w:tab/>
          </w:r>
          <w:r>
            <w:rPr>
              <w:rStyle w:val="10"/>
            </w:rPr>
            <w:t>Socio-cultural</w:t>
          </w:r>
          <w:r>
            <w:tab/>
          </w:r>
          <w:r>
            <w:fldChar w:fldCharType="begin"/>
          </w:r>
          <w:r>
            <w:instrText xml:space="preserve"> PAGEREF _Toc143511476 \h </w:instrText>
          </w:r>
          <w:r>
            <w:fldChar w:fldCharType="separate"/>
          </w:r>
          <w:r>
            <w:t>6</w:t>
          </w:r>
          <w:r>
            <w:fldChar w:fldCharType="end"/>
          </w:r>
          <w:r>
            <w:fldChar w:fldCharType="end"/>
          </w:r>
        </w:p>
        <w:p>
          <w:pPr>
            <w:pStyle w:val="14"/>
            <w:tabs>
              <w:tab w:val="left" w:pos="1320"/>
              <w:tab w:val="right" w:leader="dot" w:pos="9016"/>
            </w:tabs>
            <w:rPr>
              <w:rFonts w:asciiTheme="minorHAnsi" w:hAnsiTheme="minorHAnsi" w:eastAsiaTheme="minorEastAsia" w:cstheme="minorBidi"/>
              <w:kern w:val="2"/>
              <w:sz w:val="22"/>
              <w:lang w:val="zh-CN" w:eastAsia="zh-CN"/>
              <w14:ligatures w14:val="standardContextual"/>
            </w:rPr>
          </w:pPr>
          <w:r>
            <w:fldChar w:fldCharType="begin"/>
          </w:r>
          <w:r>
            <w:instrText xml:space="preserve"> HYPERLINK \l "_Toc143511477" </w:instrText>
          </w:r>
          <w:r>
            <w:fldChar w:fldCharType="separate"/>
          </w:r>
          <w:r>
            <w:rPr>
              <w:rStyle w:val="10"/>
            </w:rPr>
            <w:t>2.1.4.</w:t>
          </w:r>
          <w:r>
            <w:rPr>
              <w:rFonts w:asciiTheme="minorHAnsi" w:hAnsiTheme="minorHAnsi" w:eastAsiaTheme="minorEastAsia" w:cstheme="minorBidi"/>
              <w:kern w:val="2"/>
              <w:sz w:val="22"/>
              <w:lang w:val="zh-CN" w:eastAsia="zh-CN"/>
              <w14:ligatures w14:val="standardContextual"/>
            </w:rPr>
            <w:tab/>
          </w:r>
          <w:r>
            <w:rPr>
              <w:rStyle w:val="10"/>
            </w:rPr>
            <w:t>Technological</w:t>
          </w:r>
          <w:r>
            <w:tab/>
          </w:r>
          <w:r>
            <w:fldChar w:fldCharType="begin"/>
          </w:r>
          <w:r>
            <w:instrText xml:space="preserve"> PAGEREF _Toc143511477 \h </w:instrText>
          </w:r>
          <w:r>
            <w:fldChar w:fldCharType="separate"/>
          </w:r>
          <w:r>
            <w:t>7</w:t>
          </w:r>
          <w:r>
            <w:fldChar w:fldCharType="end"/>
          </w:r>
          <w:r>
            <w:fldChar w:fldCharType="end"/>
          </w:r>
        </w:p>
        <w:p>
          <w:pPr>
            <w:pStyle w:val="14"/>
            <w:tabs>
              <w:tab w:val="left" w:pos="1320"/>
              <w:tab w:val="right" w:leader="dot" w:pos="9016"/>
            </w:tabs>
            <w:rPr>
              <w:rFonts w:asciiTheme="minorHAnsi" w:hAnsiTheme="minorHAnsi" w:eastAsiaTheme="minorEastAsia" w:cstheme="minorBidi"/>
              <w:kern w:val="2"/>
              <w:sz w:val="22"/>
              <w:lang w:val="zh-CN" w:eastAsia="zh-CN"/>
              <w14:ligatures w14:val="standardContextual"/>
            </w:rPr>
          </w:pPr>
          <w:r>
            <w:fldChar w:fldCharType="begin"/>
          </w:r>
          <w:r>
            <w:instrText xml:space="preserve"> HYPERLINK \l "_Toc143511478" </w:instrText>
          </w:r>
          <w:r>
            <w:fldChar w:fldCharType="separate"/>
          </w:r>
          <w:r>
            <w:rPr>
              <w:rStyle w:val="10"/>
            </w:rPr>
            <w:t>2.1.5.</w:t>
          </w:r>
          <w:r>
            <w:rPr>
              <w:rFonts w:asciiTheme="minorHAnsi" w:hAnsiTheme="minorHAnsi" w:eastAsiaTheme="minorEastAsia" w:cstheme="minorBidi"/>
              <w:kern w:val="2"/>
              <w:sz w:val="22"/>
              <w:lang w:val="zh-CN" w:eastAsia="zh-CN"/>
              <w14:ligatures w14:val="standardContextual"/>
            </w:rPr>
            <w:tab/>
          </w:r>
          <w:r>
            <w:rPr>
              <w:rStyle w:val="10"/>
            </w:rPr>
            <w:t>Legal</w:t>
          </w:r>
          <w:r>
            <w:tab/>
          </w:r>
          <w:r>
            <w:fldChar w:fldCharType="begin"/>
          </w:r>
          <w:r>
            <w:instrText xml:space="preserve"> PAGEREF _Toc143511478 \h </w:instrText>
          </w:r>
          <w:r>
            <w:fldChar w:fldCharType="separate"/>
          </w:r>
          <w:r>
            <w:t>8</w:t>
          </w:r>
          <w:r>
            <w:fldChar w:fldCharType="end"/>
          </w:r>
          <w:r>
            <w:fldChar w:fldCharType="end"/>
          </w:r>
        </w:p>
        <w:p>
          <w:pPr>
            <w:pStyle w:val="14"/>
            <w:tabs>
              <w:tab w:val="left" w:pos="1320"/>
              <w:tab w:val="right" w:leader="dot" w:pos="9016"/>
            </w:tabs>
            <w:rPr>
              <w:rFonts w:asciiTheme="minorHAnsi" w:hAnsiTheme="minorHAnsi" w:eastAsiaTheme="minorEastAsia" w:cstheme="minorBidi"/>
              <w:kern w:val="2"/>
              <w:sz w:val="22"/>
              <w:lang w:val="zh-CN" w:eastAsia="zh-CN"/>
              <w14:ligatures w14:val="standardContextual"/>
            </w:rPr>
          </w:pPr>
          <w:r>
            <w:fldChar w:fldCharType="begin"/>
          </w:r>
          <w:r>
            <w:instrText xml:space="preserve"> HYPERLINK \l "_Toc143511479" </w:instrText>
          </w:r>
          <w:r>
            <w:fldChar w:fldCharType="separate"/>
          </w:r>
          <w:r>
            <w:rPr>
              <w:rStyle w:val="10"/>
            </w:rPr>
            <w:t>2.1.6.</w:t>
          </w:r>
          <w:r>
            <w:rPr>
              <w:rFonts w:asciiTheme="minorHAnsi" w:hAnsiTheme="minorHAnsi" w:eastAsiaTheme="minorEastAsia" w:cstheme="minorBidi"/>
              <w:kern w:val="2"/>
              <w:sz w:val="22"/>
              <w:lang w:val="zh-CN" w:eastAsia="zh-CN"/>
              <w14:ligatures w14:val="standardContextual"/>
            </w:rPr>
            <w:tab/>
          </w:r>
          <w:r>
            <w:rPr>
              <w:rStyle w:val="10"/>
            </w:rPr>
            <w:t>Environmental</w:t>
          </w:r>
          <w:r>
            <w:tab/>
          </w:r>
          <w:r>
            <w:fldChar w:fldCharType="begin"/>
          </w:r>
          <w:r>
            <w:instrText xml:space="preserve"> PAGEREF _Toc143511479 \h </w:instrText>
          </w:r>
          <w:r>
            <w:fldChar w:fldCharType="separate"/>
          </w:r>
          <w:r>
            <w:t>8</w:t>
          </w:r>
          <w:r>
            <w:fldChar w:fldCharType="end"/>
          </w:r>
          <w:r>
            <w:fldChar w:fldCharType="end"/>
          </w:r>
        </w:p>
        <w:p>
          <w:pPr>
            <w:pStyle w:val="13"/>
            <w:tabs>
              <w:tab w:val="left" w:pos="880"/>
              <w:tab w:val="right" w:leader="dot" w:pos="9016"/>
            </w:tabs>
            <w:rPr>
              <w:rFonts w:asciiTheme="minorHAnsi" w:hAnsiTheme="minorHAnsi" w:eastAsiaTheme="minorEastAsia" w:cstheme="minorBidi"/>
              <w:kern w:val="2"/>
              <w:sz w:val="22"/>
              <w:lang w:val="zh-CN" w:eastAsia="zh-CN"/>
              <w14:ligatures w14:val="standardContextual"/>
            </w:rPr>
          </w:pPr>
          <w:r>
            <w:fldChar w:fldCharType="begin"/>
          </w:r>
          <w:r>
            <w:instrText xml:space="preserve"> HYPERLINK \l "_Toc143511480" </w:instrText>
          </w:r>
          <w:r>
            <w:fldChar w:fldCharType="separate"/>
          </w:r>
          <w:r>
            <w:rPr>
              <w:rStyle w:val="10"/>
            </w:rPr>
            <w:t>2.2.</w:t>
          </w:r>
          <w:r>
            <w:rPr>
              <w:rFonts w:asciiTheme="minorHAnsi" w:hAnsiTheme="minorHAnsi" w:eastAsiaTheme="minorEastAsia" w:cstheme="minorBidi"/>
              <w:kern w:val="2"/>
              <w:sz w:val="22"/>
              <w:lang w:val="zh-CN" w:eastAsia="zh-CN"/>
              <w14:ligatures w14:val="standardContextual"/>
            </w:rPr>
            <w:tab/>
          </w:r>
          <w:r>
            <w:rPr>
              <w:rStyle w:val="10"/>
            </w:rPr>
            <w:t>Internal Marketing Analysis Using SWOT</w:t>
          </w:r>
          <w:r>
            <w:tab/>
          </w:r>
          <w:r>
            <w:fldChar w:fldCharType="begin"/>
          </w:r>
          <w:r>
            <w:instrText xml:space="preserve"> PAGEREF _Toc143511480 \h </w:instrText>
          </w:r>
          <w:r>
            <w:fldChar w:fldCharType="separate"/>
          </w:r>
          <w:r>
            <w:t>8</w:t>
          </w:r>
          <w:r>
            <w:fldChar w:fldCharType="end"/>
          </w:r>
          <w:r>
            <w:fldChar w:fldCharType="end"/>
          </w:r>
        </w:p>
        <w:p>
          <w:pPr>
            <w:pStyle w:val="14"/>
            <w:tabs>
              <w:tab w:val="left" w:pos="1320"/>
              <w:tab w:val="right" w:leader="dot" w:pos="9016"/>
            </w:tabs>
            <w:rPr>
              <w:rFonts w:asciiTheme="minorHAnsi" w:hAnsiTheme="minorHAnsi" w:eastAsiaTheme="minorEastAsia" w:cstheme="minorBidi"/>
              <w:kern w:val="2"/>
              <w:sz w:val="22"/>
              <w:lang w:val="zh-CN" w:eastAsia="zh-CN"/>
              <w14:ligatures w14:val="standardContextual"/>
            </w:rPr>
          </w:pPr>
          <w:r>
            <w:fldChar w:fldCharType="begin"/>
          </w:r>
          <w:r>
            <w:instrText xml:space="preserve"> HYPERLINK \l "_Toc143511481" </w:instrText>
          </w:r>
          <w:r>
            <w:fldChar w:fldCharType="separate"/>
          </w:r>
          <w:r>
            <w:rPr>
              <w:rStyle w:val="10"/>
            </w:rPr>
            <w:t>2.2.1.</w:t>
          </w:r>
          <w:r>
            <w:rPr>
              <w:rFonts w:asciiTheme="minorHAnsi" w:hAnsiTheme="minorHAnsi" w:eastAsiaTheme="minorEastAsia" w:cstheme="minorBidi"/>
              <w:kern w:val="2"/>
              <w:sz w:val="22"/>
              <w:lang w:val="zh-CN" w:eastAsia="zh-CN"/>
              <w14:ligatures w14:val="standardContextual"/>
            </w:rPr>
            <w:tab/>
          </w:r>
          <w:r>
            <w:rPr>
              <w:rStyle w:val="10"/>
            </w:rPr>
            <w:t>Strengths</w:t>
          </w:r>
          <w:r>
            <w:tab/>
          </w:r>
          <w:r>
            <w:fldChar w:fldCharType="begin"/>
          </w:r>
          <w:r>
            <w:instrText xml:space="preserve"> PAGEREF _Toc143511481 \h </w:instrText>
          </w:r>
          <w:r>
            <w:fldChar w:fldCharType="separate"/>
          </w:r>
          <w:r>
            <w:t>8</w:t>
          </w:r>
          <w:r>
            <w:fldChar w:fldCharType="end"/>
          </w:r>
          <w:r>
            <w:fldChar w:fldCharType="end"/>
          </w:r>
        </w:p>
        <w:p>
          <w:pPr>
            <w:pStyle w:val="14"/>
            <w:tabs>
              <w:tab w:val="left" w:pos="1320"/>
              <w:tab w:val="right" w:leader="dot" w:pos="9016"/>
            </w:tabs>
            <w:rPr>
              <w:rFonts w:asciiTheme="minorHAnsi" w:hAnsiTheme="minorHAnsi" w:eastAsiaTheme="minorEastAsia" w:cstheme="minorBidi"/>
              <w:kern w:val="2"/>
              <w:sz w:val="22"/>
              <w:lang w:val="zh-CN" w:eastAsia="zh-CN"/>
              <w14:ligatures w14:val="standardContextual"/>
            </w:rPr>
          </w:pPr>
          <w:r>
            <w:fldChar w:fldCharType="begin"/>
          </w:r>
          <w:r>
            <w:instrText xml:space="preserve"> HYPERLINK \l "_Toc143511482" </w:instrText>
          </w:r>
          <w:r>
            <w:fldChar w:fldCharType="separate"/>
          </w:r>
          <w:r>
            <w:rPr>
              <w:rStyle w:val="10"/>
            </w:rPr>
            <w:t>2.2.2.</w:t>
          </w:r>
          <w:r>
            <w:rPr>
              <w:rFonts w:asciiTheme="minorHAnsi" w:hAnsiTheme="minorHAnsi" w:eastAsiaTheme="minorEastAsia" w:cstheme="minorBidi"/>
              <w:kern w:val="2"/>
              <w:sz w:val="22"/>
              <w:lang w:val="zh-CN" w:eastAsia="zh-CN"/>
              <w14:ligatures w14:val="standardContextual"/>
            </w:rPr>
            <w:tab/>
          </w:r>
          <w:r>
            <w:rPr>
              <w:rStyle w:val="10"/>
            </w:rPr>
            <w:t>Weaknesses</w:t>
          </w:r>
          <w:r>
            <w:tab/>
          </w:r>
          <w:r>
            <w:fldChar w:fldCharType="begin"/>
          </w:r>
          <w:r>
            <w:instrText xml:space="preserve"> PAGEREF _Toc143511482 \h </w:instrText>
          </w:r>
          <w:r>
            <w:fldChar w:fldCharType="separate"/>
          </w:r>
          <w:r>
            <w:t>9</w:t>
          </w:r>
          <w:r>
            <w:fldChar w:fldCharType="end"/>
          </w:r>
          <w:r>
            <w:fldChar w:fldCharType="end"/>
          </w:r>
        </w:p>
        <w:p>
          <w:pPr>
            <w:pStyle w:val="14"/>
            <w:tabs>
              <w:tab w:val="left" w:pos="1320"/>
              <w:tab w:val="right" w:leader="dot" w:pos="9016"/>
            </w:tabs>
            <w:rPr>
              <w:rFonts w:asciiTheme="minorHAnsi" w:hAnsiTheme="minorHAnsi" w:eastAsiaTheme="minorEastAsia" w:cstheme="minorBidi"/>
              <w:kern w:val="2"/>
              <w:sz w:val="22"/>
              <w:lang w:val="zh-CN" w:eastAsia="zh-CN"/>
              <w14:ligatures w14:val="standardContextual"/>
            </w:rPr>
          </w:pPr>
          <w:r>
            <w:fldChar w:fldCharType="begin"/>
          </w:r>
          <w:r>
            <w:instrText xml:space="preserve"> HYPERLINK \l "_Toc143511483" </w:instrText>
          </w:r>
          <w:r>
            <w:fldChar w:fldCharType="separate"/>
          </w:r>
          <w:r>
            <w:rPr>
              <w:rStyle w:val="10"/>
            </w:rPr>
            <w:t>2.2.3.</w:t>
          </w:r>
          <w:r>
            <w:rPr>
              <w:rFonts w:asciiTheme="minorHAnsi" w:hAnsiTheme="minorHAnsi" w:eastAsiaTheme="minorEastAsia" w:cstheme="minorBidi"/>
              <w:kern w:val="2"/>
              <w:sz w:val="22"/>
              <w:lang w:val="zh-CN" w:eastAsia="zh-CN"/>
              <w14:ligatures w14:val="standardContextual"/>
            </w:rPr>
            <w:tab/>
          </w:r>
          <w:r>
            <w:rPr>
              <w:rStyle w:val="10"/>
            </w:rPr>
            <w:t>Opportunities</w:t>
          </w:r>
          <w:r>
            <w:tab/>
          </w:r>
          <w:r>
            <w:fldChar w:fldCharType="begin"/>
          </w:r>
          <w:r>
            <w:instrText xml:space="preserve"> PAGEREF _Toc143511483 \h </w:instrText>
          </w:r>
          <w:r>
            <w:fldChar w:fldCharType="separate"/>
          </w:r>
          <w:r>
            <w:t>9</w:t>
          </w:r>
          <w:r>
            <w:fldChar w:fldCharType="end"/>
          </w:r>
          <w:r>
            <w:fldChar w:fldCharType="end"/>
          </w:r>
        </w:p>
        <w:p>
          <w:pPr>
            <w:pStyle w:val="14"/>
            <w:tabs>
              <w:tab w:val="left" w:pos="1320"/>
              <w:tab w:val="right" w:leader="dot" w:pos="9016"/>
            </w:tabs>
            <w:rPr>
              <w:rFonts w:asciiTheme="minorHAnsi" w:hAnsiTheme="minorHAnsi" w:eastAsiaTheme="minorEastAsia" w:cstheme="minorBidi"/>
              <w:kern w:val="2"/>
              <w:sz w:val="22"/>
              <w:lang w:val="zh-CN" w:eastAsia="zh-CN"/>
              <w14:ligatures w14:val="standardContextual"/>
            </w:rPr>
          </w:pPr>
          <w:r>
            <w:fldChar w:fldCharType="begin"/>
          </w:r>
          <w:r>
            <w:instrText xml:space="preserve"> HYPERLINK \l "_Toc143511484" </w:instrText>
          </w:r>
          <w:r>
            <w:fldChar w:fldCharType="separate"/>
          </w:r>
          <w:r>
            <w:rPr>
              <w:rStyle w:val="10"/>
            </w:rPr>
            <w:t>2.2.4.</w:t>
          </w:r>
          <w:r>
            <w:rPr>
              <w:rFonts w:asciiTheme="minorHAnsi" w:hAnsiTheme="minorHAnsi" w:eastAsiaTheme="minorEastAsia" w:cstheme="minorBidi"/>
              <w:kern w:val="2"/>
              <w:sz w:val="22"/>
              <w:lang w:val="zh-CN" w:eastAsia="zh-CN"/>
              <w14:ligatures w14:val="standardContextual"/>
            </w:rPr>
            <w:tab/>
          </w:r>
          <w:r>
            <w:rPr>
              <w:rStyle w:val="10"/>
            </w:rPr>
            <w:t>Threats</w:t>
          </w:r>
          <w:r>
            <w:tab/>
          </w:r>
          <w:r>
            <w:fldChar w:fldCharType="begin"/>
          </w:r>
          <w:r>
            <w:instrText xml:space="preserve"> PAGEREF _Toc143511484 \h </w:instrText>
          </w:r>
          <w:r>
            <w:fldChar w:fldCharType="separate"/>
          </w:r>
          <w:r>
            <w:t>10</w:t>
          </w:r>
          <w:r>
            <w:fldChar w:fldCharType="end"/>
          </w:r>
          <w:r>
            <w:fldChar w:fldCharType="end"/>
          </w:r>
        </w:p>
        <w:p>
          <w:pPr>
            <w:pStyle w:val="13"/>
            <w:tabs>
              <w:tab w:val="right" w:leader="dot" w:pos="9016"/>
            </w:tabs>
            <w:rPr>
              <w:rFonts w:asciiTheme="minorHAnsi" w:hAnsiTheme="minorHAnsi" w:eastAsiaTheme="minorEastAsia" w:cstheme="minorBidi"/>
              <w:kern w:val="2"/>
              <w:sz w:val="22"/>
              <w:lang w:val="zh-CN" w:eastAsia="zh-CN"/>
              <w14:ligatures w14:val="standardContextual"/>
            </w:rPr>
          </w:pPr>
          <w:r>
            <w:fldChar w:fldCharType="begin"/>
          </w:r>
          <w:r>
            <w:instrText xml:space="preserve"> HYPERLINK \l "_Toc143511485" </w:instrText>
          </w:r>
          <w:r>
            <w:fldChar w:fldCharType="separate"/>
          </w:r>
          <w:r>
            <w:rPr>
              <w:rStyle w:val="10"/>
              <w:lang w:val="en-US"/>
            </w:rPr>
            <w:t>Segmentation, Targeting and Positioning</w:t>
          </w:r>
          <w:r>
            <w:tab/>
          </w:r>
          <w:r>
            <w:fldChar w:fldCharType="begin"/>
          </w:r>
          <w:r>
            <w:instrText xml:space="preserve"> PAGEREF _Toc143511485 \h </w:instrText>
          </w:r>
          <w:r>
            <w:fldChar w:fldCharType="separate"/>
          </w:r>
          <w:r>
            <w:t>10</w:t>
          </w:r>
          <w:r>
            <w:fldChar w:fldCharType="end"/>
          </w:r>
          <w:r>
            <w:fldChar w:fldCharType="end"/>
          </w:r>
        </w:p>
        <w:p>
          <w:pPr>
            <w:pStyle w:val="12"/>
            <w:tabs>
              <w:tab w:val="left" w:pos="480"/>
              <w:tab w:val="right" w:leader="dot" w:pos="9016"/>
            </w:tabs>
            <w:rPr>
              <w:rFonts w:asciiTheme="minorHAnsi" w:hAnsiTheme="minorHAnsi" w:eastAsiaTheme="minorEastAsia" w:cstheme="minorBidi"/>
              <w:kern w:val="2"/>
              <w:sz w:val="22"/>
              <w:lang w:val="zh-CN" w:eastAsia="zh-CN"/>
              <w14:ligatures w14:val="standardContextual"/>
            </w:rPr>
          </w:pPr>
          <w:r>
            <w:fldChar w:fldCharType="begin"/>
          </w:r>
          <w:r>
            <w:instrText xml:space="preserve"> HYPERLINK \l "_Toc143511486" </w:instrText>
          </w:r>
          <w:r>
            <w:fldChar w:fldCharType="separate"/>
          </w:r>
          <w:r>
            <w:rPr>
              <w:rStyle w:val="10"/>
              <w:lang w:val="en-US"/>
            </w:rPr>
            <w:t>3.</w:t>
          </w:r>
          <w:r>
            <w:rPr>
              <w:rFonts w:asciiTheme="minorHAnsi" w:hAnsiTheme="minorHAnsi" w:eastAsiaTheme="minorEastAsia" w:cstheme="minorBidi"/>
              <w:kern w:val="2"/>
              <w:sz w:val="22"/>
              <w:lang w:val="zh-CN" w:eastAsia="zh-CN"/>
              <w14:ligatures w14:val="standardContextual"/>
            </w:rPr>
            <w:tab/>
          </w:r>
          <w:r>
            <w:rPr>
              <w:rStyle w:val="10"/>
              <w:lang w:val="en-US"/>
            </w:rPr>
            <w:t>Marketing Mix</w:t>
          </w:r>
          <w:r>
            <w:tab/>
          </w:r>
          <w:r>
            <w:fldChar w:fldCharType="begin"/>
          </w:r>
          <w:r>
            <w:instrText xml:space="preserve"> PAGEREF _Toc143511486 \h </w:instrText>
          </w:r>
          <w:r>
            <w:fldChar w:fldCharType="separate"/>
          </w:r>
          <w:r>
            <w:t>11</w:t>
          </w:r>
          <w:r>
            <w:fldChar w:fldCharType="end"/>
          </w:r>
          <w:r>
            <w:fldChar w:fldCharType="end"/>
          </w:r>
        </w:p>
        <w:p>
          <w:pPr>
            <w:pStyle w:val="12"/>
            <w:tabs>
              <w:tab w:val="left" w:pos="480"/>
              <w:tab w:val="right" w:leader="dot" w:pos="9016"/>
            </w:tabs>
            <w:rPr>
              <w:rFonts w:asciiTheme="minorHAnsi" w:hAnsiTheme="minorHAnsi" w:eastAsiaTheme="minorEastAsia" w:cstheme="minorBidi"/>
              <w:kern w:val="2"/>
              <w:sz w:val="22"/>
              <w:lang w:val="zh-CN" w:eastAsia="zh-CN"/>
              <w14:ligatures w14:val="standardContextual"/>
            </w:rPr>
          </w:pPr>
          <w:r>
            <w:fldChar w:fldCharType="begin"/>
          </w:r>
          <w:r>
            <w:instrText xml:space="preserve"> HYPERLINK \l "_Toc143511487" </w:instrText>
          </w:r>
          <w:r>
            <w:fldChar w:fldCharType="separate"/>
          </w:r>
          <w:r>
            <w:rPr>
              <w:rStyle w:val="10"/>
              <w:lang w:val="en-US"/>
            </w:rPr>
            <w:t>4.</w:t>
          </w:r>
          <w:r>
            <w:rPr>
              <w:rFonts w:asciiTheme="minorHAnsi" w:hAnsiTheme="minorHAnsi" w:eastAsiaTheme="minorEastAsia" w:cstheme="minorBidi"/>
              <w:kern w:val="2"/>
              <w:sz w:val="22"/>
              <w:lang w:val="zh-CN" w:eastAsia="zh-CN"/>
              <w14:ligatures w14:val="standardContextual"/>
            </w:rPr>
            <w:tab/>
          </w:r>
          <w:r>
            <w:rPr>
              <w:rStyle w:val="10"/>
              <w:lang w:val="en-US"/>
            </w:rPr>
            <w:t>Ansoff Matrix</w:t>
          </w:r>
          <w:r>
            <w:tab/>
          </w:r>
          <w:r>
            <w:fldChar w:fldCharType="begin"/>
          </w:r>
          <w:r>
            <w:instrText xml:space="preserve"> PAGEREF _Toc143511487 \h </w:instrText>
          </w:r>
          <w:r>
            <w:fldChar w:fldCharType="separate"/>
          </w:r>
          <w:r>
            <w:t>11</w:t>
          </w:r>
          <w:r>
            <w:fldChar w:fldCharType="end"/>
          </w:r>
          <w:r>
            <w:fldChar w:fldCharType="end"/>
          </w:r>
        </w:p>
        <w:p>
          <w:pPr>
            <w:pStyle w:val="12"/>
            <w:tabs>
              <w:tab w:val="left" w:pos="480"/>
              <w:tab w:val="right" w:leader="dot" w:pos="9016"/>
            </w:tabs>
            <w:rPr>
              <w:rFonts w:asciiTheme="minorHAnsi" w:hAnsiTheme="minorHAnsi" w:eastAsiaTheme="minorEastAsia" w:cstheme="minorBidi"/>
              <w:kern w:val="2"/>
              <w:sz w:val="22"/>
              <w:lang w:val="zh-CN" w:eastAsia="zh-CN"/>
              <w14:ligatures w14:val="standardContextual"/>
            </w:rPr>
          </w:pPr>
          <w:r>
            <w:fldChar w:fldCharType="begin"/>
          </w:r>
          <w:r>
            <w:instrText xml:space="preserve"> HYPERLINK \l "_Toc143511488" </w:instrText>
          </w:r>
          <w:r>
            <w:fldChar w:fldCharType="separate"/>
          </w:r>
          <w:r>
            <w:rPr>
              <w:rStyle w:val="10"/>
            </w:rPr>
            <w:t>5.</w:t>
          </w:r>
          <w:r>
            <w:rPr>
              <w:rFonts w:asciiTheme="minorHAnsi" w:hAnsiTheme="minorHAnsi" w:eastAsiaTheme="minorEastAsia" w:cstheme="minorBidi"/>
              <w:kern w:val="2"/>
              <w:sz w:val="22"/>
              <w:lang w:val="zh-CN" w:eastAsia="zh-CN"/>
              <w14:ligatures w14:val="standardContextual"/>
            </w:rPr>
            <w:tab/>
          </w:r>
          <w:r>
            <w:rPr>
              <w:rStyle w:val="10"/>
            </w:rPr>
            <w:t>Role of Marketing</w:t>
          </w:r>
          <w:r>
            <w:tab/>
          </w:r>
          <w:r>
            <w:fldChar w:fldCharType="begin"/>
          </w:r>
          <w:r>
            <w:instrText xml:space="preserve"> PAGEREF _Toc143511488 \h </w:instrText>
          </w:r>
          <w:r>
            <w:fldChar w:fldCharType="separate"/>
          </w:r>
          <w:r>
            <w:t>11</w:t>
          </w:r>
          <w:r>
            <w:fldChar w:fldCharType="end"/>
          </w:r>
          <w:r>
            <w:fldChar w:fldCharType="end"/>
          </w:r>
        </w:p>
        <w:p>
          <w:pPr>
            <w:pStyle w:val="12"/>
            <w:tabs>
              <w:tab w:val="left" w:pos="480"/>
              <w:tab w:val="right" w:leader="dot" w:pos="9016"/>
            </w:tabs>
            <w:rPr>
              <w:rFonts w:asciiTheme="minorHAnsi" w:hAnsiTheme="minorHAnsi" w:eastAsiaTheme="minorEastAsia" w:cstheme="minorBidi"/>
              <w:kern w:val="2"/>
              <w:sz w:val="22"/>
              <w:lang w:val="zh-CN" w:eastAsia="zh-CN"/>
              <w14:ligatures w14:val="standardContextual"/>
            </w:rPr>
          </w:pPr>
          <w:r>
            <w:fldChar w:fldCharType="begin"/>
          </w:r>
          <w:r>
            <w:instrText xml:space="preserve"> HYPERLINK \l "_Toc143511489" </w:instrText>
          </w:r>
          <w:r>
            <w:fldChar w:fldCharType="separate"/>
          </w:r>
          <w:r>
            <w:rPr>
              <w:rStyle w:val="10"/>
            </w:rPr>
            <w:t>6.</w:t>
          </w:r>
          <w:r>
            <w:rPr>
              <w:rFonts w:asciiTheme="minorHAnsi" w:hAnsiTheme="minorHAnsi" w:eastAsiaTheme="minorEastAsia" w:cstheme="minorBidi"/>
              <w:kern w:val="2"/>
              <w:sz w:val="22"/>
              <w:lang w:val="zh-CN" w:eastAsia="zh-CN"/>
              <w14:ligatures w14:val="standardContextual"/>
            </w:rPr>
            <w:tab/>
          </w:r>
          <w:r>
            <w:rPr>
              <w:rStyle w:val="10"/>
            </w:rPr>
            <w:t>Recommendations for the Future</w:t>
          </w:r>
          <w:r>
            <w:tab/>
          </w:r>
          <w:r>
            <w:fldChar w:fldCharType="begin"/>
          </w:r>
          <w:r>
            <w:instrText xml:space="preserve"> PAGEREF _Toc143511489 \h </w:instrText>
          </w:r>
          <w:r>
            <w:fldChar w:fldCharType="separate"/>
          </w:r>
          <w:r>
            <w:t>12</w:t>
          </w:r>
          <w:r>
            <w:fldChar w:fldCharType="end"/>
          </w:r>
          <w:r>
            <w:fldChar w:fldCharType="end"/>
          </w:r>
        </w:p>
        <w:p>
          <w:pPr>
            <w:pStyle w:val="12"/>
            <w:tabs>
              <w:tab w:val="left" w:pos="480"/>
              <w:tab w:val="right" w:leader="dot" w:pos="9016"/>
            </w:tabs>
            <w:rPr>
              <w:rFonts w:asciiTheme="minorHAnsi" w:hAnsiTheme="minorHAnsi" w:eastAsiaTheme="minorEastAsia" w:cstheme="minorBidi"/>
              <w:kern w:val="2"/>
              <w:sz w:val="22"/>
              <w:lang w:val="zh-CN" w:eastAsia="zh-CN"/>
              <w14:ligatures w14:val="standardContextual"/>
            </w:rPr>
          </w:pPr>
          <w:r>
            <w:fldChar w:fldCharType="begin"/>
          </w:r>
          <w:r>
            <w:instrText xml:space="preserve"> HYPERLINK \l "_Toc143511490" </w:instrText>
          </w:r>
          <w:r>
            <w:fldChar w:fldCharType="separate"/>
          </w:r>
          <w:r>
            <w:rPr>
              <w:rStyle w:val="10"/>
            </w:rPr>
            <w:t>7.</w:t>
          </w:r>
          <w:r>
            <w:rPr>
              <w:rFonts w:asciiTheme="minorHAnsi" w:hAnsiTheme="minorHAnsi" w:eastAsiaTheme="minorEastAsia" w:cstheme="minorBidi"/>
              <w:kern w:val="2"/>
              <w:sz w:val="22"/>
              <w:lang w:val="zh-CN" w:eastAsia="zh-CN"/>
              <w14:ligatures w14:val="standardContextual"/>
            </w:rPr>
            <w:tab/>
          </w:r>
          <w:r>
            <w:rPr>
              <w:rStyle w:val="10"/>
            </w:rPr>
            <w:t>Conclusion</w:t>
          </w:r>
          <w:r>
            <w:tab/>
          </w:r>
          <w:r>
            <w:fldChar w:fldCharType="begin"/>
          </w:r>
          <w:r>
            <w:instrText xml:space="preserve"> PAGEREF _Toc143511490 \h </w:instrText>
          </w:r>
          <w:r>
            <w:fldChar w:fldCharType="separate"/>
          </w:r>
          <w:r>
            <w:t>12</w:t>
          </w:r>
          <w:r>
            <w:fldChar w:fldCharType="end"/>
          </w:r>
          <w:r>
            <w:fldChar w:fldCharType="end"/>
          </w:r>
        </w:p>
        <w:p>
          <w:pPr>
            <w:pStyle w:val="12"/>
            <w:tabs>
              <w:tab w:val="left" w:pos="480"/>
              <w:tab w:val="right" w:leader="dot" w:pos="9016"/>
            </w:tabs>
            <w:rPr>
              <w:rFonts w:asciiTheme="minorHAnsi" w:hAnsiTheme="minorHAnsi" w:eastAsiaTheme="minorEastAsia" w:cstheme="minorBidi"/>
              <w:kern w:val="2"/>
              <w:sz w:val="22"/>
              <w:lang w:val="zh-CN" w:eastAsia="zh-CN"/>
              <w14:ligatures w14:val="standardContextual"/>
            </w:rPr>
          </w:pPr>
          <w:r>
            <w:fldChar w:fldCharType="begin"/>
          </w:r>
          <w:r>
            <w:instrText xml:space="preserve"> HYPERLINK \l "_Toc143511491" </w:instrText>
          </w:r>
          <w:r>
            <w:fldChar w:fldCharType="separate"/>
          </w:r>
          <w:r>
            <w:rPr>
              <w:rStyle w:val="10"/>
            </w:rPr>
            <w:t>8.</w:t>
          </w:r>
          <w:r>
            <w:rPr>
              <w:rFonts w:asciiTheme="minorHAnsi" w:hAnsiTheme="minorHAnsi" w:eastAsiaTheme="minorEastAsia" w:cstheme="minorBidi"/>
              <w:kern w:val="2"/>
              <w:sz w:val="22"/>
              <w:lang w:val="zh-CN" w:eastAsia="zh-CN"/>
              <w14:ligatures w14:val="standardContextual"/>
            </w:rPr>
            <w:tab/>
          </w:r>
          <w:r>
            <w:rPr>
              <w:rStyle w:val="10"/>
            </w:rPr>
            <w:t>References</w:t>
          </w:r>
          <w:r>
            <w:tab/>
          </w:r>
          <w:r>
            <w:fldChar w:fldCharType="begin"/>
          </w:r>
          <w:r>
            <w:instrText xml:space="preserve"> PAGEREF _Toc143511491 \h </w:instrText>
          </w:r>
          <w:r>
            <w:fldChar w:fldCharType="separate"/>
          </w:r>
          <w:r>
            <w:t>12</w:t>
          </w:r>
          <w:r>
            <w:fldChar w:fldCharType="end"/>
          </w:r>
          <w:r>
            <w:fldChar w:fldCharType="end"/>
          </w:r>
        </w:p>
        <w:p>
          <w:r>
            <w:rPr>
              <w:b/>
              <w:bCs/>
            </w:rPr>
            <w:fldChar w:fldCharType="end"/>
          </w:r>
        </w:p>
      </w:sdtContent>
    </w:sdt>
    <w:p>
      <w:pPr>
        <w:spacing w:line="360" w:lineRule="auto"/>
        <w:jc w:val="center"/>
        <w:rPr>
          <w:b/>
          <w:bCs/>
          <w:sz w:val="28"/>
          <w:szCs w:val="24"/>
        </w:rPr>
      </w:pPr>
    </w:p>
    <w:p>
      <w:pPr>
        <w:spacing w:line="360" w:lineRule="auto"/>
        <w:jc w:val="center"/>
        <w:rPr>
          <w:b/>
          <w:bCs/>
          <w:sz w:val="28"/>
          <w:szCs w:val="24"/>
        </w:rPr>
      </w:pPr>
    </w:p>
    <w:p>
      <w:pPr>
        <w:spacing w:line="360" w:lineRule="auto"/>
        <w:jc w:val="center"/>
        <w:rPr>
          <w:b/>
          <w:bCs/>
          <w:sz w:val="28"/>
          <w:szCs w:val="24"/>
        </w:rPr>
      </w:pPr>
    </w:p>
    <w:p>
      <w:pPr>
        <w:spacing w:line="360" w:lineRule="auto"/>
        <w:jc w:val="center"/>
        <w:rPr>
          <w:b/>
          <w:bCs/>
          <w:sz w:val="28"/>
          <w:szCs w:val="24"/>
        </w:rPr>
      </w:pPr>
    </w:p>
    <w:p>
      <w:pPr>
        <w:spacing w:line="360" w:lineRule="auto"/>
        <w:jc w:val="center"/>
        <w:rPr>
          <w:b/>
          <w:bCs/>
          <w:sz w:val="28"/>
          <w:szCs w:val="24"/>
        </w:rPr>
      </w:pPr>
    </w:p>
    <w:p>
      <w:pPr>
        <w:spacing w:line="360" w:lineRule="auto"/>
        <w:jc w:val="center"/>
        <w:rPr>
          <w:b/>
          <w:bCs/>
          <w:sz w:val="28"/>
          <w:szCs w:val="24"/>
        </w:rPr>
      </w:pPr>
    </w:p>
    <w:p>
      <w:pPr>
        <w:spacing w:line="360" w:lineRule="auto"/>
        <w:jc w:val="center"/>
        <w:rPr>
          <w:b/>
          <w:bCs/>
          <w:sz w:val="28"/>
          <w:szCs w:val="24"/>
        </w:rPr>
      </w:pPr>
    </w:p>
    <w:p>
      <w:pPr>
        <w:pStyle w:val="2"/>
        <w:spacing w:line="360" w:lineRule="auto"/>
        <w:jc w:val="both"/>
      </w:pPr>
      <w:bookmarkStart w:id="0" w:name="_Toc143511471"/>
      <w:r>
        <w:t>Introduction</w:t>
      </w:r>
      <w:bookmarkEnd w:id="0"/>
    </w:p>
    <w:p>
      <w:pPr>
        <w:spacing w:line="360" w:lineRule="auto"/>
        <w:jc w:val="both"/>
      </w:pPr>
      <w:r>
        <w:t xml:space="preserve">Tesla, Inc., founded in 2003 by Elon Musk and a group of engineers, revolutionised the automotive industry with its mission to accelerate the world's transition to sustainable energy. Initially focusing on high-end electric vehicles (EVs) with the Roadster, Tesla later expanded its lineup with the Model S, X, 3, and Y (Gregersen and Schreiber, 2021). The automaker brought in around $81.5 billion in total revenues in 2022, putting it in 50th place on the Fortune 500. By 2022, Tesla employed over 127,855 people and boasted impressive market capitalisation (Carlier, 2023). </w:t>
      </w:r>
    </w:p>
    <w:p>
      <w:pPr>
        <w:keepNext/>
        <w:spacing w:line="360" w:lineRule="auto"/>
        <w:jc w:val="both"/>
      </w:pPr>
      <w:r>
        <w:drawing>
          <wp:inline distT="0" distB="0" distL="0" distR="0">
            <wp:extent cx="4907280" cy="3068955"/>
            <wp:effectExtent l="0" t="0" r="7620" b="0"/>
            <wp:docPr id="1731294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294705" name="Picture 1"/>
                    <pic:cNvPicPr>
                      <a:picLocks noChangeAspect="1"/>
                    </pic:cNvPicPr>
                  </pic:nvPicPr>
                  <pic:blipFill>
                    <a:blip r:embed="rId8"/>
                    <a:stretch>
                      <a:fillRect/>
                    </a:stretch>
                  </pic:blipFill>
                  <pic:spPr>
                    <a:xfrm>
                      <a:off x="0" y="0"/>
                      <a:ext cx="4909517" cy="3070529"/>
                    </a:xfrm>
                    <a:prstGeom prst="rect">
                      <a:avLst/>
                    </a:prstGeom>
                  </pic:spPr>
                </pic:pic>
              </a:graphicData>
            </a:graphic>
          </wp:inline>
        </w:drawing>
      </w:r>
    </w:p>
    <w:p>
      <w:pPr>
        <w:pStyle w:val="7"/>
        <w:spacing w:line="360" w:lineRule="auto"/>
        <w:jc w:val="both"/>
      </w:pPr>
      <w:r>
        <w:t xml:space="preserve">Figure </w:t>
      </w:r>
      <w:r>
        <w:fldChar w:fldCharType="begin"/>
      </w:r>
      <w:r>
        <w:instrText xml:space="preserve"> SEQ Figure \* ARABIC </w:instrText>
      </w:r>
      <w:r>
        <w:fldChar w:fldCharType="separate"/>
      </w:r>
      <w:r>
        <w:t>1</w:t>
      </w:r>
      <w:r>
        <w:fldChar w:fldCharType="end"/>
      </w:r>
      <w:r>
        <w:t>: Tesla's revenue from FY 2008 to FY 2022(in million U.S. dollars) (Carlier, 2023)</w:t>
      </w:r>
    </w:p>
    <w:p>
      <w:pPr>
        <w:spacing w:line="360" w:lineRule="auto"/>
        <w:jc w:val="both"/>
      </w:pPr>
      <w:r>
        <w:t xml:space="preserve"> </w:t>
      </w:r>
    </w:p>
    <w:p>
      <w:pPr>
        <w:pStyle w:val="2"/>
        <w:spacing w:line="360" w:lineRule="auto"/>
        <w:jc w:val="both"/>
      </w:pPr>
      <w:bookmarkStart w:id="1" w:name="_Toc143511472"/>
      <w:r>
        <w:t>Environmental Marketing Analysis</w:t>
      </w:r>
      <w:bookmarkEnd w:id="1"/>
    </w:p>
    <w:p>
      <w:pPr>
        <w:pStyle w:val="3"/>
        <w:numPr>
          <w:ilvl w:val="1"/>
          <w:numId w:val="1"/>
        </w:numPr>
        <w:spacing w:line="360" w:lineRule="auto"/>
        <w:jc w:val="both"/>
        <w:rPr>
          <w:lang w:val="en-GB"/>
        </w:rPr>
      </w:pPr>
      <w:bookmarkStart w:id="2" w:name="_Toc143511473"/>
      <w:r>
        <w:rPr>
          <w:lang w:val="en-GB"/>
        </w:rPr>
        <w:t>External Market Analysis Using PESTLE Analysis</w:t>
      </w:r>
      <w:bookmarkEnd w:id="2"/>
    </w:p>
    <w:p>
      <w:pPr>
        <w:spacing w:line="360" w:lineRule="auto"/>
        <w:jc w:val="both"/>
      </w:pPr>
      <w:r>
        <w:t xml:space="preserve">PESTLE Analysis is a strategic tool organisation use to identify and evaluate external macro-environmental factors that might affect their operations (CIPD, 2023). </w:t>
      </w:r>
    </w:p>
    <w:p>
      <w:pPr>
        <w:pStyle w:val="4"/>
        <w:numPr>
          <w:ilvl w:val="2"/>
          <w:numId w:val="1"/>
        </w:numPr>
        <w:spacing w:line="360" w:lineRule="auto"/>
        <w:jc w:val="both"/>
        <w:rPr>
          <w:lang w:val="en-GB"/>
        </w:rPr>
      </w:pPr>
      <w:bookmarkStart w:id="3" w:name="_Toc143511474"/>
      <w:r>
        <w:rPr>
          <w:lang w:val="en-GB"/>
        </w:rPr>
        <w:t>Political</w:t>
      </w:r>
      <w:bookmarkEnd w:id="3"/>
    </w:p>
    <w:p>
      <w:pPr>
        <w:spacing w:line="360" w:lineRule="auto"/>
        <w:jc w:val="both"/>
      </w:pPr>
      <w:r>
        <w:t>Political landscapes across various regions have substantially influenced Tesla's progression in the electric vehicle (EV) sector. Governments worldwide, recognising the environmental imperatives of the 21st century, have instituted policies favouring the adoption of clean energy and sustainable transportation. For Tesla, political support materialised as incentives, tax breaks, and grants to promote EVs. In the U.S., the federal tax credits for electric vehicle purchases significantly boosted Tesla's sales in its early years (Domonoske, 2023). However, as Tesla surpassed the 200,000 vehicles sold mark, these credits began to phase out, potentially affecting future domestic sales growth. On the international front, the company faces diverse challenges. Geopolitical tensions, especially with countries like China—a primary Tesla market and manufacturing hub, can disrupt its operations and expansion plans. Furthermore, trade wars and tariff barriers pose risks to Tesla's global supply chain, especially concerning the import of essential components or raw materials like lithium (Su, 2022).</w:t>
      </w:r>
    </w:p>
    <w:p>
      <w:pPr>
        <w:keepNext/>
        <w:spacing w:line="360" w:lineRule="auto"/>
        <w:jc w:val="center"/>
      </w:pPr>
      <w:r>
        <w:drawing>
          <wp:inline distT="0" distB="0" distL="0" distR="0">
            <wp:extent cx="2759710" cy="3614420"/>
            <wp:effectExtent l="0" t="0" r="2540" b="5080"/>
            <wp:docPr id="1715179132" name="Picture 1" descr="How to Conduct a PESTLE Analysis - Industry Insider | IBIS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179132" name="Picture 1" descr="How to Conduct a PESTLE Analysis - Industry Insider | IBISWorl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2765671" cy="3622271"/>
                    </a:xfrm>
                    <a:prstGeom prst="rect">
                      <a:avLst/>
                    </a:prstGeom>
                    <a:noFill/>
                    <a:ln>
                      <a:noFill/>
                    </a:ln>
                  </pic:spPr>
                </pic:pic>
              </a:graphicData>
            </a:graphic>
          </wp:inline>
        </w:drawing>
      </w:r>
    </w:p>
    <w:p>
      <w:pPr>
        <w:pStyle w:val="7"/>
        <w:spacing w:line="360" w:lineRule="auto"/>
        <w:jc w:val="center"/>
      </w:pPr>
      <w:r>
        <w:t xml:space="preserve">Figure </w:t>
      </w:r>
      <w:r>
        <w:fldChar w:fldCharType="begin"/>
      </w:r>
      <w:r>
        <w:instrText xml:space="preserve"> SEQ Figure \* ARABIC </w:instrText>
      </w:r>
      <w:r>
        <w:fldChar w:fldCharType="separate"/>
      </w:r>
      <w:r>
        <w:t>2</w:t>
      </w:r>
      <w:r>
        <w:fldChar w:fldCharType="end"/>
      </w:r>
      <w:r>
        <w:t>: PESTLE Analysis (IBISWorld, 2022)</w:t>
      </w:r>
    </w:p>
    <w:p>
      <w:pPr>
        <w:pStyle w:val="4"/>
        <w:numPr>
          <w:ilvl w:val="2"/>
          <w:numId w:val="1"/>
        </w:numPr>
        <w:spacing w:line="360" w:lineRule="auto"/>
        <w:jc w:val="both"/>
        <w:rPr>
          <w:lang w:val="en-GB"/>
        </w:rPr>
      </w:pPr>
      <w:bookmarkStart w:id="4" w:name="_Toc143511475"/>
      <w:r>
        <w:rPr>
          <w:lang w:val="en-GB"/>
        </w:rPr>
        <w:t>Economic</w:t>
      </w:r>
      <w:bookmarkEnd w:id="4"/>
    </w:p>
    <w:p>
      <w:pPr>
        <w:spacing w:line="360" w:lineRule="auto"/>
        <w:jc w:val="both"/>
      </w:pPr>
      <w:r>
        <w:t xml:space="preserve">Global macroeconomic indicators undeniably influence Tesla's economic landscape. One significant observation was during the global economic slowdown in the early 2020s due to the pandemic. Global car sales plummeted, yet Tesla's deliveries rose by approximately 36% in 2020, signalling its resilience and growing market share (Zandt, 2022). </w:t>
      </w:r>
    </w:p>
    <w:p>
      <w:pPr>
        <w:keepNext/>
        <w:spacing w:line="360" w:lineRule="auto"/>
        <w:jc w:val="center"/>
      </w:pPr>
      <w:r>
        <w:drawing>
          <wp:inline distT="0" distB="0" distL="0" distR="0">
            <wp:extent cx="4189730" cy="4189730"/>
            <wp:effectExtent l="0" t="0" r="1270" b="1270"/>
            <wp:docPr id="867668502" name="Picture 1" descr="Chart: Tesla's Production Stumped by Shutdowns &amp; Shortage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668502" name="Picture 1" descr="Chart: Tesla's Production Stumped by Shutdowns &amp; Shortages | Statist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4192420" cy="4192420"/>
                    </a:xfrm>
                    <a:prstGeom prst="rect">
                      <a:avLst/>
                    </a:prstGeom>
                    <a:noFill/>
                    <a:ln>
                      <a:noFill/>
                    </a:ln>
                  </pic:spPr>
                </pic:pic>
              </a:graphicData>
            </a:graphic>
          </wp:inline>
        </w:drawing>
      </w:r>
    </w:p>
    <w:p>
      <w:pPr>
        <w:pStyle w:val="7"/>
        <w:spacing w:line="360" w:lineRule="auto"/>
        <w:jc w:val="center"/>
      </w:pPr>
      <w:r>
        <w:t xml:space="preserve">Figure </w:t>
      </w:r>
      <w:r>
        <w:fldChar w:fldCharType="begin"/>
      </w:r>
      <w:r>
        <w:instrText xml:space="preserve"> SEQ Figure \* ARABIC </w:instrText>
      </w:r>
      <w:r>
        <w:fldChar w:fldCharType="separate"/>
      </w:r>
      <w:r>
        <w:t>3</w:t>
      </w:r>
      <w:r>
        <w:fldChar w:fldCharType="end"/>
      </w:r>
      <w:r>
        <w:t>: Tesla's Production Stumped by Shutdowns &amp; Shortages (Zandt, 2022)</w:t>
      </w:r>
    </w:p>
    <w:p>
      <w:pPr>
        <w:spacing w:line="360" w:lineRule="auto"/>
        <w:jc w:val="both"/>
      </w:pPr>
      <w:r>
        <w:t>China showcased a GDP growth of 2.3% in 2020, even amidst global economic challenges. This economic resilience facilitated Tesla's success in the region, with their Shanghai Gigafactory producing over 140,000 vehicles by the end of 2020 (CNBC, 2022). Especially in the U.S., inflation has risen, reaching around 5% in mid-2021. Such inflation can potentially increase Tesla's production costs, particularly if the prices of essential components or raw materials escalate (Domonoske, 2023). As GDP rises, consumer spending typically follows, providing a favourable environment for high-end products like Tesla's premium EVs. For example, in robust economies such as China, Tesla witnessed a surge in demand, underpinned by the country's consistent GDP growth (Matthews et al., 2020).</w:t>
      </w:r>
    </w:p>
    <w:p>
      <w:pPr>
        <w:pStyle w:val="4"/>
        <w:numPr>
          <w:ilvl w:val="2"/>
          <w:numId w:val="1"/>
        </w:numPr>
        <w:spacing w:line="360" w:lineRule="auto"/>
        <w:jc w:val="both"/>
        <w:rPr>
          <w:lang w:val="en-GB"/>
        </w:rPr>
      </w:pPr>
      <w:bookmarkStart w:id="5" w:name="_Toc143511476"/>
      <w:r>
        <w:rPr>
          <w:lang w:val="en-GB"/>
        </w:rPr>
        <w:t>Socio-cultural</w:t>
      </w:r>
      <w:bookmarkEnd w:id="5"/>
    </w:p>
    <w:p>
      <w:pPr>
        <w:spacing w:line="360" w:lineRule="auto"/>
        <w:jc w:val="both"/>
      </w:pPr>
      <w:r>
        <w:t>The growing emphasis on environmental consciousness has been pivotal for Tesla's brand narrative. A 2019 survey by Deloitte found that 41% of consumers in the U.S. were considering an electric vehicle (EV) for their next car, a significant surge from previous years (Pietryga, 2022). Tesla, recognised as a sustainable alternative to gasoline-powered vehicles, capitalised on this shift, with its global vehicle sales rising by about 36% in 2020. However, for many consumers, Tesla represents not just a car but a status symbol. The brand is strongly associated with luxury, innovation, and forward-thinking, especially in markets like China, where sales soared, making Tesla's second-largest market in 2020 (Eisler, 2016). Perceptions of EVs' practicality influence buying decisions. Despite Tesla's leading battery technology, range anxiety remains a concern for many potential buyers. As per a 2020 AAA survey, 58% of Americans said they were unsure about going electric because of worries about running out of charge (Moye, 2022).</w:t>
      </w:r>
    </w:p>
    <w:p>
      <w:pPr>
        <w:pStyle w:val="4"/>
        <w:numPr>
          <w:ilvl w:val="2"/>
          <w:numId w:val="1"/>
        </w:numPr>
        <w:spacing w:line="360" w:lineRule="auto"/>
        <w:jc w:val="both"/>
        <w:rPr>
          <w:lang w:val="en-GB"/>
        </w:rPr>
      </w:pPr>
      <w:bookmarkStart w:id="6" w:name="_Toc143511477"/>
      <w:r>
        <w:rPr>
          <w:lang w:val="en-GB"/>
        </w:rPr>
        <w:t>Technological</w:t>
      </w:r>
      <w:bookmarkEnd w:id="6"/>
    </w:p>
    <w:p>
      <w:pPr>
        <w:spacing w:line="360" w:lineRule="auto"/>
        <w:jc w:val="both"/>
      </w:pPr>
      <w:r>
        <w:t xml:space="preserve">At its core, Tesla is as much a technology company as it is an automaker. Their rapid adoption and development of cutting-edge technologies have positioned them at the forefront of the EV revolution. According to Statista, by the end of 2019, Tesla's Supercharger stations numbered around 15,000 globally, addressing one of the primary concerns for EV adopters - charging infrastructure (Statista, 2023). </w:t>
      </w:r>
    </w:p>
    <w:p>
      <w:pPr>
        <w:keepNext/>
        <w:spacing w:line="360" w:lineRule="auto"/>
        <w:jc w:val="center"/>
      </w:pPr>
      <w:r>
        <w:drawing>
          <wp:inline distT="0" distB="0" distL="0" distR="0">
            <wp:extent cx="4154170" cy="2552700"/>
            <wp:effectExtent l="0" t="0" r="0" b="0"/>
            <wp:docPr id="1180984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984314" name="Picture 1"/>
                    <pic:cNvPicPr>
                      <a:picLocks noChangeAspect="1"/>
                    </pic:cNvPicPr>
                  </pic:nvPicPr>
                  <pic:blipFill>
                    <a:blip r:embed="rId11"/>
                    <a:stretch>
                      <a:fillRect/>
                    </a:stretch>
                  </pic:blipFill>
                  <pic:spPr>
                    <a:xfrm>
                      <a:off x="0" y="0"/>
                      <a:ext cx="4157522" cy="2554623"/>
                    </a:xfrm>
                    <a:prstGeom prst="rect">
                      <a:avLst/>
                    </a:prstGeom>
                  </pic:spPr>
                </pic:pic>
              </a:graphicData>
            </a:graphic>
          </wp:inline>
        </w:drawing>
      </w:r>
    </w:p>
    <w:p>
      <w:pPr>
        <w:pStyle w:val="7"/>
        <w:spacing w:line="360" w:lineRule="auto"/>
        <w:jc w:val="center"/>
      </w:pPr>
      <w:r>
        <w:t xml:space="preserve">Figure </w:t>
      </w:r>
      <w:r>
        <w:fldChar w:fldCharType="begin"/>
      </w:r>
      <w:r>
        <w:instrText xml:space="preserve"> SEQ Figure \* ARABIC </w:instrText>
      </w:r>
      <w:r>
        <w:fldChar w:fldCharType="separate"/>
      </w:r>
      <w:r>
        <w:t>4</w:t>
      </w:r>
      <w:r>
        <w:fldChar w:fldCharType="end"/>
      </w:r>
      <w:r>
        <w:t>: Global quarterly volume of available Tesla supercharger stations and connectors between the 4th quarter of 2020 and the 1st quarter of 2023 (Statista, 2023)</w:t>
      </w:r>
    </w:p>
    <w:p>
      <w:pPr>
        <w:spacing w:line="360" w:lineRule="auto"/>
        <w:jc w:val="both"/>
      </w:pPr>
      <w:r>
        <w:t>However, the technological landscape of the automotive industry is evolving at a breakneck speed. Traditional automakers and tech giants pour resources into EV and autonomous driving research. In 2020, Volkswagen increased its R&amp;D expenditure to approximately €15 billion, a substantial portion directed towards EV technology, posing direct competition (Raymunt, 2023). Another significant technological challenge for Tesla is battery innovation. While Tesla's battery technology is currently among the best, with the Model S Long-Range providing a range of over 370 miles, competitors' introduction of solid-state batteries could disrupt Tesla's dominance. Furthermore, as autonomous driving becomes the industry's Holy Grail, Tesla's 'Autopilot' system faces scrutiny and competition (Boudette, 2021).</w:t>
      </w:r>
    </w:p>
    <w:p>
      <w:pPr>
        <w:pStyle w:val="4"/>
        <w:numPr>
          <w:ilvl w:val="2"/>
          <w:numId w:val="1"/>
        </w:numPr>
        <w:spacing w:line="360" w:lineRule="auto"/>
        <w:jc w:val="both"/>
        <w:rPr>
          <w:lang w:val="en-GB"/>
        </w:rPr>
      </w:pPr>
      <w:bookmarkStart w:id="7" w:name="_Toc143511478"/>
      <w:r>
        <w:rPr>
          <w:lang w:val="en-GB"/>
        </w:rPr>
        <w:t>Legal</w:t>
      </w:r>
      <w:bookmarkEnd w:id="7"/>
    </w:p>
    <w:p>
      <w:pPr>
        <w:spacing w:line="360" w:lineRule="auto"/>
        <w:jc w:val="both"/>
      </w:pPr>
      <w:r>
        <w:t>Regulatory scrutiny around vehicle safety standards has been significant, especially with Tesla's 'Autopilot' system. As of early 2021, the U.S. National Highway Traffic Safety Administration (NHTSA) had opened 28 investigations into Tesla-related crashes, with Autopilot suspected to be involved in most (Shepardson, 2022). Moreover, in Europe, stricter data protection laws, like GDPR, impact how Tesla manages user data from its vehicles. Labor practices and dealer laws in various states have also posed challenges; in several U.S. states, Tesla's direct-to-customer sales model is still facing legal roadblocks (Mostert et al., 2016).</w:t>
      </w:r>
    </w:p>
    <w:p>
      <w:pPr>
        <w:pStyle w:val="4"/>
        <w:numPr>
          <w:ilvl w:val="2"/>
          <w:numId w:val="1"/>
        </w:numPr>
        <w:spacing w:line="360" w:lineRule="auto"/>
        <w:jc w:val="both"/>
        <w:rPr>
          <w:lang w:val="en-GB"/>
        </w:rPr>
      </w:pPr>
      <w:bookmarkStart w:id="8" w:name="_Toc143511479"/>
      <w:r>
        <w:rPr>
          <w:lang w:val="en-GB"/>
        </w:rPr>
        <w:t>Environmental</w:t>
      </w:r>
      <w:bookmarkEnd w:id="8"/>
    </w:p>
    <w:p>
      <w:pPr>
        <w:spacing w:line="360" w:lineRule="auto"/>
        <w:jc w:val="both"/>
      </w:pPr>
      <w:r>
        <w:t>Tesla, anchored in sustainability, faces nuanced environmental challenges. While championing EVs' green credentials, the environmental impact of battery production remains a concern. Mining for lithium, a crucial battery component, poses sustainability and ecological challenges. For instance, extracting one ton of lithium in places like the Atacama Desert uses 500,000 gallons of water, impacting local ecosystems (Kaunda, 2020). Concerns about the disposal and recycling of used EV batteries are growing. By 2030, it's estimated there will be 11.7 million tons of discarded EV batteries. Tesla has taken steps to mitigate these issues, like establishing its battery recycling program at the Gigafactory in Nevada (Yu et al., 2022).</w:t>
      </w:r>
    </w:p>
    <w:p>
      <w:pPr>
        <w:pStyle w:val="3"/>
        <w:numPr>
          <w:ilvl w:val="1"/>
          <w:numId w:val="1"/>
        </w:numPr>
        <w:spacing w:line="360" w:lineRule="auto"/>
        <w:jc w:val="both"/>
        <w:rPr>
          <w:lang w:val="en-GB"/>
        </w:rPr>
      </w:pPr>
      <w:bookmarkStart w:id="9" w:name="_Toc143511480"/>
      <w:r>
        <w:rPr>
          <w:lang w:val="en-GB"/>
        </w:rPr>
        <w:t>Internal Marketing Analysis Using SWOT</w:t>
      </w:r>
      <w:bookmarkEnd w:id="9"/>
    </w:p>
    <w:p>
      <w:pPr>
        <w:spacing w:line="360" w:lineRule="auto"/>
        <w:jc w:val="both"/>
      </w:pPr>
      <w:r>
        <w:t>SWOT analysis is a strategic planning tool businesses use to evaluate their strengths, weaknesses, opportunities, and threats to their competition and the market environment (CIPD, 2020).</w:t>
      </w:r>
    </w:p>
    <w:p>
      <w:pPr>
        <w:pStyle w:val="4"/>
        <w:numPr>
          <w:ilvl w:val="2"/>
          <w:numId w:val="1"/>
        </w:numPr>
        <w:spacing w:line="360" w:lineRule="auto"/>
        <w:jc w:val="both"/>
        <w:rPr>
          <w:lang w:val="en-GB"/>
        </w:rPr>
      </w:pPr>
      <w:bookmarkStart w:id="10" w:name="_Toc143511481"/>
      <w:r>
        <w:rPr>
          <w:lang w:val="en-GB"/>
        </w:rPr>
        <w:t>Strengths</w:t>
      </w:r>
      <w:bookmarkEnd w:id="10"/>
    </w:p>
    <w:p>
      <w:pPr>
        <w:spacing w:line="360" w:lineRule="auto"/>
        <w:jc w:val="both"/>
      </w:pPr>
      <w:r>
        <w:t>Tesla has achieved an iconic status in the automotive world as an electric vehicle (EV) pioneer and an symbol of innovation and sustainability. Its brand strength in the EV domain is unparalleled, setting a benchmark for other manufacturers. A key to this success is Tesla's dedication to technology and research. Its state-of-the-art battery technology consistently outperforms competitors, offering more extended and more efficient ranges for its vehicles. This technological prowess is backed by production capabilities that have steadily enhanced over the years (Mangram, 2020). In Q4 2020, Tesla reported producing a 180,000 vehicles and, over the year, achieved a commendable milestone by delivering nearly half a million vehicles globally (Statista, 2023). Another feather in Tesla's cap is its proprietary Supercharger network, a strategic initiative that has set the company apart. With more than 15,000 stations globally as of 2019, Tesla assures its users of rapid charging times, alleviating range anxiety which is often a sticking point for potential EV buyers. Moreover, Tesla's continuous software updates, which upgrade vehicle functionalities, underline its commitment to post-sale vehicle enhancement, a service few competitors offer (Chen and Perez, 2018).</w:t>
      </w:r>
    </w:p>
    <w:p>
      <w:pPr>
        <w:pStyle w:val="4"/>
        <w:numPr>
          <w:ilvl w:val="2"/>
          <w:numId w:val="1"/>
        </w:numPr>
        <w:spacing w:line="360" w:lineRule="auto"/>
        <w:jc w:val="both"/>
        <w:rPr>
          <w:lang w:val="en-GB"/>
        </w:rPr>
      </w:pPr>
      <w:bookmarkStart w:id="11" w:name="_Toc143511482"/>
      <w:r>
        <w:rPr>
          <w:lang w:val="en-GB"/>
        </w:rPr>
        <w:t>Weaknesses</w:t>
      </w:r>
      <w:bookmarkEnd w:id="11"/>
    </w:p>
    <w:p>
      <w:pPr>
        <w:spacing w:line="360" w:lineRule="auto"/>
        <w:jc w:val="both"/>
      </w:pPr>
      <w:r>
        <w:t>One of the persistent criticisms the company has had to navigate revolves around production bottlenecks. A notable instance was the initial difficulty associated with Model 3 production in 2017, which Elon Musk called "production hell". This delayed deliveries and raised concerns about Tesla's scalability in the fast-evolving EV market (Holley, 2021). Quality control has also emerged as a notable concern for Tesla. For a brand that prides itself on luxury and cutting-edge technology, lapses in essential vehicle fit and finish are glaring. In 2020, Tesla's ranking of 25th out of 32 in J.D. Power's Initial Quality Survey was a testament to these concerns, emphasising the need for the company to bolster its quality control mechanisms (Ricker, 2020).</w:t>
      </w:r>
    </w:p>
    <w:p>
      <w:pPr>
        <w:pStyle w:val="4"/>
        <w:numPr>
          <w:ilvl w:val="2"/>
          <w:numId w:val="1"/>
        </w:numPr>
        <w:spacing w:line="360" w:lineRule="auto"/>
        <w:jc w:val="both"/>
        <w:rPr>
          <w:lang w:val="en-GB"/>
        </w:rPr>
      </w:pPr>
      <w:bookmarkStart w:id="12" w:name="_Toc143511483"/>
      <w:r>
        <w:rPr>
          <w:lang w:val="en-GB"/>
        </w:rPr>
        <w:t>Opportunities</w:t>
      </w:r>
      <w:bookmarkEnd w:id="12"/>
    </w:p>
    <w:p>
      <w:pPr>
        <w:spacing w:line="360" w:lineRule="auto"/>
        <w:jc w:val="both"/>
      </w:pPr>
      <w:r>
        <w:t>The global shift towards sustainability and green technology offers Tesla an expansive runway for growth. Reports suggest that 2027 the worldwide EV market could be worth more than $800 billion. This booming market presents Tesla with vast expansion opportunities, particularly in emerging economies (Walton, 2020). India, for instance, is an untapped market where the government is pushing for a significant proportion of vehicles to be electric by 2030. Beyond vehicles, Tesla's ventures into energy solutions, such as energy storage and solar products, provide lucrative avenues for diversification and growth. Their Powerwall and Solar Roof products have generated significant interest, indicating potential areas of expansion (Groom, 2018).</w:t>
      </w:r>
    </w:p>
    <w:p>
      <w:pPr>
        <w:keepNext/>
        <w:spacing w:line="360" w:lineRule="auto"/>
        <w:jc w:val="center"/>
      </w:pPr>
      <w:r>
        <w:drawing>
          <wp:inline distT="0" distB="0" distL="0" distR="0">
            <wp:extent cx="4258945" cy="2592705"/>
            <wp:effectExtent l="0" t="0" r="8255" b="0"/>
            <wp:docPr id="1735839495" name="Picture 2" descr="Electric vehicle trends | Deloitte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839495" name="Picture 2" descr="Electric vehicle trends | Deloitte Insight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4266738" cy="2597577"/>
                    </a:xfrm>
                    <a:prstGeom prst="rect">
                      <a:avLst/>
                    </a:prstGeom>
                    <a:noFill/>
                    <a:ln>
                      <a:noFill/>
                    </a:ln>
                  </pic:spPr>
                </pic:pic>
              </a:graphicData>
            </a:graphic>
          </wp:inline>
        </w:drawing>
      </w:r>
    </w:p>
    <w:p>
      <w:pPr>
        <w:pStyle w:val="7"/>
        <w:spacing w:line="360" w:lineRule="auto"/>
        <w:jc w:val="center"/>
      </w:pPr>
      <w:r>
        <w:t xml:space="preserve">Figure </w:t>
      </w:r>
      <w:r>
        <w:fldChar w:fldCharType="begin"/>
      </w:r>
      <w:r>
        <w:instrText xml:space="preserve"> SEQ Figure \* ARABIC </w:instrText>
      </w:r>
      <w:r>
        <w:fldChar w:fldCharType="separate"/>
      </w:r>
      <w:r>
        <w:t>5</w:t>
      </w:r>
      <w:r>
        <w:fldChar w:fldCharType="end"/>
      </w:r>
      <w:r>
        <w:t>: Electric vehicle trends (Walton, 2020)</w:t>
      </w:r>
    </w:p>
    <w:p>
      <w:pPr>
        <w:pStyle w:val="4"/>
        <w:numPr>
          <w:ilvl w:val="2"/>
          <w:numId w:val="1"/>
        </w:numPr>
        <w:spacing w:line="360" w:lineRule="auto"/>
        <w:jc w:val="both"/>
        <w:rPr>
          <w:lang w:val="en-GB"/>
        </w:rPr>
      </w:pPr>
      <w:bookmarkStart w:id="13" w:name="_Toc143511484"/>
      <w:r>
        <w:rPr>
          <w:lang w:val="en-GB"/>
        </w:rPr>
        <w:t>Threats</w:t>
      </w:r>
      <w:bookmarkEnd w:id="13"/>
    </w:p>
    <w:p>
      <w:pPr>
        <w:spacing w:line="360" w:lineRule="auto"/>
        <w:jc w:val="both"/>
      </w:pPr>
      <w:r>
        <w:t>EV space is now attracting heavyweights from the traditional automotive sector. Companies like Volkswagen, General Motors, and Ford are committing substantial resources to EV development to carve out significant market shares. Volkswagen's ambitious target to sell approximately 1.5 million EVs annually by 2025 underscores the competitive landscape Tesla is navigating (Välikangas, 2018). Regulations and scrutiny around autonomous driving are another area of concern for Tesla. Though revolutionary, their advanced 'Autopilot' system has been a magnet for investigations, particularly by agencies such as the U.S. National Highway Traffic Safety Administration. Additionally, Tesla isn't immune to global disruptions. Supply chain constraints, whether due to geopolitical tensions, trade wars, or global pandemics, can significantly impact its production and delivery capacities (Naor, Coman and Wiznizer, 2021).</w:t>
      </w:r>
    </w:p>
    <w:p>
      <w:pPr>
        <w:pStyle w:val="3"/>
        <w:spacing w:line="360" w:lineRule="auto"/>
        <w:jc w:val="both"/>
        <w:rPr>
          <w:lang w:val="en-US"/>
        </w:rPr>
      </w:pPr>
      <w:bookmarkStart w:id="14" w:name="_Toc143511485"/>
      <w:r>
        <w:rPr>
          <w:lang w:val="en-US"/>
        </w:rPr>
        <w:t>Segmentation, Targeting and Positioning</w:t>
      </w:r>
      <w:bookmarkEnd w:id="14"/>
    </w:p>
    <w:p>
      <w:pPr>
        <w:spacing w:line="360" w:lineRule="auto"/>
        <w:jc w:val="both"/>
        <w:rPr>
          <w:lang w:val="en-US"/>
        </w:rPr>
      </w:pPr>
      <w:r>
        <w:rPr>
          <w:lang w:val="en-US"/>
        </w:rPr>
        <w:t>Segmentation: Tesla targets environmentally conscious consumers, early tech adopters, and affluent individuals seeking premium electric vehicles (EVs).</w:t>
      </w:r>
    </w:p>
    <w:p>
      <w:pPr>
        <w:spacing w:line="360" w:lineRule="auto"/>
        <w:jc w:val="both"/>
        <w:rPr>
          <w:lang w:val="en-US"/>
        </w:rPr>
      </w:pPr>
      <w:r>
        <w:rPr>
          <w:lang w:val="en-US"/>
        </w:rPr>
        <w:t>Targeting: Initially, Tesla catered to the high-end market with the Roadster and Model S. With the Model 3 and Model Y, they've broadened their reach, targeting the mass market.</w:t>
      </w:r>
    </w:p>
    <w:p>
      <w:pPr>
        <w:spacing w:line="360" w:lineRule="auto"/>
        <w:jc w:val="both"/>
        <w:rPr>
          <w:lang w:val="en-US"/>
        </w:rPr>
      </w:pPr>
      <w:r>
        <w:rPr>
          <w:lang w:val="en-US"/>
        </w:rPr>
        <w:t>Positioning: Tesla positions itself as the leader in sustainable transport, merging cutting-edge technology with luxury. The brand resonates with innovation, performance, and environmental responsibility, making it more than just an EV manufacturer, but a symbol of a green and technologically advanced future.</w:t>
      </w:r>
    </w:p>
    <w:p>
      <w:pPr>
        <w:pStyle w:val="2"/>
        <w:spacing w:line="360" w:lineRule="auto"/>
        <w:jc w:val="both"/>
        <w:rPr>
          <w:lang w:val="en-US"/>
        </w:rPr>
      </w:pPr>
      <w:bookmarkStart w:id="15" w:name="_Toc143511486"/>
      <w:r>
        <w:rPr>
          <w:lang w:val="en-US"/>
        </w:rPr>
        <w:t>Marketing Mix</w:t>
      </w:r>
      <w:bookmarkEnd w:id="15"/>
    </w:p>
    <w:p>
      <w:pPr>
        <w:spacing w:line="360" w:lineRule="auto"/>
        <w:jc w:val="both"/>
        <w:rPr>
          <w:lang w:val="en-US"/>
        </w:rPr>
      </w:pPr>
      <w:r>
        <w:rPr>
          <w:lang w:val="en-US"/>
        </w:rPr>
        <w:t>Product: Tesla offers a range of electric vehicles, from luxury models like the Model S to more affordable ones like Model 3. They also provide energy solutions like Powerwall and Solar Roof.</w:t>
      </w:r>
    </w:p>
    <w:p>
      <w:pPr>
        <w:spacing w:line="360" w:lineRule="auto"/>
        <w:jc w:val="both"/>
        <w:rPr>
          <w:lang w:val="en-US"/>
        </w:rPr>
      </w:pPr>
      <w:r>
        <w:rPr>
          <w:lang w:val="en-US"/>
        </w:rPr>
        <w:t>Price: Tesla adopts a premium pricing strategy for its higher-end models but uses competitive pricing for the mass-market Model 3, ensuring a broader customer base.</w:t>
      </w:r>
    </w:p>
    <w:p>
      <w:pPr>
        <w:spacing w:line="360" w:lineRule="auto"/>
        <w:jc w:val="both"/>
        <w:rPr>
          <w:lang w:val="en-US"/>
        </w:rPr>
      </w:pPr>
      <w:r>
        <w:rPr>
          <w:lang w:val="en-US"/>
        </w:rPr>
        <w:t>Place: Tesla sells directly to consumers, bypassing dealerships, through their own branded stores and online platform.</w:t>
      </w:r>
    </w:p>
    <w:p>
      <w:pPr>
        <w:spacing w:line="360" w:lineRule="auto"/>
        <w:jc w:val="both"/>
        <w:rPr>
          <w:lang w:val="en-US"/>
        </w:rPr>
      </w:pPr>
      <w:r>
        <w:rPr>
          <w:lang w:val="en-US"/>
        </w:rPr>
        <w:t>Promotion: Instead of traditional advertising, Tesla relies on word-of-mouth, media coverage, and Elon Musk's influential presence, enhancing its brand image.</w:t>
      </w:r>
    </w:p>
    <w:p>
      <w:pPr>
        <w:pStyle w:val="2"/>
        <w:spacing w:line="360" w:lineRule="auto"/>
        <w:jc w:val="both"/>
        <w:rPr>
          <w:lang w:val="en-US"/>
        </w:rPr>
      </w:pPr>
      <w:bookmarkStart w:id="16" w:name="_Toc143511487"/>
      <w:r>
        <w:rPr>
          <w:lang w:val="en-US"/>
        </w:rPr>
        <w:t>Ansoff Matrix</w:t>
      </w:r>
      <w:bookmarkEnd w:id="16"/>
    </w:p>
    <w:p>
      <w:pPr>
        <w:spacing w:line="360" w:lineRule="auto"/>
        <w:jc w:val="both"/>
        <w:rPr>
          <w:lang w:val="en-US"/>
        </w:rPr>
      </w:pPr>
      <w:r>
        <w:rPr>
          <w:lang w:val="en-US"/>
        </w:rPr>
        <w:t>Market Penetration: Tesla enhances its share in existing markets by improving Model 3's features and ramping up production.</w:t>
      </w:r>
    </w:p>
    <w:p>
      <w:pPr>
        <w:spacing w:line="360" w:lineRule="auto"/>
        <w:jc w:val="both"/>
        <w:rPr>
          <w:lang w:val="en-US"/>
        </w:rPr>
      </w:pPr>
      <w:r>
        <w:rPr>
          <w:lang w:val="en-US"/>
        </w:rPr>
        <w:t>Product Development: Tesla introduced new products, such as the Cybertruck, addressing different customer segments within the EV market.</w:t>
      </w:r>
    </w:p>
    <w:p>
      <w:pPr>
        <w:spacing w:line="360" w:lineRule="auto"/>
        <w:jc w:val="both"/>
        <w:rPr>
          <w:lang w:val="en-US"/>
        </w:rPr>
      </w:pPr>
      <w:r>
        <w:rPr>
          <w:lang w:val="en-US"/>
        </w:rPr>
        <w:t>Market Development: Tesla has expanded globally, opening factories in China (Giga Shanghai) and Europe (Giga Berlin) to tap into new regional markets.</w:t>
      </w:r>
    </w:p>
    <w:p>
      <w:pPr>
        <w:spacing w:line="360" w:lineRule="auto"/>
        <w:jc w:val="both"/>
        <w:rPr>
          <w:lang w:val="en-US"/>
        </w:rPr>
      </w:pPr>
      <w:r>
        <w:rPr>
          <w:lang w:val="en-US"/>
        </w:rPr>
        <w:t>Diversification: Beyond vehicles, Tesla ventured into new product categories like solar panels and energy storage solutions, thereby entering the sustainable energy sector.</w:t>
      </w:r>
    </w:p>
    <w:p>
      <w:pPr>
        <w:pStyle w:val="2"/>
        <w:spacing w:line="360" w:lineRule="auto"/>
        <w:jc w:val="both"/>
      </w:pPr>
      <w:bookmarkStart w:id="17" w:name="_Toc143511488"/>
      <w:r>
        <w:t>Role of Marketing</w:t>
      </w:r>
      <w:bookmarkEnd w:id="17"/>
    </w:p>
    <w:p>
      <w:pPr>
        <w:spacing w:line="360" w:lineRule="auto"/>
        <w:jc w:val="both"/>
      </w:pPr>
      <w:r>
        <w:t>Tesla, unlike traditional automakers, largely eschews conventional advertising. Instead, its marketing strategy hinges on public relations, word-of-mouth, and the charisma of its CEO, Elon Musk. Musk's announcements, product reveals, and tweets have profound impacts, often driving consumer interest and stock market fluctuations (Lyons, 2020). Tesla's focus on innovation, showcased through events like "Battery Day" or the unveiling of products like the Cybertruck, creates media frenzies that amplify its brand presence. The company also strategically employs customer-centric initiatives, such as referral programs, enticing Tesla owners to become brand evangelists. Moreover, its commitment to sustainability and the vision of a clean energy future isn't merely a product feature but a core element of its brand identity (Long et al., 2019; Matthews et al., 2020).</w:t>
      </w:r>
    </w:p>
    <w:p>
      <w:pPr>
        <w:pStyle w:val="2"/>
        <w:spacing w:line="360" w:lineRule="auto"/>
        <w:jc w:val="both"/>
      </w:pPr>
      <w:bookmarkStart w:id="18" w:name="_Toc143511489"/>
      <w:r>
        <w:t>Recommendations for the Future</w:t>
      </w:r>
      <w:bookmarkEnd w:id="18"/>
    </w:p>
    <w:p>
      <w:pPr>
        <w:spacing w:line="360" w:lineRule="auto"/>
        <w:jc w:val="both"/>
      </w:pPr>
      <w:r>
        <w:t>To ensure sustained success, Tesla should prioritise refining its production processes, eliminating the quality control issues that have surfaced in the past. Diversifying its supply chain can mitigate geopolitical tensions and global disruptions risks (Holley, 2021). As competition intensifies, Tesla could benefit from collaborations or partnerships, possibly with traditional automakers or tech giants. Expanding its Supercharger network, especially in emerging markets, will solidify its dominance and address the range of anxieties of potential customers. Finally, while Tesla's unconventional marketing approach has been successful, a selective foray into traditional advertising in key markets could further its reach, ensuring it remains at the forefront of the EV revolution (Lyons, 2020).</w:t>
      </w:r>
    </w:p>
    <w:p>
      <w:pPr>
        <w:pStyle w:val="2"/>
        <w:spacing w:line="360" w:lineRule="auto"/>
        <w:jc w:val="both"/>
      </w:pPr>
      <w:bookmarkStart w:id="19" w:name="_Toc143511490"/>
      <w:r>
        <w:t>Conclusion</w:t>
      </w:r>
      <w:bookmarkEnd w:id="19"/>
    </w:p>
    <w:p>
      <w:pPr>
        <w:spacing w:line="360" w:lineRule="auto"/>
        <w:jc w:val="both"/>
      </w:pPr>
      <w:r>
        <w:t>Tesla's trajectory in the EV market is shaped by its inherent strengths and external environmental factors. As an innovator, Tesla has set benchmarks in technology and sustainability but has also grappled with challenges such as production bottlenecks and quality concerns. Externally, while the booming EV market presents expansive growth opportunities, mounting competition and regulatory complexities are formidable obstacles. Tesla's marketing, driven by its unique brand narrative and Elon Musk's influential presence, further compounds its distinct position in the automotive world.</w:t>
      </w:r>
    </w:p>
    <w:p>
      <w:pPr>
        <w:pStyle w:val="2"/>
        <w:spacing w:line="360" w:lineRule="auto"/>
        <w:jc w:val="both"/>
      </w:pPr>
      <w:bookmarkStart w:id="20" w:name="_Toc143511491"/>
      <w:r>
        <w:t>References</w:t>
      </w:r>
      <w:bookmarkEnd w:id="20"/>
    </w:p>
    <w:p>
      <w:pPr>
        <w:pStyle w:val="11"/>
        <w:spacing w:before="0" w:beforeAutospacing="0" w:after="240" w:afterAutospacing="0" w:line="360" w:lineRule="auto"/>
        <w:jc w:val="both"/>
      </w:pPr>
      <w:r>
        <w:t xml:space="preserve">Boudette, N. (2021). Tesla’s Autopilot Technology Faces Fresh Scrutiny. </w:t>
      </w:r>
      <w:r>
        <w:rPr>
          <w:i/>
          <w:iCs/>
        </w:rPr>
        <w:t>New York Times</w:t>
      </w:r>
      <w:r>
        <w:t>. [online] 23 Mar. Available at: https://www.nytimes.com/2021/03/23/business/teslas-autopilot-safety-investigations.html [Accessed 13 Aug. 2023].</w:t>
      </w:r>
    </w:p>
    <w:p>
      <w:pPr>
        <w:pStyle w:val="11"/>
        <w:spacing w:before="0" w:beforeAutospacing="0" w:after="240" w:afterAutospacing="0" w:line="360" w:lineRule="auto"/>
        <w:jc w:val="both"/>
      </w:pPr>
      <w:r>
        <w:t xml:space="preserve">Carlier, M. (2023). </w:t>
      </w:r>
      <w:r>
        <w:rPr>
          <w:i/>
          <w:iCs/>
        </w:rPr>
        <w:t>Tesla’s Revenue 2008-2018 | Statistic</w:t>
      </w:r>
      <w:r>
        <w:t>. [online] Statista. Available at: https://www.statista.com/statistics/272120/revenue-of-tesla/ [Accessed 13 Aug. 2023].</w:t>
      </w:r>
    </w:p>
    <w:p>
      <w:pPr>
        <w:pStyle w:val="11"/>
        <w:spacing w:before="0" w:beforeAutospacing="0" w:after="240" w:afterAutospacing="0" w:line="360" w:lineRule="auto"/>
        <w:jc w:val="both"/>
      </w:pPr>
      <w:r>
        <w:t xml:space="preserve">Chen, Y. and Perez, Y. (2018). Business Model Design: Lessons Learned from Tesla Motors. </w:t>
      </w:r>
      <w:r>
        <w:rPr>
          <w:i/>
          <w:iCs/>
        </w:rPr>
        <w:t>Towards a Sustainable Economy</w:t>
      </w:r>
      <w:r>
        <w:t>, pp.53–69.</w:t>
      </w:r>
    </w:p>
    <w:p>
      <w:pPr>
        <w:pStyle w:val="11"/>
        <w:spacing w:before="0" w:beforeAutospacing="0" w:after="240" w:afterAutospacing="0" w:line="360" w:lineRule="auto"/>
        <w:jc w:val="both"/>
      </w:pPr>
      <w:r>
        <w:t xml:space="preserve">CIPD (2020). </w:t>
      </w:r>
      <w:r>
        <w:rPr>
          <w:i/>
          <w:iCs/>
        </w:rPr>
        <w:t>CIPD | SWOT Analysis | Factsheets</w:t>
      </w:r>
      <w:r>
        <w:t>. [online] CIPD. Available at: https://www.cipd.org/en/knowledge/factsheets/swot-analysis-factsheet/ [Accessed 13 Aug. 2023].</w:t>
      </w:r>
    </w:p>
    <w:p>
      <w:pPr>
        <w:pStyle w:val="11"/>
        <w:spacing w:before="0" w:beforeAutospacing="0" w:after="240" w:afterAutospacing="0" w:line="360" w:lineRule="auto"/>
        <w:jc w:val="both"/>
      </w:pPr>
      <w:r>
        <w:t xml:space="preserve">CIPD (2023). </w:t>
      </w:r>
      <w:r>
        <w:rPr>
          <w:i/>
          <w:iCs/>
        </w:rPr>
        <w:t>CIPD | PESTLE Analysis</w:t>
      </w:r>
      <w:r>
        <w:t>. [online] CIPD. Available at: https://www.cipd.org/en/knowledge/factsheets/pestle-analysis-factsheet/ [Accessed 13 Aug. 2023].</w:t>
      </w:r>
    </w:p>
    <w:p>
      <w:pPr>
        <w:pStyle w:val="11"/>
        <w:spacing w:before="0" w:beforeAutospacing="0" w:after="240" w:afterAutospacing="0" w:line="360" w:lineRule="auto"/>
        <w:jc w:val="both"/>
      </w:pPr>
      <w:r>
        <w:t xml:space="preserve">CNBC (2022). </w:t>
      </w:r>
      <w:r>
        <w:rPr>
          <w:i/>
          <w:iCs/>
        </w:rPr>
        <w:t>Tesla weighs reset for China retail strategy even as sales boom</w:t>
      </w:r>
      <w:r>
        <w:t>. [online] CNBC. Available at: https://www.cnbc.com/2022/09/20/tesla-weighs-reset-for-china-retail-strategy-even-as-sales-boom.html [Accessed 13 Aug. 2023].</w:t>
      </w:r>
    </w:p>
    <w:p>
      <w:pPr>
        <w:pStyle w:val="11"/>
        <w:spacing w:before="0" w:beforeAutospacing="0" w:after="240" w:afterAutospacing="0" w:line="360" w:lineRule="auto"/>
        <w:jc w:val="both"/>
      </w:pPr>
      <w:r>
        <w:t xml:space="preserve">Domonoske, C. (2023). </w:t>
      </w:r>
      <w:r>
        <w:rPr>
          <w:i/>
          <w:iCs/>
        </w:rPr>
        <w:t>How the $7,500 tax credit to buy an electric car is about to change yet again</w:t>
      </w:r>
      <w:r>
        <w:t>. [online] NPR. Available at: https://www.npr.org/2023/03/31/1167084120/electric-vehicles-cars-tax-credit-climate-bill [Accessed 13 Aug. 2023].</w:t>
      </w:r>
    </w:p>
    <w:p>
      <w:pPr>
        <w:pStyle w:val="11"/>
        <w:spacing w:before="0" w:beforeAutospacing="0" w:after="240" w:afterAutospacing="0" w:line="360" w:lineRule="auto"/>
        <w:jc w:val="both"/>
      </w:pPr>
      <w:r>
        <w:t xml:space="preserve">Eisler, M.N. (2016). A Tesla in every garage? </w:t>
      </w:r>
      <w:r>
        <w:rPr>
          <w:i/>
          <w:iCs/>
        </w:rPr>
        <w:t>IEEE Spectrum</w:t>
      </w:r>
      <w:r>
        <w:t>, 53(2), pp.34–55. doi:https://doi.org/10.1109/mspec.2016.7419798.</w:t>
      </w:r>
    </w:p>
    <w:p>
      <w:pPr>
        <w:pStyle w:val="11"/>
        <w:spacing w:before="0" w:beforeAutospacing="0" w:after="240" w:afterAutospacing="0" w:line="360" w:lineRule="auto"/>
        <w:jc w:val="both"/>
      </w:pPr>
      <w:r>
        <w:t xml:space="preserve">Gregersen, E. and Schreiber, B.A. (2021). Tesla, Inc. | History, Cars, Elon Musk, &amp; Facts. In: </w:t>
      </w:r>
      <w:r>
        <w:rPr>
          <w:i/>
          <w:iCs/>
        </w:rPr>
        <w:t>Encyclopedia Britannica</w:t>
      </w:r>
      <w:r>
        <w:t>.</w:t>
      </w:r>
    </w:p>
    <w:p>
      <w:pPr>
        <w:pStyle w:val="11"/>
        <w:spacing w:before="0" w:beforeAutospacing="0" w:after="240" w:afterAutospacing="0" w:line="360" w:lineRule="auto"/>
        <w:jc w:val="both"/>
      </w:pPr>
      <w:r>
        <w:t xml:space="preserve">Groom, N. (2018). Tesla says solar roof production has started in Buffalo. </w:t>
      </w:r>
      <w:r>
        <w:rPr>
          <w:i/>
          <w:iCs/>
        </w:rPr>
        <w:t>Reuters</w:t>
      </w:r>
      <w:r>
        <w:t>. [online] 9 Jan. Available at: https://www.reuters.com/article/us-tesla-solar-idUSKBN1EY2B9 [Accessed 13 Aug. 2023].</w:t>
      </w:r>
    </w:p>
    <w:p>
      <w:pPr>
        <w:pStyle w:val="11"/>
        <w:spacing w:before="0" w:beforeAutospacing="0" w:after="240" w:afterAutospacing="0" w:line="360" w:lineRule="auto"/>
        <w:jc w:val="both"/>
      </w:pPr>
      <w:r>
        <w:t xml:space="preserve">Holley, P. (2021). Analysis | Sleepless nights, broken robots and mounting pressure: Musk offers rare glimpse inside Tesla’s ‘production hell’. </w:t>
      </w:r>
      <w:r>
        <w:rPr>
          <w:i/>
          <w:iCs/>
        </w:rPr>
        <w:t>Washington Post</w:t>
      </w:r>
      <w:r>
        <w:t>. [online] 5 Dec. Available at: https://www.washingtonpost.com/news/innovations/wp/2017/11/03/sleepless-nights-broken-robots-and-mounting-pressure-musk-offers-rare-glimpse-inside-teslas-production-hell/ [Accessed 13 Aug. 2023].</w:t>
      </w:r>
    </w:p>
    <w:p>
      <w:pPr>
        <w:pStyle w:val="11"/>
        <w:spacing w:before="0" w:beforeAutospacing="0" w:after="240" w:afterAutospacing="0" w:line="360" w:lineRule="auto"/>
        <w:jc w:val="both"/>
      </w:pPr>
      <w:r>
        <w:t xml:space="preserve">IBISWorld (2022). </w:t>
      </w:r>
      <w:r>
        <w:rPr>
          <w:i/>
          <w:iCs/>
        </w:rPr>
        <w:t>How to Conduct a PESTLE Analysis</w:t>
      </w:r>
      <w:r>
        <w:t>. [online] Ibisworld.com. Available at: https://www.ibisworld.com/blog/3-step-pestle-analysis/99/1127/ [Accessed 20 Aug. 2023].</w:t>
      </w:r>
    </w:p>
    <w:p>
      <w:pPr>
        <w:pStyle w:val="11"/>
        <w:spacing w:before="0" w:beforeAutospacing="0" w:after="240" w:afterAutospacing="0" w:line="360" w:lineRule="auto"/>
        <w:jc w:val="both"/>
      </w:pPr>
      <w:r>
        <w:t xml:space="preserve">Kaunda, R.B. (2020). Potential environmental impacts of lithium mining. </w:t>
      </w:r>
      <w:r>
        <w:rPr>
          <w:i/>
          <w:iCs/>
        </w:rPr>
        <w:t>Journal of Energy &amp; Natural Resources Law</w:t>
      </w:r>
      <w:r>
        <w:t>, 38(3), pp.237–244.</w:t>
      </w:r>
    </w:p>
    <w:p>
      <w:pPr>
        <w:pStyle w:val="11"/>
        <w:spacing w:before="0" w:beforeAutospacing="0" w:after="240" w:afterAutospacing="0" w:line="360" w:lineRule="auto"/>
        <w:jc w:val="both"/>
      </w:pPr>
      <w:r>
        <w:t xml:space="preserve">Long, Z., Axsen, J., Miller, I. and Kormos, C. (2019). What does Tesla mean to car buyers? Exploring the role of automotive brand in perceptions of battery electric vehicles. </w:t>
      </w:r>
      <w:r>
        <w:rPr>
          <w:i/>
          <w:iCs/>
        </w:rPr>
        <w:t>Transportation Research Part A: Policy and Practice</w:t>
      </w:r>
      <w:r>
        <w:t>, 129(1), pp.185–204.</w:t>
      </w:r>
    </w:p>
    <w:p>
      <w:pPr>
        <w:pStyle w:val="11"/>
        <w:spacing w:before="0" w:beforeAutospacing="0" w:after="240" w:afterAutospacing="0" w:line="360" w:lineRule="auto"/>
        <w:jc w:val="both"/>
      </w:pPr>
      <w:r>
        <w:t xml:space="preserve">Lyons, K. (2020). </w:t>
      </w:r>
      <w:r>
        <w:rPr>
          <w:i/>
          <w:iCs/>
        </w:rPr>
        <w:t>Here are Tesla’s biggest announcements from Battery Day</w:t>
      </w:r>
      <w:r>
        <w:t>. [online] The Verge. Available at: https://www.theverge.com/2020/9/22/21450840/tesla-battery-day-production-elon-musk-tabless-range-cathode-cobalt-plaid [Accessed 13 Aug. 2023].</w:t>
      </w:r>
    </w:p>
    <w:p>
      <w:pPr>
        <w:pStyle w:val="11"/>
        <w:spacing w:before="0" w:beforeAutospacing="0" w:after="240" w:afterAutospacing="0" w:line="360" w:lineRule="auto"/>
        <w:jc w:val="both"/>
      </w:pPr>
      <w:r>
        <w:t xml:space="preserve">Mangram, M.E. (2020). The globalization of Tesla Motors: a strategic marketing plan analysis. </w:t>
      </w:r>
      <w:r>
        <w:rPr>
          <w:i/>
          <w:iCs/>
        </w:rPr>
        <w:t>Journal of Strategic Marketing</w:t>
      </w:r>
      <w:r>
        <w:t>, 20(4), pp.289–312.</w:t>
      </w:r>
    </w:p>
    <w:p>
      <w:pPr>
        <w:pStyle w:val="11"/>
        <w:spacing w:before="0" w:beforeAutospacing="0" w:after="240" w:afterAutospacing="0" w:line="360" w:lineRule="auto"/>
        <w:jc w:val="both"/>
      </w:pPr>
      <w:r>
        <w:t xml:space="preserve">Matthews, T., Hirve, M., Pan, Y., Dang, D., Rawar, E. and Daim, T.U. (2020). Tesla Energy. </w:t>
      </w:r>
      <w:r>
        <w:rPr>
          <w:i/>
          <w:iCs/>
        </w:rPr>
        <w:t>Science, Technology and Innovation Studies</w:t>
      </w:r>
      <w:r>
        <w:t>, pp.233–249. doi:https://doi.org/10.1007/978-3-030-58301-9_15.</w:t>
      </w:r>
    </w:p>
    <w:p>
      <w:pPr>
        <w:pStyle w:val="11"/>
        <w:spacing w:before="0" w:beforeAutospacing="0" w:after="240" w:afterAutospacing="0" w:line="360" w:lineRule="auto"/>
        <w:jc w:val="both"/>
      </w:pPr>
      <w:r>
        <w:t xml:space="preserve">Mostert, M., Bredenoord, A.L., Biesaart, M.C.I.H. and van Delden, J.J.M. (2016). Big Data in medical research and EU data protection law: challenges to the consent or anonymise approach. </w:t>
      </w:r>
      <w:r>
        <w:rPr>
          <w:i/>
          <w:iCs/>
        </w:rPr>
        <w:t>European Journal of Human Genetics</w:t>
      </w:r>
      <w:r>
        <w:t>, 24(7), pp.956–960.</w:t>
      </w:r>
    </w:p>
    <w:p>
      <w:pPr>
        <w:pStyle w:val="11"/>
        <w:spacing w:before="0" w:beforeAutospacing="0" w:after="240" w:afterAutospacing="0" w:line="360" w:lineRule="auto"/>
        <w:jc w:val="both"/>
      </w:pPr>
      <w:r>
        <w:t xml:space="preserve">Moye, B. (2022). </w:t>
      </w:r>
      <w:r>
        <w:rPr>
          <w:i/>
          <w:iCs/>
        </w:rPr>
        <w:t>Americans Reveal Fresh Thoughts on Electric Vehicles</w:t>
      </w:r>
      <w:r>
        <w:t>. [online] AAA Newsroom. Available at: https://newsroom.aaa.com/2022/07/americans-reveal-fresh-thoughts-on-electric-vehicles/ [Accessed 13 Aug. 2023].</w:t>
      </w:r>
    </w:p>
    <w:p>
      <w:pPr>
        <w:pStyle w:val="11"/>
        <w:spacing w:before="0" w:beforeAutospacing="0" w:after="240" w:afterAutospacing="0" w:line="360" w:lineRule="auto"/>
        <w:jc w:val="both"/>
      </w:pPr>
      <w:r>
        <w:t xml:space="preserve">Naor, M., Coman, A. and Wiznizer, A. (2021). Vertically Integrated Supply Chain of Batteries, Electric Vehicles, and Charging Infrastructure: A Review of Three Milestone Projects from Theory of Constraints Perspective. </w:t>
      </w:r>
      <w:r>
        <w:rPr>
          <w:i/>
          <w:iCs/>
        </w:rPr>
        <w:t>Sustainability</w:t>
      </w:r>
      <w:r>
        <w:t>, 13(7), p.3632.</w:t>
      </w:r>
    </w:p>
    <w:p>
      <w:pPr>
        <w:pStyle w:val="11"/>
        <w:spacing w:before="0" w:beforeAutospacing="0" w:after="240" w:afterAutospacing="0" w:line="360" w:lineRule="auto"/>
        <w:jc w:val="both"/>
      </w:pPr>
      <w:r>
        <w:t xml:space="preserve">Pietryga, S. (2022). </w:t>
      </w:r>
      <w:r>
        <w:rPr>
          <w:i/>
          <w:iCs/>
        </w:rPr>
        <w:t>Affordability Concerns Slow the Road to an Electrified Future – Press release</w:t>
      </w:r>
      <w:r>
        <w:t>. [online] Deloitte United States. Available at: https://www2.deloitte.com/us/en/pages/about-deloitte/articles/press-releases/deloitte-affordability-concerns-slow-the-road-to-an-electrified-future.html [Accessed 13 Aug. 2023].</w:t>
      </w:r>
    </w:p>
    <w:p>
      <w:pPr>
        <w:pStyle w:val="11"/>
        <w:spacing w:before="0" w:beforeAutospacing="0" w:after="240" w:afterAutospacing="0" w:line="360" w:lineRule="auto"/>
        <w:jc w:val="both"/>
      </w:pPr>
      <w:r>
        <w:t xml:space="preserve">Raymunt, M. (2023). VW Sets €180 Billion Spending Plan to Further New Technology. </w:t>
      </w:r>
      <w:r>
        <w:rPr>
          <w:i/>
          <w:iCs/>
        </w:rPr>
        <w:t>Bloomberg.com</w:t>
      </w:r>
      <w:r>
        <w:t>. [online] 14 Mar. Available at: https://www.bloomberg.com/news/articles/2023-03-14/vw-swings-180-billion-spending-plan-further-to-new-technology [Accessed 13 Aug. 2023].</w:t>
      </w:r>
    </w:p>
    <w:p>
      <w:pPr>
        <w:pStyle w:val="11"/>
        <w:spacing w:before="0" w:beforeAutospacing="0" w:after="240" w:afterAutospacing="0" w:line="360" w:lineRule="auto"/>
        <w:jc w:val="both"/>
      </w:pPr>
      <w:r>
        <w:t xml:space="preserve">Ricker, T. (2020). </w:t>
      </w:r>
      <w:r>
        <w:rPr>
          <w:i/>
          <w:iCs/>
        </w:rPr>
        <w:t>Tesla ranks last on influential JD Power quality survey</w:t>
      </w:r>
      <w:r>
        <w:t>. [online] The Verge. Available at: https://www.theverge.com/2020/6/25/21302804/tesla-ranks-last-on-influential-jd-power-quality-survey [Accessed 13 Aug. 2023].</w:t>
      </w:r>
    </w:p>
    <w:p>
      <w:pPr>
        <w:pStyle w:val="11"/>
        <w:spacing w:before="0" w:beforeAutospacing="0" w:after="240" w:afterAutospacing="0" w:line="360" w:lineRule="auto"/>
        <w:jc w:val="both"/>
      </w:pPr>
      <w:r>
        <w:t xml:space="preserve">Shepardson, D. (2022). U.S. safety agency probes two more Tesla crashes involving suspected driver assistance. </w:t>
      </w:r>
      <w:r>
        <w:rPr>
          <w:i/>
          <w:iCs/>
        </w:rPr>
        <w:t>Reuters</w:t>
      </w:r>
      <w:r>
        <w:t>. [online] 22 Dec. Available at: https://www.reuters.com/business/autos-transportation/us-safety-agency-probing-two-new-tesla-driver-assistance-crashes-2022-12-22/ [Accessed 13 Aug. 2023].</w:t>
      </w:r>
    </w:p>
    <w:p>
      <w:pPr>
        <w:pStyle w:val="11"/>
        <w:spacing w:before="0" w:beforeAutospacing="0" w:after="240" w:afterAutospacing="0" w:line="360" w:lineRule="auto"/>
        <w:jc w:val="both"/>
      </w:pPr>
      <w:r>
        <w:t xml:space="preserve">Statista (2023). </w:t>
      </w:r>
      <w:r>
        <w:rPr>
          <w:i/>
          <w:iCs/>
        </w:rPr>
        <w:t>Tesla: quarterly supercharger volume worldwide 2021</w:t>
      </w:r>
      <w:r>
        <w:t>. [online] Statista. Available at: https://www.statista.com/statistics/1290490/tesla-quarterly-supercharger-volume-worldwide/ [Accessed 13 Aug. 2023].</w:t>
      </w:r>
    </w:p>
    <w:p>
      <w:pPr>
        <w:pStyle w:val="11"/>
        <w:spacing w:before="0" w:beforeAutospacing="0" w:after="240" w:afterAutospacing="0" w:line="360" w:lineRule="auto"/>
        <w:jc w:val="both"/>
      </w:pPr>
      <w:r>
        <w:t xml:space="preserve">Su, C. (2022). The Electric Vehicle Revolution–The Impact of Globalization Upon a Disruptive Industry. </w:t>
      </w:r>
      <w:r>
        <w:rPr>
          <w:i/>
          <w:iCs/>
        </w:rPr>
        <w:t>escholarship.org</w:t>
      </w:r>
      <w:r>
        <w:t>, 2.</w:t>
      </w:r>
    </w:p>
    <w:p>
      <w:pPr>
        <w:pStyle w:val="11"/>
        <w:spacing w:before="0" w:beforeAutospacing="0" w:after="240" w:afterAutospacing="0" w:line="360" w:lineRule="auto"/>
        <w:jc w:val="both"/>
      </w:pPr>
      <w:r>
        <w:t xml:space="preserve">Välikangas, L. (2018). Forum on Tesla and the Global Automotive Industry. </w:t>
      </w:r>
      <w:r>
        <w:rPr>
          <w:i/>
          <w:iCs/>
        </w:rPr>
        <w:t>Management and Organization Review</w:t>
      </w:r>
      <w:r>
        <w:t>, 14(3), pp.467–470.</w:t>
      </w:r>
    </w:p>
    <w:p>
      <w:pPr>
        <w:pStyle w:val="11"/>
        <w:spacing w:before="0" w:beforeAutospacing="0" w:after="240" w:afterAutospacing="0" w:line="360" w:lineRule="auto"/>
        <w:jc w:val="both"/>
      </w:pPr>
      <w:r>
        <w:t xml:space="preserve">Walton, B. (2020). </w:t>
      </w:r>
      <w:r>
        <w:rPr>
          <w:i/>
          <w:iCs/>
        </w:rPr>
        <w:t>Electric vehicle trends | Deloitte Insights</w:t>
      </w:r>
      <w:r>
        <w:t>. [online] www2.deloitte.com. Available at: https://www2.deloitte.com/us/en/insights/focus/future-of-mobility/electric-vehicle-trends-2030.html [Accessed 13 Aug. 2023].</w:t>
      </w:r>
    </w:p>
    <w:p>
      <w:pPr>
        <w:pStyle w:val="11"/>
        <w:spacing w:before="0" w:beforeAutospacing="0" w:after="240" w:afterAutospacing="0" w:line="360" w:lineRule="auto"/>
        <w:jc w:val="both"/>
      </w:pPr>
      <w:r>
        <w:t xml:space="preserve">Yu, X., Li, W., Gupta, V., Gao, H., Tran, D., Sarwar, S. and Chen, Z. (2022). Current Challenges in Efficient Lithium‐Ion Batteries’ Recycling: A Perspective. </w:t>
      </w:r>
      <w:r>
        <w:rPr>
          <w:i/>
          <w:iCs/>
        </w:rPr>
        <w:t>Global Challenges</w:t>
      </w:r>
      <w:r>
        <w:t>, 6(12), p.2200099.</w:t>
      </w:r>
    </w:p>
    <w:p>
      <w:pPr>
        <w:pStyle w:val="11"/>
        <w:spacing w:before="0" w:beforeAutospacing="0" w:after="240" w:afterAutospacing="0" w:line="360" w:lineRule="auto"/>
        <w:jc w:val="both"/>
      </w:pPr>
      <w:r>
        <w:t xml:space="preserve">Zandt, F. (2022). </w:t>
      </w:r>
      <w:r>
        <w:rPr>
          <w:i/>
          <w:iCs/>
        </w:rPr>
        <w:t>Infographic: Tesla’s Vehicle Production Is Ramping Up</w:t>
      </w:r>
      <w:r>
        <w:t>. [online] Statista Infographics. Available at: https://www.statista.com/chart/13435/tesla-vehicle-production/ [Accessed 13 Aug. 2023].</w:t>
      </w:r>
    </w:p>
    <w:p>
      <w:pPr>
        <w:spacing w:line="360" w:lineRule="auto"/>
        <w:jc w:val="both"/>
        <w:rPr>
          <w:lang w:val="zh-CN"/>
        </w:rPr>
      </w:pPr>
    </w:p>
    <w:p>
      <w:pPr>
        <w:spacing w:line="360" w:lineRule="auto"/>
        <w:jc w:val="both"/>
      </w:pPr>
    </w:p>
    <w:p>
      <w:pPr>
        <w:spacing w:line="360" w:lineRule="auto"/>
        <w:jc w:val="both"/>
        <w:rPr>
          <w:lang w:val="en-US"/>
        </w:rPr>
      </w:pPr>
    </w:p>
    <w:sectPr>
      <w:foot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等线 Light">
    <w:altName w:val="Liberation Mono"/>
    <w:panose1 w:val="00000000000000000000"/>
    <w:charset w:val="00"/>
    <w:family w:val="auto"/>
    <w:pitch w:val="default"/>
    <w:sig w:usb0="00000000" w:usb1="00000000" w:usb2="00000000" w:usb3="00000000" w:csb0="00000000" w:csb1="00000000"/>
  </w:font>
  <w:font w:name="Liberation Mono">
    <w:panose1 w:val="02070409020205020404"/>
    <w:charset w:val="00"/>
    <w:family w:val="auto"/>
    <w:pitch w:val="default"/>
    <w:sig w:usb0="E0000AFF" w:usb1="400078FF" w:usb2="00000001" w:usb3="00000000" w:csb0="600001BF" w:csb1="DFF70000"/>
  </w:font>
  <w:font w:name="等线">
    <w:altName w:val="Arial Unicode MS"/>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536238806"/>
      <w:docPartObj>
        <w:docPartGallery w:val="AutoText"/>
      </w:docPartObj>
    </w:sdtPr>
    <w:sdtContent>
      <w:p>
        <w:pPr>
          <w:pStyle w:val="8"/>
          <w:jc w:val="right"/>
        </w:pPr>
        <w:r>
          <w:fldChar w:fldCharType="begin"/>
        </w:r>
        <w:r>
          <w:instrText xml:space="preserve"> PAGE   \* MERGEFORMAT </w:instrText>
        </w:r>
        <w:r>
          <w:fldChar w:fldCharType="separate"/>
        </w:r>
        <w:r>
          <w:t>2</w:t>
        </w:r>
        <w:r>
          <w:fldChar w:fldCharType="end"/>
        </w:r>
      </w:p>
    </w:sdtContent>
  </w:sdt>
  <w:p>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731786F"/>
    <w:multiLevelType w:val="multilevel"/>
    <w:tmpl w:val="1731786F"/>
    <w:lvl w:ilvl="0" w:tentative="0">
      <w:start w:val="1"/>
      <w:numFmt w:val="decimal"/>
      <w:pStyle w:val="2"/>
      <w:lvlText w:val="%1."/>
      <w:lvlJc w:val="left"/>
      <w:pPr>
        <w:ind w:left="720" w:hanging="360"/>
      </w:pPr>
      <w:rPr>
        <w:rFonts w:hint="default"/>
      </w:rPr>
    </w:lvl>
    <w:lvl w:ilvl="1" w:tentative="0">
      <w:start w:val="1"/>
      <w:numFmt w:val="decimal"/>
      <w:isLgl/>
      <w:lvlText w:val="%1.%2."/>
      <w:lvlJc w:val="left"/>
      <w:pPr>
        <w:ind w:left="720" w:hanging="360"/>
      </w:pPr>
      <w:rPr>
        <w:rFonts w:hint="default"/>
      </w:rPr>
    </w:lvl>
    <w:lvl w:ilvl="2" w:tentative="0">
      <w:start w:val="1"/>
      <w:numFmt w:val="decimal"/>
      <w:isLgl/>
      <w:lvlText w:val="%1.%2.%3."/>
      <w:lvlJc w:val="left"/>
      <w:pPr>
        <w:ind w:left="1080" w:hanging="720"/>
      </w:pPr>
      <w:rPr>
        <w:rFonts w:hint="default"/>
      </w:rPr>
    </w:lvl>
    <w:lvl w:ilvl="3" w:tentative="0">
      <w:start w:val="1"/>
      <w:numFmt w:val="decimal"/>
      <w:isLgl/>
      <w:lvlText w:val="%1.%2.%3.%4."/>
      <w:lvlJc w:val="left"/>
      <w:pPr>
        <w:ind w:left="1080" w:hanging="720"/>
      </w:pPr>
      <w:rPr>
        <w:rFonts w:hint="default"/>
      </w:rPr>
    </w:lvl>
    <w:lvl w:ilvl="4" w:tentative="0">
      <w:start w:val="1"/>
      <w:numFmt w:val="decimal"/>
      <w:isLgl/>
      <w:lvlText w:val="%1.%2.%3.%4.%5."/>
      <w:lvlJc w:val="left"/>
      <w:pPr>
        <w:ind w:left="1440" w:hanging="1080"/>
      </w:pPr>
      <w:rPr>
        <w:rFonts w:hint="default"/>
      </w:rPr>
    </w:lvl>
    <w:lvl w:ilvl="5" w:tentative="0">
      <w:start w:val="1"/>
      <w:numFmt w:val="decimal"/>
      <w:isLgl/>
      <w:lvlText w:val="%1.%2.%3.%4.%5.%6."/>
      <w:lvlJc w:val="left"/>
      <w:pPr>
        <w:ind w:left="1440" w:hanging="1080"/>
      </w:pPr>
      <w:rPr>
        <w:rFonts w:hint="default"/>
      </w:rPr>
    </w:lvl>
    <w:lvl w:ilvl="6" w:tentative="0">
      <w:start w:val="1"/>
      <w:numFmt w:val="decimal"/>
      <w:isLgl/>
      <w:lvlText w:val="%1.%2.%3.%4.%5.%6.%7."/>
      <w:lvlJc w:val="left"/>
      <w:pPr>
        <w:ind w:left="1800" w:hanging="1440"/>
      </w:pPr>
      <w:rPr>
        <w:rFonts w:hint="default"/>
      </w:rPr>
    </w:lvl>
    <w:lvl w:ilvl="7" w:tentative="0">
      <w:start w:val="1"/>
      <w:numFmt w:val="decimal"/>
      <w:isLgl/>
      <w:lvlText w:val="%1.%2.%3.%4.%5.%6.%7.%8."/>
      <w:lvlJc w:val="left"/>
      <w:pPr>
        <w:ind w:left="1800" w:hanging="1440"/>
      </w:pPr>
      <w:rPr>
        <w:rFonts w:hint="default"/>
      </w:rPr>
    </w:lvl>
    <w:lvl w:ilvl="8" w:tentative="0">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jO2NDUxMzEyMzO3NDZX0lEKTi0uzszPAykwqQUAoMdbzywAAAA="/>
  </w:docVars>
  <w:rsids>
    <w:rsidRoot w:val="00C415DF"/>
    <w:rsid w:val="000423C8"/>
    <w:rsid w:val="000439E0"/>
    <w:rsid w:val="0004456F"/>
    <w:rsid w:val="000479C1"/>
    <w:rsid w:val="00073BDD"/>
    <w:rsid w:val="00096B71"/>
    <w:rsid w:val="000A53A2"/>
    <w:rsid w:val="000B01D0"/>
    <w:rsid w:val="000F0CEC"/>
    <w:rsid w:val="001015A4"/>
    <w:rsid w:val="001060BF"/>
    <w:rsid w:val="00151294"/>
    <w:rsid w:val="001616AB"/>
    <w:rsid w:val="00165379"/>
    <w:rsid w:val="00176606"/>
    <w:rsid w:val="001934C0"/>
    <w:rsid w:val="001A04D2"/>
    <w:rsid w:val="001D137B"/>
    <w:rsid w:val="001D31F8"/>
    <w:rsid w:val="001F78B5"/>
    <w:rsid w:val="002108DF"/>
    <w:rsid w:val="00221E61"/>
    <w:rsid w:val="00231FBC"/>
    <w:rsid w:val="0023237B"/>
    <w:rsid w:val="00267CE4"/>
    <w:rsid w:val="00270630"/>
    <w:rsid w:val="002975CC"/>
    <w:rsid w:val="002D1025"/>
    <w:rsid w:val="002F2E48"/>
    <w:rsid w:val="003027A7"/>
    <w:rsid w:val="003110E5"/>
    <w:rsid w:val="003608A1"/>
    <w:rsid w:val="003B081B"/>
    <w:rsid w:val="003E60BA"/>
    <w:rsid w:val="003F4374"/>
    <w:rsid w:val="00407D66"/>
    <w:rsid w:val="00407F43"/>
    <w:rsid w:val="00437043"/>
    <w:rsid w:val="00443DD4"/>
    <w:rsid w:val="0048648B"/>
    <w:rsid w:val="00493DBD"/>
    <w:rsid w:val="004B7ECD"/>
    <w:rsid w:val="004D30A2"/>
    <w:rsid w:val="004D4F8F"/>
    <w:rsid w:val="004F7221"/>
    <w:rsid w:val="00501FF4"/>
    <w:rsid w:val="0052634B"/>
    <w:rsid w:val="00557478"/>
    <w:rsid w:val="00572411"/>
    <w:rsid w:val="005A00B9"/>
    <w:rsid w:val="005F5CC5"/>
    <w:rsid w:val="00617A14"/>
    <w:rsid w:val="00622FCE"/>
    <w:rsid w:val="00686F01"/>
    <w:rsid w:val="006A55A5"/>
    <w:rsid w:val="006B555C"/>
    <w:rsid w:val="006C22B9"/>
    <w:rsid w:val="006F4ED6"/>
    <w:rsid w:val="006F6D98"/>
    <w:rsid w:val="00717688"/>
    <w:rsid w:val="007316A8"/>
    <w:rsid w:val="007743AA"/>
    <w:rsid w:val="00774A6B"/>
    <w:rsid w:val="00793A0E"/>
    <w:rsid w:val="007F3638"/>
    <w:rsid w:val="00847A3B"/>
    <w:rsid w:val="008515B6"/>
    <w:rsid w:val="008940AC"/>
    <w:rsid w:val="008E224D"/>
    <w:rsid w:val="00964F99"/>
    <w:rsid w:val="00967CC0"/>
    <w:rsid w:val="00983E07"/>
    <w:rsid w:val="009B62B5"/>
    <w:rsid w:val="009F6965"/>
    <w:rsid w:val="00A15FFF"/>
    <w:rsid w:val="00A451C5"/>
    <w:rsid w:val="00A66938"/>
    <w:rsid w:val="00A958EB"/>
    <w:rsid w:val="00AB2007"/>
    <w:rsid w:val="00AC6537"/>
    <w:rsid w:val="00AF20FD"/>
    <w:rsid w:val="00AF3EAC"/>
    <w:rsid w:val="00B05752"/>
    <w:rsid w:val="00B10E4D"/>
    <w:rsid w:val="00B76F4A"/>
    <w:rsid w:val="00BF1894"/>
    <w:rsid w:val="00C3597D"/>
    <w:rsid w:val="00C415DF"/>
    <w:rsid w:val="00C5541F"/>
    <w:rsid w:val="00C7324C"/>
    <w:rsid w:val="00CA42A9"/>
    <w:rsid w:val="00CB75D3"/>
    <w:rsid w:val="00CF1CED"/>
    <w:rsid w:val="00D64453"/>
    <w:rsid w:val="00DA3051"/>
    <w:rsid w:val="00DC218C"/>
    <w:rsid w:val="00DD0BB9"/>
    <w:rsid w:val="00DF5F71"/>
    <w:rsid w:val="00E01240"/>
    <w:rsid w:val="00E163AE"/>
    <w:rsid w:val="00E1760B"/>
    <w:rsid w:val="00E258F0"/>
    <w:rsid w:val="00EC701F"/>
    <w:rsid w:val="00EF3B07"/>
    <w:rsid w:val="00F04221"/>
    <w:rsid w:val="00F24524"/>
    <w:rsid w:val="00F60459"/>
    <w:rsid w:val="00F93718"/>
    <w:rsid w:val="00F94D5B"/>
    <w:rsid w:val="00FD428F"/>
    <w:rsid w:val="48D21615"/>
  </w:rsids>
  <m:mathPr>
    <m:mathFont m:val="Cambria Math"/>
    <m:brkBin m:val="before"/>
    <m:brkBinSub m:val="--"/>
    <m:smallFrac m:val="0"/>
    <m:dispDef/>
    <m:lMargin m:val="0"/>
    <m:rMargin m:val="0"/>
    <m:defJc m:val="centerGroup"/>
    <m:wrapIndent m:val="1440"/>
    <m:intLim m:val="subSup"/>
    <m:naryLim m:val="undOvr"/>
  </m:mathPr>
  <w:themeFontLang w:val="zh-C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cs="Arial" w:eastAsiaTheme="minorHAnsi"/>
      <w:sz w:val="24"/>
      <w:szCs w:val="22"/>
      <w:lang w:val="en-GB" w:eastAsia="en-US" w:bidi="ar-SA"/>
    </w:rPr>
  </w:style>
  <w:style w:type="paragraph" w:styleId="2">
    <w:name w:val="heading 1"/>
    <w:basedOn w:val="1"/>
    <w:next w:val="1"/>
    <w:link w:val="15"/>
    <w:qFormat/>
    <w:uiPriority w:val="9"/>
    <w:pPr>
      <w:keepNext/>
      <w:keepLines/>
      <w:numPr>
        <w:ilvl w:val="0"/>
        <w:numId w:val="1"/>
      </w:numPr>
      <w:spacing w:before="240" w:after="0"/>
      <w:outlineLvl w:val="0"/>
    </w:pPr>
    <w:rPr>
      <w:rFonts w:eastAsiaTheme="majorEastAsia" w:cstheme="majorBidi"/>
      <w:b/>
      <w:color w:val="2F5597" w:themeColor="accent1" w:themeShade="BF"/>
      <w:sz w:val="32"/>
      <w:szCs w:val="32"/>
    </w:rPr>
  </w:style>
  <w:style w:type="paragraph" w:styleId="3">
    <w:name w:val="heading 2"/>
    <w:basedOn w:val="1"/>
    <w:next w:val="1"/>
    <w:link w:val="16"/>
    <w:unhideWhenUsed/>
    <w:qFormat/>
    <w:uiPriority w:val="9"/>
    <w:pPr>
      <w:keepNext/>
      <w:keepLines/>
      <w:spacing w:before="40" w:after="0"/>
      <w:outlineLvl w:val="1"/>
    </w:pPr>
    <w:rPr>
      <w:rFonts w:eastAsiaTheme="majorEastAsia" w:cstheme="majorBidi"/>
      <w:b/>
      <w:color w:val="2F5597" w:themeColor="accent1" w:themeShade="BF"/>
      <w:kern w:val="2"/>
      <w:szCs w:val="26"/>
      <w:lang w:val="zh-CN"/>
      <w14:ligatures w14:val="standardContextual"/>
    </w:rPr>
  </w:style>
  <w:style w:type="paragraph" w:styleId="4">
    <w:name w:val="heading 3"/>
    <w:basedOn w:val="1"/>
    <w:next w:val="1"/>
    <w:link w:val="17"/>
    <w:unhideWhenUsed/>
    <w:qFormat/>
    <w:uiPriority w:val="9"/>
    <w:pPr>
      <w:keepNext/>
      <w:keepLines/>
      <w:spacing w:before="40" w:after="0"/>
      <w:outlineLvl w:val="2"/>
    </w:pPr>
    <w:rPr>
      <w:rFonts w:eastAsiaTheme="majorEastAsia" w:cstheme="majorBidi"/>
      <w:b/>
      <w:color w:val="203864" w:themeColor="accent1" w:themeShade="80"/>
      <w:kern w:val="2"/>
      <w:szCs w:val="24"/>
      <w:lang w:val="zh-CN"/>
      <w14:ligatures w14:val="standardContextual"/>
    </w:rPr>
  </w:style>
  <w:style w:type="character" w:default="1" w:styleId="5">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7">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8">
    <w:name w:val="footer"/>
    <w:basedOn w:val="1"/>
    <w:link w:val="19"/>
    <w:unhideWhenUsed/>
    <w:qFormat/>
    <w:uiPriority w:val="99"/>
    <w:pPr>
      <w:tabs>
        <w:tab w:val="center" w:pos="4513"/>
        <w:tab w:val="right" w:pos="9026"/>
      </w:tabs>
      <w:spacing w:after="0" w:line="240" w:lineRule="auto"/>
    </w:pPr>
  </w:style>
  <w:style w:type="paragraph" w:styleId="9">
    <w:name w:val="header"/>
    <w:basedOn w:val="1"/>
    <w:link w:val="18"/>
    <w:unhideWhenUsed/>
    <w:uiPriority w:val="99"/>
    <w:pPr>
      <w:tabs>
        <w:tab w:val="center" w:pos="4513"/>
        <w:tab w:val="right" w:pos="9026"/>
      </w:tabs>
      <w:spacing w:after="0" w:line="240" w:lineRule="auto"/>
    </w:pPr>
  </w:style>
  <w:style w:type="character" w:styleId="10">
    <w:name w:val="Hyperlink"/>
    <w:basedOn w:val="5"/>
    <w:unhideWhenUsed/>
    <w:uiPriority w:val="99"/>
    <w:rPr>
      <w:color w:val="0563C1" w:themeColor="hyperlink"/>
      <w:u w:val="single"/>
      <w14:textFill>
        <w14:solidFill>
          <w14:schemeClr w14:val="hlink"/>
        </w14:solidFill>
      </w14:textFill>
    </w:rPr>
  </w:style>
  <w:style w:type="paragraph" w:styleId="11">
    <w:name w:val="Normal (Web)"/>
    <w:basedOn w:val="1"/>
    <w:semiHidden/>
    <w:unhideWhenUsed/>
    <w:uiPriority w:val="99"/>
    <w:pPr>
      <w:spacing w:before="100" w:beforeAutospacing="1" w:after="100" w:afterAutospacing="1" w:line="240" w:lineRule="auto"/>
    </w:pPr>
    <w:rPr>
      <w:rFonts w:eastAsia="Times New Roman" w:cs="Times New Roman"/>
      <w:szCs w:val="24"/>
      <w:lang w:val="zh-CN" w:eastAsia="zh-CN"/>
    </w:rPr>
  </w:style>
  <w:style w:type="paragraph" w:styleId="12">
    <w:name w:val="toc 1"/>
    <w:basedOn w:val="1"/>
    <w:next w:val="1"/>
    <w:unhideWhenUsed/>
    <w:qFormat/>
    <w:uiPriority w:val="39"/>
    <w:pPr>
      <w:spacing w:after="100"/>
    </w:pPr>
  </w:style>
  <w:style w:type="paragraph" w:styleId="13">
    <w:name w:val="toc 2"/>
    <w:basedOn w:val="1"/>
    <w:next w:val="1"/>
    <w:unhideWhenUsed/>
    <w:uiPriority w:val="39"/>
    <w:pPr>
      <w:spacing w:after="100"/>
      <w:ind w:left="240"/>
    </w:pPr>
  </w:style>
  <w:style w:type="paragraph" w:styleId="14">
    <w:name w:val="toc 3"/>
    <w:basedOn w:val="1"/>
    <w:next w:val="1"/>
    <w:unhideWhenUsed/>
    <w:uiPriority w:val="39"/>
    <w:pPr>
      <w:spacing w:after="100"/>
      <w:ind w:left="480"/>
    </w:pPr>
  </w:style>
  <w:style w:type="character" w:customStyle="1" w:styleId="15">
    <w:name w:val="Heading 1 Char"/>
    <w:basedOn w:val="5"/>
    <w:link w:val="2"/>
    <w:uiPriority w:val="9"/>
    <w:rPr>
      <w:rFonts w:eastAsiaTheme="majorEastAsia" w:cstheme="majorBidi"/>
      <w:b/>
      <w:color w:val="2F5597" w:themeColor="accent1" w:themeShade="BF"/>
      <w:sz w:val="32"/>
      <w:szCs w:val="32"/>
      <w:lang w:val="en-GB"/>
    </w:rPr>
  </w:style>
  <w:style w:type="character" w:customStyle="1" w:styleId="16">
    <w:name w:val="Heading 2 Char"/>
    <w:basedOn w:val="5"/>
    <w:link w:val="3"/>
    <w:qFormat/>
    <w:uiPriority w:val="9"/>
    <w:rPr>
      <w:rFonts w:eastAsiaTheme="majorEastAsia" w:cstheme="majorBidi"/>
      <w:b/>
      <w:color w:val="2F5597" w:themeColor="accent1" w:themeShade="BF"/>
      <w:kern w:val="2"/>
      <w:szCs w:val="26"/>
      <w14:ligatures w14:val="standardContextual"/>
    </w:rPr>
  </w:style>
  <w:style w:type="character" w:customStyle="1" w:styleId="17">
    <w:name w:val="Heading 3 Char"/>
    <w:basedOn w:val="5"/>
    <w:link w:val="4"/>
    <w:qFormat/>
    <w:uiPriority w:val="9"/>
    <w:rPr>
      <w:rFonts w:eastAsiaTheme="majorEastAsia" w:cstheme="majorBidi"/>
      <w:b/>
      <w:color w:val="203864" w:themeColor="accent1" w:themeShade="80"/>
      <w:kern w:val="2"/>
      <w:szCs w:val="24"/>
      <w14:ligatures w14:val="standardContextual"/>
    </w:rPr>
  </w:style>
  <w:style w:type="character" w:customStyle="1" w:styleId="18">
    <w:name w:val="Header Char"/>
    <w:basedOn w:val="5"/>
    <w:link w:val="9"/>
    <w:uiPriority w:val="99"/>
    <w:rPr>
      <w:lang w:val="en-GB"/>
    </w:rPr>
  </w:style>
  <w:style w:type="character" w:customStyle="1" w:styleId="19">
    <w:name w:val="Footer Char"/>
    <w:basedOn w:val="5"/>
    <w:link w:val="8"/>
    <w:uiPriority w:val="99"/>
    <w:rPr>
      <w:lang w:val="en-GB"/>
    </w:rPr>
  </w:style>
  <w:style w:type="paragraph" w:customStyle="1" w:styleId="20">
    <w:name w:val="TOC Heading"/>
    <w:basedOn w:val="2"/>
    <w:next w:val="1"/>
    <w:unhideWhenUsed/>
    <w:qFormat/>
    <w:uiPriority w:val="39"/>
    <w:pPr>
      <w:numPr>
        <w:numId w:val="0"/>
      </w:numPr>
      <w:outlineLvl w:val="9"/>
    </w:pPr>
    <w:rPr>
      <w:rFonts w:asciiTheme="majorHAnsi" w:hAnsiTheme="majorHAnsi"/>
      <w:b w:val="0"/>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numbering" Target="numbering.xml"/><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037512-B600-4159-A270-169A5C0B764F}">
  <ds:schemaRefs/>
</ds:datastoreItem>
</file>

<file path=docProps/app.xml><?xml version="1.0" encoding="utf-8"?>
<Properties xmlns="http://schemas.openxmlformats.org/officeDocument/2006/extended-properties" xmlns:vt="http://schemas.openxmlformats.org/officeDocument/2006/docPropsVTypes">
  <Template>Normal</Template>
  <Pages>15</Pages>
  <Words>3572</Words>
  <Characters>20365</Characters>
  <Lines>169</Lines>
  <Paragraphs>47</Paragraphs>
  <TotalTime>112</TotalTime>
  <ScaleCrop>false</ScaleCrop>
  <LinksUpToDate>false</LinksUpToDate>
  <CharactersWithSpaces>23890</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2023-08-13T10:17:00Z</dcterms:created>
  <dc:creator>Rimsha Saqib</dc:creator>
  <cp:lastModifiedBy>Hamza Kiyani</cp:lastModifiedBy>
  <dcterms:modified xsi:type="dcterms:W3CDTF">2023-08-23T00:21:11Z</dcterms:modified>
  <cp:revision>102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8ECF40C3D5F34DA39B101D9D8B2D53F0</vt:lpwstr>
  </property>
</Properties>
</file>