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6BEF" w14:textId="77777777" w:rsidR="00A672E8" w:rsidRDefault="00A672E8"/>
    <w:p w14:paraId="7ADB97D5" w14:textId="77777777" w:rsidR="003E7839" w:rsidRDefault="003E7839" w:rsidP="003E7839">
      <w:r>
        <w:t>Programme: BA (Hons) Business Management</w:t>
      </w:r>
    </w:p>
    <w:p w14:paraId="555CC0BC" w14:textId="77777777" w:rsidR="003E7839" w:rsidRDefault="003E7839" w:rsidP="003E7839">
      <w:r>
        <w:t>Module: Management Accounting for Managers</w:t>
      </w:r>
    </w:p>
    <w:p w14:paraId="625ADDF6" w14:textId="77777777" w:rsidR="003E7839" w:rsidRDefault="003E7839" w:rsidP="003E7839">
      <w:r>
        <w:t>Module code: LCBB5010</w:t>
      </w:r>
    </w:p>
    <w:p w14:paraId="53021543" w14:textId="77777777" w:rsidR="003E7839" w:rsidRDefault="003E7839" w:rsidP="003E7839">
      <w:r>
        <w:t>Student: Octavian-George Stoica</w:t>
      </w:r>
    </w:p>
    <w:p w14:paraId="6C90635A" w14:textId="11F67E97" w:rsidR="003E7839" w:rsidRDefault="003E7839" w:rsidP="003E7839">
      <w:r>
        <w:t>Student number: 2330278</w:t>
      </w:r>
    </w:p>
    <w:p w14:paraId="12D6B0E5" w14:textId="77777777" w:rsidR="003E7839" w:rsidRDefault="003E7839"/>
    <w:p w14:paraId="11B785C2" w14:textId="77777777" w:rsidR="003E7839" w:rsidRDefault="003E7839"/>
    <w:p w14:paraId="51BB7415" w14:textId="77777777" w:rsidR="003E7839" w:rsidRDefault="003E7839"/>
    <w:p w14:paraId="6E0A73B6" w14:textId="77777777" w:rsidR="003E7839" w:rsidRDefault="003E7839"/>
    <w:p w14:paraId="58D8C6F9" w14:textId="77777777" w:rsidR="003E7839" w:rsidRDefault="003E7839"/>
    <w:p w14:paraId="754DC903" w14:textId="77777777" w:rsidR="003E7839" w:rsidRDefault="003E7839"/>
    <w:p w14:paraId="69516BEC" w14:textId="77777777" w:rsidR="003E7839" w:rsidRDefault="003E7839"/>
    <w:p w14:paraId="4B4BB70F" w14:textId="77777777" w:rsidR="003E7839" w:rsidRDefault="003E7839"/>
    <w:p w14:paraId="39C978B6" w14:textId="77777777" w:rsidR="003E7839" w:rsidRDefault="003E7839"/>
    <w:p w14:paraId="12A47DFD" w14:textId="77777777" w:rsidR="003E7839" w:rsidRDefault="003E7839"/>
    <w:p w14:paraId="57BD0FCF" w14:textId="77777777" w:rsidR="003E7839" w:rsidRDefault="003E7839"/>
    <w:p w14:paraId="2576BCFD" w14:textId="77777777" w:rsidR="003E7839" w:rsidRDefault="003E7839"/>
    <w:p w14:paraId="59089329" w14:textId="77777777" w:rsidR="003E7839" w:rsidRDefault="003E7839"/>
    <w:p w14:paraId="2B05DA7B" w14:textId="77777777" w:rsidR="003E7839" w:rsidRDefault="003E7839"/>
    <w:p w14:paraId="5720363A" w14:textId="77777777" w:rsidR="003E7839" w:rsidRDefault="003E7839"/>
    <w:p w14:paraId="1D84F161" w14:textId="77777777" w:rsidR="003E7839" w:rsidRDefault="003E7839"/>
    <w:p w14:paraId="26146BAC" w14:textId="77777777" w:rsidR="003E7839" w:rsidRDefault="003E7839"/>
    <w:p w14:paraId="015B8B2A" w14:textId="77777777" w:rsidR="003E7839" w:rsidRDefault="003E7839"/>
    <w:p w14:paraId="1FB81629" w14:textId="77777777" w:rsidR="003E7839" w:rsidRDefault="003E7839"/>
    <w:p w14:paraId="78A686C7" w14:textId="77777777" w:rsidR="003E7839" w:rsidRDefault="003E7839"/>
    <w:p w14:paraId="78DDED05" w14:textId="77777777" w:rsidR="003E7839" w:rsidRDefault="003E7839"/>
    <w:p w14:paraId="0B29021E" w14:textId="77777777" w:rsidR="003E7839" w:rsidRDefault="003E7839"/>
    <w:p w14:paraId="178D8F19" w14:textId="77777777" w:rsidR="003E7839" w:rsidRDefault="003E7839" w:rsidP="003E7839"/>
    <w:p w14:paraId="1574B175" w14:textId="77777777" w:rsidR="003E7839" w:rsidRDefault="003E7839" w:rsidP="003E7839"/>
    <w:p w14:paraId="00CE7044" w14:textId="77777777" w:rsidR="003E7839" w:rsidRDefault="003E7839" w:rsidP="003E7839"/>
    <w:p w14:paraId="7030FAD8" w14:textId="77777777" w:rsidR="003E7839" w:rsidRDefault="003E7839" w:rsidP="003E7839"/>
    <w:p w14:paraId="7E160299" w14:textId="0AB58160" w:rsidR="003E7839" w:rsidRPr="00CA07AB" w:rsidRDefault="003E7839" w:rsidP="001E4444">
      <w:pPr>
        <w:spacing w:line="360" w:lineRule="auto"/>
        <w:jc w:val="center"/>
        <w:rPr>
          <w:rFonts w:ascii="Times New Roman" w:hAnsi="Times New Roman" w:cs="Times New Roman"/>
        </w:rPr>
      </w:pPr>
      <w:r w:rsidRPr="00CA07AB">
        <w:rPr>
          <w:rFonts w:ascii="Times New Roman" w:hAnsi="Times New Roman" w:cs="Times New Roman"/>
        </w:rPr>
        <w:t>Management Accounting at Lidl GB: Evaluating Cost Structures, Budgeting, KPIs, and Sustainability for Financial Decision-Making</w:t>
      </w:r>
    </w:p>
    <w:p w14:paraId="2D6E9F3E" w14:textId="77777777" w:rsidR="003E7839" w:rsidRPr="00CA07AB" w:rsidRDefault="003E7839" w:rsidP="00CA07AB">
      <w:pPr>
        <w:spacing w:line="360" w:lineRule="auto"/>
        <w:rPr>
          <w:rFonts w:ascii="Times New Roman" w:hAnsi="Times New Roman" w:cs="Times New Roman"/>
        </w:rPr>
      </w:pPr>
    </w:p>
    <w:p w14:paraId="774DA9C9" w14:textId="77777777" w:rsidR="003E7839" w:rsidRPr="00CA07AB" w:rsidRDefault="003E7839" w:rsidP="00CA07AB">
      <w:pPr>
        <w:spacing w:line="360" w:lineRule="auto"/>
        <w:rPr>
          <w:rFonts w:ascii="Times New Roman" w:hAnsi="Times New Roman" w:cs="Times New Roman"/>
        </w:rPr>
      </w:pPr>
    </w:p>
    <w:p w14:paraId="7AAD9E24" w14:textId="77777777" w:rsidR="003E7839" w:rsidRPr="00CA07AB" w:rsidRDefault="003E7839" w:rsidP="00CA07AB">
      <w:pPr>
        <w:spacing w:line="360" w:lineRule="auto"/>
        <w:rPr>
          <w:rFonts w:ascii="Times New Roman" w:hAnsi="Times New Roman" w:cs="Times New Roman"/>
        </w:rPr>
      </w:pPr>
    </w:p>
    <w:p w14:paraId="0CD56541" w14:textId="77777777" w:rsidR="003E7839" w:rsidRPr="00CA07AB" w:rsidRDefault="003E7839" w:rsidP="00CA07AB">
      <w:pPr>
        <w:spacing w:line="360" w:lineRule="auto"/>
        <w:rPr>
          <w:rFonts w:ascii="Times New Roman" w:hAnsi="Times New Roman" w:cs="Times New Roman"/>
        </w:rPr>
      </w:pPr>
    </w:p>
    <w:p w14:paraId="1AA3981C" w14:textId="4007DEDB" w:rsidR="00B0426E" w:rsidRDefault="00B0426E">
      <w:pPr>
        <w:pStyle w:val="TOC1"/>
        <w:tabs>
          <w:tab w:val="left" w:pos="480"/>
          <w:tab w:val="right" w:leader="dot" w:pos="9016"/>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\o "1-8" \h \z \u </w:instrText>
      </w:r>
      <w:r>
        <w:rPr>
          <w:rFonts w:ascii="Times New Roman" w:hAnsi="Times New Roman" w:cs="Times New Roman"/>
        </w:rPr>
        <w:fldChar w:fldCharType="separate"/>
      </w:r>
      <w:hyperlink w:anchor="_Toc222896439" w:history="1">
        <w:r w:rsidRPr="002671DD">
          <w:rPr>
            <w:rStyle w:val="Hyperlink"/>
            <w:rFonts w:ascii="Times New Roman" w:hAnsi="Times New Roman" w:cs="Times New Roman"/>
            <w:noProof/>
          </w:rPr>
          <w:t>1.</w:t>
        </w:r>
        <w:r>
          <w:rPr>
            <w:rFonts w:eastAsiaTheme="minorEastAsia"/>
            <w:noProof/>
            <w:lang w:eastAsia="en-GB"/>
          </w:rPr>
          <w:tab/>
        </w:r>
        <w:r w:rsidRPr="002671D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_Toc222896439 \h </w:instrText>
        </w:r>
        <w:r>
          <w:rPr>
            <w:noProof/>
            <w:webHidden/>
          </w:rPr>
        </w:r>
        <w:r>
          <w:rPr>
            <w:noProof/>
            <w:webHidden/>
          </w:rPr>
          <w:fldChar w:fldCharType="separate"/>
        </w:r>
        <w:r>
          <w:rPr>
            <w:noProof/>
            <w:webHidden/>
          </w:rPr>
          <w:t>3</w:t>
        </w:r>
        <w:r>
          <w:rPr>
            <w:noProof/>
            <w:webHidden/>
          </w:rPr>
          <w:fldChar w:fldCharType="end"/>
        </w:r>
      </w:hyperlink>
    </w:p>
    <w:p w14:paraId="110F290A" w14:textId="79EEDECD" w:rsidR="00B0426E" w:rsidRDefault="00B0426E">
      <w:pPr>
        <w:pStyle w:val="TOC2"/>
        <w:tabs>
          <w:tab w:val="left" w:pos="720"/>
          <w:tab w:val="right" w:leader="dot" w:pos="9016"/>
        </w:tabs>
        <w:rPr>
          <w:rFonts w:eastAsiaTheme="minorEastAsia"/>
          <w:noProof/>
          <w:lang w:eastAsia="en-GB"/>
        </w:rPr>
      </w:pPr>
      <w:hyperlink w:anchor="_Toc222896440" w:history="1">
        <w:r w:rsidRPr="002671DD">
          <w:rPr>
            <w:rStyle w:val="Hyperlink"/>
            <w:rFonts w:ascii="Times New Roman" w:hAnsi="Times New Roman" w:cs="Times New Roman"/>
            <w:noProof/>
          </w:rPr>
          <w:t>2.</w:t>
        </w:r>
        <w:r>
          <w:rPr>
            <w:rFonts w:eastAsiaTheme="minorEastAsia"/>
            <w:noProof/>
            <w:lang w:eastAsia="en-GB"/>
          </w:rPr>
          <w:tab/>
        </w:r>
        <w:r w:rsidRPr="002671DD">
          <w:rPr>
            <w:rStyle w:val="Hyperlink"/>
            <w:rFonts w:ascii="Times New Roman" w:hAnsi="Times New Roman" w:cs="Times New Roman"/>
            <w:noProof/>
          </w:rPr>
          <w:t>Cost Analysis and Business Model Revenue</w:t>
        </w:r>
        <w:r>
          <w:rPr>
            <w:noProof/>
            <w:webHidden/>
          </w:rPr>
          <w:tab/>
        </w:r>
        <w:r>
          <w:rPr>
            <w:noProof/>
            <w:webHidden/>
          </w:rPr>
          <w:fldChar w:fldCharType="begin"/>
        </w:r>
        <w:r>
          <w:rPr>
            <w:noProof/>
            <w:webHidden/>
          </w:rPr>
          <w:instrText xml:space="preserve"> PAGEREF _Toc222896440 \h </w:instrText>
        </w:r>
        <w:r>
          <w:rPr>
            <w:noProof/>
            <w:webHidden/>
          </w:rPr>
        </w:r>
        <w:r>
          <w:rPr>
            <w:noProof/>
            <w:webHidden/>
          </w:rPr>
          <w:fldChar w:fldCharType="separate"/>
        </w:r>
        <w:r>
          <w:rPr>
            <w:noProof/>
            <w:webHidden/>
          </w:rPr>
          <w:t>3</w:t>
        </w:r>
        <w:r>
          <w:rPr>
            <w:noProof/>
            <w:webHidden/>
          </w:rPr>
          <w:fldChar w:fldCharType="end"/>
        </w:r>
      </w:hyperlink>
    </w:p>
    <w:p w14:paraId="0DA62753" w14:textId="2D5B20BC" w:rsidR="00B0426E" w:rsidRDefault="00B0426E">
      <w:pPr>
        <w:pStyle w:val="TOC3"/>
        <w:tabs>
          <w:tab w:val="left" w:pos="960"/>
          <w:tab w:val="right" w:leader="dot" w:pos="9016"/>
        </w:tabs>
        <w:rPr>
          <w:rFonts w:eastAsiaTheme="minorEastAsia"/>
          <w:noProof/>
          <w:lang w:eastAsia="en-GB"/>
        </w:rPr>
      </w:pPr>
      <w:hyperlink w:anchor="_Toc222896441" w:history="1">
        <w:r w:rsidRPr="002671DD">
          <w:rPr>
            <w:rStyle w:val="Hyperlink"/>
            <w:rFonts w:ascii="Times New Roman" w:hAnsi="Times New Roman" w:cs="Times New Roman"/>
            <w:noProof/>
          </w:rPr>
          <w:t>3.</w:t>
        </w:r>
        <w:r>
          <w:rPr>
            <w:rFonts w:eastAsiaTheme="minorEastAsia"/>
            <w:noProof/>
            <w:lang w:eastAsia="en-GB"/>
          </w:rPr>
          <w:tab/>
        </w:r>
        <w:r w:rsidRPr="002671DD">
          <w:rPr>
            <w:rStyle w:val="Hyperlink"/>
            <w:rFonts w:ascii="Times New Roman" w:hAnsi="Times New Roman" w:cs="Times New Roman"/>
            <w:noProof/>
          </w:rPr>
          <w:t>Financial Planning and Budgeting Lidl's objectives</w:t>
        </w:r>
        <w:r>
          <w:rPr>
            <w:noProof/>
            <w:webHidden/>
          </w:rPr>
          <w:tab/>
        </w:r>
        <w:r>
          <w:rPr>
            <w:noProof/>
            <w:webHidden/>
          </w:rPr>
          <w:fldChar w:fldCharType="begin"/>
        </w:r>
        <w:r>
          <w:rPr>
            <w:noProof/>
            <w:webHidden/>
          </w:rPr>
          <w:instrText xml:space="preserve"> PAGEREF _Toc222896441 \h </w:instrText>
        </w:r>
        <w:r>
          <w:rPr>
            <w:noProof/>
            <w:webHidden/>
          </w:rPr>
        </w:r>
        <w:r>
          <w:rPr>
            <w:noProof/>
            <w:webHidden/>
          </w:rPr>
          <w:fldChar w:fldCharType="separate"/>
        </w:r>
        <w:r>
          <w:rPr>
            <w:noProof/>
            <w:webHidden/>
          </w:rPr>
          <w:t>4</w:t>
        </w:r>
        <w:r>
          <w:rPr>
            <w:noProof/>
            <w:webHidden/>
          </w:rPr>
          <w:fldChar w:fldCharType="end"/>
        </w:r>
      </w:hyperlink>
    </w:p>
    <w:p w14:paraId="3A3F4197" w14:textId="511814C2" w:rsidR="00B0426E" w:rsidRDefault="00B0426E">
      <w:pPr>
        <w:pStyle w:val="TOC4"/>
        <w:tabs>
          <w:tab w:val="left" w:pos="1200"/>
          <w:tab w:val="right" w:leader="dot" w:pos="9016"/>
        </w:tabs>
        <w:rPr>
          <w:rFonts w:eastAsiaTheme="minorEastAsia"/>
          <w:noProof/>
          <w:lang w:eastAsia="en-GB"/>
        </w:rPr>
      </w:pPr>
      <w:hyperlink w:anchor="_Toc222896442" w:history="1">
        <w:r w:rsidRPr="002671DD">
          <w:rPr>
            <w:rStyle w:val="Hyperlink"/>
            <w:rFonts w:ascii="Times New Roman" w:hAnsi="Times New Roman" w:cs="Times New Roman"/>
            <w:noProof/>
          </w:rPr>
          <w:t>4.</w:t>
        </w:r>
        <w:r>
          <w:rPr>
            <w:rFonts w:eastAsiaTheme="minorEastAsia"/>
            <w:noProof/>
            <w:lang w:eastAsia="en-GB"/>
          </w:rPr>
          <w:tab/>
        </w:r>
        <w:r w:rsidRPr="002671DD">
          <w:rPr>
            <w:rStyle w:val="Hyperlink"/>
            <w:rFonts w:ascii="Times New Roman" w:hAnsi="Times New Roman" w:cs="Times New Roman"/>
            <w:noProof/>
          </w:rPr>
          <w:t>Performance Measurement and Decision‑Making</w:t>
        </w:r>
        <w:r>
          <w:rPr>
            <w:noProof/>
            <w:webHidden/>
          </w:rPr>
          <w:tab/>
        </w:r>
        <w:r>
          <w:rPr>
            <w:noProof/>
            <w:webHidden/>
          </w:rPr>
          <w:fldChar w:fldCharType="begin"/>
        </w:r>
        <w:r>
          <w:rPr>
            <w:noProof/>
            <w:webHidden/>
          </w:rPr>
          <w:instrText xml:space="preserve"> PAGEREF _Toc222896442 \h </w:instrText>
        </w:r>
        <w:r>
          <w:rPr>
            <w:noProof/>
            <w:webHidden/>
          </w:rPr>
        </w:r>
        <w:r>
          <w:rPr>
            <w:noProof/>
            <w:webHidden/>
          </w:rPr>
          <w:fldChar w:fldCharType="separate"/>
        </w:r>
        <w:r>
          <w:rPr>
            <w:noProof/>
            <w:webHidden/>
          </w:rPr>
          <w:t>5</w:t>
        </w:r>
        <w:r>
          <w:rPr>
            <w:noProof/>
            <w:webHidden/>
          </w:rPr>
          <w:fldChar w:fldCharType="end"/>
        </w:r>
      </w:hyperlink>
    </w:p>
    <w:p w14:paraId="27C41EAA" w14:textId="14519F35" w:rsidR="00B0426E" w:rsidRDefault="00B0426E">
      <w:pPr>
        <w:pStyle w:val="TOC5"/>
        <w:tabs>
          <w:tab w:val="left" w:pos="1440"/>
          <w:tab w:val="right" w:leader="dot" w:pos="9016"/>
        </w:tabs>
        <w:rPr>
          <w:rFonts w:eastAsiaTheme="minorEastAsia"/>
          <w:noProof/>
          <w:lang w:eastAsia="en-GB"/>
        </w:rPr>
      </w:pPr>
      <w:hyperlink w:anchor="_Toc222896443" w:history="1">
        <w:r w:rsidRPr="002671DD">
          <w:rPr>
            <w:rStyle w:val="Hyperlink"/>
            <w:rFonts w:ascii="Times New Roman" w:hAnsi="Times New Roman" w:cs="Times New Roman"/>
            <w:noProof/>
          </w:rPr>
          <w:t>5.</w:t>
        </w:r>
        <w:r>
          <w:rPr>
            <w:rFonts w:eastAsiaTheme="minorEastAsia"/>
            <w:noProof/>
            <w:lang w:eastAsia="en-GB"/>
          </w:rPr>
          <w:tab/>
        </w:r>
        <w:r w:rsidRPr="002671DD">
          <w:rPr>
            <w:rStyle w:val="Hyperlink"/>
            <w:rFonts w:ascii="Times New Roman" w:hAnsi="Times New Roman" w:cs="Times New Roman"/>
            <w:noProof/>
          </w:rPr>
          <w:t>Sustainability and Ethical Considerations</w:t>
        </w:r>
        <w:r>
          <w:rPr>
            <w:noProof/>
            <w:webHidden/>
          </w:rPr>
          <w:tab/>
        </w:r>
        <w:r>
          <w:rPr>
            <w:noProof/>
            <w:webHidden/>
          </w:rPr>
          <w:fldChar w:fldCharType="begin"/>
        </w:r>
        <w:r>
          <w:rPr>
            <w:noProof/>
            <w:webHidden/>
          </w:rPr>
          <w:instrText xml:space="preserve"> PAGEREF _Toc222896443 \h </w:instrText>
        </w:r>
        <w:r>
          <w:rPr>
            <w:noProof/>
            <w:webHidden/>
          </w:rPr>
        </w:r>
        <w:r>
          <w:rPr>
            <w:noProof/>
            <w:webHidden/>
          </w:rPr>
          <w:fldChar w:fldCharType="separate"/>
        </w:r>
        <w:r>
          <w:rPr>
            <w:noProof/>
            <w:webHidden/>
          </w:rPr>
          <w:t>6</w:t>
        </w:r>
        <w:r>
          <w:rPr>
            <w:noProof/>
            <w:webHidden/>
          </w:rPr>
          <w:fldChar w:fldCharType="end"/>
        </w:r>
      </w:hyperlink>
    </w:p>
    <w:p w14:paraId="29D92D4F" w14:textId="5C6D4097" w:rsidR="00B0426E" w:rsidRDefault="00B0426E">
      <w:pPr>
        <w:pStyle w:val="TOC6"/>
        <w:tabs>
          <w:tab w:val="left" w:pos="1680"/>
          <w:tab w:val="right" w:leader="dot" w:pos="9016"/>
        </w:tabs>
        <w:rPr>
          <w:rFonts w:eastAsiaTheme="minorEastAsia"/>
          <w:noProof/>
          <w:lang w:eastAsia="en-GB"/>
        </w:rPr>
      </w:pPr>
      <w:hyperlink w:anchor="_Toc222896444" w:history="1">
        <w:r w:rsidRPr="002671DD">
          <w:rPr>
            <w:rStyle w:val="Hyperlink"/>
            <w:rFonts w:ascii="Times New Roman" w:hAnsi="Times New Roman" w:cs="Times New Roman"/>
            <w:noProof/>
          </w:rPr>
          <w:t>6.</w:t>
        </w:r>
        <w:r>
          <w:rPr>
            <w:rFonts w:eastAsiaTheme="minorEastAsia"/>
            <w:noProof/>
            <w:lang w:eastAsia="en-GB"/>
          </w:rPr>
          <w:tab/>
        </w:r>
        <w:r w:rsidRPr="002671DD">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_Toc222896444 \h </w:instrText>
        </w:r>
        <w:r>
          <w:rPr>
            <w:noProof/>
            <w:webHidden/>
          </w:rPr>
        </w:r>
        <w:r>
          <w:rPr>
            <w:noProof/>
            <w:webHidden/>
          </w:rPr>
          <w:fldChar w:fldCharType="separate"/>
        </w:r>
        <w:r>
          <w:rPr>
            <w:noProof/>
            <w:webHidden/>
          </w:rPr>
          <w:t>7</w:t>
        </w:r>
        <w:r>
          <w:rPr>
            <w:noProof/>
            <w:webHidden/>
          </w:rPr>
          <w:fldChar w:fldCharType="end"/>
        </w:r>
      </w:hyperlink>
    </w:p>
    <w:p w14:paraId="0BAC0978" w14:textId="3969BF95" w:rsidR="00B0426E" w:rsidRDefault="00B0426E">
      <w:pPr>
        <w:pStyle w:val="TOC7"/>
        <w:tabs>
          <w:tab w:val="left" w:pos="1920"/>
          <w:tab w:val="right" w:leader="dot" w:pos="9016"/>
        </w:tabs>
        <w:rPr>
          <w:rFonts w:eastAsiaTheme="minorEastAsia"/>
          <w:noProof/>
          <w:lang w:eastAsia="en-GB"/>
        </w:rPr>
      </w:pPr>
      <w:hyperlink w:anchor="_Toc222896445" w:history="1">
        <w:r w:rsidRPr="002671DD">
          <w:rPr>
            <w:rStyle w:val="Hyperlink"/>
            <w:rFonts w:ascii="Times New Roman" w:hAnsi="Times New Roman" w:cs="Times New Roman"/>
            <w:noProof/>
          </w:rPr>
          <w:t>7.</w:t>
        </w:r>
        <w:r>
          <w:rPr>
            <w:rFonts w:eastAsiaTheme="minorEastAsia"/>
            <w:noProof/>
            <w:lang w:eastAsia="en-GB"/>
          </w:rPr>
          <w:tab/>
        </w:r>
        <w:r w:rsidRPr="002671D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_Toc222896445 \h </w:instrText>
        </w:r>
        <w:r>
          <w:rPr>
            <w:noProof/>
            <w:webHidden/>
          </w:rPr>
        </w:r>
        <w:r>
          <w:rPr>
            <w:noProof/>
            <w:webHidden/>
          </w:rPr>
          <w:fldChar w:fldCharType="separate"/>
        </w:r>
        <w:r>
          <w:rPr>
            <w:noProof/>
            <w:webHidden/>
          </w:rPr>
          <w:t>9</w:t>
        </w:r>
        <w:r>
          <w:rPr>
            <w:noProof/>
            <w:webHidden/>
          </w:rPr>
          <w:fldChar w:fldCharType="end"/>
        </w:r>
      </w:hyperlink>
    </w:p>
    <w:p w14:paraId="3FC1AD8C" w14:textId="61F3E4EF" w:rsidR="003E7839" w:rsidRPr="00CA07AB" w:rsidRDefault="00B0426E" w:rsidP="00CA07AB">
      <w:pPr>
        <w:spacing w:line="360" w:lineRule="auto"/>
        <w:rPr>
          <w:rFonts w:ascii="Times New Roman" w:hAnsi="Times New Roman" w:cs="Times New Roman"/>
        </w:rPr>
      </w:pPr>
      <w:r>
        <w:rPr>
          <w:rFonts w:ascii="Times New Roman" w:hAnsi="Times New Roman" w:cs="Times New Roman"/>
        </w:rPr>
        <w:fldChar w:fldCharType="end"/>
      </w:r>
    </w:p>
    <w:p w14:paraId="1A070576" w14:textId="77777777" w:rsidR="003E7839" w:rsidRPr="00CA07AB" w:rsidRDefault="003E7839" w:rsidP="00CA07AB">
      <w:pPr>
        <w:spacing w:line="360" w:lineRule="auto"/>
        <w:rPr>
          <w:rFonts w:ascii="Times New Roman" w:hAnsi="Times New Roman" w:cs="Times New Roman"/>
        </w:rPr>
      </w:pPr>
    </w:p>
    <w:p w14:paraId="5361ABEE" w14:textId="77777777" w:rsidR="003E7839" w:rsidRPr="00CA07AB" w:rsidRDefault="003E7839" w:rsidP="00CA07AB">
      <w:pPr>
        <w:spacing w:line="360" w:lineRule="auto"/>
        <w:rPr>
          <w:rFonts w:ascii="Times New Roman" w:hAnsi="Times New Roman" w:cs="Times New Roman"/>
        </w:rPr>
      </w:pPr>
    </w:p>
    <w:p w14:paraId="580D8955" w14:textId="77777777" w:rsidR="003E7839" w:rsidRPr="00CA07AB" w:rsidRDefault="003E7839" w:rsidP="00CA07AB">
      <w:pPr>
        <w:spacing w:line="360" w:lineRule="auto"/>
        <w:rPr>
          <w:rFonts w:ascii="Times New Roman" w:hAnsi="Times New Roman" w:cs="Times New Roman"/>
        </w:rPr>
      </w:pPr>
    </w:p>
    <w:p w14:paraId="18F322B5" w14:textId="77777777" w:rsidR="003E7839" w:rsidRPr="00CA07AB" w:rsidRDefault="003E7839" w:rsidP="00CA07AB">
      <w:pPr>
        <w:spacing w:line="360" w:lineRule="auto"/>
        <w:rPr>
          <w:rFonts w:ascii="Times New Roman" w:hAnsi="Times New Roman" w:cs="Times New Roman"/>
        </w:rPr>
      </w:pPr>
    </w:p>
    <w:p w14:paraId="5701808D" w14:textId="77777777" w:rsidR="003E7839" w:rsidRPr="00CA07AB" w:rsidRDefault="003E7839" w:rsidP="00CA07AB">
      <w:pPr>
        <w:spacing w:line="360" w:lineRule="auto"/>
        <w:rPr>
          <w:rFonts w:ascii="Times New Roman" w:hAnsi="Times New Roman" w:cs="Times New Roman"/>
        </w:rPr>
      </w:pPr>
    </w:p>
    <w:p w14:paraId="715BF82F" w14:textId="77777777" w:rsidR="003E7839" w:rsidRPr="00CA07AB" w:rsidRDefault="003E7839" w:rsidP="00CA07AB">
      <w:pPr>
        <w:spacing w:line="360" w:lineRule="auto"/>
        <w:rPr>
          <w:rFonts w:ascii="Times New Roman" w:hAnsi="Times New Roman" w:cs="Times New Roman"/>
        </w:rPr>
      </w:pPr>
    </w:p>
    <w:p w14:paraId="08A270B3" w14:textId="77777777" w:rsidR="00C11CEC" w:rsidRDefault="00C11CEC" w:rsidP="00CA07AB">
      <w:pPr>
        <w:spacing w:line="360" w:lineRule="auto"/>
        <w:rPr>
          <w:rFonts w:ascii="Times New Roman" w:hAnsi="Times New Roman" w:cs="Times New Roman"/>
        </w:rPr>
      </w:pPr>
    </w:p>
    <w:p w14:paraId="05399A17" w14:textId="77777777" w:rsidR="00F86108" w:rsidRDefault="00F86108" w:rsidP="00CA07AB">
      <w:pPr>
        <w:spacing w:line="360" w:lineRule="auto"/>
        <w:rPr>
          <w:rFonts w:ascii="Times New Roman" w:hAnsi="Times New Roman" w:cs="Times New Roman"/>
        </w:rPr>
      </w:pPr>
    </w:p>
    <w:p w14:paraId="53C30D85" w14:textId="77777777" w:rsidR="00B0426E" w:rsidRPr="00CA07AB" w:rsidRDefault="00B0426E" w:rsidP="00CA07AB">
      <w:pPr>
        <w:spacing w:line="360" w:lineRule="auto"/>
        <w:rPr>
          <w:rFonts w:ascii="Times New Roman" w:hAnsi="Times New Roman" w:cs="Times New Roman"/>
        </w:rPr>
      </w:pPr>
    </w:p>
    <w:p w14:paraId="52F23781" w14:textId="44EA57EA" w:rsidR="003E7839" w:rsidRPr="00CA07AB" w:rsidRDefault="003E7839" w:rsidP="00CA07AB">
      <w:pPr>
        <w:pStyle w:val="ListParagraph"/>
        <w:numPr>
          <w:ilvl w:val="0"/>
          <w:numId w:val="1"/>
        </w:numPr>
        <w:spacing w:line="360" w:lineRule="auto"/>
        <w:outlineLvl w:val="0"/>
        <w:rPr>
          <w:rFonts w:ascii="Times New Roman" w:hAnsi="Times New Roman" w:cs="Times New Roman"/>
        </w:rPr>
      </w:pPr>
      <w:bookmarkStart w:id="0" w:name="_Toc222896439"/>
      <w:r w:rsidRPr="00CA07AB">
        <w:rPr>
          <w:rFonts w:ascii="Times New Roman" w:hAnsi="Times New Roman" w:cs="Times New Roman"/>
        </w:rPr>
        <w:lastRenderedPageBreak/>
        <w:t>Introduction</w:t>
      </w:r>
      <w:bookmarkEnd w:id="0"/>
      <w:r w:rsidRPr="00CA07AB">
        <w:rPr>
          <w:rFonts w:ascii="Times New Roman" w:hAnsi="Times New Roman" w:cs="Times New Roman"/>
        </w:rPr>
        <w:t xml:space="preserve"> </w:t>
      </w:r>
    </w:p>
    <w:p w14:paraId="62985B8A" w14:textId="07BB6718" w:rsidR="008F13F2" w:rsidRPr="00CA07AB" w:rsidRDefault="008F13F2" w:rsidP="00CA07AB">
      <w:pPr>
        <w:spacing w:line="360" w:lineRule="auto"/>
        <w:jc w:val="both"/>
        <w:rPr>
          <w:rFonts w:ascii="Times New Roman" w:hAnsi="Times New Roman" w:cs="Times New Roman"/>
        </w:rPr>
      </w:pPr>
      <w:r w:rsidRPr="00CA07AB">
        <w:rPr>
          <w:rFonts w:ascii="Times New Roman" w:hAnsi="Times New Roman" w:cs="Times New Roman"/>
        </w:rPr>
        <w:t>A member of the Schwarz Group, one of the biggest retail conglomerates in the world, Lidl GB is a discount grocery store that operates in the UK food retail sector. It employs over 30,000 people and operates a nationwide network of over 900 stores backed by regional distribution centres. Private-label products are the focus of Lidl's limited-assortment business model, which aims to provide consistently cheap pricing and high stock rotations. Fresh produce, meat, dairy, in-store baked goods, ambient and frozen groceries, and household necessities are among the core products offered. Weekly non-food "Middle of Lidl" specialties are added to the assortment, utilizing standardized store formats and quick, effective supply chains to increase convenience and value.</w:t>
      </w:r>
    </w:p>
    <w:p w14:paraId="59613D4D" w14:textId="01942916" w:rsidR="003E7839" w:rsidRPr="00CA07AB" w:rsidRDefault="008F13F2" w:rsidP="00CA07AB">
      <w:pPr>
        <w:spacing w:line="360" w:lineRule="auto"/>
        <w:jc w:val="both"/>
        <w:rPr>
          <w:rFonts w:ascii="Times New Roman" w:hAnsi="Times New Roman" w:cs="Times New Roman"/>
        </w:rPr>
      </w:pPr>
      <w:r w:rsidRPr="00CA07AB">
        <w:rPr>
          <w:rFonts w:ascii="Times New Roman" w:hAnsi="Times New Roman" w:cs="Times New Roman"/>
        </w:rPr>
        <w:t>Real-time control over price, assortment, labour, logistics, and capital expenditures is made possible by management accounting, which converts this strategy into budgets, targets, and variations (Drury, 2022). At the SKU (Stock Keeping Unit), store, and route levels, unit economics can be seen through methods including conventional costing, variance analysis, cost–volume–profit (CVP), activity-based costing (ABC), and rolling, driver-based projections (Bhimani et al., 2023).</w:t>
      </w:r>
      <w:r w:rsidR="003E7839" w:rsidRPr="00CA07AB">
        <w:rPr>
          <w:rFonts w:ascii="Times New Roman" w:hAnsi="Times New Roman" w:cs="Times New Roman"/>
        </w:rPr>
        <w:t xml:space="preserve"> </w:t>
      </w:r>
      <w:r w:rsidRPr="00CA07AB">
        <w:rPr>
          <w:rFonts w:ascii="Times New Roman" w:hAnsi="Times New Roman" w:cs="Times New Roman"/>
        </w:rPr>
        <w:t>According to Garrison, Noreen, and Brewer (2021) and Merchant and Van der Stede (2021), a balanced performance system links responsibility centres with outcomes that are important, such as sales, gross margin, inventory days, shrink, on-shelf availability, and customer satisfaction.</w:t>
      </w:r>
      <w:r w:rsidR="003E7839" w:rsidRPr="00CA07AB">
        <w:rPr>
          <w:rFonts w:ascii="Times New Roman" w:hAnsi="Times New Roman" w:cs="Times New Roman"/>
        </w:rPr>
        <w:t xml:space="preserve"> </w:t>
      </w:r>
      <w:r w:rsidRPr="00CA07AB">
        <w:rPr>
          <w:rFonts w:ascii="Times New Roman" w:hAnsi="Times New Roman" w:cs="Times New Roman"/>
        </w:rPr>
        <w:t>To maintain affordability and increase resilience, sustainability accounting and investment assessment incorporate waste and energy reductions into OpEx (Operating Expenditure) and risk (Unerman</w:t>
      </w:r>
      <w:r w:rsidR="00F86108">
        <w:rPr>
          <w:rFonts w:ascii="Times New Roman" w:hAnsi="Times New Roman" w:cs="Times New Roman"/>
        </w:rPr>
        <w:t xml:space="preserve"> et al.,</w:t>
      </w:r>
      <w:r w:rsidRPr="00CA07AB">
        <w:rPr>
          <w:rFonts w:ascii="Times New Roman" w:hAnsi="Times New Roman" w:cs="Times New Roman"/>
        </w:rPr>
        <w:t>2021;).</w:t>
      </w:r>
    </w:p>
    <w:p w14:paraId="44CD5ED6" w14:textId="2A90342D" w:rsidR="008F13F2" w:rsidRPr="00CA07AB" w:rsidRDefault="008F13F2" w:rsidP="00CA07AB">
      <w:pPr>
        <w:pStyle w:val="ListParagraph"/>
        <w:numPr>
          <w:ilvl w:val="0"/>
          <w:numId w:val="1"/>
        </w:numPr>
        <w:spacing w:line="360" w:lineRule="auto"/>
        <w:jc w:val="both"/>
        <w:outlineLvl w:val="1"/>
        <w:rPr>
          <w:rFonts w:ascii="Times New Roman" w:hAnsi="Times New Roman" w:cs="Times New Roman"/>
        </w:rPr>
      </w:pPr>
      <w:bookmarkStart w:id="1" w:name="_Toc222896440"/>
      <w:r w:rsidRPr="00CA07AB">
        <w:rPr>
          <w:rFonts w:ascii="Times New Roman" w:hAnsi="Times New Roman" w:cs="Times New Roman"/>
        </w:rPr>
        <w:t>Cost Analysis and Business Model Revenue</w:t>
      </w:r>
      <w:bookmarkEnd w:id="1"/>
      <w:r w:rsidRPr="00CA07AB">
        <w:rPr>
          <w:rFonts w:ascii="Times New Roman" w:hAnsi="Times New Roman" w:cs="Times New Roman"/>
        </w:rPr>
        <w:t xml:space="preserve"> </w:t>
      </w:r>
    </w:p>
    <w:p w14:paraId="3AFDF9B8" w14:textId="0C416BB3" w:rsidR="008F13F2" w:rsidRPr="00CA07AB" w:rsidRDefault="008F13F2" w:rsidP="00CA07AB">
      <w:pPr>
        <w:spacing w:line="360" w:lineRule="auto"/>
        <w:jc w:val="both"/>
        <w:rPr>
          <w:rFonts w:ascii="Times New Roman" w:hAnsi="Times New Roman" w:cs="Times New Roman"/>
        </w:rPr>
      </w:pPr>
      <w:r w:rsidRPr="00CA07AB">
        <w:rPr>
          <w:rFonts w:ascii="Times New Roman" w:hAnsi="Times New Roman" w:cs="Times New Roman"/>
        </w:rPr>
        <w:t>With an everyday low-price design and a purposefully limited variety that concentrates demand into fewer SKUs to decrease complexity and boost volume per item, Lidl's revenue is predominantly derived from in-store grocery sales (Levy and Grewal, 2022). Weekly non-food "Specialbuys" encourage travel and provide extra profit, while private label domination offers control over specifications, packaging, and expenses. Selected brands also indicate competitiveness on known-value products (Levy and Grewal, 2022).</w:t>
      </w:r>
      <w:r w:rsidR="003E7839" w:rsidRPr="00CA07AB">
        <w:rPr>
          <w:rFonts w:ascii="Times New Roman" w:hAnsi="Times New Roman" w:cs="Times New Roman"/>
        </w:rPr>
        <w:t xml:space="preserve"> </w:t>
      </w:r>
      <w:r w:rsidRPr="00CA07AB">
        <w:rPr>
          <w:rFonts w:ascii="Times New Roman" w:hAnsi="Times New Roman" w:cs="Times New Roman"/>
        </w:rPr>
        <w:t>Store traffic, conversion, average basket, and SKU productivity are all supported by replenishment and checkout efficiency (Slack and Brandon-Jones, 2022).</w:t>
      </w:r>
    </w:p>
    <w:p w14:paraId="0CB9F220" w14:textId="1E6C4774" w:rsidR="003E7839" w:rsidRPr="00CA07AB" w:rsidRDefault="003E7839" w:rsidP="00CA07AB">
      <w:pPr>
        <w:spacing w:line="360" w:lineRule="auto"/>
        <w:jc w:val="both"/>
        <w:rPr>
          <w:rFonts w:ascii="Times New Roman" w:hAnsi="Times New Roman" w:cs="Times New Roman"/>
        </w:rPr>
      </w:pPr>
      <w:r w:rsidRPr="00CA07AB">
        <w:rPr>
          <w:rFonts w:ascii="Times New Roman" w:hAnsi="Times New Roman" w:cs="Times New Roman"/>
        </w:rPr>
        <w:t>Cost structure and implications</w:t>
      </w:r>
    </w:p>
    <w:p w14:paraId="1843A1DD" w14:textId="4889A2CF" w:rsidR="003E7839" w:rsidRPr="00CA07AB" w:rsidRDefault="00D157A6" w:rsidP="00CA07AB">
      <w:pPr>
        <w:spacing w:line="360" w:lineRule="auto"/>
        <w:jc w:val="both"/>
        <w:rPr>
          <w:rFonts w:ascii="Times New Roman" w:hAnsi="Times New Roman" w:cs="Times New Roman"/>
        </w:rPr>
      </w:pPr>
      <w:r w:rsidRPr="00CA07AB">
        <w:rPr>
          <w:rFonts w:ascii="Times New Roman" w:hAnsi="Times New Roman" w:cs="Times New Roman"/>
        </w:rPr>
        <w:lastRenderedPageBreak/>
        <w:t>Consumables, utilities that increase with hours and refrigeration loads, distribution and in-store handling, shrink and markdowns, and the cost of goods sold (subject to commodity, supplier, and FX movements) are examples of variable and semi-variable expenses (Chopra and Meindl, 2024)</w:t>
      </w:r>
      <w:r w:rsidR="003E7839" w:rsidRPr="00CA07AB">
        <w:rPr>
          <w:rFonts w:ascii="Times New Roman" w:hAnsi="Times New Roman" w:cs="Times New Roman"/>
        </w:rPr>
        <w:t xml:space="preserve">. </w:t>
      </w:r>
      <w:r w:rsidRPr="00CA07AB">
        <w:rPr>
          <w:rFonts w:ascii="Times New Roman" w:hAnsi="Times New Roman" w:cs="Times New Roman"/>
        </w:rPr>
        <w:t xml:space="preserve">There is a mix of </w:t>
      </w:r>
      <w:r w:rsidR="0053611F" w:rsidRPr="00CA07AB">
        <w:rPr>
          <w:rFonts w:ascii="Times New Roman" w:hAnsi="Times New Roman" w:cs="Times New Roman"/>
        </w:rPr>
        <w:t>labour</w:t>
      </w:r>
      <w:r w:rsidRPr="00CA07AB">
        <w:rPr>
          <w:rFonts w:ascii="Times New Roman" w:hAnsi="Times New Roman" w:cs="Times New Roman"/>
        </w:rPr>
        <w:t>: replenishment and checkout hours vary based on deliveries and foot traffic, but base management/core hours are mostly constant (Drury, 2022).</w:t>
      </w:r>
      <w:r w:rsidR="003E7839" w:rsidRPr="00CA07AB">
        <w:rPr>
          <w:rFonts w:ascii="Times New Roman" w:hAnsi="Times New Roman" w:cs="Times New Roman"/>
        </w:rPr>
        <w:t xml:space="preserve"> </w:t>
      </w:r>
      <w:r w:rsidRPr="00CA07AB">
        <w:rPr>
          <w:rFonts w:ascii="Times New Roman" w:hAnsi="Times New Roman" w:cs="Times New Roman"/>
        </w:rPr>
        <w:t>Occupancy, RDC infrastructure and automation, fleet, IT/POS, head office, and depreciation are all covered by fixed and step-fixed expenses; as throughput increases, capacity steps provide potential for operating leverage (Datar and Rajan, 2021).</w:t>
      </w:r>
    </w:p>
    <w:p w14:paraId="75A56B75" w14:textId="2DD58088" w:rsidR="003E7839" w:rsidRPr="00CA07AB" w:rsidRDefault="003E7839" w:rsidP="00CA07AB">
      <w:pPr>
        <w:spacing w:line="360" w:lineRule="auto"/>
        <w:jc w:val="both"/>
        <w:rPr>
          <w:rFonts w:ascii="Times New Roman" w:hAnsi="Times New Roman" w:cs="Times New Roman"/>
        </w:rPr>
      </w:pPr>
      <w:r w:rsidRPr="00CA07AB">
        <w:rPr>
          <w:rFonts w:ascii="Times New Roman" w:hAnsi="Times New Roman" w:cs="Times New Roman"/>
        </w:rPr>
        <w:t>Category Cost‑to‑Serve (CTS) and Contribution per Case (weekly; ABC approach Bhimani et al., 2023)</w:t>
      </w:r>
    </w:p>
    <w:tbl>
      <w:tblPr>
        <w:tblStyle w:val="TableGrid"/>
        <w:tblW w:w="10774" w:type="dxa"/>
        <w:tblInd w:w="-856" w:type="dxa"/>
        <w:tblLook w:val="04A0" w:firstRow="1" w:lastRow="0" w:firstColumn="1" w:lastColumn="0" w:noHBand="0" w:noVBand="1"/>
      </w:tblPr>
      <w:tblGrid>
        <w:gridCol w:w="1277"/>
        <w:gridCol w:w="992"/>
        <w:gridCol w:w="2126"/>
        <w:gridCol w:w="1843"/>
        <w:gridCol w:w="1559"/>
        <w:gridCol w:w="1559"/>
        <w:gridCol w:w="1418"/>
      </w:tblGrid>
      <w:tr w:rsidR="007D057E" w:rsidRPr="00CA07AB" w14:paraId="092DCF86" w14:textId="77777777" w:rsidTr="007D057E">
        <w:tc>
          <w:tcPr>
            <w:tcW w:w="1277" w:type="dxa"/>
          </w:tcPr>
          <w:p w14:paraId="28DDE857" w14:textId="5B3C7271"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Category</w:t>
            </w:r>
          </w:p>
        </w:tc>
        <w:tc>
          <w:tcPr>
            <w:tcW w:w="992" w:type="dxa"/>
          </w:tcPr>
          <w:p w14:paraId="6427205A" w14:textId="6B2A9CF7"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Cases</w:t>
            </w:r>
          </w:p>
        </w:tc>
        <w:tc>
          <w:tcPr>
            <w:tcW w:w="2126" w:type="dxa"/>
          </w:tcPr>
          <w:p w14:paraId="4C11193A" w14:textId="1D0C502E"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Net sales/case (£)</w:t>
            </w:r>
          </w:p>
        </w:tc>
        <w:tc>
          <w:tcPr>
            <w:tcW w:w="1843" w:type="dxa"/>
          </w:tcPr>
          <w:p w14:paraId="47019B90" w14:textId="1A43C1DB"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COGS/case (£)</w:t>
            </w:r>
          </w:p>
        </w:tc>
        <w:tc>
          <w:tcPr>
            <w:tcW w:w="1559" w:type="dxa"/>
          </w:tcPr>
          <w:p w14:paraId="23B9C6D2" w14:textId="05E33EE8"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CTS/case (£)</w:t>
            </w:r>
          </w:p>
        </w:tc>
        <w:tc>
          <w:tcPr>
            <w:tcW w:w="1559" w:type="dxa"/>
          </w:tcPr>
          <w:p w14:paraId="290D2229" w14:textId="6F6FE663"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CM/case (£)</w:t>
            </w:r>
          </w:p>
        </w:tc>
        <w:tc>
          <w:tcPr>
            <w:tcW w:w="1418" w:type="dxa"/>
          </w:tcPr>
          <w:p w14:paraId="77E43763" w14:textId="32A9FD0B"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CM total (£)</w:t>
            </w:r>
          </w:p>
        </w:tc>
      </w:tr>
      <w:tr w:rsidR="007D057E" w:rsidRPr="00CA07AB" w14:paraId="7C5E85E9" w14:textId="77777777" w:rsidTr="007D057E">
        <w:tc>
          <w:tcPr>
            <w:tcW w:w="1277" w:type="dxa"/>
          </w:tcPr>
          <w:p w14:paraId="3D7EF337" w14:textId="0655F477"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Ambient</w:t>
            </w:r>
          </w:p>
        </w:tc>
        <w:tc>
          <w:tcPr>
            <w:tcW w:w="992" w:type="dxa"/>
          </w:tcPr>
          <w:p w14:paraId="4A454CE9" w14:textId="0219A3FC"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12,000</w:t>
            </w:r>
          </w:p>
        </w:tc>
        <w:tc>
          <w:tcPr>
            <w:tcW w:w="2126" w:type="dxa"/>
          </w:tcPr>
          <w:p w14:paraId="5FA46EDE" w14:textId="7418290E"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18.00</w:t>
            </w:r>
          </w:p>
        </w:tc>
        <w:tc>
          <w:tcPr>
            <w:tcW w:w="1843" w:type="dxa"/>
          </w:tcPr>
          <w:p w14:paraId="423E2DE3" w14:textId="2C80EE9E"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14.40</w:t>
            </w:r>
          </w:p>
        </w:tc>
        <w:tc>
          <w:tcPr>
            <w:tcW w:w="1559" w:type="dxa"/>
          </w:tcPr>
          <w:p w14:paraId="6673453D" w14:textId="1201F37D"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1.10</w:t>
            </w:r>
          </w:p>
        </w:tc>
        <w:tc>
          <w:tcPr>
            <w:tcW w:w="1559" w:type="dxa"/>
          </w:tcPr>
          <w:p w14:paraId="6F3424F3" w14:textId="25DFC4C6"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2.50</w:t>
            </w:r>
          </w:p>
        </w:tc>
        <w:tc>
          <w:tcPr>
            <w:tcW w:w="1418" w:type="dxa"/>
          </w:tcPr>
          <w:p w14:paraId="3E7A7EC8" w14:textId="6D3D90A5"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30,000</w:t>
            </w:r>
          </w:p>
        </w:tc>
      </w:tr>
      <w:tr w:rsidR="007D057E" w:rsidRPr="00CA07AB" w14:paraId="3785B6E5" w14:textId="77777777" w:rsidTr="007D057E">
        <w:tc>
          <w:tcPr>
            <w:tcW w:w="1277" w:type="dxa"/>
          </w:tcPr>
          <w:p w14:paraId="514431E1" w14:textId="7A6379E1"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Chilled</w:t>
            </w:r>
          </w:p>
        </w:tc>
        <w:tc>
          <w:tcPr>
            <w:tcW w:w="992" w:type="dxa"/>
          </w:tcPr>
          <w:p w14:paraId="403A76DB" w14:textId="53086DD5"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8,000</w:t>
            </w:r>
          </w:p>
        </w:tc>
        <w:tc>
          <w:tcPr>
            <w:tcW w:w="2126" w:type="dxa"/>
          </w:tcPr>
          <w:p w14:paraId="1DEE7B8A" w14:textId="7C4E8327"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22.00</w:t>
            </w:r>
          </w:p>
        </w:tc>
        <w:tc>
          <w:tcPr>
            <w:tcW w:w="1843" w:type="dxa"/>
          </w:tcPr>
          <w:p w14:paraId="610617A6" w14:textId="7B1268AF"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17.82</w:t>
            </w:r>
          </w:p>
        </w:tc>
        <w:tc>
          <w:tcPr>
            <w:tcW w:w="1559" w:type="dxa"/>
          </w:tcPr>
          <w:p w14:paraId="41C63630" w14:textId="67B34212"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2.40</w:t>
            </w:r>
          </w:p>
        </w:tc>
        <w:tc>
          <w:tcPr>
            <w:tcW w:w="1559" w:type="dxa"/>
          </w:tcPr>
          <w:p w14:paraId="6C19A514" w14:textId="56FA1835"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1.78</w:t>
            </w:r>
          </w:p>
        </w:tc>
        <w:tc>
          <w:tcPr>
            <w:tcW w:w="1418" w:type="dxa"/>
          </w:tcPr>
          <w:p w14:paraId="2EDEE1B5" w14:textId="19642FB8"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14,240</w:t>
            </w:r>
          </w:p>
        </w:tc>
      </w:tr>
      <w:tr w:rsidR="007D057E" w:rsidRPr="00CA07AB" w14:paraId="6F7E7135" w14:textId="77777777" w:rsidTr="007D057E">
        <w:tc>
          <w:tcPr>
            <w:tcW w:w="1277" w:type="dxa"/>
          </w:tcPr>
          <w:p w14:paraId="1FC63660" w14:textId="12700845"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Produce</w:t>
            </w:r>
          </w:p>
        </w:tc>
        <w:tc>
          <w:tcPr>
            <w:tcW w:w="992" w:type="dxa"/>
          </w:tcPr>
          <w:p w14:paraId="1220C9C9" w14:textId="4F779CCC"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6,000</w:t>
            </w:r>
          </w:p>
        </w:tc>
        <w:tc>
          <w:tcPr>
            <w:tcW w:w="2126" w:type="dxa"/>
          </w:tcPr>
          <w:p w14:paraId="0EE9CD62" w14:textId="631D1142"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16.00</w:t>
            </w:r>
          </w:p>
        </w:tc>
        <w:tc>
          <w:tcPr>
            <w:tcW w:w="1843" w:type="dxa"/>
          </w:tcPr>
          <w:p w14:paraId="3A78E645" w14:textId="4241DCF8"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12.64</w:t>
            </w:r>
          </w:p>
        </w:tc>
        <w:tc>
          <w:tcPr>
            <w:tcW w:w="1559" w:type="dxa"/>
          </w:tcPr>
          <w:p w14:paraId="4B26AB59" w14:textId="3DF08EC0"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2.90</w:t>
            </w:r>
          </w:p>
        </w:tc>
        <w:tc>
          <w:tcPr>
            <w:tcW w:w="1559" w:type="dxa"/>
          </w:tcPr>
          <w:p w14:paraId="25885DB6" w14:textId="5EC558C3"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0.46</w:t>
            </w:r>
          </w:p>
        </w:tc>
        <w:tc>
          <w:tcPr>
            <w:tcW w:w="1418" w:type="dxa"/>
          </w:tcPr>
          <w:p w14:paraId="7B7FC390" w14:textId="24AD56F1"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2,760</w:t>
            </w:r>
          </w:p>
        </w:tc>
      </w:tr>
      <w:tr w:rsidR="007D057E" w:rsidRPr="00CA07AB" w14:paraId="07732240" w14:textId="77777777" w:rsidTr="007D057E">
        <w:tc>
          <w:tcPr>
            <w:tcW w:w="1277" w:type="dxa"/>
          </w:tcPr>
          <w:p w14:paraId="60C9EEDF" w14:textId="7EDCBFBB"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Frozen</w:t>
            </w:r>
          </w:p>
        </w:tc>
        <w:tc>
          <w:tcPr>
            <w:tcW w:w="992" w:type="dxa"/>
          </w:tcPr>
          <w:p w14:paraId="3DDDBB27" w14:textId="7F8175E8"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5,000</w:t>
            </w:r>
          </w:p>
        </w:tc>
        <w:tc>
          <w:tcPr>
            <w:tcW w:w="2126" w:type="dxa"/>
          </w:tcPr>
          <w:p w14:paraId="7E618E59" w14:textId="02C4FC93"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20.00</w:t>
            </w:r>
          </w:p>
        </w:tc>
        <w:tc>
          <w:tcPr>
            <w:tcW w:w="1843" w:type="dxa"/>
          </w:tcPr>
          <w:p w14:paraId="7F9EDB99" w14:textId="0893E6B2"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16.20</w:t>
            </w:r>
          </w:p>
        </w:tc>
        <w:tc>
          <w:tcPr>
            <w:tcW w:w="1559" w:type="dxa"/>
          </w:tcPr>
          <w:p w14:paraId="0C5B72BF" w14:textId="754279F1"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1.80</w:t>
            </w:r>
          </w:p>
        </w:tc>
        <w:tc>
          <w:tcPr>
            <w:tcW w:w="1559" w:type="dxa"/>
          </w:tcPr>
          <w:p w14:paraId="2B4DCE19" w14:textId="440688D5"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2.00</w:t>
            </w:r>
          </w:p>
        </w:tc>
        <w:tc>
          <w:tcPr>
            <w:tcW w:w="1418" w:type="dxa"/>
          </w:tcPr>
          <w:p w14:paraId="62E85E36" w14:textId="62A2ECD8"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10,000</w:t>
            </w:r>
          </w:p>
        </w:tc>
      </w:tr>
      <w:tr w:rsidR="007D057E" w:rsidRPr="00CA07AB" w14:paraId="40257FE5" w14:textId="77777777" w:rsidTr="007D057E">
        <w:tc>
          <w:tcPr>
            <w:tcW w:w="1277" w:type="dxa"/>
          </w:tcPr>
          <w:p w14:paraId="66F5A28D" w14:textId="09C7CC6A" w:rsidR="00D157A6" w:rsidRPr="00CA07AB" w:rsidRDefault="00D157A6" w:rsidP="00CA07AB">
            <w:pPr>
              <w:spacing w:line="360" w:lineRule="auto"/>
              <w:rPr>
                <w:rFonts w:ascii="Times New Roman" w:hAnsi="Times New Roman" w:cs="Times New Roman"/>
              </w:rPr>
            </w:pPr>
            <w:r w:rsidRPr="00CA07AB">
              <w:rPr>
                <w:rFonts w:ascii="Times New Roman" w:hAnsi="Times New Roman" w:cs="Times New Roman"/>
              </w:rPr>
              <w:t>Non-food</w:t>
            </w:r>
          </w:p>
        </w:tc>
        <w:tc>
          <w:tcPr>
            <w:tcW w:w="992" w:type="dxa"/>
          </w:tcPr>
          <w:p w14:paraId="7869E8FD" w14:textId="365514C8"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2,000</w:t>
            </w:r>
          </w:p>
        </w:tc>
        <w:tc>
          <w:tcPr>
            <w:tcW w:w="2126" w:type="dxa"/>
          </w:tcPr>
          <w:p w14:paraId="121C3616" w14:textId="3FDA585E"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28.00</w:t>
            </w:r>
          </w:p>
        </w:tc>
        <w:tc>
          <w:tcPr>
            <w:tcW w:w="1843" w:type="dxa"/>
          </w:tcPr>
          <w:p w14:paraId="5F53AD5A" w14:textId="3C6C2A23"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21.84</w:t>
            </w:r>
          </w:p>
        </w:tc>
        <w:tc>
          <w:tcPr>
            <w:tcW w:w="1559" w:type="dxa"/>
          </w:tcPr>
          <w:p w14:paraId="282E3ADA" w14:textId="35C8E7C3"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1.50</w:t>
            </w:r>
          </w:p>
        </w:tc>
        <w:tc>
          <w:tcPr>
            <w:tcW w:w="1559" w:type="dxa"/>
          </w:tcPr>
          <w:p w14:paraId="109478EB" w14:textId="495C50ED"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4.66</w:t>
            </w:r>
          </w:p>
        </w:tc>
        <w:tc>
          <w:tcPr>
            <w:tcW w:w="1418" w:type="dxa"/>
          </w:tcPr>
          <w:p w14:paraId="2AEF79EF" w14:textId="60DF681E" w:rsidR="00D157A6" w:rsidRPr="00CA07AB" w:rsidRDefault="007D057E" w:rsidP="00CA07AB">
            <w:pPr>
              <w:spacing w:line="360" w:lineRule="auto"/>
              <w:rPr>
                <w:rFonts w:ascii="Times New Roman" w:hAnsi="Times New Roman" w:cs="Times New Roman"/>
              </w:rPr>
            </w:pPr>
            <w:r w:rsidRPr="00CA07AB">
              <w:rPr>
                <w:rFonts w:ascii="Times New Roman" w:hAnsi="Times New Roman" w:cs="Times New Roman"/>
              </w:rPr>
              <w:t>9,320</w:t>
            </w:r>
          </w:p>
        </w:tc>
      </w:tr>
    </w:tbl>
    <w:p w14:paraId="3527C8DC" w14:textId="77777777" w:rsidR="003E7839" w:rsidRPr="00CA07AB" w:rsidRDefault="003E7839" w:rsidP="00CA07AB">
      <w:pPr>
        <w:spacing w:line="360" w:lineRule="auto"/>
        <w:jc w:val="center"/>
        <w:rPr>
          <w:rFonts w:ascii="Times New Roman" w:hAnsi="Times New Roman" w:cs="Times New Roman"/>
        </w:rPr>
      </w:pPr>
      <w:r w:rsidRPr="00CA07AB">
        <w:rPr>
          <w:rFonts w:ascii="Times New Roman" w:hAnsi="Times New Roman" w:cs="Times New Roman"/>
        </w:rPr>
        <w:t>Total contribution = £66,320. Formulas: CM/case = Net sales − COGS − CTS; CM total = CM/case × Cases.</w:t>
      </w:r>
    </w:p>
    <w:p w14:paraId="525161C8" w14:textId="77777777" w:rsidR="003E7839" w:rsidRPr="00CA07AB" w:rsidRDefault="003E7839" w:rsidP="00CA07AB">
      <w:pPr>
        <w:spacing w:line="360" w:lineRule="auto"/>
        <w:rPr>
          <w:rFonts w:ascii="Times New Roman" w:hAnsi="Times New Roman" w:cs="Times New Roman"/>
        </w:rPr>
      </w:pPr>
    </w:p>
    <w:p w14:paraId="172128E6" w14:textId="502F982F" w:rsidR="003E7839" w:rsidRPr="00CA07AB" w:rsidRDefault="003E7839" w:rsidP="00CA07AB">
      <w:pPr>
        <w:spacing w:line="360" w:lineRule="auto"/>
        <w:jc w:val="both"/>
        <w:rPr>
          <w:rFonts w:ascii="Times New Roman" w:hAnsi="Times New Roman" w:cs="Times New Roman"/>
        </w:rPr>
      </w:pPr>
      <w:r w:rsidRPr="00CA07AB">
        <w:rPr>
          <w:rFonts w:ascii="Times New Roman" w:hAnsi="Times New Roman" w:cs="Times New Roman"/>
        </w:rPr>
        <w:t>Break‑even and Margin of Safety sensitivity (Garrison</w:t>
      </w:r>
      <w:r w:rsidR="00CA07AB">
        <w:rPr>
          <w:rFonts w:ascii="Times New Roman" w:hAnsi="Times New Roman" w:cs="Times New Roman"/>
        </w:rPr>
        <w:t xml:space="preserve"> et al.</w:t>
      </w:r>
      <w:r w:rsidR="001E4444">
        <w:rPr>
          <w:rFonts w:ascii="Times New Roman" w:hAnsi="Times New Roman" w:cs="Times New Roman"/>
        </w:rPr>
        <w:t>,</w:t>
      </w:r>
      <w:r w:rsidRPr="00CA07AB">
        <w:rPr>
          <w:rFonts w:ascii="Times New Roman" w:hAnsi="Times New Roman" w:cs="Times New Roman"/>
        </w:rPr>
        <w:t>2021)</w:t>
      </w:r>
    </w:p>
    <w:tbl>
      <w:tblPr>
        <w:tblStyle w:val="TableGrid"/>
        <w:tblW w:w="10065" w:type="dxa"/>
        <w:tblInd w:w="-572" w:type="dxa"/>
        <w:tblLook w:val="04A0" w:firstRow="1" w:lastRow="0" w:firstColumn="1" w:lastColumn="0" w:noHBand="0" w:noVBand="1"/>
      </w:tblPr>
      <w:tblGrid>
        <w:gridCol w:w="1418"/>
        <w:gridCol w:w="1843"/>
        <w:gridCol w:w="2409"/>
        <w:gridCol w:w="1843"/>
        <w:gridCol w:w="1276"/>
        <w:gridCol w:w="1276"/>
      </w:tblGrid>
      <w:tr w:rsidR="007D057E" w:rsidRPr="00CA07AB" w14:paraId="466F4CC3" w14:textId="77777777" w:rsidTr="007D057E">
        <w:tc>
          <w:tcPr>
            <w:tcW w:w="1418" w:type="dxa"/>
          </w:tcPr>
          <w:p w14:paraId="196AEB47" w14:textId="5D1F954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CM%</w:t>
            </w:r>
          </w:p>
        </w:tc>
        <w:tc>
          <w:tcPr>
            <w:tcW w:w="1843" w:type="dxa"/>
          </w:tcPr>
          <w:p w14:paraId="35D0C57B" w14:textId="6FDABFAB"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Fixed costs (£)</w:t>
            </w:r>
          </w:p>
        </w:tc>
        <w:tc>
          <w:tcPr>
            <w:tcW w:w="2409" w:type="dxa"/>
          </w:tcPr>
          <w:p w14:paraId="2534CC7D" w14:textId="03B16AD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Break-even sales (£)</w:t>
            </w:r>
          </w:p>
        </w:tc>
        <w:tc>
          <w:tcPr>
            <w:tcW w:w="1843" w:type="dxa"/>
          </w:tcPr>
          <w:p w14:paraId="759591DA" w14:textId="00487256"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Actual sales (£)</w:t>
            </w:r>
          </w:p>
        </w:tc>
        <w:tc>
          <w:tcPr>
            <w:tcW w:w="1276" w:type="dxa"/>
          </w:tcPr>
          <w:p w14:paraId="06094C1D" w14:textId="31F041C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MOS (£)</w:t>
            </w:r>
          </w:p>
        </w:tc>
        <w:tc>
          <w:tcPr>
            <w:tcW w:w="1276" w:type="dxa"/>
          </w:tcPr>
          <w:p w14:paraId="2DB9A803" w14:textId="78262389"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MOS (%)</w:t>
            </w:r>
          </w:p>
        </w:tc>
      </w:tr>
      <w:tr w:rsidR="007D057E" w:rsidRPr="00CA07AB" w14:paraId="782AA9F6" w14:textId="77777777" w:rsidTr="007D057E">
        <w:tc>
          <w:tcPr>
            <w:tcW w:w="1418" w:type="dxa"/>
          </w:tcPr>
          <w:p w14:paraId="36E0AE3B" w14:textId="5B672006"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19%</w:t>
            </w:r>
          </w:p>
        </w:tc>
        <w:tc>
          <w:tcPr>
            <w:tcW w:w="1843" w:type="dxa"/>
          </w:tcPr>
          <w:p w14:paraId="6488DBA8" w14:textId="27EFEF8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60,000</w:t>
            </w:r>
          </w:p>
        </w:tc>
        <w:tc>
          <w:tcPr>
            <w:tcW w:w="2409" w:type="dxa"/>
          </w:tcPr>
          <w:p w14:paraId="715FAE25" w14:textId="5AA305EA"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315,789</w:t>
            </w:r>
          </w:p>
        </w:tc>
        <w:tc>
          <w:tcPr>
            <w:tcW w:w="1843" w:type="dxa"/>
          </w:tcPr>
          <w:p w14:paraId="7EA8B3C7" w14:textId="49DA6FF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335,000</w:t>
            </w:r>
          </w:p>
        </w:tc>
        <w:tc>
          <w:tcPr>
            <w:tcW w:w="1276" w:type="dxa"/>
          </w:tcPr>
          <w:p w14:paraId="2905E0B1" w14:textId="476DD0D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19,211</w:t>
            </w:r>
          </w:p>
        </w:tc>
        <w:tc>
          <w:tcPr>
            <w:tcW w:w="1276" w:type="dxa"/>
          </w:tcPr>
          <w:p w14:paraId="6189A277" w14:textId="59E935C0"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5.7%</w:t>
            </w:r>
          </w:p>
        </w:tc>
      </w:tr>
      <w:tr w:rsidR="007D057E" w:rsidRPr="00CA07AB" w14:paraId="410785C6" w14:textId="77777777" w:rsidTr="007D057E">
        <w:tc>
          <w:tcPr>
            <w:tcW w:w="1418" w:type="dxa"/>
          </w:tcPr>
          <w:p w14:paraId="17C73071" w14:textId="1C74A368"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21%</w:t>
            </w:r>
          </w:p>
        </w:tc>
        <w:tc>
          <w:tcPr>
            <w:tcW w:w="1843" w:type="dxa"/>
          </w:tcPr>
          <w:p w14:paraId="4F9A0C15" w14:textId="6D941C57"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60,000</w:t>
            </w:r>
          </w:p>
        </w:tc>
        <w:tc>
          <w:tcPr>
            <w:tcW w:w="2409" w:type="dxa"/>
          </w:tcPr>
          <w:p w14:paraId="63CE61D6" w14:textId="3F2937BE"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285,714</w:t>
            </w:r>
          </w:p>
        </w:tc>
        <w:tc>
          <w:tcPr>
            <w:tcW w:w="1843" w:type="dxa"/>
          </w:tcPr>
          <w:p w14:paraId="7F8C3145" w14:textId="65AAC74D"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335,000</w:t>
            </w:r>
          </w:p>
        </w:tc>
        <w:tc>
          <w:tcPr>
            <w:tcW w:w="1276" w:type="dxa"/>
          </w:tcPr>
          <w:p w14:paraId="404B1ECD" w14:textId="1059995B"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49,286</w:t>
            </w:r>
          </w:p>
        </w:tc>
        <w:tc>
          <w:tcPr>
            <w:tcW w:w="1276" w:type="dxa"/>
          </w:tcPr>
          <w:p w14:paraId="1CE96655" w14:textId="045F88BE"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14.7%</w:t>
            </w:r>
          </w:p>
        </w:tc>
      </w:tr>
      <w:tr w:rsidR="007D057E" w:rsidRPr="00CA07AB" w14:paraId="471B7F42" w14:textId="77777777" w:rsidTr="007D057E">
        <w:tc>
          <w:tcPr>
            <w:tcW w:w="1418" w:type="dxa"/>
          </w:tcPr>
          <w:p w14:paraId="58A3CDED" w14:textId="79551F9F"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23%</w:t>
            </w:r>
          </w:p>
        </w:tc>
        <w:tc>
          <w:tcPr>
            <w:tcW w:w="1843" w:type="dxa"/>
          </w:tcPr>
          <w:p w14:paraId="1F1FE480" w14:textId="2BEA285F"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60,000</w:t>
            </w:r>
          </w:p>
        </w:tc>
        <w:tc>
          <w:tcPr>
            <w:tcW w:w="2409" w:type="dxa"/>
          </w:tcPr>
          <w:p w14:paraId="258DCF74" w14:textId="692B19DA"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260,870</w:t>
            </w:r>
          </w:p>
        </w:tc>
        <w:tc>
          <w:tcPr>
            <w:tcW w:w="1843" w:type="dxa"/>
          </w:tcPr>
          <w:p w14:paraId="4C5C5D85" w14:textId="4B4753AE"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335,000</w:t>
            </w:r>
          </w:p>
        </w:tc>
        <w:tc>
          <w:tcPr>
            <w:tcW w:w="1276" w:type="dxa"/>
          </w:tcPr>
          <w:p w14:paraId="0E7CA2FE" w14:textId="73F9C786"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74,130</w:t>
            </w:r>
          </w:p>
        </w:tc>
        <w:tc>
          <w:tcPr>
            <w:tcW w:w="1276" w:type="dxa"/>
          </w:tcPr>
          <w:p w14:paraId="5E859E6C" w14:textId="474682BC" w:rsidR="007D057E" w:rsidRPr="00CA07AB" w:rsidRDefault="007D057E" w:rsidP="00CA07AB">
            <w:pPr>
              <w:spacing w:line="360" w:lineRule="auto"/>
              <w:jc w:val="center"/>
              <w:rPr>
                <w:rFonts w:ascii="Times New Roman" w:hAnsi="Times New Roman" w:cs="Times New Roman"/>
              </w:rPr>
            </w:pPr>
            <w:r w:rsidRPr="00CA07AB">
              <w:rPr>
                <w:rFonts w:ascii="Times New Roman" w:hAnsi="Times New Roman" w:cs="Times New Roman"/>
              </w:rPr>
              <w:t>22.1%</w:t>
            </w:r>
          </w:p>
        </w:tc>
      </w:tr>
    </w:tbl>
    <w:p w14:paraId="35180ABC" w14:textId="77777777" w:rsidR="003E7839" w:rsidRPr="00CA07AB" w:rsidRDefault="003E7839" w:rsidP="00CA07AB">
      <w:pPr>
        <w:spacing w:line="360" w:lineRule="auto"/>
        <w:jc w:val="center"/>
        <w:rPr>
          <w:rFonts w:ascii="Times New Roman" w:hAnsi="Times New Roman" w:cs="Times New Roman"/>
        </w:rPr>
      </w:pPr>
      <w:r w:rsidRPr="00CA07AB">
        <w:rPr>
          <w:rFonts w:ascii="Times New Roman" w:hAnsi="Times New Roman" w:cs="Times New Roman"/>
        </w:rPr>
        <w:t>Formulas: Break‑even = Fixed ÷ CM%; MOS (£) = Sales − BE; MOS (%) = MOS ÷ Sales.</w:t>
      </w:r>
    </w:p>
    <w:p w14:paraId="2AE04DDF" w14:textId="77777777" w:rsidR="003E7839" w:rsidRPr="00CA07AB" w:rsidRDefault="003E7839" w:rsidP="00CA07AB">
      <w:pPr>
        <w:spacing w:line="360" w:lineRule="auto"/>
        <w:rPr>
          <w:rFonts w:ascii="Times New Roman" w:hAnsi="Times New Roman" w:cs="Times New Roman"/>
        </w:rPr>
      </w:pPr>
    </w:p>
    <w:p w14:paraId="1FE3E2DC" w14:textId="2AA3E7BD" w:rsidR="005F539F" w:rsidRPr="00CA07AB" w:rsidRDefault="005F539F" w:rsidP="00CA07AB">
      <w:pPr>
        <w:pStyle w:val="ListParagraph"/>
        <w:numPr>
          <w:ilvl w:val="0"/>
          <w:numId w:val="1"/>
        </w:numPr>
        <w:spacing w:line="360" w:lineRule="auto"/>
        <w:jc w:val="both"/>
        <w:outlineLvl w:val="2"/>
        <w:rPr>
          <w:rFonts w:ascii="Times New Roman" w:hAnsi="Times New Roman" w:cs="Times New Roman"/>
        </w:rPr>
      </w:pPr>
      <w:bookmarkStart w:id="2" w:name="_Toc222896441"/>
      <w:r w:rsidRPr="00CA07AB">
        <w:rPr>
          <w:rFonts w:ascii="Times New Roman" w:hAnsi="Times New Roman" w:cs="Times New Roman"/>
        </w:rPr>
        <w:t>Financial Planning and Budgeting Lidl's objectives</w:t>
      </w:r>
      <w:bookmarkEnd w:id="2"/>
    </w:p>
    <w:p w14:paraId="352F7FF0" w14:textId="2D72E0A1" w:rsidR="003E7839" w:rsidRPr="00CA07AB" w:rsidRDefault="005F539F" w:rsidP="00CA07AB">
      <w:pPr>
        <w:spacing w:line="360" w:lineRule="auto"/>
        <w:jc w:val="both"/>
        <w:rPr>
          <w:rFonts w:ascii="Times New Roman" w:hAnsi="Times New Roman" w:cs="Times New Roman"/>
        </w:rPr>
      </w:pPr>
      <w:r w:rsidRPr="00CA07AB">
        <w:rPr>
          <w:rFonts w:ascii="Times New Roman" w:hAnsi="Times New Roman" w:cs="Times New Roman"/>
        </w:rPr>
        <w:t>Price leadership, effective expansion, and financial discipline are translated into operational and financial commitments by store, area, and category through budgeting (Merchant and Van der Stede, 2021).</w:t>
      </w:r>
      <w:r w:rsidR="003E7839" w:rsidRPr="00CA07AB">
        <w:rPr>
          <w:rFonts w:ascii="Times New Roman" w:hAnsi="Times New Roman" w:cs="Times New Roman"/>
        </w:rPr>
        <w:t xml:space="preserve"> </w:t>
      </w:r>
      <w:r w:rsidRPr="00CA07AB">
        <w:rPr>
          <w:rFonts w:ascii="Times New Roman" w:hAnsi="Times New Roman" w:cs="Times New Roman"/>
        </w:rPr>
        <w:t xml:space="preserve">Sales, gross margin, </w:t>
      </w:r>
      <w:r w:rsidR="0053611F" w:rsidRPr="00CA07AB">
        <w:rPr>
          <w:rFonts w:ascii="Times New Roman" w:hAnsi="Times New Roman" w:cs="Times New Roman"/>
        </w:rPr>
        <w:t>labour</w:t>
      </w:r>
      <w:r w:rsidRPr="00CA07AB">
        <w:rPr>
          <w:rFonts w:ascii="Times New Roman" w:hAnsi="Times New Roman" w:cs="Times New Roman"/>
        </w:rPr>
        <w:t xml:space="preserve"> hour envelopes, distribution cost per case, shrink </w:t>
      </w:r>
      <w:r w:rsidRPr="00CA07AB">
        <w:rPr>
          <w:rFonts w:ascii="Times New Roman" w:hAnsi="Times New Roman" w:cs="Times New Roman"/>
        </w:rPr>
        <w:lastRenderedPageBreak/>
        <w:t>targets, utility assumptions, and capital expenditure restrictions are all defined in annual plans. As circumstances change, rolling, driver-based projections reallocate resources to preserve availability, price image, and margin by updating salaries, energy tariffs, commodity indices, and currency (Datar and Rajan, 2021)</w:t>
      </w:r>
      <w:r w:rsidR="003E7839" w:rsidRPr="00CA07AB">
        <w:rPr>
          <w:rFonts w:ascii="Times New Roman" w:hAnsi="Times New Roman" w:cs="Times New Roman"/>
        </w:rPr>
        <w:t xml:space="preserve">. </w:t>
      </w:r>
      <w:r w:rsidRPr="00CA07AB">
        <w:rPr>
          <w:rFonts w:ascii="Times New Roman" w:hAnsi="Times New Roman" w:cs="Times New Roman"/>
        </w:rPr>
        <w:t xml:space="preserve">With monthly variation evaluations on pricing, volume, mix, </w:t>
      </w:r>
      <w:r w:rsidR="0053611F" w:rsidRPr="00CA07AB">
        <w:rPr>
          <w:rFonts w:ascii="Times New Roman" w:hAnsi="Times New Roman" w:cs="Times New Roman"/>
        </w:rPr>
        <w:t>labour</w:t>
      </w:r>
      <w:r w:rsidRPr="00CA07AB">
        <w:rPr>
          <w:rFonts w:ascii="Times New Roman" w:hAnsi="Times New Roman" w:cs="Times New Roman"/>
        </w:rPr>
        <w:t xml:space="preserve"> rate/efficiency, waste, and utilities, responsibility accounting gives managers ownership of the P&amp;L (Atrill and McLaney, 2022).</w:t>
      </w:r>
      <w:r w:rsidR="003E7839" w:rsidRPr="00CA07AB">
        <w:rPr>
          <w:rFonts w:ascii="Times New Roman" w:hAnsi="Times New Roman" w:cs="Times New Roman"/>
        </w:rPr>
        <w:t xml:space="preserve"> </w:t>
      </w:r>
      <w:r w:rsidRPr="00CA07AB">
        <w:rPr>
          <w:rFonts w:ascii="Times New Roman" w:hAnsi="Times New Roman" w:cs="Times New Roman"/>
        </w:rPr>
        <w:t>Playbooks for pricing cadence, promo depth, source diversification, and logistics rerouting are pre-defined by scenario planning (Alexander, 2021;). RDC automation, refrigeration retrofits, and store refits are managed via capital budgeting (NPV, IRR, and payback); post-implementation assessments improve assumptions and hurdle rates (Drury, 2022).</w:t>
      </w:r>
    </w:p>
    <w:p w14:paraId="4ABBBDD8" w14:textId="5B946F57" w:rsidR="00295DC3" w:rsidRPr="00CA07AB" w:rsidRDefault="003E7839" w:rsidP="00CA07AB">
      <w:pPr>
        <w:pStyle w:val="ListParagraph"/>
        <w:numPr>
          <w:ilvl w:val="0"/>
          <w:numId w:val="1"/>
        </w:numPr>
        <w:spacing w:line="360" w:lineRule="auto"/>
        <w:jc w:val="both"/>
        <w:outlineLvl w:val="3"/>
        <w:rPr>
          <w:rFonts w:ascii="Times New Roman" w:hAnsi="Times New Roman" w:cs="Times New Roman"/>
        </w:rPr>
      </w:pPr>
      <w:bookmarkStart w:id="3" w:name="_Toc222896442"/>
      <w:r w:rsidRPr="00CA07AB">
        <w:rPr>
          <w:rFonts w:ascii="Times New Roman" w:hAnsi="Times New Roman" w:cs="Times New Roman"/>
        </w:rPr>
        <w:t>Performance Measurement and Decision‑Making</w:t>
      </w:r>
      <w:bookmarkEnd w:id="3"/>
      <w:r w:rsidRPr="00CA07AB">
        <w:rPr>
          <w:rFonts w:ascii="Times New Roman" w:hAnsi="Times New Roman" w:cs="Times New Roman"/>
        </w:rPr>
        <w:t xml:space="preserve"> </w:t>
      </w:r>
    </w:p>
    <w:p w14:paraId="4FD81FAE" w14:textId="7C1E4A54" w:rsidR="001E4444" w:rsidRPr="00CA07AB" w:rsidRDefault="0053611F" w:rsidP="00CA07AB">
      <w:pPr>
        <w:spacing w:line="360" w:lineRule="auto"/>
        <w:jc w:val="both"/>
        <w:rPr>
          <w:rFonts w:ascii="Times New Roman" w:hAnsi="Times New Roman" w:cs="Times New Roman"/>
        </w:rPr>
      </w:pPr>
      <w:r w:rsidRPr="00CA07AB">
        <w:rPr>
          <w:rFonts w:ascii="Times New Roman" w:hAnsi="Times New Roman" w:cs="Times New Roman"/>
        </w:rPr>
        <w:t>Sales growth, gross/EBIT margin, inventory turnover/DIO, shrink/waste, on-shelf availability (OSA), labour productivity, customer satisfaction/NPS, and cost-to-serve per case are examples of financial and operational metrics that are combined in a balanced KPI set (Garrison</w:t>
      </w:r>
      <w:r w:rsidR="00CA07AB">
        <w:rPr>
          <w:rFonts w:ascii="Times New Roman" w:hAnsi="Times New Roman" w:cs="Times New Roman"/>
        </w:rPr>
        <w:t xml:space="preserve"> et al.</w:t>
      </w:r>
      <w:r w:rsidRPr="00CA07AB">
        <w:rPr>
          <w:rFonts w:ascii="Times New Roman" w:hAnsi="Times New Roman" w:cs="Times New Roman"/>
        </w:rPr>
        <w:t xml:space="preserve"> 2021)</w:t>
      </w:r>
      <w:r w:rsidR="003E7839" w:rsidRPr="00CA07AB">
        <w:rPr>
          <w:rFonts w:ascii="Times New Roman" w:hAnsi="Times New Roman" w:cs="Times New Roman"/>
        </w:rPr>
        <w:t xml:space="preserve">. </w:t>
      </w:r>
      <w:r w:rsidRPr="00CA07AB">
        <w:rPr>
          <w:rFonts w:ascii="Times New Roman" w:hAnsi="Times New Roman" w:cs="Times New Roman"/>
        </w:rPr>
        <w:t>These variables explain trade-offs between cost, service, and price image and link frontline actions to financial results (Bhimani et al., 2023). To recover profit on follower SKUs through pack and mix, pricing and promotional architecture uses elasticity and contribution analysis to invest in known-value items (KVIs) (Nagle</w:t>
      </w:r>
      <w:r w:rsidR="00CA07AB">
        <w:rPr>
          <w:rFonts w:ascii="Times New Roman" w:hAnsi="Times New Roman" w:cs="Times New Roman"/>
        </w:rPr>
        <w:t xml:space="preserve"> et al</w:t>
      </w:r>
      <w:r w:rsidRPr="00CA07AB">
        <w:rPr>
          <w:rFonts w:ascii="Times New Roman" w:hAnsi="Times New Roman" w:cs="Times New Roman"/>
        </w:rPr>
        <w:t>, 2023). SKU contribution and CTS drive assortment and space: lines with low contribution or high touch may be delisted, have their case packs redesigned, or have their space decreased (Blocher, Stout, and Juras, 2022).</w:t>
      </w:r>
      <w:r w:rsidR="003E7839" w:rsidRPr="00CA07AB">
        <w:rPr>
          <w:rFonts w:ascii="Times New Roman" w:hAnsi="Times New Roman" w:cs="Times New Roman"/>
        </w:rPr>
        <w:t xml:space="preserve"> </w:t>
      </w:r>
      <w:r w:rsidRPr="00CA07AB">
        <w:rPr>
          <w:rFonts w:ascii="Times New Roman" w:hAnsi="Times New Roman" w:cs="Times New Roman"/>
        </w:rPr>
        <w:t>Labor reallocations, work simplification, and schedule adjustments are how store operations react to OSA dips or queues; shrink spikes lead to packaging/process repairs (Collier, 2023). DIO, waste, and CTS hotspots influence supply chain decisions, including order cycles, cross-dock vs. stock, and route optimization (Chopra and Meindl, 2024). Unit economics and energy/CO2e KPIs are used to prioritize expansion and capital expenditures, and post-investment assessments are conducted to verify assumptions (Unerman, Bebbington, and O'Dwyer, 2021).</w:t>
      </w:r>
    </w:p>
    <w:p w14:paraId="6969B4A0" w14:textId="72B09A59" w:rsidR="003E7839" w:rsidRPr="00CA07AB" w:rsidRDefault="003E7839" w:rsidP="00CA07AB">
      <w:pPr>
        <w:spacing w:line="360" w:lineRule="auto"/>
        <w:jc w:val="both"/>
        <w:rPr>
          <w:rFonts w:ascii="Times New Roman" w:hAnsi="Times New Roman" w:cs="Times New Roman"/>
        </w:rPr>
      </w:pPr>
      <w:r w:rsidRPr="00CA07AB">
        <w:rPr>
          <w:rFonts w:ascii="Times New Roman" w:hAnsi="Times New Roman" w:cs="Times New Roman"/>
        </w:rPr>
        <w:t>Store Labor Productivity (weekly; ops measures Collier, 2023)</w:t>
      </w:r>
    </w:p>
    <w:tbl>
      <w:tblPr>
        <w:tblStyle w:val="TableGrid"/>
        <w:tblW w:w="0" w:type="auto"/>
        <w:tblLook w:val="04A0" w:firstRow="1" w:lastRow="0" w:firstColumn="1" w:lastColumn="0" w:noHBand="0" w:noVBand="1"/>
      </w:tblPr>
      <w:tblGrid>
        <w:gridCol w:w="3005"/>
        <w:gridCol w:w="3005"/>
        <w:gridCol w:w="3006"/>
      </w:tblGrid>
      <w:tr w:rsidR="0053611F" w:rsidRPr="00CA07AB" w14:paraId="60152A7C" w14:textId="77777777" w:rsidTr="0053611F">
        <w:tc>
          <w:tcPr>
            <w:tcW w:w="3005" w:type="dxa"/>
          </w:tcPr>
          <w:p w14:paraId="1BB774A8" w14:textId="33819987" w:rsidR="0053611F" w:rsidRPr="00CA07AB" w:rsidRDefault="0053611F" w:rsidP="00CA07AB">
            <w:pPr>
              <w:spacing w:line="360" w:lineRule="auto"/>
              <w:jc w:val="center"/>
              <w:rPr>
                <w:rFonts w:ascii="Times New Roman" w:hAnsi="Times New Roman" w:cs="Times New Roman"/>
              </w:rPr>
            </w:pPr>
            <w:r w:rsidRPr="00CA07AB">
              <w:rPr>
                <w:rFonts w:ascii="Times New Roman" w:hAnsi="Times New Roman" w:cs="Times New Roman"/>
              </w:rPr>
              <w:t>Metric</w:t>
            </w:r>
          </w:p>
        </w:tc>
        <w:tc>
          <w:tcPr>
            <w:tcW w:w="3005" w:type="dxa"/>
          </w:tcPr>
          <w:p w14:paraId="680316A3" w14:textId="519B051A" w:rsidR="0053611F" w:rsidRPr="00CA07AB" w:rsidRDefault="0053611F" w:rsidP="00CA07AB">
            <w:pPr>
              <w:spacing w:line="360" w:lineRule="auto"/>
              <w:jc w:val="center"/>
              <w:rPr>
                <w:rFonts w:ascii="Times New Roman" w:hAnsi="Times New Roman" w:cs="Times New Roman"/>
              </w:rPr>
            </w:pPr>
            <w:r w:rsidRPr="00CA07AB">
              <w:rPr>
                <w:rFonts w:ascii="Times New Roman" w:hAnsi="Times New Roman" w:cs="Times New Roman"/>
              </w:rPr>
              <w:t>Week 1</w:t>
            </w:r>
          </w:p>
        </w:tc>
        <w:tc>
          <w:tcPr>
            <w:tcW w:w="3006" w:type="dxa"/>
          </w:tcPr>
          <w:p w14:paraId="5988619A" w14:textId="15550126" w:rsidR="0053611F" w:rsidRPr="00CA07AB" w:rsidRDefault="0053611F" w:rsidP="00CA07AB">
            <w:pPr>
              <w:spacing w:line="360" w:lineRule="auto"/>
              <w:jc w:val="center"/>
              <w:rPr>
                <w:rFonts w:ascii="Times New Roman" w:hAnsi="Times New Roman" w:cs="Times New Roman"/>
              </w:rPr>
            </w:pPr>
            <w:r w:rsidRPr="00CA07AB">
              <w:rPr>
                <w:rFonts w:ascii="Times New Roman" w:hAnsi="Times New Roman" w:cs="Times New Roman"/>
              </w:rPr>
              <w:t>Week 4</w:t>
            </w:r>
          </w:p>
        </w:tc>
      </w:tr>
      <w:tr w:rsidR="0053611F" w:rsidRPr="00CA07AB" w14:paraId="10EFBE53" w14:textId="77777777" w:rsidTr="0053611F">
        <w:tc>
          <w:tcPr>
            <w:tcW w:w="3005" w:type="dxa"/>
          </w:tcPr>
          <w:p w14:paraId="270BB336" w14:textId="43BF01E8" w:rsidR="0053611F" w:rsidRPr="00CA07AB" w:rsidRDefault="0053611F" w:rsidP="00CA07AB">
            <w:pPr>
              <w:spacing w:line="360" w:lineRule="auto"/>
              <w:jc w:val="center"/>
              <w:rPr>
                <w:rFonts w:ascii="Times New Roman" w:hAnsi="Times New Roman" w:cs="Times New Roman"/>
              </w:rPr>
            </w:pPr>
            <w:r w:rsidRPr="00CA07AB">
              <w:rPr>
                <w:rFonts w:ascii="Times New Roman" w:hAnsi="Times New Roman" w:cs="Times New Roman"/>
              </w:rPr>
              <w:t>Cases handled</w:t>
            </w:r>
          </w:p>
        </w:tc>
        <w:tc>
          <w:tcPr>
            <w:tcW w:w="3005" w:type="dxa"/>
          </w:tcPr>
          <w:p w14:paraId="06E6E222" w14:textId="4388BC66" w:rsidR="0053611F" w:rsidRPr="00CA07AB" w:rsidRDefault="0053611F" w:rsidP="00CA07AB">
            <w:pPr>
              <w:spacing w:line="360" w:lineRule="auto"/>
              <w:jc w:val="center"/>
              <w:rPr>
                <w:rFonts w:ascii="Times New Roman" w:hAnsi="Times New Roman" w:cs="Times New Roman"/>
              </w:rPr>
            </w:pPr>
            <w:r w:rsidRPr="00CA07AB">
              <w:rPr>
                <w:rFonts w:ascii="Times New Roman" w:hAnsi="Times New Roman" w:cs="Times New Roman"/>
              </w:rPr>
              <w:t>31,000</w:t>
            </w:r>
          </w:p>
        </w:tc>
        <w:tc>
          <w:tcPr>
            <w:tcW w:w="3006" w:type="dxa"/>
          </w:tcPr>
          <w:p w14:paraId="627DD8B7" w14:textId="23E4BAE0" w:rsidR="0053611F" w:rsidRPr="00CA07AB" w:rsidRDefault="0053611F" w:rsidP="00CA07AB">
            <w:pPr>
              <w:spacing w:line="360" w:lineRule="auto"/>
              <w:jc w:val="center"/>
              <w:rPr>
                <w:rFonts w:ascii="Times New Roman" w:hAnsi="Times New Roman" w:cs="Times New Roman"/>
              </w:rPr>
            </w:pPr>
            <w:r w:rsidRPr="00CA07AB">
              <w:rPr>
                <w:rFonts w:ascii="Times New Roman" w:hAnsi="Times New Roman" w:cs="Times New Roman"/>
              </w:rPr>
              <w:t>33,000</w:t>
            </w:r>
          </w:p>
        </w:tc>
      </w:tr>
      <w:tr w:rsidR="0053611F" w:rsidRPr="00CA07AB" w14:paraId="0CE1ADA6" w14:textId="77777777" w:rsidTr="0053611F">
        <w:tc>
          <w:tcPr>
            <w:tcW w:w="3005" w:type="dxa"/>
          </w:tcPr>
          <w:p w14:paraId="58652176" w14:textId="125636A6"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Labor hours</w:t>
            </w:r>
          </w:p>
        </w:tc>
        <w:tc>
          <w:tcPr>
            <w:tcW w:w="3005" w:type="dxa"/>
          </w:tcPr>
          <w:p w14:paraId="3AC18542" w14:textId="0786C333"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1,900</w:t>
            </w:r>
          </w:p>
        </w:tc>
        <w:tc>
          <w:tcPr>
            <w:tcW w:w="3006" w:type="dxa"/>
          </w:tcPr>
          <w:p w14:paraId="2D220334" w14:textId="3CBD4AFD"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1,980</w:t>
            </w:r>
          </w:p>
        </w:tc>
      </w:tr>
      <w:tr w:rsidR="0053611F" w:rsidRPr="00CA07AB" w14:paraId="75E8A5FE" w14:textId="77777777" w:rsidTr="0053611F">
        <w:tc>
          <w:tcPr>
            <w:tcW w:w="3005" w:type="dxa"/>
          </w:tcPr>
          <w:p w14:paraId="48CF5EEB" w14:textId="6CEB18A2"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Cases/hour</w:t>
            </w:r>
          </w:p>
        </w:tc>
        <w:tc>
          <w:tcPr>
            <w:tcW w:w="3005" w:type="dxa"/>
          </w:tcPr>
          <w:p w14:paraId="56793E41" w14:textId="773618EF"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16.3</w:t>
            </w:r>
          </w:p>
        </w:tc>
        <w:tc>
          <w:tcPr>
            <w:tcW w:w="3006" w:type="dxa"/>
          </w:tcPr>
          <w:p w14:paraId="04561823" w14:textId="3F318343"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16.7</w:t>
            </w:r>
          </w:p>
        </w:tc>
      </w:tr>
      <w:tr w:rsidR="0053611F" w:rsidRPr="00CA07AB" w14:paraId="5FC18EC3" w14:textId="77777777" w:rsidTr="0053611F">
        <w:tc>
          <w:tcPr>
            <w:tcW w:w="3005" w:type="dxa"/>
          </w:tcPr>
          <w:p w14:paraId="7934F2B6" w14:textId="0BC6C1F5"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lastRenderedPageBreak/>
              <w:t>Labor £/hour</w:t>
            </w:r>
          </w:p>
        </w:tc>
        <w:tc>
          <w:tcPr>
            <w:tcW w:w="3005" w:type="dxa"/>
          </w:tcPr>
          <w:p w14:paraId="7F50309E" w14:textId="092B2FAD"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13.50</w:t>
            </w:r>
          </w:p>
        </w:tc>
        <w:tc>
          <w:tcPr>
            <w:tcW w:w="3006" w:type="dxa"/>
          </w:tcPr>
          <w:p w14:paraId="42660B05" w14:textId="77F30F04"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13.80</w:t>
            </w:r>
          </w:p>
        </w:tc>
      </w:tr>
      <w:tr w:rsidR="0053611F" w:rsidRPr="00CA07AB" w14:paraId="6FDE7B25" w14:textId="77777777" w:rsidTr="0053611F">
        <w:tc>
          <w:tcPr>
            <w:tcW w:w="3005" w:type="dxa"/>
          </w:tcPr>
          <w:p w14:paraId="1F8EC7C7" w14:textId="7D5FB8AC"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Labor cost/case (£)</w:t>
            </w:r>
          </w:p>
        </w:tc>
        <w:tc>
          <w:tcPr>
            <w:tcW w:w="3005" w:type="dxa"/>
          </w:tcPr>
          <w:p w14:paraId="4392D736" w14:textId="4736DA76"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0.79</w:t>
            </w:r>
          </w:p>
        </w:tc>
        <w:tc>
          <w:tcPr>
            <w:tcW w:w="3006" w:type="dxa"/>
          </w:tcPr>
          <w:p w14:paraId="73571C1D" w14:textId="3A4F76BB"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0.83</w:t>
            </w:r>
          </w:p>
        </w:tc>
      </w:tr>
      <w:tr w:rsidR="0053611F" w:rsidRPr="00CA07AB" w14:paraId="4BADC2DC" w14:textId="77777777" w:rsidTr="0053611F">
        <w:tc>
          <w:tcPr>
            <w:tcW w:w="3005" w:type="dxa"/>
          </w:tcPr>
          <w:p w14:paraId="452728F6" w14:textId="13B44915"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OSA (%)</w:t>
            </w:r>
          </w:p>
        </w:tc>
        <w:tc>
          <w:tcPr>
            <w:tcW w:w="3005" w:type="dxa"/>
          </w:tcPr>
          <w:p w14:paraId="0A5B3C36" w14:textId="71ACB851"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95.0</w:t>
            </w:r>
          </w:p>
        </w:tc>
        <w:tc>
          <w:tcPr>
            <w:tcW w:w="3006" w:type="dxa"/>
          </w:tcPr>
          <w:p w14:paraId="6921AB19" w14:textId="037E4CA6"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97.2</w:t>
            </w:r>
          </w:p>
        </w:tc>
      </w:tr>
      <w:tr w:rsidR="0053611F" w:rsidRPr="00CA07AB" w14:paraId="29623E3F" w14:textId="77777777" w:rsidTr="0053611F">
        <w:tc>
          <w:tcPr>
            <w:tcW w:w="3005" w:type="dxa"/>
          </w:tcPr>
          <w:p w14:paraId="64195786" w14:textId="270C9768"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Queue time (mins, 95th)</w:t>
            </w:r>
          </w:p>
        </w:tc>
        <w:tc>
          <w:tcPr>
            <w:tcW w:w="3005" w:type="dxa"/>
          </w:tcPr>
          <w:p w14:paraId="3B3F9535" w14:textId="79F2350C"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7.0</w:t>
            </w:r>
          </w:p>
        </w:tc>
        <w:tc>
          <w:tcPr>
            <w:tcW w:w="3006" w:type="dxa"/>
          </w:tcPr>
          <w:p w14:paraId="114BF0D1" w14:textId="5059D399" w:rsidR="0053611F" w:rsidRPr="00CA07AB" w:rsidRDefault="00D74CD3" w:rsidP="00CA07AB">
            <w:pPr>
              <w:spacing w:line="360" w:lineRule="auto"/>
              <w:jc w:val="center"/>
              <w:rPr>
                <w:rFonts w:ascii="Times New Roman" w:hAnsi="Times New Roman" w:cs="Times New Roman"/>
              </w:rPr>
            </w:pPr>
            <w:r w:rsidRPr="00CA07AB">
              <w:rPr>
                <w:rFonts w:ascii="Times New Roman" w:hAnsi="Times New Roman" w:cs="Times New Roman"/>
              </w:rPr>
              <w:t>5.8</w:t>
            </w:r>
          </w:p>
        </w:tc>
      </w:tr>
    </w:tbl>
    <w:p w14:paraId="31FE7FA3" w14:textId="65F8FE4D" w:rsidR="003E7839" w:rsidRPr="00CA07AB" w:rsidRDefault="003E7839" w:rsidP="00CA07AB">
      <w:pPr>
        <w:spacing w:line="360" w:lineRule="auto"/>
        <w:jc w:val="center"/>
        <w:rPr>
          <w:rFonts w:ascii="Times New Roman" w:hAnsi="Times New Roman" w:cs="Times New Roman"/>
        </w:rPr>
      </w:pPr>
      <w:r w:rsidRPr="00CA07AB">
        <w:rPr>
          <w:rFonts w:ascii="Times New Roman" w:hAnsi="Times New Roman" w:cs="Times New Roman"/>
        </w:rPr>
        <w:t>Formulas: Cases/hour = Cases ÷ Hours; Cost/case = Hours × £/hour ÷ Cases</w:t>
      </w:r>
    </w:p>
    <w:p w14:paraId="1D669AB7" w14:textId="2E9C3277" w:rsidR="00D74CD3" w:rsidRPr="00CA07AB" w:rsidRDefault="003E7839" w:rsidP="00CA07AB">
      <w:pPr>
        <w:pStyle w:val="ListParagraph"/>
        <w:numPr>
          <w:ilvl w:val="0"/>
          <w:numId w:val="1"/>
        </w:numPr>
        <w:spacing w:line="360" w:lineRule="auto"/>
        <w:jc w:val="both"/>
        <w:outlineLvl w:val="4"/>
        <w:rPr>
          <w:rFonts w:ascii="Times New Roman" w:hAnsi="Times New Roman" w:cs="Times New Roman"/>
        </w:rPr>
      </w:pPr>
      <w:bookmarkStart w:id="4" w:name="_Toc222896443"/>
      <w:r w:rsidRPr="00CA07AB">
        <w:rPr>
          <w:rFonts w:ascii="Times New Roman" w:hAnsi="Times New Roman" w:cs="Times New Roman"/>
        </w:rPr>
        <w:t>Sustainability and Ethical Considerations</w:t>
      </w:r>
      <w:bookmarkEnd w:id="4"/>
      <w:r w:rsidRPr="00CA07AB">
        <w:rPr>
          <w:rFonts w:ascii="Times New Roman" w:hAnsi="Times New Roman" w:cs="Times New Roman"/>
        </w:rPr>
        <w:t xml:space="preserve"> </w:t>
      </w:r>
    </w:p>
    <w:p w14:paraId="6AD2505F" w14:textId="1FCD80B2" w:rsidR="00D74CD3" w:rsidRPr="00CA07AB" w:rsidRDefault="00D74CD3" w:rsidP="00CA07AB">
      <w:pPr>
        <w:spacing w:line="360" w:lineRule="auto"/>
        <w:jc w:val="both"/>
        <w:rPr>
          <w:rFonts w:ascii="Times New Roman" w:hAnsi="Times New Roman" w:cs="Times New Roman"/>
        </w:rPr>
      </w:pPr>
      <w:r w:rsidRPr="00CA07AB">
        <w:rPr>
          <w:rFonts w:ascii="Times New Roman" w:hAnsi="Times New Roman" w:cs="Times New Roman"/>
        </w:rPr>
        <w:t>Making financial decisions with sustainability in mind When cost and risk are balanced, sustainability works best. LED lighting, chiller doors, high-efficiency compressors, and building management systems are examples of energy initiatives that are evaluated using life-cycle cash flows (energy savings, maintenance, and tariff scenarios). These initiatives usually result in lower utilities operating expenses, volatility exposure, and emissions (Drury, 2022). In food retail, refrigeration retrofits and leak prevention yield enormous benefits; store load profiles and payback are used for priority (Chopra and Meindl, 2024).</w:t>
      </w:r>
    </w:p>
    <w:p w14:paraId="49B812F2" w14:textId="3C36DD1D" w:rsidR="003E7839" w:rsidRPr="00CA07AB" w:rsidRDefault="00D74CD3" w:rsidP="00CA07AB">
      <w:pPr>
        <w:spacing w:line="360" w:lineRule="auto"/>
        <w:jc w:val="both"/>
        <w:rPr>
          <w:rFonts w:ascii="Times New Roman" w:hAnsi="Times New Roman" w:cs="Times New Roman"/>
        </w:rPr>
      </w:pPr>
      <w:r w:rsidRPr="00CA07AB">
        <w:rPr>
          <w:rFonts w:ascii="Times New Roman" w:hAnsi="Times New Roman" w:cs="Times New Roman"/>
        </w:rPr>
        <w:t>Waste reduction reduces waste and handling time through enhanced case-packs, shelf-ready packaging, fresh order cycles, and markdown algorithms; For budget holders, ABC/CTS makes the case concrete by capturing avoided waste, labour, and disposal in SKU economics (Blocher, Stout, and Juras, 2022). To strike a balance between sustainability and cost, packaging modifications (such as proper sizing, recycled content, and recyclable design) are assessed based on material costs, damage rates, shelf density, and transportation efficiency (Chopra and Meindl, 2024).</w:t>
      </w:r>
    </w:p>
    <w:p w14:paraId="78BE0433" w14:textId="4E0BF806" w:rsidR="003E7839" w:rsidRPr="00CA07AB" w:rsidRDefault="00D74CD3" w:rsidP="00CA07AB">
      <w:pPr>
        <w:spacing w:line="360" w:lineRule="auto"/>
        <w:jc w:val="both"/>
        <w:rPr>
          <w:rFonts w:ascii="Times New Roman" w:hAnsi="Times New Roman" w:cs="Times New Roman"/>
        </w:rPr>
      </w:pPr>
      <w:r w:rsidRPr="00CA07AB">
        <w:rPr>
          <w:rFonts w:ascii="Times New Roman" w:hAnsi="Times New Roman" w:cs="Times New Roman"/>
        </w:rPr>
        <w:t>Total landed cost models go beyond unit pricing to include freight, duties, failure risk, and delay exposure; responsible sourcing include supplier scorecards that assess price, quality, reliability, and compliance (Datar and Rajan, 2021).</w:t>
      </w:r>
      <w:r w:rsidR="003E7839" w:rsidRPr="00CA07AB">
        <w:rPr>
          <w:rFonts w:ascii="Times New Roman" w:hAnsi="Times New Roman" w:cs="Times New Roman"/>
        </w:rPr>
        <w:t xml:space="preserve"> </w:t>
      </w:r>
      <w:r w:rsidRPr="00CA07AB">
        <w:rPr>
          <w:rFonts w:ascii="Times New Roman" w:hAnsi="Times New Roman" w:cs="Times New Roman"/>
        </w:rPr>
        <w:t>Even if the nominal unit price isn't the lowest, multi-sourcing and longer-term agreements can increase resilience; these decisions are reflected in standard costs, variance analysis, and category risk registers (Atrill and McLaney, 2022).</w:t>
      </w:r>
    </w:p>
    <w:p w14:paraId="2CB40F97" w14:textId="77777777" w:rsidR="003E7839" w:rsidRPr="00CA07AB" w:rsidRDefault="003E7839" w:rsidP="00CA07AB">
      <w:pPr>
        <w:spacing w:line="360" w:lineRule="auto"/>
        <w:jc w:val="both"/>
        <w:rPr>
          <w:rFonts w:ascii="Times New Roman" w:hAnsi="Times New Roman" w:cs="Times New Roman"/>
        </w:rPr>
      </w:pPr>
      <w:r w:rsidRPr="00CA07AB">
        <w:rPr>
          <w:rFonts w:ascii="Times New Roman" w:hAnsi="Times New Roman" w:cs="Times New Roman"/>
        </w:rPr>
        <w:t>Ethical considerations in cost and pricing</w:t>
      </w:r>
    </w:p>
    <w:p w14:paraId="5DCB7CE7" w14:textId="77777777" w:rsidR="00B0426E" w:rsidRDefault="00D74CD3" w:rsidP="00CA07AB">
      <w:pPr>
        <w:spacing w:line="360" w:lineRule="auto"/>
        <w:jc w:val="both"/>
        <w:rPr>
          <w:rFonts w:ascii="Times New Roman" w:hAnsi="Times New Roman" w:cs="Times New Roman"/>
        </w:rPr>
      </w:pPr>
      <w:r w:rsidRPr="00CA07AB">
        <w:rPr>
          <w:rFonts w:ascii="Times New Roman" w:hAnsi="Times New Roman" w:cs="Times New Roman"/>
        </w:rPr>
        <w:t>The promise of cheap prices from discount stores may lead to moral dilemmas if cost reductions result in harm being externalized. The focus of ethical cost management is on:</w:t>
      </w:r>
    </w:p>
    <w:p w14:paraId="6B0D0067" w14:textId="46FC72C3" w:rsidR="003E7839" w:rsidRPr="00CA07AB" w:rsidRDefault="00D74CD3" w:rsidP="00CA07AB">
      <w:pPr>
        <w:spacing w:line="360" w:lineRule="auto"/>
        <w:jc w:val="both"/>
        <w:rPr>
          <w:rFonts w:ascii="Times New Roman" w:hAnsi="Times New Roman" w:cs="Times New Roman"/>
        </w:rPr>
      </w:pPr>
      <w:r w:rsidRPr="00CA07AB">
        <w:rPr>
          <w:rFonts w:ascii="Times New Roman" w:hAnsi="Times New Roman" w:cs="Times New Roman"/>
        </w:rPr>
        <w:lastRenderedPageBreak/>
        <w:t>Fair treatment of suppliers: employing open-book costing, steady volumes in high-risk commodities, and avoiding excessive payment delays or unilateral deductions (Merchant and Van der Stede, 2021).</w:t>
      </w:r>
    </w:p>
    <w:p w14:paraId="524202DB" w14:textId="22EB73D2" w:rsidR="003E7839" w:rsidRPr="00CA07AB" w:rsidRDefault="00D74CD3" w:rsidP="00CA07AB">
      <w:pPr>
        <w:spacing w:line="360" w:lineRule="auto"/>
        <w:jc w:val="both"/>
        <w:rPr>
          <w:rFonts w:ascii="Times New Roman" w:hAnsi="Times New Roman" w:cs="Times New Roman"/>
        </w:rPr>
      </w:pPr>
      <w:r w:rsidRPr="00CA07AB">
        <w:rPr>
          <w:rFonts w:ascii="Times New Roman" w:hAnsi="Times New Roman" w:cs="Times New Roman"/>
        </w:rPr>
        <w:t>Worker welfare and safety: KPI/bonus design should steer clear of perverse incentives; productivity improvements must not jeopardize safe staffing, training, or predictable schedules (Collier, 2023).</w:t>
      </w:r>
      <w:r w:rsidR="00C11CEC" w:rsidRPr="00CA07AB">
        <w:rPr>
          <w:rFonts w:ascii="Times New Roman" w:hAnsi="Times New Roman" w:cs="Times New Roman"/>
        </w:rPr>
        <w:t xml:space="preserve"> Transparency in pricing preserving the KV price image value engineering and follower SKUs can help recover margins in the absence of unclear shrinkflation or perplexing promotions (Nagle</w:t>
      </w:r>
      <w:r w:rsidR="00F86108">
        <w:rPr>
          <w:rFonts w:ascii="Times New Roman" w:hAnsi="Times New Roman" w:cs="Times New Roman"/>
        </w:rPr>
        <w:t xml:space="preserve"> et al.</w:t>
      </w:r>
      <w:r w:rsidR="00C11CEC" w:rsidRPr="00CA07AB">
        <w:rPr>
          <w:rFonts w:ascii="Times New Roman" w:hAnsi="Times New Roman" w:cs="Times New Roman"/>
        </w:rPr>
        <w:t>, 2023).</w:t>
      </w:r>
    </w:p>
    <w:p w14:paraId="1009DB40" w14:textId="43EA1B6F" w:rsidR="003E7839" w:rsidRPr="00CA07AB" w:rsidRDefault="00C11CEC" w:rsidP="00CA07AB">
      <w:pPr>
        <w:spacing w:line="360" w:lineRule="auto"/>
        <w:jc w:val="both"/>
        <w:rPr>
          <w:rFonts w:ascii="Times New Roman" w:hAnsi="Times New Roman" w:cs="Times New Roman"/>
        </w:rPr>
      </w:pPr>
      <w:r w:rsidRPr="00CA07AB">
        <w:rPr>
          <w:rFonts w:ascii="Times New Roman" w:hAnsi="Times New Roman" w:cs="Times New Roman"/>
        </w:rPr>
        <w:t>When costs rise due to greater welfare/low carbon sourcing, access and inclusion tiered private-label ranges and targeted digital offers maintain affordability (Levy and Grewal, 2022). Budget for risk management and remediation in high-risk tiers of modern slavery; let red flags affect assortment even when there are less expensive choices (Unerman</w:t>
      </w:r>
      <w:r w:rsidR="00F86108">
        <w:rPr>
          <w:rFonts w:ascii="Times New Roman" w:hAnsi="Times New Roman" w:cs="Times New Roman"/>
        </w:rPr>
        <w:t xml:space="preserve"> et al.</w:t>
      </w:r>
      <w:r w:rsidRPr="00CA07AB">
        <w:rPr>
          <w:rFonts w:ascii="Times New Roman" w:hAnsi="Times New Roman" w:cs="Times New Roman"/>
        </w:rPr>
        <w:t>, 2021).</w:t>
      </w:r>
    </w:p>
    <w:p w14:paraId="23B70ECB" w14:textId="31443AFE" w:rsidR="00CA07AB" w:rsidRPr="00CA07AB" w:rsidRDefault="00C11CEC" w:rsidP="00CA07AB">
      <w:pPr>
        <w:spacing w:line="360" w:lineRule="auto"/>
        <w:jc w:val="both"/>
        <w:rPr>
          <w:rFonts w:ascii="Times New Roman" w:hAnsi="Times New Roman" w:cs="Times New Roman"/>
        </w:rPr>
      </w:pPr>
      <w:r w:rsidRPr="00CA07AB">
        <w:rPr>
          <w:rFonts w:ascii="Times New Roman" w:hAnsi="Times New Roman" w:cs="Times New Roman"/>
        </w:rPr>
        <w:t>These results continue to be key value drivers when sustainability and ethics are integrated into supplier selection, performance evaluations, investment screens (including shadow carbon price), and budgeting (Zimmerman, 2022).</w:t>
      </w:r>
    </w:p>
    <w:p w14:paraId="28F8BEA3" w14:textId="0C41CED5" w:rsidR="00C11CEC" w:rsidRPr="00CA07AB" w:rsidRDefault="003E7839" w:rsidP="00CA07AB">
      <w:pPr>
        <w:pStyle w:val="ListParagraph"/>
        <w:numPr>
          <w:ilvl w:val="0"/>
          <w:numId w:val="1"/>
        </w:numPr>
        <w:spacing w:line="360" w:lineRule="auto"/>
        <w:jc w:val="both"/>
        <w:outlineLvl w:val="5"/>
        <w:rPr>
          <w:rFonts w:ascii="Times New Roman" w:hAnsi="Times New Roman" w:cs="Times New Roman"/>
        </w:rPr>
      </w:pPr>
      <w:bookmarkStart w:id="5" w:name="_Toc222896444"/>
      <w:r w:rsidRPr="00CA07AB">
        <w:rPr>
          <w:rFonts w:ascii="Times New Roman" w:hAnsi="Times New Roman" w:cs="Times New Roman"/>
        </w:rPr>
        <w:t>Conclusion and Recommendations</w:t>
      </w:r>
      <w:bookmarkEnd w:id="5"/>
      <w:r w:rsidRPr="00CA07AB">
        <w:rPr>
          <w:rFonts w:ascii="Times New Roman" w:hAnsi="Times New Roman" w:cs="Times New Roman"/>
        </w:rPr>
        <w:t xml:space="preserve"> </w:t>
      </w:r>
    </w:p>
    <w:p w14:paraId="617BD3C0" w14:textId="667757BF" w:rsidR="00B0426E" w:rsidRDefault="00C11CEC" w:rsidP="00CA07AB">
      <w:pPr>
        <w:spacing w:line="360" w:lineRule="auto"/>
        <w:jc w:val="both"/>
        <w:rPr>
          <w:rFonts w:ascii="Times New Roman" w:hAnsi="Times New Roman" w:cs="Times New Roman"/>
        </w:rPr>
      </w:pPr>
      <w:r w:rsidRPr="00CA07AB">
        <w:rPr>
          <w:rFonts w:ascii="Times New Roman" w:hAnsi="Times New Roman" w:cs="Times New Roman"/>
        </w:rPr>
        <w:t>Lidl's high-throughput, limited-assortment business model depends on strict management accounting to strike a balance between profitability and price image. KV is separated by CVP and contribution analysis.is used to direct targeted price investments by margin-rich followers (Garrison</w:t>
      </w:r>
      <w:r w:rsidR="00F86108">
        <w:rPr>
          <w:rFonts w:ascii="Times New Roman" w:hAnsi="Times New Roman" w:cs="Times New Roman"/>
        </w:rPr>
        <w:t xml:space="preserve"> et al.</w:t>
      </w:r>
      <w:r w:rsidRPr="00CA07AB">
        <w:rPr>
          <w:rFonts w:ascii="Times New Roman" w:hAnsi="Times New Roman" w:cs="Times New Roman"/>
        </w:rPr>
        <w:t>, 2021). Case-packs, planograms, and delivery windows are informed by ABC and cost-to-serve, which reveal logistics and in-store handling drivers (Blocher, Stout and Juras, 2022). Rolling, driver-based forecasting and budgeting absorb external shocks from commodities, energy, and salaries while converting strategy into manageable actions (Drury, 2022).</w:t>
      </w:r>
      <w:r w:rsidR="003E7839" w:rsidRPr="00CA07AB">
        <w:rPr>
          <w:rFonts w:ascii="Times New Roman" w:hAnsi="Times New Roman" w:cs="Times New Roman"/>
        </w:rPr>
        <w:t xml:space="preserve"> </w:t>
      </w:r>
      <w:r w:rsidRPr="00CA07AB">
        <w:rPr>
          <w:rFonts w:ascii="Times New Roman" w:hAnsi="Times New Roman" w:cs="Times New Roman"/>
        </w:rPr>
        <w:t>Frontline execution is linked to results through a balanced portfolio of KPIs, including labour productivity, OSA, inventory turns, shrink, margin, LFL, and customer happiness (Merchant and Van der Stede, 2021). Ethical approaches safeguard supplier viability, worker welfare, and consumer trust; sustainability integrates through investment evaluation and responsibility accounting, coordinating energy/waste reductions with OpEx savings and risk mitigation (Zimmerman, 2022).</w:t>
      </w:r>
    </w:p>
    <w:p w14:paraId="4B8F0B85" w14:textId="77777777" w:rsidR="00B0426E" w:rsidRDefault="00B0426E" w:rsidP="00CA07AB">
      <w:pPr>
        <w:spacing w:line="360" w:lineRule="auto"/>
        <w:jc w:val="both"/>
        <w:rPr>
          <w:rFonts w:ascii="Times New Roman" w:hAnsi="Times New Roman" w:cs="Times New Roman"/>
        </w:rPr>
      </w:pPr>
    </w:p>
    <w:p w14:paraId="5FE10BD4" w14:textId="77777777" w:rsidR="00B0426E" w:rsidRPr="00CA07AB" w:rsidRDefault="00B0426E" w:rsidP="00CA07AB">
      <w:pPr>
        <w:spacing w:line="360" w:lineRule="auto"/>
        <w:jc w:val="both"/>
        <w:rPr>
          <w:rFonts w:ascii="Times New Roman" w:hAnsi="Times New Roman" w:cs="Times New Roman"/>
        </w:rPr>
      </w:pPr>
    </w:p>
    <w:p w14:paraId="2ED7BCAC" w14:textId="2F4E3049" w:rsidR="003E7839" w:rsidRPr="00CA07AB" w:rsidRDefault="003E7839" w:rsidP="00CA07AB">
      <w:pPr>
        <w:spacing w:line="360" w:lineRule="auto"/>
        <w:jc w:val="both"/>
        <w:rPr>
          <w:rFonts w:ascii="Times New Roman" w:hAnsi="Times New Roman" w:cs="Times New Roman"/>
        </w:rPr>
      </w:pPr>
      <w:r w:rsidRPr="00CA07AB">
        <w:rPr>
          <w:rFonts w:ascii="Times New Roman" w:hAnsi="Times New Roman" w:cs="Times New Roman"/>
        </w:rPr>
        <w:lastRenderedPageBreak/>
        <w:t>Recommendations</w:t>
      </w:r>
    </w:p>
    <w:p w14:paraId="73B5DF31" w14:textId="7A22B094" w:rsidR="00C11CEC" w:rsidRPr="00CA07AB" w:rsidRDefault="00C11CEC" w:rsidP="00CA07AB">
      <w:pPr>
        <w:spacing w:line="360" w:lineRule="auto"/>
        <w:jc w:val="both"/>
        <w:rPr>
          <w:rFonts w:ascii="Times New Roman" w:hAnsi="Times New Roman" w:cs="Times New Roman"/>
        </w:rPr>
      </w:pPr>
      <w:r w:rsidRPr="00CA07AB">
        <w:rPr>
          <w:rFonts w:ascii="Times New Roman" w:hAnsi="Times New Roman" w:cs="Times New Roman"/>
        </w:rPr>
        <w:t>Establish weekly exception reviews and SKU-level cost-to-serve dashboards in S&amp;OP/S&amp;FP to modify case-packs, planograms, and delivery windows, increasing contribution per meter while decreasing touches and shrink (Blocher</w:t>
      </w:r>
      <w:r w:rsidR="00F86108">
        <w:rPr>
          <w:rFonts w:ascii="Times New Roman" w:hAnsi="Times New Roman" w:cs="Times New Roman"/>
        </w:rPr>
        <w:t xml:space="preserve"> et al.</w:t>
      </w:r>
      <w:r w:rsidRPr="00CA07AB">
        <w:rPr>
          <w:rFonts w:ascii="Times New Roman" w:hAnsi="Times New Roman" w:cs="Times New Roman"/>
        </w:rPr>
        <w:t>, 2022).</w:t>
      </w:r>
    </w:p>
    <w:p w14:paraId="5BF6E39D" w14:textId="70BBA8BC" w:rsidR="00C11CEC" w:rsidRPr="00CA07AB" w:rsidRDefault="00C11CEC" w:rsidP="00CA07AB">
      <w:pPr>
        <w:spacing w:line="360" w:lineRule="auto"/>
        <w:jc w:val="both"/>
        <w:rPr>
          <w:rFonts w:ascii="Times New Roman" w:hAnsi="Times New Roman" w:cs="Times New Roman"/>
        </w:rPr>
      </w:pPr>
      <w:r w:rsidRPr="00CA07AB">
        <w:rPr>
          <w:rFonts w:ascii="Times New Roman" w:hAnsi="Times New Roman" w:cs="Times New Roman"/>
        </w:rPr>
        <w:t>Define trigger points for price actions, promo cadence, and labour scheduling; link to working-capital targets; and extend rolling projections to 12–18 months with clear wage, energy, and commodity drivers (Alexander, 2021).</w:t>
      </w:r>
    </w:p>
    <w:p w14:paraId="0045AF4E" w14:textId="57E14A2A" w:rsidR="003E7839" w:rsidRPr="00CA07AB" w:rsidRDefault="00C11CEC" w:rsidP="00CA07AB">
      <w:pPr>
        <w:spacing w:line="360" w:lineRule="auto"/>
        <w:jc w:val="both"/>
        <w:rPr>
          <w:rFonts w:ascii="Times New Roman" w:hAnsi="Times New Roman" w:cs="Times New Roman"/>
        </w:rPr>
      </w:pPr>
      <w:r w:rsidRPr="00CA07AB">
        <w:rPr>
          <w:rFonts w:ascii="Times New Roman" w:hAnsi="Times New Roman" w:cs="Times New Roman"/>
        </w:rPr>
        <w:t>Prioritize projects with dual EBIT–emissions paybacks, as demonstrated by the NPV example; include ethical sourcing and safe staffing standards in responsibility centre objectives; and mandate shadow carbon pricing and sustainability KPIs in all business cases and bonus plans (Unerman,</w:t>
      </w:r>
      <w:r w:rsidR="00F86108">
        <w:rPr>
          <w:rFonts w:ascii="Times New Roman" w:hAnsi="Times New Roman" w:cs="Times New Roman"/>
        </w:rPr>
        <w:t xml:space="preserve"> et al.,</w:t>
      </w:r>
      <w:r w:rsidRPr="00CA07AB">
        <w:rPr>
          <w:rFonts w:ascii="Times New Roman" w:hAnsi="Times New Roman" w:cs="Times New Roman"/>
        </w:rPr>
        <w:t xml:space="preserve"> 2021).</w:t>
      </w:r>
    </w:p>
    <w:p w14:paraId="1AFDEAF1" w14:textId="77777777" w:rsidR="00CA07AB" w:rsidRPr="00CA07AB" w:rsidRDefault="00CA07AB" w:rsidP="00CA07AB">
      <w:pPr>
        <w:spacing w:line="360" w:lineRule="auto"/>
        <w:jc w:val="both"/>
        <w:rPr>
          <w:rFonts w:ascii="Times New Roman" w:hAnsi="Times New Roman" w:cs="Times New Roman"/>
        </w:rPr>
      </w:pPr>
    </w:p>
    <w:p w14:paraId="7B66BD40" w14:textId="77777777" w:rsidR="00CA07AB" w:rsidRPr="00CA07AB" w:rsidRDefault="00CA07AB" w:rsidP="00CA07AB">
      <w:pPr>
        <w:spacing w:line="360" w:lineRule="auto"/>
        <w:jc w:val="both"/>
        <w:rPr>
          <w:rFonts w:ascii="Times New Roman" w:hAnsi="Times New Roman" w:cs="Times New Roman"/>
        </w:rPr>
      </w:pPr>
    </w:p>
    <w:p w14:paraId="0BC2A18C" w14:textId="77777777" w:rsidR="00CA07AB" w:rsidRPr="00CA07AB" w:rsidRDefault="00CA07AB" w:rsidP="00CA07AB">
      <w:pPr>
        <w:spacing w:line="360" w:lineRule="auto"/>
        <w:jc w:val="both"/>
        <w:rPr>
          <w:rFonts w:ascii="Times New Roman" w:hAnsi="Times New Roman" w:cs="Times New Roman"/>
        </w:rPr>
      </w:pPr>
    </w:p>
    <w:p w14:paraId="7FB80C5A" w14:textId="77777777" w:rsidR="00CA07AB" w:rsidRPr="00CA07AB" w:rsidRDefault="00CA07AB" w:rsidP="00CA07AB">
      <w:pPr>
        <w:spacing w:line="360" w:lineRule="auto"/>
        <w:jc w:val="both"/>
        <w:rPr>
          <w:rFonts w:ascii="Times New Roman" w:hAnsi="Times New Roman" w:cs="Times New Roman"/>
        </w:rPr>
      </w:pPr>
    </w:p>
    <w:p w14:paraId="00400DF6" w14:textId="77777777" w:rsidR="00CA07AB" w:rsidRPr="00CA07AB" w:rsidRDefault="00CA07AB" w:rsidP="00CA07AB">
      <w:pPr>
        <w:spacing w:line="360" w:lineRule="auto"/>
        <w:jc w:val="both"/>
        <w:rPr>
          <w:rFonts w:ascii="Times New Roman" w:hAnsi="Times New Roman" w:cs="Times New Roman"/>
        </w:rPr>
      </w:pPr>
    </w:p>
    <w:p w14:paraId="1754822B" w14:textId="77777777" w:rsidR="00CA07AB" w:rsidRDefault="00CA07AB" w:rsidP="00CA07AB">
      <w:pPr>
        <w:spacing w:line="360" w:lineRule="auto"/>
        <w:jc w:val="both"/>
        <w:rPr>
          <w:rFonts w:ascii="Times New Roman" w:hAnsi="Times New Roman" w:cs="Times New Roman"/>
        </w:rPr>
      </w:pPr>
    </w:p>
    <w:p w14:paraId="0B296715" w14:textId="77777777" w:rsidR="00F86108" w:rsidRDefault="00F86108" w:rsidP="00CA07AB">
      <w:pPr>
        <w:spacing w:line="360" w:lineRule="auto"/>
        <w:jc w:val="both"/>
        <w:rPr>
          <w:rFonts w:ascii="Times New Roman" w:hAnsi="Times New Roman" w:cs="Times New Roman"/>
        </w:rPr>
      </w:pPr>
    </w:p>
    <w:p w14:paraId="34E11C4C" w14:textId="77777777" w:rsidR="00F86108" w:rsidRDefault="00F86108" w:rsidP="00CA07AB">
      <w:pPr>
        <w:spacing w:line="360" w:lineRule="auto"/>
        <w:jc w:val="both"/>
        <w:rPr>
          <w:rFonts w:ascii="Times New Roman" w:hAnsi="Times New Roman" w:cs="Times New Roman"/>
        </w:rPr>
      </w:pPr>
    </w:p>
    <w:p w14:paraId="24ECA365" w14:textId="77777777" w:rsidR="00F86108" w:rsidRDefault="00F86108" w:rsidP="00CA07AB">
      <w:pPr>
        <w:spacing w:line="360" w:lineRule="auto"/>
        <w:jc w:val="both"/>
        <w:rPr>
          <w:rFonts w:ascii="Times New Roman" w:hAnsi="Times New Roman" w:cs="Times New Roman"/>
        </w:rPr>
      </w:pPr>
    </w:p>
    <w:p w14:paraId="34EAD0E6" w14:textId="77777777" w:rsidR="00CA07AB" w:rsidRDefault="00CA07AB" w:rsidP="00CA07AB">
      <w:pPr>
        <w:spacing w:line="360" w:lineRule="auto"/>
        <w:jc w:val="both"/>
        <w:rPr>
          <w:rFonts w:ascii="Times New Roman" w:hAnsi="Times New Roman" w:cs="Times New Roman"/>
        </w:rPr>
      </w:pPr>
    </w:p>
    <w:p w14:paraId="5AB3441E" w14:textId="77777777" w:rsidR="001E4444" w:rsidRDefault="001E4444" w:rsidP="00CA07AB">
      <w:pPr>
        <w:spacing w:line="360" w:lineRule="auto"/>
        <w:jc w:val="both"/>
        <w:rPr>
          <w:rFonts w:ascii="Times New Roman" w:hAnsi="Times New Roman" w:cs="Times New Roman"/>
        </w:rPr>
      </w:pPr>
    </w:p>
    <w:p w14:paraId="1B3E2D66" w14:textId="77777777" w:rsidR="00B0426E" w:rsidRDefault="00B0426E" w:rsidP="00CA07AB">
      <w:pPr>
        <w:spacing w:line="360" w:lineRule="auto"/>
        <w:jc w:val="both"/>
        <w:rPr>
          <w:rFonts w:ascii="Times New Roman" w:hAnsi="Times New Roman" w:cs="Times New Roman"/>
        </w:rPr>
      </w:pPr>
    </w:p>
    <w:p w14:paraId="795C5879" w14:textId="77777777" w:rsidR="00B0426E" w:rsidRDefault="00B0426E" w:rsidP="00CA07AB">
      <w:pPr>
        <w:spacing w:line="360" w:lineRule="auto"/>
        <w:jc w:val="both"/>
        <w:rPr>
          <w:rFonts w:ascii="Times New Roman" w:hAnsi="Times New Roman" w:cs="Times New Roman"/>
        </w:rPr>
      </w:pPr>
    </w:p>
    <w:p w14:paraId="30D68070" w14:textId="77777777" w:rsidR="00B0426E" w:rsidRDefault="00B0426E" w:rsidP="00CA07AB">
      <w:pPr>
        <w:spacing w:line="360" w:lineRule="auto"/>
        <w:jc w:val="both"/>
        <w:rPr>
          <w:rFonts w:ascii="Times New Roman" w:hAnsi="Times New Roman" w:cs="Times New Roman"/>
        </w:rPr>
      </w:pPr>
    </w:p>
    <w:p w14:paraId="0F7C8AFC" w14:textId="77777777" w:rsidR="00B0426E" w:rsidRDefault="00B0426E" w:rsidP="00CA07AB">
      <w:pPr>
        <w:spacing w:line="360" w:lineRule="auto"/>
        <w:jc w:val="both"/>
        <w:rPr>
          <w:rFonts w:ascii="Times New Roman" w:hAnsi="Times New Roman" w:cs="Times New Roman"/>
        </w:rPr>
      </w:pPr>
    </w:p>
    <w:p w14:paraId="31AC7013" w14:textId="77777777" w:rsidR="00B0426E" w:rsidRPr="00CA07AB" w:rsidRDefault="00B0426E" w:rsidP="00CA07AB">
      <w:pPr>
        <w:spacing w:line="360" w:lineRule="auto"/>
        <w:jc w:val="both"/>
        <w:rPr>
          <w:rFonts w:ascii="Times New Roman" w:hAnsi="Times New Roman" w:cs="Times New Roman"/>
        </w:rPr>
      </w:pPr>
    </w:p>
    <w:bookmarkStart w:id="6" w:name="_Toc222896445" w:displacedByCustomXml="next"/>
    <w:sdt>
      <w:sdtPr>
        <w:rPr>
          <w:rFonts w:ascii="Times New Roman" w:hAnsi="Times New Roman" w:cs="Times New Roman"/>
        </w:rPr>
        <w:id w:val="1650171652"/>
        <w:docPartObj>
          <w:docPartGallery w:val="Bibliographies"/>
          <w:docPartUnique/>
        </w:docPartObj>
      </w:sdtPr>
      <w:sdtEndPr>
        <w:rPr>
          <w:rFonts w:eastAsiaTheme="minorHAnsi"/>
          <w:color w:val="auto"/>
        </w:rPr>
      </w:sdtEndPr>
      <w:sdtContent>
        <w:p w14:paraId="3CB1D4F2" w14:textId="2BED9FCB" w:rsidR="00C11CEC" w:rsidRDefault="00C11CEC" w:rsidP="00B0426E">
          <w:pPr>
            <w:pStyle w:val="Heading7"/>
            <w:numPr>
              <w:ilvl w:val="0"/>
              <w:numId w:val="1"/>
            </w:numPr>
            <w:jc w:val="both"/>
            <w:rPr>
              <w:rFonts w:ascii="Times New Roman" w:hAnsi="Times New Roman" w:cs="Times New Roman"/>
              <w:color w:val="000000" w:themeColor="text1"/>
            </w:rPr>
          </w:pPr>
          <w:r w:rsidRPr="00B0426E">
            <w:rPr>
              <w:rFonts w:ascii="Times New Roman" w:hAnsi="Times New Roman" w:cs="Times New Roman"/>
              <w:color w:val="000000" w:themeColor="text1"/>
            </w:rPr>
            <w:t>References</w:t>
          </w:r>
          <w:bookmarkEnd w:id="6"/>
        </w:p>
        <w:p w14:paraId="2E6D1D1D" w14:textId="77777777" w:rsidR="00B0426E" w:rsidRPr="00B0426E" w:rsidRDefault="00B0426E" w:rsidP="00B0426E">
          <w:pPr>
            <w:jc w:val="both"/>
          </w:pPr>
        </w:p>
        <w:sdt>
          <w:sdtPr>
            <w:rPr>
              <w:rFonts w:ascii="Times New Roman" w:hAnsi="Times New Roman" w:cs="Times New Roman"/>
            </w:rPr>
            <w:id w:val="-573587230"/>
            <w:bibliography/>
          </w:sdtPr>
          <w:sdtContent>
            <w:p w14:paraId="358AFB0D"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Alexander, J., 2021. Financial Planning &amp; Analysis and Performance Management. 2nd ed. Hoboken: Wiley.</w:t>
              </w:r>
            </w:p>
            <w:p w14:paraId="2FCDEFA6"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Atrill, P. and McLaney, E., 2022. Management Accounting for Decision Makers. 10th ed. Harlow: Pearson.</w:t>
              </w:r>
            </w:p>
            <w:p w14:paraId="0A6F898D"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 xml:space="preserve">Bhimani, A., Gosselin, M., Ncube, M. and </w:t>
              </w:r>
              <w:proofErr w:type="spellStart"/>
              <w:r w:rsidRPr="00CA07AB">
                <w:rPr>
                  <w:rFonts w:ascii="Times New Roman" w:hAnsi="Times New Roman" w:cs="Times New Roman"/>
                </w:rPr>
                <w:t>Raiborn</w:t>
              </w:r>
              <w:proofErr w:type="spellEnd"/>
              <w:r w:rsidRPr="00CA07AB">
                <w:rPr>
                  <w:rFonts w:ascii="Times New Roman" w:hAnsi="Times New Roman" w:cs="Times New Roman"/>
                </w:rPr>
                <w:t>, C., 2023. Management and Cost Accounting. 8th ed. Harlow: Pearson.</w:t>
              </w:r>
            </w:p>
            <w:p w14:paraId="73FC9C51"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Blocher, E., Stout, D. and Juras, P., 2022. Cost Management: A Strategic Emphasis. 9th ed. New York: McGraw-Hill.</w:t>
              </w:r>
            </w:p>
            <w:p w14:paraId="3D05D52C"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Chopra, S. and Meindl, P., 2024. Supply Chain Management: Strategy, Planning, and Operation. 8th ed. Harlow: Pearson.</w:t>
              </w:r>
            </w:p>
            <w:p w14:paraId="23CFDBAB"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Collier, P.M., 2023. Accounting for Managers. 7th ed. Harlow: Pearson.</w:t>
              </w:r>
            </w:p>
            <w:p w14:paraId="782AEB10"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Datar, S.M. and Rajan, M.V., 2021. Horngren’s Cost Accounting: A Managerial Emphasis. 17th ed. Harlow: Pearson.</w:t>
              </w:r>
            </w:p>
            <w:p w14:paraId="2188AAA4"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Drury, C., 2022. Management and Cost Accounting. 12th ed. Andover: Cengage.</w:t>
              </w:r>
            </w:p>
            <w:p w14:paraId="130729BA"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Garrison, R.H., Noreen, E.W. and Brewer, P.C., 2021. Managerial Accounting. 17th ed. New York: McGraw-Hill.</w:t>
              </w:r>
            </w:p>
            <w:p w14:paraId="14D87760"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Levy, M. and Grewal, D., 2022. Retailing Management. 10th ed. New York: McGraw-Hill.</w:t>
              </w:r>
            </w:p>
            <w:p w14:paraId="4F685732"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Merchant, K.A. and Van der Stede, W.A., 2021. Management Control Systems. 5th ed. Harlow: Pearson.</w:t>
              </w:r>
            </w:p>
            <w:p w14:paraId="70E5F147"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Nagle, T., Hogan, J. and Zale, J., 2023. The Strategy and Tactics of Pricing. 7th ed. New York: Routledge.</w:t>
              </w:r>
            </w:p>
            <w:p w14:paraId="40662203"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Slack, N. and Brandon-Jones, A., 2022. Operations Management. 11th ed. Harlow: Pearson.</w:t>
              </w:r>
            </w:p>
            <w:p w14:paraId="29339240" w14:textId="77777777"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t>Unerman, J., Bebbington, J. and O’Dwyer, B., 2021. Sustainability Accounting and Accountability. 4th ed. Abingdon: Routledge.</w:t>
              </w:r>
            </w:p>
            <w:p w14:paraId="6CAC681B" w14:textId="3A7E6DD4" w:rsidR="00C11CEC" w:rsidRPr="00CA07AB" w:rsidRDefault="00C11CEC" w:rsidP="00B0426E">
              <w:pPr>
                <w:spacing w:line="360" w:lineRule="auto"/>
                <w:jc w:val="both"/>
                <w:rPr>
                  <w:rFonts w:ascii="Times New Roman" w:hAnsi="Times New Roman" w:cs="Times New Roman"/>
                </w:rPr>
              </w:pPr>
              <w:r w:rsidRPr="00CA07AB">
                <w:rPr>
                  <w:rFonts w:ascii="Times New Roman" w:hAnsi="Times New Roman" w:cs="Times New Roman"/>
                </w:rPr>
                <w:lastRenderedPageBreak/>
                <w:t>Zimmerman, J.L., 2022. Accounting for Decision Making and Control. 10th ed. New York: McGraw-Hill.</w:t>
              </w:r>
            </w:p>
            <w:p w14:paraId="2E23B6D5" w14:textId="28AB0ABE" w:rsidR="003E7839" w:rsidRPr="00CA07AB" w:rsidRDefault="00000000" w:rsidP="00B0426E">
              <w:pPr>
                <w:spacing w:line="360" w:lineRule="auto"/>
                <w:jc w:val="both"/>
                <w:rPr>
                  <w:rFonts w:ascii="Times New Roman" w:hAnsi="Times New Roman" w:cs="Times New Roman"/>
                </w:rPr>
                <w:sectPr w:rsidR="003E7839" w:rsidRPr="00CA07AB">
                  <w:pgSz w:w="11906" w:h="16838"/>
                  <w:pgMar w:top="1440" w:right="1440" w:bottom="1440" w:left="1440" w:header="708" w:footer="708" w:gutter="0"/>
                  <w:cols w:space="708"/>
                  <w:docGrid w:linePitch="360"/>
                </w:sectPr>
              </w:pPr>
            </w:p>
          </w:sdtContent>
        </w:sdt>
      </w:sdtContent>
    </w:sdt>
    <w:p w14:paraId="441F00A0" w14:textId="77777777" w:rsidR="003E7839" w:rsidRPr="003E7839" w:rsidRDefault="003E7839" w:rsidP="00CA07AB"/>
    <w:sectPr w:rsidR="003E7839" w:rsidRPr="003E7839" w:rsidSect="003E78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1FB36" w14:textId="77777777" w:rsidR="00492E0C" w:rsidRDefault="00492E0C" w:rsidP="00CA07AB">
      <w:pPr>
        <w:spacing w:after="0" w:line="240" w:lineRule="auto"/>
      </w:pPr>
      <w:r>
        <w:separator/>
      </w:r>
    </w:p>
  </w:endnote>
  <w:endnote w:type="continuationSeparator" w:id="0">
    <w:p w14:paraId="0EFF84EF" w14:textId="77777777" w:rsidR="00492E0C" w:rsidRDefault="00492E0C" w:rsidP="00CA0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56C41" w14:textId="77777777" w:rsidR="00492E0C" w:rsidRDefault="00492E0C" w:rsidP="00CA07AB">
      <w:pPr>
        <w:spacing w:after="0" w:line="240" w:lineRule="auto"/>
      </w:pPr>
      <w:r>
        <w:separator/>
      </w:r>
    </w:p>
  </w:footnote>
  <w:footnote w:type="continuationSeparator" w:id="0">
    <w:p w14:paraId="148DB049" w14:textId="77777777" w:rsidR="00492E0C" w:rsidRDefault="00492E0C" w:rsidP="00CA07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3A1E6A"/>
    <w:multiLevelType w:val="hybridMultilevel"/>
    <w:tmpl w:val="448C3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696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839"/>
    <w:rsid w:val="001E4444"/>
    <w:rsid w:val="00295DC3"/>
    <w:rsid w:val="003E7839"/>
    <w:rsid w:val="00492E0C"/>
    <w:rsid w:val="0053611F"/>
    <w:rsid w:val="005F539F"/>
    <w:rsid w:val="006E7F50"/>
    <w:rsid w:val="006F574A"/>
    <w:rsid w:val="007D057E"/>
    <w:rsid w:val="00864C75"/>
    <w:rsid w:val="008E548E"/>
    <w:rsid w:val="008F13F2"/>
    <w:rsid w:val="00A672E8"/>
    <w:rsid w:val="00B0426E"/>
    <w:rsid w:val="00C11CEC"/>
    <w:rsid w:val="00CA07AB"/>
    <w:rsid w:val="00D157A6"/>
    <w:rsid w:val="00D74CD3"/>
    <w:rsid w:val="00EE3105"/>
    <w:rsid w:val="00F86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B196B"/>
  <w15:chartTrackingRefBased/>
  <w15:docId w15:val="{B1ACE70A-E54E-46CB-B764-AF6483CF3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8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8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8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8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8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8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8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8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8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8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8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8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8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8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8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8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8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839"/>
    <w:rPr>
      <w:rFonts w:eastAsiaTheme="majorEastAsia" w:cstheme="majorBidi"/>
      <w:color w:val="272727" w:themeColor="text1" w:themeTint="D8"/>
    </w:rPr>
  </w:style>
  <w:style w:type="paragraph" w:styleId="Title">
    <w:name w:val="Title"/>
    <w:basedOn w:val="Normal"/>
    <w:next w:val="Normal"/>
    <w:link w:val="TitleChar"/>
    <w:uiPriority w:val="10"/>
    <w:qFormat/>
    <w:rsid w:val="003E7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8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8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8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839"/>
    <w:pPr>
      <w:spacing w:before="160"/>
      <w:jc w:val="center"/>
    </w:pPr>
    <w:rPr>
      <w:i/>
      <w:iCs/>
      <w:color w:val="404040" w:themeColor="text1" w:themeTint="BF"/>
    </w:rPr>
  </w:style>
  <w:style w:type="character" w:customStyle="1" w:styleId="QuoteChar">
    <w:name w:val="Quote Char"/>
    <w:basedOn w:val="DefaultParagraphFont"/>
    <w:link w:val="Quote"/>
    <w:uiPriority w:val="29"/>
    <w:rsid w:val="003E7839"/>
    <w:rPr>
      <w:i/>
      <w:iCs/>
      <w:color w:val="404040" w:themeColor="text1" w:themeTint="BF"/>
    </w:rPr>
  </w:style>
  <w:style w:type="paragraph" w:styleId="ListParagraph">
    <w:name w:val="List Paragraph"/>
    <w:basedOn w:val="Normal"/>
    <w:uiPriority w:val="34"/>
    <w:qFormat/>
    <w:rsid w:val="003E7839"/>
    <w:pPr>
      <w:ind w:left="720"/>
      <w:contextualSpacing/>
    </w:pPr>
  </w:style>
  <w:style w:type="character" w:styleId="IntenseEmphasis">
    <w:name w:val="Intense Emphasis"/>
    <w:basedOn w:val="DefaultParagraphFont"/>
    <w:uiPriority w:val="21"/>
    <w:qFormat/>
    <w:rsid w:val="003E7839"/>
    <w:rPr>
      <w:i/>
      <w:iCs/>
      <w:color w:val="0F4761" w:themeColor="accent1" w:themeShade="BF"/>
    </w:rPr>
  </w:style>
  <w:style w:type="paragraph" w:styleId="IntenseQuote">
    <w:name w:val="Intense Quote"/>
    <w:basedOn w:val="Normal"/>
    <w:next w:val="Normal"/>
    <w:link w:val="IntenseQuoteChar"/>
    <w:uiPriority w:val="30"/>
    <w:qFormat/>
    <w:rsid w:val="003E78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839"/>
    <w:rPr>
      <w:i/>
      <w:iCs/>
      <w:color w:val="0F4761" w:themeColor="accent1" w:themeShade="BF"/>
    </w:rPr>
  </w:style>
  <w:style w:type="character" w:styleId="IntenseReference">
    <w:name w:val="Intense Reference"/>
    <w:basedOn w:val="DefaultParagraphFont"/>
    <w:uiPriority w:val="32"/>
    <w:qFormat/>
    <w:rsid w:val="003E7839"/>
    <w:rPr>
      <w:b/>
      <w:bCs/>
      <w:smallCaps/>
      <w:color w:val="0F4761" w:themeColor="accent1" w:themeShade="BF"/>
      <w:spacing w:val="5"/>
    </w:rPr>
  </w:style>
  <w:style w:type="paragraph" w:styleId="TOC1">
    <w:name w:val="toc 1"/>
    <w:basedOn w:val="Normal"/>
    <w:next w:val="Normal"/>
    <w:autoRedefine/>
    <w:uiPriority w:val="39"/>
    <w:unhideWhenUsed/>
    <w:rsid w:val="003E7839"/>
    <w:pPr>
      <w:spacing w:after="100"/>
    </w:pPr>
  </w:style>
  <w:style w:type="character" w:styleId="Hyperlink">
    <w:name w:val="Hyperlink"/>
    <w:basedOn w:val="DefaultParagraphFont"/>
    <w:uiPriority w:val="99"/>
    <w:unhideWhenUsed/>
    <w:rsid w:val="003E7839"/>
    <w:rPr>
      <w:color w:val="467886" w:themeColor="hyperlink"/>
      <w:u w:val="single"/>
    </w:rPr>
  </w:style>
  <w:style w:type="paragraph" w:styleId="TOC2">
    <w:name w:val="toc 2"/>
    <w:basedOn w:val="Normal"/>
    <w:next w:val="Normal"/>
    <w:autoRedefine/>
    <w:uiPriority w:val="39"/>
    <w:unhideWhenUsed/>
    <w:rsid w:val="008F13F2"/>
    <w:pPr>
      <w:spacing w:after="100"/>
      <w:ind w:left="240"/>
    </w:pPr>
  </w:style>
  <w:style w:type="table" w:styleId="TableGrid">
    <w:name w:val="Table Grid"/>
    <w:basedOn w:val="TableNormal"/>
    <w:uiPriority w:val="39"/>
    <w:rsid w:val="00D15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F539F"/>
    <w:pPr>
      <w:spacing w:after="100"/>
      <w:ind w:left="480"/>
    </w:pPr>
  </w:style>
  <w:style w:type="paragraph" w:styleId="TOC4">
    <w:name w:val="toc 4"/>
    <w:basedOn w:val="Normal"/>
    <w:next w:val="Normal"/>
    <w:autoRedefine/>
    <w:uiPriority w:val="39"/>
    <w:unhideWhenUsed/>
    <w:rsid w:val="00295DC3"/>
    <w:pPr>
      <w:spacing w:after="100"/>
      <w:ind w:left="720"/>
    </w:pPr>
  </w:style>
  <w:style w:type="paragraph" w:styleId="TOC5">
    <w:name w:val="toc 5"/>
    <w:basedOn w:val="Normal"/>
    <w:next w:val="Normal"/>
    <w:autoRedefine/>
    <w:uiPriority w:val="39"/>
    <w:unhideWhenUsed/>
    <w:rsid w:val="00D74CD3"/>
    <w:pPr>
      <w:spacing w:after="100"/>
      <w:ind w:left="960"/>
    </w:pPr>
  </w:style>
  <w:style w:type="paragraph" w:styleId="TOC6">
    <w:name w:val="toc 6"/>
    <w:basedOn w:val="Normal"/>
    <w:next w:val="Normal"/>
    <w:autoRedefine/>
    <w:uiPriority w:val="39"/>
    <w:unhideWhenUsed/>
    <w:rsid w:val="00C11CEC"/>
    <w:pPr>
      <w:spacing w:after="100"/>
      <w:ind w:left="1200"/>
    </w:pPr>
  </w:style>
  <w:style w:type="paragraph" w:styleId="TOC7">
    <w:name w:val="toc 7"/>
    <w:basedOn w:val="Normal"/>
    <w:next w:val="Normal"/>
    <w:autoRedefine/>
    <w:uiPriority w:val="39"/>
    <w:unhideWhenUsed/>
    <w:rsid w:val="00C11CEC"/>
    <w:pPr>
      <w:spacing w:after="100"/>
      <w:ind w:left="1440"/>
    </w:pPr>
  </w:style>
  <w:style w:type="paragraph" w:styleId="Header">
    <w:name w:val="header"/>
    <w:basedOn w:val="Normal"/>
    <w:link w:val="HeaderChar"/>
    <w:uiPriority w:val="99"/>
    <w:unhideWhenUsed/>
    <w:rsid w:val="00CA0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7AB"/>
  </w:style>
  <w:style w:type="paragraph" w:styleId="Footer">
    <w:name w:val="footer"/>
    <w:basedOn w:val="Normal"/>
    <w:link w:val="FooterChar"/>
    <w:uiPriority w:val="99"/>
    <w:unhideWhenUsed/>
    <w:rsid w:val="00CA0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BA8F6B-C49A-4AAD-95BD-CF1D4DCE2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11</Pages>
  <Words>2200</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2</cp:revision>
  <dcterms:created xsi:type="dcterms:W3CDTF">2026-02-14T08:09:00Z</dcterms:created>
  <dcterms:modified xsi:type="dcterms:W3CDTF">2026-02-25T07:21:00Z</dcterms:modified>
</cp:coreProperties>
</file>