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79D67" w14:textId="77777777" w:rsidR="00833470" w:rsidRPr="00074402" w:rsidRDefault="00833470" w:rsidP="00833470">
      <w:pPr>
        <w:spacing w:line="360" w:lineRule="auto"/>
        <w:rPr>
          <w:rFonts w:ascii="Arial" w:hAnsi="Arial" w:cs="Arial"/>
          <w:szCs w:val="24"/>
        </w:rPr>
      </w:pPr>
      <w:bookmarkStart w:id="0" w:name="_GoBack"/>
      <w:r w:rsidRPr="00074402">
        <w:rPr>
          <w:rFonts w:ascii="Arial" w:hAnsi="Arial" w:cs="Arial"/>
          <w:noProof/>
          <w:szCs w:val="24"/>
          <w:lang w:eastAsia="en-GB"/>
        </w:rPr>
        <w:drawing>
          <wp:anchor distT="0" distB="0" distL="114300" distR="114300" simplePos="0" relativeHeight="251677696" behindDoc="0" locked="0" layoutInCell="1" allowOverlap="1" wp14:anchorId="060D49BE" wp14:editId="1320E4D1">
            <wp:simplePos x="0" y="0"/>
            <wp:positionH relativeFrom="margin">
              <wp:posOffset>1089498</wp:posOffset>
            </wp:positionH>
            <wp:positionV relativeFrom="paragraph">
              <wp:posOffset>271</wp:posOffset>
            </wp:positionV>
            <wp:extent cx="3014980" cy="1082675"/>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14980" cy="10826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B6C7E16" w:rsidR="00833470" w:rsidRPr="00C83A82" w:rsidRDefault="00833470" w:rsidP="00833470">
      <w:pPr>
        <w:tabs>
          <w:tab w:val="left" w:pos="6540"/>
        </w:tabs>
        <w:spacing w:line="360" w:lineRule="auto"/>
        <w:rPr>
          <w:rFonts w:ascii="Arial" w:hAnsi="Arial" w:cs="Arial"/>
          <w:sz w:val="28"/>
          <w:szCs w:val="28"/>
        </w:rPr>
      </w:pPr>
      <w:bookmarkStart w:id="1" w:name="_Hlk119323191"/>
      <w:r w:rsidRPr="00C83A82">
        <w:rPr>
          <w:rFonts w:ascii="Arial" w:hAnsi="Arial" w:cs="Arial"/>
          <w:b/>
          <w:bCs/>
          <w:sz w:val="28"/>
          <w:szCs w:val="28"/>
        </w:rPr>
        <w:t>Student name</w:t>
      </w:r>
      <w:r w:rsidRPr="00C83A82">
        <w:rPr>
          <w:rFonts w:ascii="Arial" w:hAnsi="Arial" w:cs="Arial"/>
          <w:sz w:val="28"/>
          <w:szCs w:val="28"/>
        </w:rPr>
        <w:t xml:space="preserve">: </w:t>
      </w:r>
      <w:proofErr w:type="spellStart"/>
      <w:r w:rsidR="00C572DA" w:rsidRPr="00C572DA">
        <w:rPr>
          <w:rFonts w:ascii="Arial" w:hAnsi="Arial" w:cs="Arial"/>
          <w:sz w:val="28"/>
          <w:szCs w:val="28"/>
        </w:rPr>
        <w:t>Rupa</w:t>
      </w:r>
      <w:proofErr w:type="spellEnd"/>
      <w:r w:rsidR="00C572DA" w:rsidRPr="00C572DA">
        <w:rPr>
          <w:rFonts w:ascii="Arial" w:hAnsi="Arial" w:cs="Arial"/>
          <w:sz w:val="28"/>
          <w:szCs w:val="28"/>
        </w:rPr>
        <w:t xml:space="preserve"> </w:t>
      </w:r>
      <w:proofErr w:type="spellStart"/>
      <w:r w:rsidR="00C572DA" w:rsidRPr="00C572DA">
        <w:rPr>
          <w:rFonts w:ascii="Arial" w:hAnsi="Arial" w:cs="Arial"/>
          <w:sz w:val="28"/>
          <w:szCs w:val="28"/>
        </w:rPr>
        <w:t>Mondal</w:t>
      </w:r>
      <w:proofErr w:type="spellEnd"/>
    </w:p>
    <w:p w14:paraId="476C763A" w14:textId="0BA0CDE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C572DA">
        <w:rPr>
          <w:rFonts w:ascii="Arial" w:hAnsi="Arial" w:cs="Arial"/>
          <w:sz w:val="28"/>
          <w:szCs w:val="28"/>
          <w:lang w:val="nl-NL"/>
        </w:rPr>
        <w:t xml:space="preserve"> </w:t>
      </w:r>
      <w:r w:rsidR="00C572DA" w:rsidRPr="00C572DA">
        <w:rPr>
          <w:rFonts w:ascii="Arial" w:hAnsi="Arial" w:cs="Arial"/>
          <w:sz w:val="28"/>
          <w:szCs w:val="28"/>
          <w:lang w:val="nl-NL"/>
        </w:rPr>
        <w:t>2530821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127856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C572DA" w:rsidRPr="00C572DA">
        <w:rPr>
          <w:rFonts w:ascii="Arial" w:hAnsi="Arial" w:cs="Arial"/>
          <w:sz w:val="28"/>
          <w:szCs w:val="28"/>
          <w:lang w:val="nl-NL"/>
        </w:rPr>
        <w:t>Introduction to Health and Social Care</w:t>
      </w:r>
    </w:p>
    <w:p w14:paraId="0009AFB0" w14:textId="088FA5EA"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C572DA">
        <w:rPr>
          <w:rFonts w:ascii="Arial" w:hAnsi="Arial" w:cs="Arial"/>
          <w:sz w:val="28"/>
          <w:szCs w:val="28"/>
        </w:rPr>
        <w:t xml:space="preserve"> </w:t>
      </w:r>
      <w:r w:rsidR="00C572DA" w:rsidRPr="00C572DA">
        <w:rPr>
          <w:rFonts w:ascii="Arial" w:hAnsi="Arial" w:cs="Arial"/>
          <w:sz w:val="28"/>
          <w:szCs w:val="28"/>
        </w:rPr>
        <w:t>LCHS4003</w:t>
      </w:r>
    </w:p>
    <w:p w14:paraId="0EA5B494" w14:textId="1EBE9F32" w:rsidR="00833470" w:rsidRDefault="00833470" w:rsidP="00C572DA">
      <w:pPr>
        <w:rPr>
          <w:rFonts w:ascii="Arial" w:hAnsi="Arial" w:cs="Arial"/>
          <w:sz w:val="28"/>
          <w:szCs w:val="28"/>
        </w:rPr>
      </w:pPr>
      <w:r w:rsidRPr="0020413D">
        <w:rPr>
          <w:rFonts w:ascii="Arial" w:hAnsi="Arial" w:cs="Arial"/>
          <w:b/>
          <w:bCs/>
          <w:sz w:val="28"/>
          <w:szCs w:val="28"/>
        </w:rPr>
        <w:t>Lecturer name</w:t>
      </w:r>
      <w:r w:rsidR="00C572DA">
        <w:t xml:space="preserve">: </w:t>
      </w:r>
      <w:r w:rsidR="00695278" w:rsidRPr="00695278">
        <w:rPr>
          <w:rFonts w:ascii="Helvetica" w:hAnsi="Helvetica"/>
          <w:b/>
          <w:color w:val="242130"/>
          <w:sz w:val="28"/>
          <w:szCs w:val="28"/>
          <w:shd w:val="clear" w:color="auto" w:fill="FFFFFF"/>
        </w:rPr>
        <w:t>Sam Parker</w:t>
      </w:r>
      <w:r w:rsidR="00695278" w:rsidRPr="00C572DA">
        <w:rPr>
          <w:rFonts w:ascii="Arial" w:hAnsi="Arial" w:cs="Arial"/>
          <w:sz w:val="28"/>
          <w:szCs w:val="28"/>
        </w:rPr>
        <w:t xml:space="preserve"> </w:t>
      </w:r>
      <w:r w:rsidR="00C572DA" w:rsidRPr="00C572DA">
        <w:rPr>
          <w:rFonts w:ascii="Arial" w:hAnsi="Arial" w:cs="Arial"/>
          <w:sz w:val="28"/>
          <w:szCs w:val="28"/>
        </w:rPr>
        <w:t>(Module Leader)</w:t>
      </w:r>
    </w:p>
    <w:p w14:paraId="1B796D5F" w14:textId="77777777" w:rsidR="0095414E" w:rsidRDefault="0095414E" w:rsidP="00C572DA">
      <w:pPr>
        <w:rPr>
          <w:rFonts w:ascii="Arial" w:hAnsi="Arial" w:cs="Arial"/>
          <w:sz w:val="28"/>
          <w:szCs w:val="28"/>
        </w:rPr>
      </w:pPr>
    </w:p>
    <w:p w14:paraId="074FF037" w14:textId="77777777" w:rsidR="0095414E" w:rsidRPr="0020413D" w:rsidRDefault="0095414E" w:rsidP="00C572DA"/>
    <w:bookmarkEnd w:id="1"/>
    <w:p w14:paraId="4C479C37" w14:textId="77777777" w:rsidR="0004457F" w:rsidRPr="00E50D06" w:rsidRDefault="0004457F" w:rsidP="0004457F">
      <w:pPr>
        <w:rPr>
          <w:rFonts w:ascii="Arial" w:hAnsi="Arial" w:cs="Arial"/>
          <w:sz w:val="28"/>
          <w:szCs w:val="28"/>
        </w:rPr>
      </w:pPr>
    </w:p>
    <w:p w14:paraId="31E0F5FF" w14:textId="77777777" w:rsidR="00C360E9" w:rsidRDefault="0004457F" w:rsidP="00C360E9">
      <w:pPr>
        <w:spacing w:after="200" w:line="360" w:lineRule="auto"/>
        <w:rPr>
          <w:rFonts w:ascii="Arial" w:hAnsi="Arial" w:cs="Arial"/>
          <w:b/>
          <w:bCs/>
          <w:sz w:val="30"/>
          <w:szCs w:val="30"/>
        </w:rPr>
      </w:pPr>
      <w:r w:rsidRPr="00E50D06">
        <w:rPr>
          <w:rFonts w:ascii="Arial" w:hAnsi="Arial" w:cs="Arial"/>
          <w:b/>
          <w:bCs/>
          <w:sz w:val="30"/>
          <w:szCs w:val="30"/>
        </w:rPr>
        <w:t xml:space="preserve">Task 1: </w:t>
      </w:r>
      <w:r w:rsidRPr="00C360E9">
        <w:rPr>
          <w:rFonts w:ascii="Arial" w:hAnsi="Arial" w:cs="Arial"/>
          <w:b/>
          <w:bCs/>
          <w:iCs/>
          <w:color w:val="000000" w:themeColor="text1"/>
          <w:sz w:val="36"/>
          <w:szCs w:val="36"/>
        </w:rPr>
        <w:t>Pharmacy services</w:t>
      </w:r>
      <w:r w:rsidRPr="00C360E9">
        <w:rPr>
          <w:rFonts w:ascii="Arial" w:hAnsi="Arial" w:cs="Arial"/>
          <w:b/>
          <w:bCs/>
          <w:color w:val="000000" w:themeColor="text1"/>
          <w:sz w:val="30"/>
          <w:szCs w:val="30"/>
        </w:rPr>
        <w:t xml:space="preserve"> </w:t>
      </w:r>
    </w:p>
    <w:p w14:paraId="30C9ECF0" w14:textId="1E4A06EA" w:rsidR="004C44BA" w:rsidRDefault="0004457F" w:rsidP="00C360E9">
      <w:pPr>
        <w:spacing w:after="200" w:line="360" w:lineRule="auto"/>
      </w:pPr>
      <w:r w:rsidRPr="00E50D06">
        <w:rPr>
          <w:rFonts w:ascii="Arial" w:hAnsi="Arial" w:cs="Arial"/>
          <w:b/>
          <w:bCs/>
          <w:sz w:val="30"/>
          <w:szCs w:val="30"/>
        </w:rPr>
        <w:t xml:space="preserve">Task 2: </w:t>
      </w:r>
      <w:r w:rsidR="00C360E9" w:rsidRPr="00C360E9">
        <w:rPr>
          <w:rFonts w:ascii="Arial" w:hAnsi="Arial" w:cs="Arial"/>
          <w:b/>
          <w:sz w:val="36"/>
          <w:szCs w:val="36"/>
        </w:rPr>
        <w:t>Residential care home</w:t>
      </w:r>
      <w:r w:rsidR="00C360E9">
        <w:t xml:space="preserve"> </w:t>
      </w:r>
      <w:r w:rsidR="004C44BA">
        <w:br w:type="page"/>
      </w:r>
    </w:p>
    <w:sdt>
      <w:sdtPr>
        <w:rPr>
          <w:rFonts w:asciiTheme="minorHAnsi" w:eastAsiaTheme="minorEastAsia" w:hAnsiTheme="minorHAnsi" w:cstheme="minorBidi"/>
          <w:color w:val="auto"/>
          <w:sz w:val="22"/>
          <w:szCs w:val="22"/>
          <w:lang w:val="en-GB" w:eastAsia="zh-CN"/>
        </w:rPr>
        <w:id w:val="505327682"/>
        <w:docPartObj>
          <w:docPartGallery w:val="Table of Contents"/>
          <w:docPartUnique/>
        </w:docPartObj>
      </w:sdtPr>
      <w:sdtEndPr>
        <w:rPr>
          <w:b/>
          <w:bCs/>
          <w:noProof/>
        </w:rPr>
      </w:sdtEndPr>
      <w:sdtContent>
        <w:p w14:paraId="4D939378" w14:textId="2F87FD5B" w:rsidR="004C44BA" w:rsidRPr="00D22470" w:rsidRDefault="004C44BA" w:rsidP="00D22470">
          <w:pPr>
            <w:pStyle w:val="TOCHeading"/>
            <w:spacing w:line="360" w:lineRule="auto"/>
            <w:jc w:val="center"/>
            <w:rPr>
              <w:rFonts w:ascii="Arial" w:hAnsi="Arial" w:cs="Arial"/>
              <w:b/>
              <w:bCs/>
              <w:color w:val="000000" w:themeColor="text1"/>
              <w:sz w:val="28"/>
              <w:szCs w:val="28"/>
            </w:rPr>
          </w:pPr>
          <w:r w:rsidRPr="00D22470">
            <w:rPr>
              <w:rFonts w:ascii="Arial" w:hAnsi="Arial" w:cs="Arial"/>
              <w:b/>
              <w:bCs/>
              <w:color w:val="000000" w:themeColor="text1"/>
              <w:sz w:val="28"/>
              <w:szCs w:val="28"/>
            </w:rPr>
            <w:t>Table of Contents</w:t>
          </w:r>
        </w:p>
        <w:p w14:paraId="68FAB199" w14:textId="1DB77A62" w:rsidR="00D22470" w:rsidRPr="00D22470" w:rsidRDefault="004C44BA" w:rsidP="00D22470">
          <w:pPr>
            <w:pStyle w:val="TOC1"/>
            <w:tabs>
              <w:tab w:val="right" w:leader="dot" w:pos="9016"/>
            </w:tabs>
            <w:spacing w:line="360" w:lineRule="auto"/>
            <w:rPr>
              <w:rFonts w:ascii="Arial" w:hAnsi="Arial" w:cs="Arial"/>
              <w:noProof/>
              <w:kern w:val="2"/>
              <w:sz w:val="24"/>
              <w:szCs w:val="24"/>
              <w:lang w:val="en-IN" w:eastAsia="en-IN"/>
              <w14:ligatures w14:val="standardContextual"/>
            </w:rPr>
          </w:pPr>
          <w:r w:rsidRPr="00D22470">
            <w:rPr>
              <w:rFonts w:ascii="Arial" w:hAnsi="Arial" w:cs="Arial"/>
              <w:sz w:val="24"/>
              <w:szCs w:val="24"/>
            </w:rPr>
            <w:fldChar w:fldCharType="begin"/>
          </w:r>
          <w:r w:rsidRPr="00D22470">
            <w:rPr>
              <w:rFonts w:ascii="Arial" w:hAnsi="Arial" w:cs="Arial"/>
              <w:sz w:val="24"/>
              <w:szCs w:val="24"/>
            </w:rPr>
            <w:instrText xml:space="preserve"> TOC \o "1-3" \h \z \u </w:instrText>
          </w:r>
          <w:r w:rsidRPr="00D22470">
            <w:rPr>
              <w:rFonts w:ascii="Arial" w:hAnsi="Arial" w:cs="Arial"/>
              <w:sz w:val="24"/>
              <w:szCs w:val="24"/>
            </w:rPr>
            <w:fldChar w:fldCharType="separate"/>
          </w:r>
          <w:hyperlink w:anchor="_Toc234603144" w:history="1">
            <w:r w:rsidR="00D22470" w:rsidRPr="00D22470">
              <w:rPr>
                <w:rStyle w:val="Hyperlink"/>
                <w:rFonts w:ascii="Arial" w:hAnsi="Arial" w:cs="Arial"/>
                <w:noProof/>
                <w:sz w:val="24"/>
                <w:szCs w:val="24"/>
                <w:lang w:val="en-IN"/>
              </w:rPr>
              <w:t>Task 1: Poster</w:t>
            </w:r>
            <w:r w:rsidR="00D22470" w:rsidRPr="00D22470">
              <w:rPr>
                <w:rFonts w:ascii="Arial" w:hAnsi="Arial" w:cs="Arial"/>
                <w:noProof/>
                <w:webHidden/>
                <w:sz w:val="24"/>
                <w:szCs w:val="24"/>
              </w:rPr>
              <w:tab/>
            </w:r>
            <w:r w:rsidR="00D22470" w:rsidRPr="00D22470">
              <w:rPr>
                <w:rFonts w:ascii="Arial" w:hAnsi="Arial" w:cs="Arial"/>
                <w:noProof/>
                <w:webHidden/>
                <w:sz w:val="24"/>
                <w:szCs w:val="24"/>
              </w:rPr>
              <w:fldChar w:fldCharType="begin"/>
            </w:r>
            <w:r w:rsidR="00D22470" w:rsidRPr="00D22470">
              <w:rPr>
                <w:rFonts w:ascii="Arial" w:hAnsi="Arial" w:cs="Arial"/>
                <w:noProof/>
                <w:webHidden/>
                <w:sz w:val="24"/>
                <w:szCs w:val="24"/>
              </w:rPr>
              <w:instrText xml:space="preserve"> PAGEREF _Toc234603144 \h </w:instrText>
            </w:r>
            <w:r w:rsidR="00D22470" w:rsidRPr="00D22470">
              <w:rPr>
                <w:rFonts w:ascii="Arial" w:hAnsi="Arial" w:cs="Arial"/>
                <w:noProof/>
                <w:webHidden/>
                <w:sz w:val="24"/>
                <w:szCs w:val="24"/>
              </w:rPr>
            </w:r>
            <w:r w:rsidR="00D22470" w:rsidRPr="00D22470">
              <w:rPr>
                <w:rFonts w:ascii="Arial" w:hAnsi="Arial" w:cs="Arial"/>
                <w:noProof/>
                <w:webHidden/>
                <w:sz w:val="24"/>
                <w:szCs w:val="24"/>
              </w:rPr>
              <w:fldChar w:fldCharType="separate"/>
            </w:r>
            <w:r w:rsidR="00D22470" w:rsidRPr="00D22470">
              <w:rPr>
                <w:rFonts w:ascii="Arial" w:hAnsi="Arial" w:cs="Arial"/>
                <w:noProof/>
                <w:webHidden/>
                <w:sz w:val="24"/>
                <w:szCs w:val="24"/>
              </w:rPr>
              <w:t>3</w:t>
            </w:r>
            <w:r w:rsidR="00D22470" w:rsidRPr="00D22470">
              <w:rPr>
                <w:rFonts w:ascii="Arial" w:hAnsi="Arial" w:cs="Arial"/>
                <w:noProof/>
                <w:webHidden/>
                <w:sz w:val="24"/>
                <w:szCs w:val="24"/>
              </w:rPr>
              <w:fldChar w:fldCharType="end"/>
            </w:r>
          </w:hyperlink>
        </w:p>
        <w:p w14:paraId="747C2D72" w14:textId="580E8CD2" w:rsidR="00D22470" w:rsidRPr="00D22470" w:rsidRDefault="007A0F4C" w:rsidP="00D22470">
          <w:pPr>
            <w:pStyle w:val="TOC1"/>
            <w:tabs>
              <w:tab w:val="right" w:leader="dot" w:pos="9016"/>
            </w:tabs>
            <w:spacing w:line="360" w:lineRule="auto"/>
            <w:rPr>
              <w:rFonts w:ascii="Arial" w:hAnsi="Arial" w:cs="Arial"/>
              <w:noProof/>
              <w:kern w:val="2"/>
              <w:sz w:val="24"/>
              <w:szCs w:val="24"/>
              <w:lang w:val="en-IN" w:eastAsia="en-IN"/>
              <w14:ligatures w14:val="standardContextual"/>
            </w:rPr>
          </w:pPr>
          <w:hyperlink w:anchor="_Toc234603145" w:history="1">
            <w:r w:rsidR="00D22470" w:rsidRPr="00D22470">
              <w:rPr>
                <w:rStyle w:val="Hyperlink"/>
                <w:rFonts w:ascii="Arial" w:hAnsi="Arial" w:cs="Arial"/>
                <w:noProof/>
                <w:sz w:val="24"/>
                <w:szCs w:val="24"/>
              </w:rPr>
              <w:t>Task 2: A 600-word Essay: Residential care home</w:t>
            </w:r>
            <w:r w:rsidR="00D22470" w:rsidRPr="00D22470">
              <w:rPr>
                <w:rFonts w:ascii="Arial" w:hAnsi="Arial" w:cs="Arial"/>
                <w:noProof/>
                <w:webHidden/>
                <w:sz w:val="24"/>
                <w:szCs w:val="24"/>
              </w:rPr>
              <w:tab/>
            </w:r>
            <w:r w:rsidR="00D22470" w:rsidRPr="00D22470">
              <w:rPr>
                <w:rFonts w:ascii="Arial" w:hAnsi="Arial" w:cs="Arial"/>
                <w:noProof/>
                <w:webHidden/>
                <w:sz w:val="24"/>
                <w:szCs w:val="24"/>
              </w:rPr>
              <w:fldChar w:fldCharType="begin"/>
            </w:r>
            <w:r w:rsidR="00D22470" w:rsidRPr="00D22470">
              <w:rPr>
                <w:rFonts w:ascii="Arial" w:hAnsi="Arial" w:cs="Arial"/>
                <w:noProof/>
                <w:webHidden/>
                <w:sz w:val="24"/>
                <w:szCs w:val="24"/>
              </w:rPr>
              <w:instrText xml:space="preserve"> PAGEREF _Toc234603145 \h </w:instrText>
            </w:r>
            <w:r w:rsidR="00D22470" w:rsidRPr="00D22470">
              <w:rPr>
                <w:rFonts w:ascii="Arial" w:hAnsi="Arial" w:cs="Arial"/>
                <w:noProof/>
                <w:webHidden/>
                <w:sz w:val="24"/>
                <w:szCs w:val="24"/>
              </w:rPr>
            </w:r>
            <w:r w:rsidR="00D22470" w:rsidRPr="00D22470">
              <w:rPr>
                <w:rFonts w:ascii="Arial" w:hAnsi="Arial" w:cs="Arial"/>
                <w:noProof/>
                <w:webHidden/>
                <w:sz w:val="24"/>
                <w:szCs w:val="24"/>
              </w:rPr>
              <w:fldChar w:fldCharType="separate"/>
            </w:r>
            <w:r w:rsidR="00D22470" w:rsidRPr="00D22470">
              <w:rPr>
                <w:rFonts w:ascii="Arial" w:hAnsi="Arial" w:cs="Arial"/>
                <w:noProof/>
                <w:webHidden/>
                <w:sz w:val="24"/>
                <w:szCs w:val="24"/>
              </w:rPr>
              <w:t>6</w:t>
            </w:r>
            <w:r w:rsidR="00D22470" w:rsidRPr="00D22470">
              <w:rPr>
                <w:rFonts w:ascii="Arial" w:hAnsi="Arial" w:cs="Arial"/>
                <w:noProof/>
                <w:webHidden/>
                <w:sz w:val="24"/>
                <w:szCs w:val="24"/>
              </w:rPr>
              <w:fldChar w:fldCharType="end"/>
            </w:r>
          </w:hyperlink>
        </w:p>
        <w:p w14:paraId="5AE859B6" w14:textId="64084F2F" w:rsidR="00D22470" w:rsidRPr="00D22470" w:rsidRDefault="007A0F4C" w:rsidP="00D22470">
          <w:pPr>
            <w:pStyle w:val="TOC1"/>
            <w:tabs>
              <w:tab w:val="right" w:leader="dot" w:pos="9016"/>
            </w:tabs>
            <w:spacing w:line="360" w:lineRule="auto"/>
            <w:rPr>
              <w:rFonts w:ascii="Arial" w:hAnsi="Arial" w:cs="Arial"/>
              <w:noProof/>
              <w:kern w:val="2"/>
              <w:sz w:val="24"/>
              <w:szCs w:val="24"/>
              <w:lang w:val="en-IN" w:eastAsia="en-IN"/>
              <w14:ligatures w14:val="standardContextual"/>
            </w:rPr>
          </w:pPr>
          <w:hyperlink w:anchor="_Toc234603146" w:history="1">
            <w:r w:rsidR="00D22470" w:rsidRPr="00D22470">
              <w:rPr>
                <w:rStyle w:val="Hyperlink"/>
                <w:rFonts w:ascii="Arial" w:hAnsi="Arial" w:cs="Arial"/>
                <w:noProof/>
                <w:sz w:val="24"/>
                <w:szCs w:val="24"/>
              </w:rPr>
              <w:t>References</w:t>
            </w:r>
            <w:r w:rsidR="00D22470" w:rsidRPr="00D22470">
              <w:rPr>
                <w:rFonts w:ascii="Arial" w:hAnsi="Arial" w:cs="Arial"/>
                <w:noProof/>
                <w:webHidden/>
                <w:sz w:val="24"/>
                <w:szCs w:val="24"/>
              </w:rPr>
              <w:tab/>
            </w:r>
            <w:r w:rsidR="00D22470" w:rsidRPr="00D22470">
              <w:rPr>
                <w:rFonts w:ascii="Arial" w:hAnsi="Arial" w:cs="Arial"/>
                <w:noProof/>
                <w:webHidden/>
                <w:sz w:val="24"/>
                <w:szCs w:val="24"/>
              </w:rPr>
              <w:fldChar w:fldCharType="begin"/>
            </w:r>
            <w:r w:rsidR="00D22470" w:rsidRPr="00D22470">
              <w:rPr>
                <w:rFonts w:ascii="Arial" w:hAnsi="Arial" w:cs="Arial"/>
                <w:noProof/>
                <w:webHidden/>
                <w:sz w:val="24"/>
                <w:szCs w:val="24"/>
              </w:rPr>
              <w:instrText xml:space="preserve"> PAGEREF _Toc234603146 \h </w:instrText>
            </w:r>
            <w:r w:rsidR="00D22470" w:rsidRPr="00D22470">
              <w:rPr>
                <w:rFonts w:ascii="Arial" w:hAnsi="Arial" w:cs="Arial"/>
                <w:noProof/>
                <w:webHidden/>
                <w:sz w:val="24"/>
                <w:szCs w:val="24"/>
              </w:rPr>
            </w:r>
            <w:r w:rsidR="00D22470" w:rsidRPr="00D22470">
              <w:rPr>
                <w:rFonts w:ascii="Arial" w:hAnsi="Arial" w:cs="Arial"/>
                <w:noProof/>
                <w:webHidden/>
                <w:sz w:val="24"/>
                <w:szCs w:val="24"/>
              </w:rPr>
              <w:fldChar w:fldCharType="separate"/>
            </w:r>
            <w:r w:rsidR="00D22470" w:rsidRPr="00D22470">
              <w:rPr>
                <w:rFonts w:ascii="Arial" w:hAnsi="Arial" w:cs="Arial"/>
                <w:noProof/>
                <w:webHidden/>
                <w:sz w:val="24"/>
                <w:szCs w:val="24"/>
              </w:rPr>
              <w:t>8</w:t>
            </w:r>
            <w:r w:rsidR="00D22470" w:rsidRPr="00D22470">
              <w:rPr>
                <w:rFonts w:ascii="Arial" w:hAnsi="Arial" w:cs="Arial"/>
                <w:noProof/>
                <w:webHidden/>
                <w:sz w:val="24"/>
                <w:szCs w:val="24"/>
              </w:rPr>
              <w:fldChar w:fldCharType="end"/>
            </w:r>
          </w:hyperlink>
        </w:p>
        <w:p w14:paraId="318D4C18" w14:textId="1EC67928" w:rsidR="004C44BA" w:rsidRDefault="004C44BA" w:rsidP="00D22470">
          <w:pPr>
            <w:spacing w:line="360" w:lineRule="auto"/>
          </w:pPr>
          <w:r w:rsidRPr="00D22470">
            <w:rPr>
              <w:rFonts w:ascii="Arial" w:hAnsi="Arial" w:cs="Arial"/>
              <w:b/>
              <w:bCs/>
              <w:noProof/>
              <w:sz w:val="24"/>
              <w:szCs w:val="24"/>
            </w:rPr>
            <w:fldChar w:fldCharType="end"/>
          </w:r>
        </w:p>
      </w:sdtContent>
    </w:sdt>
    <w:p w14:paraId="6C78B641" w14:textId="345B61F6" w:rsidR="00925D5E" w:rsidRDefault="00925D5E">
      <w:pPr>
        <w:sectPr w:rsidR="00925D5E" w:rsidSect="00C572DA">
          <w:headerReference w:type="default" r:id="rId10"/>
          <w:footerReference w:type="default" r:id="rId11"/>
          <w:pgSz w:w="11906" w:h="16838"/>
          <w:pgMar w:top="1440" w:right="1440" w:bottom="1440" w:left="1440" w:header="708" w:footer="708" w:gutter="0"/>
          <w:cols w:space="708"/>
          <w:titlePg/>
          <w:docGrid w:linePitch="360"/>
        </w:sectPr>
      </w:pPr>
    </w:p>
    <w:p w14:paraId="5AFFC33B" w14:textId="31AEEEF8" w:rsidR="003A000F" w:rsidRDefault="00812DD7" w:rsidP="0033339C">
      <w:pPr>
        <w:spacing w:line="240" w:lineRule="auto"/>
        <w:sectPr w:rsidR="003A000F" w:rsidSect="003A000F">
          <w:pgSz w:w="16838" w:h="11906" w:orient="landscape"/>
          <w:pgMar w:top="1440" w:right="1440" w:bottom="1440" w:left="1440" w:header="708" w:footer="708" w:gutter="0"/>
          <w:cols w:space="708"/>
          <w:docGrid w:linePitch="360"/>
        </w:sectPr>
      </w:pPr>
      <w:r>
        <w:rPr>
          <w:noProof/>
          <w:lang w:eastAsia="en-GB"/>
        </w:rPr>
        <w:lastRenderedPageBreak/>
        <mc:AlternateContent>
          <mc:Choice Requires="wps">
            <w:drawing>
              <wp:anchor distT="45720" distB="45720" distL="114300" distR="114300" simplePos="0" relativeHeight="251663360" behindDoc="0" locked="0" layoutInCell="1" allowOverlap="1" wp14:anchorId="04CAE92E" wp14:editId="024F352A">
                <wp:simplePos x="0" y="0"/>
                <wp:positionH relativeFrom="page">
                  <wp:posOffset>533400</wp:posOffset>
                </wp:positionH>
                <wp:positionV relativeFrom="paragraph">
                  <wp:posOffset>1354455</wp:posOffset>
                </wp:positionV>
                <wp:extent cx="4625340" cy="2722880"/>
                <wp:effectExtent l="19050" t="19050" r="41910" b="3937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5340" cy="2722880"/>
                        </a:xfrm>
                        <a:prstGeom prst="rect">
                          <a:avLst/>
                        </a:prstGeom>
                        <a:solidFill>
                          <a:srgbClr val="FFFFFF"/>
                        </a:solidFill>
                        <a:ln w="47625">
                          <a:solidFill>
                            <a:schemeClr val="accent2"/>
                          </a:solidFill>
                          <a:miter lim="800000"/>
                          <a:headEnd/>
                          <a:tailEnd/>
                        </a:ln>
                        <a:effectLst>
                          <a:softEdge rad="25400"/>
                        </a:effectLst>
                      </wps:spPr>
                      <wps:txbx>
                        <w:txbxContent>
                          <w:p w14:paraId="026D1929" w14:textId="78833D2B" w:rsidR="00AF06F6" w:rsidRPr="00AF06F6" w:rsidRDefault="00AF06F6" w:rsidP="00812DD7">
                            <w:pPr>
                              <w:spacing w:line="360" w:lineRule="auto"/>
                              <w:jc w:val="center"/>
                              <w:rPr>
                                <w:b/>
                              </w:rPr>
                            </w:pPr>
                            <w:proofErr w:type="spellStart"/>
                            <w:r w:rsidRPr="00AF06F6">
                              <w:rPr>
                                <w:b/>
                              </w:rPr>
                              <w:t>Inteoduction</w:t>
                            </w:r>
                            <w:proofErr w:type="spellEnd"/>
                          </w:p>
                          <w:p w14:paraId="48EE1868" w14:textId="2F80FCC0" w:rsidR="009C27B0" w:rsidRPr="00C360E9" w:rsidRDefault="00AF06F6" w:rsidP="00812DD7">
                            <w:pPr>
                              <w:spacing w:line="360" w:lineRule="auto"/>
                              <w:jc w:val="both"/>
                              <w:rPr>
                                <w:rFonts w:ascii="Arial" w:hAnsi="Arial" w:cs="Arial"/>
                              </w:rPr>
                            </w:pPr>
                            <w:r w:rsidRPr="00C360E9">
                              <w:rPr>
                                <w:rFonts w:ascii="Arial" w:hAnsi="Arial" w:cs="Arial"/>
                              </w:rPr>
                              <w:t>Ambulance services are a vital part of the UK healthcare system, providing emergency care for accidents, injuries, sudden illness, and other medical emergencies (</w:t>
                            </w:r>
                            <w:proofErr w:type="spellStart"/>
                            <w:r w:rsidRPr="00C360E9">
                              <w:rPr>
                                <w:rFonts w:ascii="Arial" w:hAnsi="Arial" w:cs="Arial"/>
                              </w:rPr>
                              <w:t>Fernandes</w:t>
                            </w:r>
                            <w:proofErr w:type="spellEnd"/>
                            <w:r w:rsidRPr="00C360E9">
                              <w:rPr>
                                <w:rFonts w:ascii="Arial" w:hAnsi="Arial" w:cs="Arial"/>
                              </w:rPr>
                              <w:t xml:space="preserve"> and Ray, 2023). Accessed by calling 999, trained staff assess the situation and dispatch the appropriate response. Around 6,000 ambulances operate across the UK (NHS Alliance, 2024). Ambulance crews provide immediate treatment, such as CPR, oxygen therapy, bleeding control, and medication, before transporting or referring patients to appropriate healthcare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42pt;margin-top:106.65pt;width:364.2pt;height:214.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" strokecolor="#ed7d31 [3205]" strokeweight="3.75pt">
                <v:textbox>
                  <w:txbxContent>
                    <w:p w14:paraId="026D1929" w14:textId="78833D2B" w:rsidR="00AF06F6" w:rsidRPr="00AF06F6" w:rsidRDefault="00AF06F6" w:rsidP="00812DD7">
                      <w:pPr>
                        <w:spacing w:line="360" w:lineRule="auto"/>
                        <w:jc w:val="center"/>
                        <w:rPr>
                          <w:b/>
                        </w:rPr>
                      </w:pPr>
                      <w:proofErr w:type="spellStart"/>
                      <w:r w:rsidRPr="00AF06F6">
                        <w:rPr>
                          <w:b/>
                        </w:rPr>
                        <w:t>Inteoduction</w:t>
                      </w:r>
                      <w:proofErr w:type="spellEnd"/>
                    </w:p>
                    <w:p w14:paraId="48EE1868" w14:textId="2F80FCC0" w:rsidR="009C27B0" w:rsidRPr="00C360E9" w:rsidRDefault="00AF06F6" w:rsidP="00812DD7">
                      <w:pPr>
                        <w:spacing w:line="360" w:lineRule="auto"/>
                        <w:jc w:val="both"/>
                        <w:rPr>
                          <w:rFonts w:ascii="Arial" w:hAnsi="Arial" w:cs="Arial"/>
                        </w:rPr>
                      </w:pPr>
                      <w:r w:rsidRPr="00C360E9">
                        <w:rPr>
                          <w:rFonts w:ascii="Arial" w:hAnsi="Arial" w:cs="Arial"/>
                        </w:rPr>
                        <w:t>Ambulance services are a vital part of the UK healthcare system, providing emergency care for accidents, injuries, sudden illness, and other medical emergencies (</w:t>
                      </w:r>
                      <w:proofErr w:type="spellStart"/>
                      <w:r w:rsidRPr="00C360E9">
                        <w:rPr>
                          <w:rFonts w:ascii="Arial" w:hAnsi="Arial" w:cs="Arial"/>
                        </w:rPr>
                        <w:t>Fernandes</w:t>
                      </w:r>
                      <w:proofErr w:type="spellEnd"/>
                      <w:r w:rsidRPr="00C360E9">
                        <w:rPr>
                          <w:rFonts w:ascii="Arial" w:hAnsi="Arial" w:cs="Arial"/>
                        </w:rPr>
                        <w:t xml:space="preserve"> and Ray, 2023). Accessed by calling 999, trained staff assess the situation and dispatch the appropriate response. Around 6,000 ambulances operate across the UK (NHS Alliance, 2024). Ambulance crews provide immediate treatment, such as CPR, oxygen therapy, bleeding control, and medication, before transporting or referring patients to appropriate healthcare services.</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298766ED" wp14:editId="5A97A28F">
                <wp:simplePos x="0" y="0"/>
                <wp:positionH relativeFrom="column">
                  <wp:posOffset>4318000</wp:posOffset>
                </wp:positionH>
                <wp:positionV relativeFrom="paragraph">
                  <wp:posOffset>1374775</wp:posOffset>
                </wp:positionV>
                <wp:extent cx="5419090" cy="2729230"/>
                <wp:effectExtent l="19050" t="19050" r="10160" b="139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090" cy="2729230"/>
                        </a:xfrm>
                        <a:prstGeom prst="rect">
                          <a:avLst/>
                        </a:prstGeom>
                        <a:solidFill>
                          <a:srgbClr val="FFFFFF"/>
                        </a:solidFill>
                        <a:ln w="44450">
                          <a:solidFill>
                            <a:srgbClr val="000000"/>
                          </a:solidFill>
                          <a:miter lim="800000"/>
                          <a:headEnd/>
                          <a:tailEnd/>
                        </a:ln>
                        <a:effectLst>
                          <a:softEdge rad="25400"/>
                        </a:effectLst>
                      </wps:spPr>
                      <wps:txbx>
                        <w:txbxContent>
                          <w:p w14:paraId="2589E46B" w14:textId="77777777" w:rsidR="009C27B0" w:rsidRDefault="009C27B0" w:rsidP="009C27B0">
                            <w:pPr>
                              <w:jc w:val="both"/>
                              <w:rPr>
                                <w:b/>
                                <w:bCs/>
                                <w:color w:val="385623" w:themeColor="accent6" w:themeShade="80"/>
                              </w:rPr>
                            </w:pPr>
                            <w:r w:rsidRPr="009C27B0">
                              <w:rPr>
                                <w:b/>
                                <w:bCs/>
                                <w:color w:val="385623" w:themeColor="accent6" w:themeShade="80"/>
                              </w:rPr>
                              <w:t>Brief History of the service</w:t>
                            </w:r>
                          </w:p>
                          <w:p w14:paraId="2F2C6041" w14:textId="7AA84C73" w:rsidR="00BE6BE0" w:rsidRPr="00C360E9" w:rsidRDefault="009C27B0" w:rsidP="00812DD7">
                            <w:pPr>
                              <w:spacing w:line="360" w:lineRule="auto"/>
                              <w:jc w:val="both"/>
                              <w:rPr>
                                <w:rFonts w:ascii="Arial" w:hAnsi="Arial" w:cs="Arial"/>
                              </w:rPr>
                            </w:pPr>
                            <w:r w:rsidRPr="00C360E9">
                              <w:rPr>
                                <w:rFonts w:ascii="Arial" w:hAnsi="Arial" w:cs="Arial"/>
                              </w:rPr>
                              <w:t>In the 19</w:t>
                            </w:r>
                            <w:r w:rsidRPr="00C360E9">
                              <w:rPr>
                                <w:rFonts w:ascii="Arial" w:hAnsi="Arial" w:cs="Arial"/>
                                <w:vertAlign w:val="superscript"/>
                              </w:rPr>
                              <w:t>th</w:t>
                            </w:r>
                            <w:r w:rsidRPr="00C360E9">
                              <w:rPr>
                                <w:rFonts w:ascii="Arial" w:hAnsi="Arial" w:cs="Arial"/>
                              </w:rPr>
                              <w:t xml:space="preserve"> Century, local chemists gave birth to the modern UK profession of the pharmacist. After the introduction of the National Health Service (NHS) in 1948, the community pharmacy evolved into the concept of a contracted NHS service, dispensing medicines prescribed by doctors and giving people advice on pharmaceutical products (Your Health Your Pharmacy, 2023). They went beyond getting medicines over time and became involved in the public health services, with medicine reviews, vaccination, and independent prescribing too. In 2024, Pharmacy First was introduced in England, increasing pharmacists’ responsibilities as front line health care providers by enabling patients to access treatment for common conditions without the need for a GP referral (NHS England,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340pt;margin-top:108.25pt;width:426.7pt;height:214.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" strokeweight="3.5pt">
                <v:textbox>
                  <w:txbxContent>
                    <w:p w14:paraId="2589E46B" w14:textId="77777777" w:rsidR="009C27B0" w:rsidRDefault="009C27B0" w:rsidP="009C27B0">
                      <w:pPr>
                        <w:jc w:val="both"/>
                        <w:rPr>
                          <w:b/>
                          <w:bCs/>
                          <w:color w:val="385623" w:themeColor="accent6" w:themeShade="80"/>
                        </w:rPr>
                      </w:pPr>
                      <w:r w:rsidRPr="009C27B0">
                        <w:rPr>
                          <w:b/>
                          <w:bCs/>
                          <w:color w:val="385623" w:themeColor="accent6" w:themeShade="80"/>
                        </w:rPr>
                        <w:t>Brief History of the service</w:t>
                      </w:r>
                    </w:p>
                    <w:p w14:paraId="2F2C6041" w14:textId="7AA84C73" w:rsidR="00BE6BE0" w:rsidRPr="00C360E9" w:rsidRDefault="009C27B0" w:rsidP="00812DD7">
                      <w:pPr>
                        <w:spacing w:line="360" w:lineRule="auto"/>
                        <w:jc w:val="both"/>
                        <w:rPr>
                          <w:rFonts w:ascii="Arial" w:hAnsi="Arial" w:cs="Arial"/>
                        </w:rPr>
                      </w:pPr>
                      <w:r w:rsidRPr="00C360E9">
                        <w:rPr>
                          <w:rFonts w:ascii="Arial" w:hAnsi="Arial" w:cs="Arial"/>
                        </w:rPr>
                        <w:t>In the 19</w:t>
                      </w:r>
                      <w:r w:rsidRPr="00C360E9">
                        <w:rPr>
                          <w:rFonts w:ascii="Arial" w:hAnsi="Arial" w:cs="Arial"/>
                          <w:vertAlign w:val="superscript"/>
                        </w:rPr>
                        <w:t>th</w:t>
                      </w:r>
                      <w:r w:rsidRPr="00C360E9">
                        <w:rPr>
                          <w:rFonts w:ascii="Arial" w:hAnsi="Arial" w:cs="Arial"/>
                        </w:rPr>
                        <w:t xml:space="preserve"> Century, local chemists gave birth to the modern UK profession of the pharmacist. After the introduction of the National Health Service (NHS) in 1948, the community pharmacy evolved into the concept of a contracted NHS service, dispensing medicines prescribed by doctors and giving people advice on pharmaceutical products (Your Health Your Pharmacy, 2023). They went beyond getting medicines over time and became involved in the public health services, with medicine reviews, vaccination, and independent prescribing too. In 2024, Pharmacy First was introduced in England, increasing pharmacists’ responsibilities as front line health care providers by enabling patients to access treatment for common conditions without the need for a GP referral (NHS England, 2024).</w:t>
                      </w:r>
                    </w:p>
                  </w:txbxContent>
                </v:textbox>
                <w10:wrap type="square"/>
              </v:shape>
            </w:pict>
          </mc:Fallback>
        </mc:AlternateContent>
      </w:r>
      <w:r>
        <w:rPr>
          <w:noProof/>
          <w:lang w:eastAsia="en-GB"/>
        </w:rPr>
        <mc:AlternateContent>
          <mc:Choice Requires="wps">
            <w:drawing>
              <wp:anchor distT="0" distB="0" distL="114300" distR="114300" simplePos="0" relativeHeight="251698176" behindDoc="0" locked="0" layoutInCell="1" allowOverlap="1" wp14:anchorId="45B6EF45" wp14:editId="1F126E19">
                <wp:simplePos x="0" y="0"/>
                <wp:positionH relativeFrom="column">
                  <wp:posOffset>-113465</wp:posOffset>
                </wp:positionH>
                <wp:positionV relativeFrom="paragraph">
                  <wp:posOffset>4311696</wp:posOffset>
                </wp:positionV>
                <wp:extent cx="9257466" cy="957914"/>
                <wp:effectExtent l="0" t="0" r="1270" b="0"/>
                <wp:wrapNone/>
                <wp:docPr id="1508255229" name="Text Box 20"/>
                <wp:cNvGraphicFramePr/>
                <a:graphic xmlns:a="http://schemas.openxmlformats.org/drawingml/2006/main">
                  <a:graphicData uri="http://schemas.microsoft.com/office/word/2010/wordprocessingShape">
                    <wps:wsp>
                      <wps:cNvSpPr txBox="1"/>
                      <wps:spPr>
                        <a:xfrm>
                          <a:off x="0" y="0"/>
                          <a:ext cx="9257466" cy="957914"/>
                        </a:xfrm>
                        <a:prstGeom prst="rect">
                          <a:avLst/>
                        </a:prstGeom>
                        <a:solidFill>
                          <a:schemeClr val="bg1">
                            <a:lumMod val="75000"/>
                          </a:schemeClr>
                        </a:solidFill>
                        <a:ln w="6350">
                          <a:noFill/>
                        </a:ln>
                      </wps:spPr>
                      <wps:txbx>
                        <w:txbxContent>
                          <w:p w14:paraId="0B04592F" w14:textId="7F21A72D" w:rsidR="00C572DA" w:rsidRDefault="00C572DA">
                            <w:r>
                              <w:rPr>
                                <w:noProof/>
                                <w:lang w:eastAsia="en-GB"/>
                              </w:rPr>
                              <w:drawing>
                                <wp:inline distT="0" distB="0" distL="0" distR="0" wp14:anchorId="49177610" wp14:editId="6FECFB6E">
                                  <wp:extent cx="9130651" cy="800350"/>
                                  <wp:effectExtent l="0" t="38100" r="0" b="57150"/>
                                  <wp:docPr id="18515736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6EF45" id="Text Box 20" o:spid="_x0000_s1028" type="#_x0000_t202" style="position:absolute;margin-left:-8.95pt;margin-top:339.5pt;width:728.95pt;height:7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" fillcolor="#bfbfbf [2412]" stroked="f" strokeweight=".5pt">
                <v:textbox>
                  <w:txbxContent>
                    <w:p w14:paraId="0B04592F" w14:textId="7F21A72D" w:rsidR="00C572DA" w:rsidRDefault="00C572DA">
                      <w:r>
                        <w:rPr>
                          <w:noProof/>
                          <w:lang w:eastAsia="en-GB"/>
                        </w:rPr>
                        <w:drawing>
                          <wp:inline distT="0" distB="0" distL="0" distR="0" wp14:anchorId="49177610" wp14:editId="6FECFB6E">
                            <wp:extent cx="9130651" cy="800350"/>
                            <wp:effectExtent l="0" t="38100" r="0" b="57150"/>
                            <wp:docPr id="18515736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3" r:qs="rId14" r:cs="rId15"/>
                              </a:graphicData>
                            </a:graphic>
                          </wp:inline>
                        </w:drawing>
                      </w:r>
                    </w:p>
                  </w:txbxContent>
                </v:textbox>
              </v:shape>
            </w:pict>
          </mc:Fallback>
        </mc:AlternateContent>
      </w:r>
      <w:r w:rsidR="00C572DA">
        <w:rPr>
          <w:noProof/>
          <w:lang w:eastAsia="en-GB"/>
        </w:rPr>
        <mc:AlternateContent>
          <mc:Choice Requires="wps">
            <w:drawing>
              <wp:anchor distT="45720" distB="45720" distL="114300" distR="114300" simplePos="0" relativeHeight="251661312" behindDoc="0" locked="0" layoutInCell="1" allowOverlap="1" wp14:anchorId="3E780AA8" wp14:editId="4C1EAC67">
                <wp:simplePos x="0" y="0"/>
                <wp:positionH relativeFrom="margin">
                  <wp:posOffset>-345440</wp:posOffset>
                </wp:positionH>
                <wp:positionV relativeFrom="paragraph">
                  <wp:posOffset>0</wp:posOffset>
                </wp:positionV>
                <wp:extent cx="9876155" cy="1259205"/>
                <wp:effectExtent l="0" t="0" r="10795" b="171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6155" cy="1259205"/>
                        </a:xfrm>
                        <a:prstGeom prst="rect">
                          <a:avLst/>
                        </a:prstGeom>
                        <a:solidFill>
                          <a:srgbClr val="FFFFFF"/>
                        </a:solidFill>
                        <a:ln w="9525">
                          <a:solidFill>
                            <a:srgbClr val="000000"/>
                          </a:solidFill>
                          <a:miter lim="800000"/>
                          <a:headEnd/>
                          <a:tailEnd/>
                        </a:ln>
                        <a:effectLst>
                          <a:softEdge rad="50800"/>
                        </a:effectLst>
                      </wps:spPr>
                      <wps:txbx>
                        <w:txbxContent>
                          <w:p w14:paraId="4F1C0E8F" w14:textId="4AAF53FC" w:rsidR="009C27B0" w:rsidRPr="008D2421" w:rsidRDefault="00D22470" w:rsidP="00BE6BE0">
                            <w:pPr>
                              <w:shd w:val="clear" w:color="auto" w:fill="F4B083" w:themeFill="accent2" w:themeFillTint="99"/>
                              <w:jc w:val="center"/>
                              <w:rPr>
                                <w:b/>
                                <w:bCs/>
                                <w:i/>
                                <w:iCs/>
                                <w:color w:val="4472C4" w:themeColor="accent1"/>
                                <w:sz w:val="36"/>
                                <w:szCs w:val="36"/>
                              </w:rPr>
                            </w:pPr>
                            <w:r w:rsidRPr="008D2421">
                              <w:rPr>
                                <w:b/>
                                <w:bCs/>
                                <w:i/>
                                <w:iCs/>
                                <w:color w:val="4472C4" w:themeColor="accent1"/>
                                <w:sz w:val="36"/>
                                <w:szCs w:val="36"/>
                              </w:rPr>
                              <w:t>P</w:t>
                            </w:r>
                            <w:r w:rsidR="009C27B0" w:rsidRPr="008D2421">
                              <w:rPr>
                                <w:b/>
                                <w:bCs/>
                                <w:i/>
                                <w:iCs/>
                                <w:color w:val="4472C4" w:themeColor="accent1"/>
                                <w:sz w:val="36"/>
                                <w:szCs w:val="36"/>
                              </w:rPr>
                              <w:t>harmacy services</w:t>
                            </w:r>
                          </w:p>
                          <w:p w14:paraId="5E960B08" w14:textId="77777777" w:rsidR="00C572DA" w:rsidRPr="008D2421" w:rsidRDefault="00BE6BE0" w:rsidP="008D2421">
                            <w:pPr>
                              <w:shd w:val="clear" w:color="auto" w:fill="F4B083" w:themeFill="accent2" w:themeFillTint="99"/>
                              <w:spacing w:line="240" w:lineRule="auto"/>
                              <w:jc w:val="center"/>
                            </w:pPr>
                            <w:r w:rsidRPr="008D2421">
                              <w:t>Student Name</w:t>
                            </w:r>
                            <w:r w:rsidR="0031545E" w:rsidRPr="008D2421">
                              <w:t>:</w:t>
                            </w:r>
                            <w:r w:rsidR="00C572DA" w:rsidRPr="008D2421">
                              <w:t xml:space="preserve"> </w:t>
                            </w:r>
                            <w:proofErr w:type="spellStart"/>
                            <w:r w:rsidR="00C572DA" w:rsidRPr="008D2421">
                              <w:t>Rupa</w:t>
                            </w:r>
                            <w:proofErr w:type="spellEnd"/>
                            <w:r w:rsidR="00C572DA" w:rsidRPr="008D2421">
                              <w:t xml:space="preserve"> </w:t>
                            </w:r>
                            <w:proofErr w:type="spellStart"/>
                            <w:r w:rsidR="00C572DA" w:rsidRPr="008D2421">
                              <w:t>Mondal</w:t>
                            </w:r>
                            <w:proofErr w:type="spellEnd"/>
                          </w:p>
                          <w:p w14:paraId="011B2DEE" w14:textId="77777777" w:rsidR="008D2421" w:rsidRPr="008D2421" w:rsidRDefault="00BE6BE0" w:rsidP="008D2421">
                            <w:pPr>
                              <w:shd w:val="clear" w:color="auto" w:fill="F4B083" w:themeFill="accent2" w:themeFillTint="99"/>
                              <w:spacing w:line="240" w:lineRule="auto"/>
                              <w:jc w:val="center"/>
                            </w:pPr>
                            <w:r w:rsidRPr="008D2421">
                              <w:t>Course Name</w:t>
                            </w:r>
                            <w:r w:rsidR="0031545E" w:rsidRPr="008D2421">
                              <w:t xml:space="preserve">: </w:t>
                            </w:r>
                            <w:r w:rsidR="00C572DA" w:rsidRPr="008D2421">
                              <w:t>Certificate of Higher Education Skills for the Workplace (Health &amp; Social Care)</w:t>
                            </w:r>
                          </w:p>
                          <w:p w14:paraId="4B29F551" w14:textId="61D821A3" w:rsidR="00BE6BE0" w:rsidRPr="008D2421" w:rsidRDefault="00BE6BE0" w:rsidP="008D2421">
                            <w:pPr>
                              <w:shd w:val="clear" w:color="auto" w:fill="F4B083" w:themeFill="accent2" w:themeFillTint="99"/>
                              <w:spacing w:line="240" w:lineRule="auto"/>
                              <w:jc w:val="center"/>
                            </w:pPr>
                            <w:r w:rsidRPr="008D2421">
                              <w:t>Email Details</w:t>
                            </w:r>
                            <w:r w:rsidR="0031545E" w:rsidRPr="008D2421">
                              <w:t xml:space="preserve">: </w:t>
                            </w:r>
                            <w:r w:rsidR="005711F6">
                              <w:t>sam.parker@uwtsd.ac.uk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9" type="#_x0000_t202" style="position:absolute;margin-left:-27.2pt;margin-top:0;width:777.65pt;height:99.1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">
                <v:textbox>
                  <w:txbxContent>
                    <w:p w14:paraId="4F1C0E8F" w14:textId="4AAF53FC" w:rsidR="009C27B0" w:rsidRPr="008D2421" w:rsidRDefault="00D22470" w:rsidP="00BE6BE0">
                      <w:pPr>
                        <w:shd w:val="clear" w:color="auto" w:fill="F4B083" w:themeFill="accent2" w:themeFillTint="99"/>
                        <w:jc w:val="center"/>
                        <w:rPr>
                          <w:b/>
                          <w:bCs/>
                          <w:i/>
                          <w:iCs/>
                          <w:color w:val="4472C4" w:themeColor="accent1"/>
                          <w:sz w:val="36"/>
                          <w:szCs w:val="36"/>
                        </w:rPr>
                      </w:pPr>
                      <w:r w:rsidRPr="008D2421">
                        <w:rPr>
                          <w:b/>
                          <w:bCs/>
                          <w:i/>
                          <w:iCs/>
                          <w:color w:val="4472C4" w:themeColor="accent1"/>
                          <w:sz w:val="36"/>
                          <w:szCs w:val="36"/>
                        </w:rPr>
                        <w:t>P</w:t>
                      </w:r>
                      <w:r w:rsidR="009C27B0" w:rsidRPr="008D2421">
                        <w:rPr>
                          <w:b/>
                          <w:bCs/>
                          <w:i/>
                          <w:iCs/>
                          <w:color w:val="4472C4" w:themeColor="accent1"/>
                          <w:sz w:val="36"/>
                          <w:szCs w:val="36"/>
                        </w:rPr>
                        <w:t>harmacy services</w:t>
                      </w:r>
                    </w:p>
                    <w:p w14:paraId="5E960B08" w14:textId="77777777" w:rsidR="00C572DA" w:rsidRPr="008D2421" w:rsidRDefault="00BE6BE0" w:rsidP="008D2421">
                      <w:pPr>
                        <w:shd w:val="clear" w:color="auto" w:fill="F4B083" w:themeFill="accent2" w:themeFillTint="99"/>
                        <w:spacing w:line="240" w:lineRule="auto"/>
                        <w:jc w:val="center"/>
                      </w:pPr>
                      <w:r w:rsidRPr="008D2421">
                        <w:t>Student Name</w:t>
                      </w:r>
                      <w:r w:rsidR="0031545E" w:rsidRPr="008D2421">
                        <w:t>:</w:t>
                      </w:r>
                      <w:r w:rsidR="00C572DA" w:rsidRPr="008D2421">
                        <w:t xml:space="preserve"> </w:t>
                      </w:r>
                      <w:proofErr w:type="spellStart"/>
                      <w:r w:rsidR="00C572DA" w:rsidRPr="008D2421">
                        <w:t>Rupa</w:t>
                      </w:r>
                      <w:proofErr w:type="spellEnd"/>
                      <w:r w:rsidR="00C572DA" w:rsidRPr="008D2421">
                        <w:t xml:space="preserve"> </w:t>
                      </w:r>
                      <w:proofErr w:type="spellStart"/>
                      <w:r w:rsidR="00C572DA" w:rsidRPr="008D2421">
                        <w:t>Mondal</w:t>
                      </w:r>
                      <w:proofErr w:type="spellEnd"/>
                    </w:p>
                    <w:p w14:paraId="011B2DEE" w14:textId="77777777" w:rsidR="008D2421" w:rsidRPr="008D2421" w:rsidRDefault="00BE6BE0" w:rsidP="008D2421">
                      <w:pPr>
                        <w:shd w:val="clear" w:color="auto" w:fill="F4B083" w:themeFill="accent2" w:themeFillTint="99"/>
                        <w:spacing w:line="240" w:lineRule="auto"/>
                        <w:jc w:val="center"/>
                      </w:pPr>
                      <w:r w:rsidRPr="008D2421">
                        <w:t>Course Name</w:t>
                      </w:r>
                      <w:r w:rsidR="0031545E" w:rsidRPr="008D2421">
                        <w:t xml:space="preserve">: </w:t>
                      </w:r>
                      <w:r w:rsidR="00C572DA" w:rsidRPr="008D2421">
                        <w:t>Certificate of Higher Education Skills for the Workplace (Health &amp; Social Care)</w:t>
                      </w:r>
                    </w:p>
                    <w:p w14:paraId="4B29F551" w14:textId="61D821A3" w:rsidR="00BE6BE0" w:rsidRPr="008D2421" w:rsidRDefault="00BE6BE0" w:rsidP="008D2421">
                      <w:pPr>
                        <w:shd w:val="clear" w:color="auto" w:fill="F4B083" w:themeFill="accent2" w:themeFillTint="99"/>
                        <w:spacing w:line="240" w:lineRule="auto"/>
                        <w:jc w:val="center"/>
                      </w:pPr>
                      <w:r w:rsidRPr="008D2421">
                        <w:t>Email Details</w:t>
                      </w:r>
                      <w:r w:rsidR="0031545E" w:rsidRPr="008D2421">
                        <w:t xml:space="preserve">: </w:t>
                      </w:r>
                      <w:r w:rsidR="005711F6">
                        <w:t>sam.parker@uwtsd.ac.uk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D22470">
        <w:rPr>
          <w:noProof/>
          <w:lang w:eastAsia="en-GB"/>
        </w:rPr>
        <mc:AlternateContent>
          <mc:Choice Requires="wps">
            <w:drawing>
              <wp:anchor distT="0" distB="0" distL="114300" distR="114300" simplePos="0" relativeHeight="251697152" behindDoc="0" locked="0" layoutInCell="1" allowOverlap="1" wp14:anchorId="75D65049" wp14:editId="599B5CF1">
                <wp:simplePos x="0" y="0"/>
                <wp:positionH relativeFrom="column">
                  <wp:posOffset>-301925</wp:posOffset>
                </wp:positionH>
                <wp:positionV relativeFrom="paragraph">
                  <wp:posOffset>-724619</wp:posOffset>
                </wp:positionV>
                <wp:extent cx="3416061" cy="422694"/>
                <wp:effectExtent l="0" t="0" r="0" b="0"/>
                <wp:wrapNone/>
                <wp:docPr id="1833022194" name="Text Box 19"/>
                <wp:cNvGraphicFramePr/>
                <a:graphic xmlns:a="http://schemas.openxmlformats.org/drawingml/2006/main">
                  <a:graphicData uri="http://schemas.microsoft.com/office/word/2010/wordprocessingShape">
                    <wps:wsp>
                      <wps:cNvSpPr txBox="1"/>
                      <wps:spPr>
                        <a:xfrm>
                          <a:off x="0" y="0"/>
                          <a:ext cx="3416061" cy="422694"/>
                        </a:xfrm>
                        <a:prstGeom prst="rect">
                          <a:avLst/>
                        </a:prstGeom>
                        <a:solidFill>
                          <a:schemeClr val="bg1">
                            <a:lumMod val="75000"/>
                          </a:schemeClr>
                        </a:solidFill>
                        <a:ln w="6350">
                          <a:noFill/>
                        </a:ln>
                      </wps:spPr>
                      <wps:txbx>
                        <w:txbxContent>
                          <w:p w14:paraId="1BFD6F78" w14:textId="5DE39F1D" w:rsidR="00D22470" w:rsidRPr="00D22470" w:rsidRDefault="00D22470" w:rsidP="00D22470">
                            <w:pPr>
                              <w:pStyle w:val="Heading1"/>
                              <w:rPr>
                                <w:lang w:val="en-IN"/>
                              </w:rPr>
                            </w:pPr>
                            <w:bookmarkStart w:id="2" w:name="_Toc234603144"/>
                            <w:r>
                              <w:rPr>
                                <w:lang w:val="en-IN"/>
                              </w:rPr>
                              <w:t>Task 1: Poster</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5D65049" id="Text Box 19" o:spid="_x0000_s1030" type="#_x0000_t202" style="position:absolute;margin-left:-23.75pt;margin-top:-57.05pt;width:269pt;height:33.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" fillcolor="#bfbfbf [2412]" stroked="f" strokeweight=".5pt">
                <v:textbox>
                  <w:txbxContent>
                    <w:p w14:paraId="1BFD6F78" w14:textId="5DE39F1D" w:rsidR="00D22470" w:rsidRPr="00D22470" w:rsidRDefault="00D22470" w:rsidP="00D22470">
                      <w:pPr>
                        <w:pStyle w:val="Heading1"/>
                        <w:rPr>
                          <w:lang w:val="en-IN"/>
                        </w:rPr>
                      </w:pPr>
                      <w:bookmarkStart w:id="2" w:name="_Toc234603144"/>
                      <w:r>
                        <w:rPr>
                          <w:lang w:val="en-IN"/>
                        </w:rPr>
                        <w:t>Task 1: Poster</w:t>
                      </w:r>
                      <w:bookmarkEnd w:id="2"/>
                    </w:p>
                  </w:txbxContent>
                </v:textbox>
              </v:shape>
            </w:pict>
          </mc:Fallback>
        </mc:AlternateContent>
      </w:r>
      <w:r w:rsidR="0033339C">
        <w:rPr>
          <w:noProof/>
          <w:lang w:eastAsia="en-GB"/>
        </w:rPr>
        <mc:AlternateContent>
          <mc:Choice Requires="wps">
            <w:drawing>
              <wp:anchor distT="0" distB="0" distL="114300" distR="114300" simplePos="0" relativeHeight="251696128" behindDoc="0" locked="0" layoutInCell="1" allowOverlap="1" wp14:anchorId="3D4132E4" wp14:editId="7508608D">
                <wp:simplePos x="0" y="0"/>
                <wp:positionH relativeFrom="column">
                  <wp:posOffset>2838091</wp:posOffset>
                </wp:positionH>
                <wp:positionV relativeFrom="paragraph">
                  <wp:posOffset>5348377</wp:posOffset>
                </wp:positionV>
                <wp:extent cx="3528203" cy="569188"/>
                <wp:effectExtent l="0" t="0" r="15240" b="21590"/>
                <wp:wrapNone/>
                <wp:docPr id="1269629377" name="Text Box 18"/>
                <wp:cNvGraphicFramePr/>
                <a:graphic xmlns:a="http://schemas.openxmlformats.org/drawingml/2006/main">
                  <a:graphicData uri="http://schemas.microsoft.com/office/word/2010/wordprocessingShape">
                    <wps:wsp>
                      <wps:cNvSpPr txBox="1"/>
                      <wps:spPr>
                        <a:xfrm>
                          <a:off x="0" y="0"/>
                          <a:ext cx="3528203" cy="569188"/>
                        </a:xfrm>
                        <a:prstGeom prst="rect">
                          <a:avLst/>
                        </a:prstGeom>
                        <a:solidFill>
                          <a:schemeClr val="lt1"/>
                        </a:solidFill>
                        <a:ln w="6350">
                          <a:solidFill>
                            <a:prstClr val="black"/>
                          </a:solidFill>
                        </a:ln>
                      </wps:spPr>
                      <wps:txbx>
                        <w:txbxContent>
                          <w:p w14:paraId="76CD4AF0" w14:textId="32D4C2DE" w:rsidR="0033339C" w:rsidRPr="0033339C" w:rsidRDefault="0033339C" w:rsidP="0033339C">
                            <w:pPr>
                              <w:jc w:val="center"/>
                              <w:rPr>
                                <w:b/>
                                <w:bCs/>
                                <w:lang w:val="en-IN"/>
                              </w:rPr>
                            </w:pPr>
                            <w:r w:rsidRPr="0033339C">
                              <w:rPr>
                                <w:b/>
                                <w:bCs/>
                                <w:lang w:val="en-IN"/>
                              </w:rPr>
                              <w:t>Figure 1: Evolution of the pharmacy services in the UK</w:t>
                            </w:r>
                          </w:p>
                          <w:p w14:paraId="0A0B8E15" w14:textId="4AACACE0" w:rsidR="0033339C" w:rsidRPr="0033339C" w:rsidRDefault="0033339C" w:rsidP="0033339C">
                            <w:pPr>
                              <w:jc w:val="center"/>
                              <w:rPr>
                                <w:lang w:val="en-IN"/>
                              </w:rPr>
                            </w:pPr>
                            <w:r>
                              <w:rPr>
                                <w:lang w:val="en-IN"/>
                              </w:rPr>
                              <w:t>(Source: Self-developed)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D4132E4" id="Text Box 18" o:spid="_x0000_s1031" type="#_x0000_t202" style="position:absolute;margin-left:223.45pt;margin-top:421.15pt;width:277.8pt;height:44.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" fillcolor="white [3201]" strokeweight=".5pt">
                <v:textbox>
                  <w:txbxContent>
                    <w:p w14:paraId="76CD4AF0" w14:textId="32D4C2DE" w:rsidR="0033339C" w:rsidRPr="0033339C" w:rsidRDefault="0033339C" w:rsidP="0033339C">
                      <w:pPr>
                        <w:jc w:val="center"/>
                        <w:rPr>
                          <w:b/>
                          <w:bCs/>
                          <w:lang w:val="en-IN"/>
                        </w:rPr>
                      </w:pPr>
                      <w:r w:rsidRPr="0033339C">
                        <w:rPr>
                          <w:b/>
                          <w:bCs/>
                          <w:lang w:val="en-IN"/>
                        </w:rPr>
                        <w:t>Figure 1: Evolution of the pharmacy services in the UK</w:t>
                      </w:r>
                    </w:p>
                    <w:p w14:paraId="0A0B8E15" w14:textId="4AACACE0" w:rsidR="0033339C" w:rsidRPr="0033339C" w:rsidRDefault="0033339C" w:rsidP="0033339C">
                      <w:pPr>
                        <w:jc w:val="center"/>
                        <w:rPr>
                          <w:lang w:val="en-IN"/>
                        </w:rPr>
                      </w:pPr>
                      <w:r>
                        <w:rPr>
                          <w:lang w:val="en-IN"/>
                        </w:rPr>
                        <w:t>(Source: Self-developed)</w:t>
                      </w:r>
                    </w:p>
                  </w:txbxContent>
                </v:textbox>
              </v:shape>
            </w:pict>
          </mc:Fallback>
        </mc:AlternateContent>
      </w:r>
      <w:r w:rsidR="009C27B0">
        <w:rPr>
          <w:noProof/>
          <w:lang w:eastAsia="en-GB"/>
        </w:rPr>
        <mc:AlternateContent>
          <mc:Choice Requires="wps">
            <w:drawing>
              <wp:anchor distT="0" distB="0" distL="114300" distR="114300" simplePos="0" relativeHeight="251659264" behindDoc="1" locked="0" layoutInCell="1" allowOverlap="1" wp14:anchorId="777A8668" wp14:editId="318AA116">
                <wp:simplePos x="0" y="0"/>
                <wp:positionH relativeFrom="page">
                  <wp:posOffset>339725</wp:posOffset>
                </wp:positionH>
                <wp:positionV relativeFrom="paragraph">
                  <wp:posOffset>-894715</wp:posOffset>
                </wp:positionV>
                <wp:extent cx="10675620" cy="6858000"/>
                <wp:effectExtent l="0" t="0" r="0" b="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295C5269" id="Rectangle 1" o:spid="_x0000_s1026" style="position:absolute;margin-left:26.75pt;margin-top:-70.4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" fillcolor="gray [1629]" stroked="f" strokeweight="1pt">
                <v:fill opacity="30069f"/>
                <w10:wrap anchorx="page"/>
              </v:rect>
            </w:pict>
          </mc:Fallback>
        </mc:AlternateContent>
      </w:r>
    </w:p>
    <w:p w14:paraId="6D40FC12" w14:textId="63106C3B" w:rsidR="009C27B0" w:rsidRDefault="0095414E">
      <w:pPr>
        <w:rPr>
          <w:rFonts w:ascii="Arial" w:hAnsi="Arial" w:cs="Arial"/>
          <w:b/>
          <w:bCs/>
          <w:sz w:val="28"/>
          <w:szCs w:val="28"/>
        </w:rPr>
      </w:pPr>
      <w:r>
        <w:rPr>
          <w:noProof/>
          <w:lang w:eastAsia="en-GB"/>
        </w:rPr>
        <w:lastRenderedPageBreak/>
        <mc:AlternateContent>
          <mc:Choice Requires="wps">
            <w:drawing>
              <wp:anchor distT="0" distB="0" distL="114300" distR="114300" simplePos="0" relativeHeight="251693056" behindDoc="0" locked="0" layoutInCell="1" allowOverlap="1" wp14:anchorId="63039FE4" wp14:editId="15A0F0B1">
                <wp:simplePos x="0" y="0"/>
                <wp:positionH relativeFrom="margin">
                  <wp:posOffset>166861</wp:posOffset>
                </wp:positionH>
                <wp:positionV relativeFrom="paragraph">
                  <wp:posOffset>3984648</wp:posOffset>
                </wp:positionV>
                <wp:extent cx="4471883" cy="2275988"/>
                <wp:effectExtent l="0" t="0" r="24130" b="10160"/>
                <wp:wrapNone/>
                <wp:docPr id="1019309355" name="Text Box 12"/>
                <wp:cNvGraphicFramePr/>
                <a:graphic xmlns:a="http://schemas.openxmlformats.org/drawingml/2006/main">
                  <a:graphicData uri="http://schemas.microsoft.com/office/word/2010/wordprocessingShape">
                    <wps:wsp>
                      <wps:cNvSpPr txBox="1"/>
                      <wps:spPr>
                        <a:xfrm>
                          <a:off x="0" y="0"/>
                          <a:ext cx="4471883" cy="2275988"/>
                        </a:xfrm>
                        <a:prstGeom prst="rect">
                          <a:avLst/>
                        </a:prstGeom>
                        <a:solidFill>
                          <a:schemeClr val="lt1"/>
                        </a:solidFill>
                        <a:ln w="6350">
                          <a:solidFill>
                            <a:prstClr val="black"/>
                          </a:solidFill>
                        </a:ln>
                      </wps:spPr>
                      <wps:txbx>
                        <w:txbxContent>
                          <w:p w14:paraId="14A9B6BE" w14:textId="47612B7E" w:rsidR="0095414E" w:rsidRDefault="0095414E" w:rsidP="00310143">
                            <w:pPr>
                              <w:spacing w:line="240" w:lineRule="auto"/>
                            </w:pPr>
                            <w:r>
                              <w:rPr>
                                <w:noProof/>
                                <w:lang w:eastAsia="en-GB"/>
                              </w:rPr>
                              <w:drawing>
                                <wp:inline distT="0" distB="0" distL="0" distR="0" wp14:anchorId="62D524E3" wp14:editId="5B8A415B">
                                  <wp:extent cx="4342410" cy="1788754"/>
                                  <wp:effectExtent l="0" t="0" r="127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555.png"/>
                                          <pic:cNvPicPr/>
                                        </pic:nvPicPr>
                                        <pic:blipFill>
                                          <a:blip r:embed="rId18">
                                            <a:extLst>
                                              <a:ext uri="{28A0092B-C50C-407E-A947-70E740481C1C}">
                                                <a14:useLocalDpi xmlns:a14="http://schemas.microsoft.com/office/drawing/2010/main" val="0"/>
                                              </a:ext>
                                            </a:extLst>
                                          </a:blip>
                                          <a:stretch>
                                            <a:fillRect/>
                                          </a:stretch>
                                        </pic:blipFill>
                                        <pic:spPr>
                                          <a:xfrm>
                                            <a:off x="0" y="0"/>
                                            <a:ext cx="4398592" cy="1811897"/>
                                          </a:xfrm>
                                          <a:prstGeom prst="rect">
                                            <a:avLst/>
                                          </a:prstGeom>
                                        </pic:spPr>
                                      </pic:pic>
                                    </a:graphicData>
                                  </a:graphic>
                                </wp:inline>
                              </w:drawing>
                            </w:r>
                          </w:p>
                          <w:p w14:paraId="0F4F510E" w14:textId="77777777" w:rsidR="0095414E" w:rsidRPr="00B43258" w:rsidRDefault="00310143" w:rsidP="0095414E">
                            <w:pPr>
                              <w:spacing w:line="240" w:lineRule="auto"/>
                              <w:jc w:val="center"/>
                              <w:rPr>
                                <w:rFonts w:ascii="Calibri" w:hAnsi="Calibri" w:cs="Calibri"/>
                                <w:sz w:val="32"/>
                                <w:szCs w:val="32"/>
                              </w:rPr>
                            </w:pPr>
                            <w:r w:rsidRPr="00B43258">
                              <w:rPr>
                                <w:rFonts w:ascii="Calibri" w:hAnsi="Calibri" w:cs="Calibri"/>
                                <w:b/>
                                <w:bCs/>
                                <w:sz w:val="20"/>
                                <w:szCs w:val="20"/>
                              </w:rPr>
                              <w:t xml:space="preserve">Figure </w:t>
                            </w:r>
                            <w:r w:rsidR="004C44BA">
                              <w:rPr>
                                <w:rFonts w:ascii="Calibri" w:hAnsi="Calibri" w:cs="Calibri"/>
                                <w:b/>
                                <w:bCs/>
                                <w:sz w:val="20"/>
                                <w:szCs w:val="20"/>
                              </w:rPr>
                              <w:t>3</w:t>
                            </w:r>
                            <w:r w:rsidRPr="00B43258">
                              <w:rPr>
                                <w:rFonts w:ascii="Calibri" w:hAnsi="Calibri" w:cs="Calibri"/>
                                <w:b/>
                                <w:bCs/>
                                <w:sz w:val="20"/>
                                <w:szCs w:val="20"/>
                              </w:rPr>
                              <w:t xml:space="preserve">: Decreasing number of community pharmacy in England </w:t>
                            </w:r>
                            <w:r w:rsidR="0095414E" w:rsidRPr="00B43258">
                              <w:rPr>
                                <w:rFonts w:ascii="Calibri" w:hAnsi="Calibri" w:cs="Calibri"/>
                                <w:sz w:val="20"/>
                                <w:szCs w:val="20"/>
                              </w:rPr>
                              <w:t xml:space="preserve">(Source: </w:t>
                            </w:r>
                            <w:proofErr w:type="spellStart"/>
                            <w:r w:rsidR="0095414E" w:rsidRPr="00B43258">
                              <w:rPr>
                                <w:rFonts w:ascii="Calibri" w:hAnsi="Calibri" w:cs="Calibri"/>
                                <w:sz w:val="20"/>
                                <w:szCs w:val="20"/>
                              </w:rPr>
                              <w:t>Minhas</w:t>
                            </w:r>
                            <w:proofErr w:type="spellEnd"/>
                            <w:r w:rsidR="0095414E" w:rsidRPr="00B43258">
                              <w:rPr>
                                <w:rFonts w:ascii="Calibri" w:hAnsi="Calibri" w:cs="Calibri"/>
                                <w:sz w:val="20"/>
                                <w:szCs w:val="20"/>
                              </w:rPr>
                              <w:t>, 2026)</w:t>
                            </w:r>
                          </w:p>
                          <w:p w14:paraId="16D6B432" w14:textId="69D6779F" w:rsidR="00310143" w:rsidRPr="00B43258" w:rsidRDefault="00310143" w:rsidP="00310143">
                            <w:pPr>
                              <w:spacing w:line="240" w:lineRule="auto"/>
                              <w:jc w:val="center"/>
                              <w:rPr>
                                <w:rFonts w:ascii="Calibri" w:hAnsi="Calibri" w:cs="Calibri"/>
                                <w:b/>
                                <w:bCs/>
                                <w:sz w:val="20"/>
                                <w:szCs w:val="20"/>
                              </w:rPr>
                            </w:pPr>
                          </w:p>
                          <w:p w14:paraId="47E53632" w14:textId="70E540C1" w:rsidR="00310143" w:rsidRPr="00B43258" w:rsidRDefault="00310143" w:rsidP="00310143">
                            <w:pPr>
                              <w:spacing w:line="240" w:lineRule="auto"/>
                              <w:jc w:val="center"/>
                              <w:rPr>
                                <w:rFonts w:ascii="Calibri" w:hAnsi="Calibri" w:cs="Calibri"/>
                                <w:sz w:val="32"/>
                                <w:szCs w:val="32"/>
                              </w:rPr>
                            </w:pPr>
                            <w:r w:rsidRPr="00B43258">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39FE4" id="Text Box 12" o:spid="_x0000_s1032" type="#_x0000_t202" style="position:absolute;margin-left:13.15pt;margin-top:313.75pt;width:352.1pt;height:17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" fillcolor="white [3201]" strokeweight=".5pt">
                <v:textbox>
                  <w:txbxContent>
                    <w:p w14:paraId="14A9B6BE" w14:textId="47612B7E" w:rsidR="0095414E" w:rsidRDefault="0095414E" w:rsidP="00310143">
                      <w:pPr>
                        <w:spacing w:line="240" w:lineRule="auto"/>
                      </w:pPr>
                      <w:r>
                        <w:rPr>
                          <w:noProof/>
                          <w:lang w:eastAsia="en-GB"/>
                        </w:rPr>
                        <w:drawing>
                          <wp:inline distT="0" distB="0" distL="0" distR="0" wp14:anchorId="62D524E3" wp14:editId="5B8A415B">
                            <wp:extent cx="4342410" cy="1788754"/>
                            <wp:effectExtent l="0" t="0" r="127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555.png"/>
                                    <pic:cNvPicPr/>
                                  </pic:nvPicPr>
                                  <pic:blipFill>
                                    <a:blip r:embed="rId18">
                                      <a:extLst>
                                        <a:ext uri="{28A0092B-C50C-407E-A947-70E740481C1C}">
                                          <a14:useLocalDpi xmlns:a14="http://schemas.microsoft.com/office/drawing/2010/main" val="0"/>
                                        </a:ext>
                                      </a:extLst>
                                    </a:blip>
                                    <a:stretch>
                                      <a:fillRect/>
                                    </a:stretch>
                                  </pic:blipFill>
                                  <pic:spPr>
                                    <a:xfrm>
                                      <a:off x="0" y="0"/>
                                      <a:ext cx="4398592" cy="1811897"/>
                                    </a:xfrm>
                                    <a:prstGeom prst="rect">
                                      <a:avLst/>
                                    </a:prstGeom>
                                  </pic:spPr>
                                </pic:pic>
                              </a:graphicData>
                            </a:graphic>
                          </wp:inline>
                        </w:drawing>
                      </w:r>
                    </w:p>
                    <w:p w14:paraId="0F4F510E" w14:textId="77777777" w:rsidR="0095414E" w:rsidRPr="00B43258" w:rsidRDefault="00310143" w:rsidP="0095414E">
                      <w:pPr>
                        <w:spacing w:line="240" w:lineRule="auto"/>
                        <w:jc w:val="center"/>
                        <w:rPr>
                          <w:rFonts w:ascii="Calibri" w:hAnsi="Calibri" w:cs="Calibri"/>
                          <w:sz w:val="32"/>
                          <w:szCs w:val="32"/>
                        </w:rPr>
                      </w:pPr>
                      <w:r w:rsidRPr="00B43258">
                        <w:rPr>
                          <w:rFonts w:ascii="Calibri" w:hAnsi="Calibri" w:cs="Calibri"/>
                          <w:b/>
                          <w:bCs/>
                          <w:sz w:val="20"/>
                          <w:szCs w:val="20"/>
                        </w:rPr>
                        <w:t xml:space="preserve">Figure </w:t>
                      </w:r>
                      <w:r w:rsidR="004C44BA">
                        <w:rPr>
                          <w:rFonts w:ascii="Calibri" w:hAnsi="Calibri" w:cs="Calibri"/>
                          <w:b/>
                          <w:bCs/>
                          <w:sz w:val="20"/>
                          <w:szCs w:val="20"/>
                        </w:rPr>
                        <w:t>3</w:t>
                      </w:r>
                      <w:r w:rsidRPr="00B43258">
                        <w:rPr>
                          <w:rFonts w:ascii="Calibri" w:hAnsi="Calibri" w:cs="Calibri"/>
                          <w:b/>
                          <w:bCs/>
                          <w:sz w:val="20"/>
                          <w:szCs w:val="20"/>
                        </w:rPr>
                        <w:t xml:space="preserve">: Decreasing number of community pharmacy in England </w:t>
                      </w:r>
                      <w:r w:rsidR="0095414E" w:rsidRPr="00B43258">
                        <w:rPr>
                          <w:rFonts w:ascii="Calibri" w:hAnsi="Calibri" w:cs="Calibri"/>
                          <w:sz w:val="20"/>
                          <w:szCs w:val="20"/>
                        </w:rPr>
                        <w:t xml:space="preserve">(Source: </w:t>
                      </w:r>
                      <w:proofErr w:type="spellStart"/>
                      <w:r w:rsidR="0095414E" w:rsidRPr="00B43258">
                        <w:rPr>
                          <w:rFonts w:ascii="Calibri" w:hAnsi="Calibri" w:cs="Calibri"/>
                          <w:sz w:val="20"/>
                          <w:szCs w:val="20"/>
                        </w:rPr>
                        <w:t>Minhas</w:t>
                      </w:r>
                      <w:proofErr w:type="spellEnd"/>
                      <w:r w:rsidR="0095414E" w:rsidRPr="00B43258">
                        <w:rPr>
                          <w:rFonts w:ascii="Calibri" w:hAnsi="Calibri" w:cs="Calibri"/>
                          <w:sz w:val="20"/>
                          <w:szCs w:val="20"/>
                        </w:rPr>
                        <w:t>, 2026)</w:t>
                      </w:r>
                    </w:p>
                    <w:p w14:paraId="16D6B432" w14:textId="69D6779F" w:rsidR="00310143" w:rsidRPr="00B43258" w:rsidRDefault="00310143" w:rsidP="00310143">
                      <w:pPr>
                        <w:spacing w:line="240" w:lineRule="auto"/>
                        <w:jc w:val="center"/>
                        <w:rPr>
                          <w:rFonts w:ascii="Calibri" w:hAnsi="Calibri" w:cs="Calibri"/>
                          <w:b/>
                          <w:bCs/>
                          <w:sz w:val="20"/>
                          <w:szCs w:val="20"/>
                        </w:rPr>
                      </w:pPr>
                    </w:p>
                    <w:p w14:paraId="47E53632" w14:textId="70E540C1" w:rsidR="00310143" w:rsidRPr="00B43258" w:rsidRDefault="00310143" w:rsidP="00310143">
                      <w:pPr>
                        <w:spacing w:line="240" w:lineRule="auto"/>
                        <w:jc w:val="center"/>
                        <w:rPr>
                          <w:rFonts w:ascii="Calibri" w:hAnsi="Calibri" w:cs="Calibri"/>
                          <w:sz w:val="32"/>
                          <w:szCs w:val="32"/>
                        </w:rPr>
                      </w:pPr>
                      <w:r w:rsidRPr="00B43258">
                        <w:rPr>
                          <w:rFonts w:ascii="Calibri" w:hAnsi="Calibri" w:cs="Calibri"/>
                          <w:sz w:val="20"/>
                          <w:szCs w:val="20"/>
                        </w:rPr>
                        <w:t>(</w:t>
                      </w:r>
                    </w:p>
                  </w:txbxContent>
                </v:textbox>
                <w10:wrap anchorx="margin"/>
              </v:shape>
            </w:pict>
          </mc:Fallback>
        </mc:AlternateContent>
      </w:r>
      <w:r>
        <w:rPr>
          <w:noProof/>
          <w:lang w:eastAsia="en-GB"/>
        </w:rPr>
        <mc:AlternateContent>
          <mc:Choice Requires="wps">
            <w:drawing>
              <wp:anchor distT="45720" distB="45720" distL="114300" distR="114300" simplePos="0" relativeHeight="251685888" behindDoc="0" locked="0" layoutInCell="1" allowOverlap="1" wp14:anchorId="2D3B2C5B" wp14:editId="1F5B4B77">
                <wp:simplePos x="0" y="0"/>
                <wp:positionH relativeFrom="margin">
                  <wp:posOffset>153035</wp:posOffset>
                </wp:positionH>
                <wp:positionV relativeFrom="paragraph">
                  <wp:posOffset>1955165</wp:posOffset>
                </wp:positionV>
                <wp:extent cx="4498340" cy="1935480"/>
                <wp:effectExtent l="19050" t="19050" r="1651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340" cy="1935480"/>
                        </a:xfrm>
                        <a:prstGeom prst="rect">
                          <a:avLst/>
                        </a:prstGeom>
                        <a:solidFill>
                          <a:srgbClr val="FFFFFF"/>
                        </a:solidFill>
                        <a:ln w="44450">
                          <a:solidFill>
                            <a:srgbClr val="000000"/>
                          </a:solidFill>
                          <a:miter lim="800000"/>
                          <a:headEnd/>
                          <a:tailEnd/>
                        </a:ln>
                        <a:effectLst>
                          <a:softEdge rad="25400"/>
                        </a:effectLst>
                      </wps:spPr>
                      <wps:txbx>
                        <w:txbxContent>
                          <w:p w14:paraId="7AEA4347" w14:textId="77777777" w:rsidR="00287E27" w:rsidRPr="00287E27" w:rsidRDefault="00287E27" w:rsidP="00287E27">
                            <w:pPr>
                              <w:spacing w:before="100" w:beforeAutospacing="1" w:after="100" w:afterAutospacing="1" w:line="240" w:lineRule="auto"/>
                              <w:outlineLvl w:val="2"/>
                              <w:rPr>
                                <w:rFonts w:ascii="Arial" w:eastAsia="Times New Roman" w:hAnsi="Arial" w:cs="Arial"/>
                                <w:b/>
                                <w:bCs/>
                                <w:lang w:eastAsia="en-GB"/>
                              </w:rPr>
                            </w:pPr>
                            <w:r w:rsidRPr="00287E27">
                              <w:rPr>
                                <w:rFonts w:ascii="Arial" w:eastAsia="Times New Roman" w:hAnsi="Arial" w:cs="Arial"/>
                                <w:b/>
                                <w:bCs/>
                                <w:lang w:eastAsia="en-GB"/>
                              </w:rPr>
                              <w:t>Challenge 1: High Workload and Funding Pressure</w:t>
                            </w:r>
                          </w:p>
                          <w:p w14:paraId="0823F59B" w14:textId="77777777" w:rsidR="00287E27" w:rsidRPr="00287E27" w:rsidRDefault="00287E27" w:rsidP="00812DD7">
                            <w:pPr>
                              <w:spacing w:before="100" w:beforeAutospacing="1" w:after="100" w:afterAutospacing="1" w:line="360" w:lineRule="auto"/>
                              <w:rPr>
                                <w:rFonts w:ascii="Arial" w:eastAsia="Times New Roman" w:hAnsi="Arial" w:cs="Arial"/>
                                <w:lang w:eastAsia="en-GB"/>
                              </w:rPr>
                            </w:pPr>
                            <w:r w:rsidRPr="00287E27">
                              <w:rPr>
                                <w:rFonts w:ascii="Arial" w:eastAsia="Times New Roman" w:hAnsi="Arial" w:cs="Arial"/>
                                <w:lang w:eastAsia="en-GB"/>
                              </w:rPr>
                              <w:t xml:space="preserve">Community pharmacies face staff shortages, increasing workloads, and limited funding. Many pharmacies receive less funding than the cost of providing NHS services, threatening their long-term sustainability (Community Pharmacy England, 2025). Expanding roles, such as </w:t>
                            </w:r>
                            <w:r w:rsidRPr="00287E27">
                              <w:rPr>
                                <w:rFonts w:ascii="Arial" w:eastAsia="Times New Roman" w:hAnsi="Arial" w:cs="Arial"/>
                                <w:b/>
                                <w:bCs/>
                                <w:lang w:eastAsia="en-GB"/>
                              </w:rPr>
                              <w:t>Pharmacy First</w:t>
                            </w:r>
                            <w:r w:rsidRPr="00287E27">
                              <w:rPr>
                                <w:rFonts w:ascii="Arial" w:eastAsia="Times New Roman" w:hAnsi="Arial" w:cs="Arial"/>
                                <w:lang w:eastAsia="en-GB"/>
                              </w:rPr>
                              <w:t xml:space="preserve"> and independent prescribing, have further increased pressure on pharmacy staff (Robertson, 2026).</w:t>
                            </w:r>
                          </w:p>
                          <w:p w14:paraId="533D5818" w14:textId="7162C9BA" w:rsidR="009C27B0" w:rsidRPr="00641884" w:rsidRDefault="009C27B0" w:rsidP="009C27B0">
                            <w:pPr>
                              <w:rPr>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B2C5B" id="_x0000_s1033" type="#_x0000_t202" style="position:absolute;margin-left:12.05pt;margin-top:153.95pt;width:354.2pt;height:152.4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" strokeweight="3.5pt">
                <v:textbox>
                  <w:txbxContent>
                    <w:p w14:paraId="7AEA4347" w14:textId="77777777" w:rsidR="00287E27" w:rsidRPr="00287E27" w:rsidRDefault="00287E27" w:rsidP="00287E27">
                      <w:pPr>
                        <w:spacing w:before="100" w:beforeAutospacing="1" w:after="100" w:afterAutospacing="1" w:line="240" w:lineRule="auto"/>
                        <w:outlineLvl w:val="2"/>
                        <w:rPr>
                          <w:rFonts w:ascii="Arial" w:eastAsia="Times New Roman" w:hAnsi="Arial" w:cs="Arial"/>
                          <w:b/>
                          <w:bCs/>
                          <w:lang w:eastAsia="en-GB"/>
                        </w:rPr>
                      </w:pPr>
                      <w:r w:rsidRPr="00287E27">
                        <w:rPr>
                          <w:rFonts w:ascii="Arial" w:eastAsia="Times New Roman" w:hAnsi="Arial" w:cs="Arial"/>
                          <w:b/>
                          <w:bCs/>
                          <w:lang w:eastAsia="en-GB"/>
                        </w:rPr>
                        <w:t>Challenge 1: High Workload and Funding Pressure</w:t>
                      </w:r>
                    </w:p>
                    <w:p w14:paraId="0823F59B" w14:textId="77777777" w:rsidR="00287E27" w:rsidRPr="00287E27" w:rsidRDefault="00287E27" w:rsidP="00812DD7">
                      <w:pPr>
                        <w:spacing w:before="100" w:beforeAutospacing="1" w:after="100" w:afterAutospacing="1" w:line="360" w:lineRule="auto"/>
                        <w:rPr>
                          <w:rFonts w:ascii="Arial" w:eastAsia="Times New Roman" w:hAnsi="Arial" w:cs="Arial"/>
                          <w:lang w:eastAsia="en-GB"/>
                        </w:rPr>
                      </w:pPr>
                      <w:r w:rsidRPr="00287E27">
                        <w:rPr>
                          <w:rFonts w:ascii="Arial" w:eastAsia="Times New Roman" w:hAnsi="Arial" w:cs="Arial"/>
                          <w:lang w:eastAsia="en-GB"/>
                        </w:rPr>
                        <w:t xml:space="preserve">Community pharmacies face staff shortages, increasing workloads, and limited funding. Many pharmacies receive less funding than the cost of providing NHS services, threatening their long-term sustainability (Community Pharmacy England, 2025). Expanding roles, such as </w:t>
                      </w:r>
                      <w:r w:rsidRPr="00287E27">
                        <w:rPr>
                          <w:rFonts w:ascii="Arial" w:eastAsia="Times New Roman" w:hAnsi="Arial" w:cs="Arial"/>
                          <w:b/>
                          <w:bCs/>
                          <w:lang w:eastAsia="en-GB"/>
                        </w:rPr>
                        <w:t>Pharmacy First</w:t>
                      </w:r>
                      <w:r w:rsidRPr="00287E27">
                        <w:rPr>
                          <w:rFonts w:ascii="Arial" w:eastAsia="Times New Roman" w:hAnsi="Arial" w:cs="Arial"/>
                          <w:lang w:eastAsia="en-GB"/>
                        </w:rPr>
                        <w:t xml:space="preserve"> and independent prescribing, have further increased pressure on pharmacy staff (Robertson, 2026).</w:t>
                      </w:r>
                    </w:p>
                    <w:p w14:paraId="533D5818" w14:textId="7162C9BA" w:rsidR="009C27B0" w:rsidRPr="00641884" w:rsidRDefault="009C27B0" w:rsidP="009C27B0">
                      <w:pPr>
                        <w:rPr>
                          <w:lang w:val="en-IN"/>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7936" behindDoc="0" locked="0" layoutInCell="1" allowOverlap="1" wp14:anchorId="2FE02369" wp14:editId="0814FCF0">
                <wp:simplePos x="0" y="0"/>
                <wp:positionH relativeFrom="page">
                  <wp:posOffset>1040765</wp:posOffset>
                </wp:positionH>
                <wp:positionV relativeFrom="paragraph">
                  <wp:posOffset>153035</wp:posOffset>
                </wp:positionV>
                <wp:extent cx="4525010" cy="1715135"/>
                <wp:effectExtent l="19050" t="19050" r="46990" b="3746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5010" cy="1715135"/>
                        </a:xfrm>
                        <a:prstGeom prst="rect">
                          <a:avLst/>
                        </a:prstGeom>
                        <a:solidFill>
                          <a:srgbClr val="FFFFFF"/>
                        </a:solidFill>
                        <a:ln w="47625">
                          <a:solidFill>
                            <a:srgbClr val="000000"/>
                          </a:solidFill>
                          <a:miter lim="800000"/>
                          <a:headEnd/>
                          <a:tailEnd/>
                        </a:ln>
                        <a:effectLst>
                          <a:softEdge rad="25400"/>
                        </a:effectLst>
                      </wps:spPr>
                      <wps:txbx>
                        <w:txbxContent>
                          <w:p w14:paraId="64FA5A87" w14:textId="77777777" w:rsidR="0095414E" w:rsidRPr="0095414E" w:rsidRDefault="0095414E" w:rsidP="0095414E">
                            <w:pPr>
                              <w:spacing w:before="100" w:beforeAutospacing="1" w:after="100" w:afterAutospacing="1" w:line="360" w:lineRule="auto"/>
                              <w:outlineLvl w:val="2"/>
                              <w:rPr>
                                <w:rFonts w:ascii="Arial" w:eastAsia="Times New Roman" w:hAnsi="Arial" w:cs="Arial"/>
                                <w:b/>
                                <w:bCs/>
                                <w:lang w:eastAsia="en-GB"/>
                              </w:rPr>
                            </w:pPr>
                            <w:r w:rsidRPr="0095414E">
                              <w:rPr>
                                <w:rFonts w:ascii="Arial" w:eastAsia="Times New Roman" w:hAnsi="Arial" w:cs="Arial"/>
                                <w:b/>
                                <w:bCs/>
                                <w:lang w:eastAsia="en-GB"/>
                              </w:rPr>
                              <w:t>Current Functioning of the Service (Very Short Version)</w:t>
                            </w:r>
                          </w:p>
                          <w:p w14:paraId="736FD9E9" w14:textId="77777777" w:rsidR="0095414E" w:rsidRPr="0095414E" w:rsidRDefault="0095414E" w:rsidP="0095414E">
                            <w:pPr>
                              <w:spacing w:before="100" w:beforeAutospacing="1" w:after="100" w:afterAutospacing="1" w:line="360" w:lineRule="auto"/>
                              <w:rPr>
                                <w:rFonts w:ascii="Arial" w:eastAsia="Times New Roman" w:hAnsi="Arial" w:cs="Arial"/>
                                <w:lang w:eastAsia="en-GB"/>
                              </w:rPr>
                            </w:pPr>
                            <w:r w:rsidRPr="0095414E">
                              <w:rPr>
                                <w:rFonts w:ascii="Arial" w:eastAsia="Times New Roman" w:hAnsi="Arial" w:cs="Arial"/>
                                <w:lang w:eastAsia="en-GB"/>
                              </w:rPr>
                              <w:t xml:space="preserve">In </w:t>
                            </w:r>
                            <w:r w:rsidRPr="0095414E">
                              <w:rPr>
                                <w:rFonts w:ascii="Arial" w:eastAsia="Times New Roman" w:hAnsi="Arial" w:cs="Arial"/>
                                <w:b/>
                                <w:bCs/>
                                <w:lang w:eastAsia="en-GB"/>
                              </w:rPr>
                              <w:t>2023–24</w:t>
                            </w:r>
                            <w:r w:rsidRPr="0095414E">
                              <w:rPr>
                                <w:rFonts w:ascii="Arial" w:eastAsia="Times New Roman" w:hAnsi="Arial" w:cs="Arial"/>
                                <w:lang w:eastAsia="en-GB"/>
                              </w:rPr>
                              <w:t xml:space="preserve">, over </w:t>
                            </w:r>
                            <w:r w:rsidRPr="0095414E">
                              <w:rPr>
                                <w:rFonts w:ascii="Arial" w:eastAsia="Times New Roman" w:hAnsi="Arial" w:cs="Arial"/>
                                <w:b/>
                                <w:bCs/>
                                <w:lang w:eastAsia="en-GB"/>
                              </w:rPr>
                              <w:t>12,000 community pharmacies</w:t>
                            </w:r>
                            <w:r w:rsidRPr="0095414E">
                              <w:rPr>
                                <w:rFonts w:ascii="Arial" w:eastAsia="Times New Roman" w:hAnsi="Arial" w:cs="Arial"/>
                                <w:lang w:eastAsia="en-GB"/>
                              </w:rPr>
                              <w:t xml:space="preserve"> in England provided NHS services, including dispensing medicines, </w:t>
                            </w:r>
                            <w:r w:rsidRPr="0095414E">
                              <w:rPr>
                                <w:rFonts w:ascii="Arial" w:eastAsia="Times New Roman" w:hAnsi="Arial" w:cs="Arial"/>
                                <w:b/>
                                <w:bCs/>
                                <w:lang w:eastAsia="en-GB"/>
                              </w:rPr>
                              <w:t>Pharmacy First</w:t>
                            </w:r>
                            <w:r w:rsidRPr="0095414E">
                              <w:rPr>
                                <w:rFonts w:ascii="Arial" w:eastAsia="Times New Roman" w:hAnsi="Arial" w:cs="Arial"/>
                                <w:lang w:eastAsia="en-GB"/>
                              </w:rPr>
                              <w:t>, vaccinations, health checks, and advice on common illnesses (</w:t>
                            </w:r>
                            <w:proofErr w:type="spellStart"/>
                            <w:r w:rsidRPr="0095414E">
                              <w:rPr>
                                <w:rFonts w:ascii="Arial" w:eastAsia="Times New Roman" w:hAnsi="Arial" w:cs="Arial"/>
                                <w:lang w:eastAsia="en-GB"/>
                              </w:rPr>
                              <w:t>Minhas</w:t>
                            </w:r>
                            <w:proofErr w:type="spellEnd"/>
                            <w:r w:rsidRPr="0095414E">
                              <w:rPr>
                                <w:rFonts w:ascii="Arial" w:eastAsia="Times New Roman" w:hAnsi="Arial" w:cs="Arial"/>
                                <w:lang w:eastAsia="en-GB"/>
                              </w:rPr>
                              <w:t xml:space="preserve">, 2026). Pharmacists work with GPs and hospitals to deliver safe, accessible care under </w:t>
                            </w:r>
                            <w:proofErr w:type="spellStart"/>
                            <w:r w:rsidRPr="0095414E">
                              <w:rPr>
                                <w:rFonts w:ascii="Arial" w:eastAsia="Times New Roman" w:hAnsi="Arial" w:cs="Arial"/>
                                <w:b/>
                                <w:bCs/>
                                <w:lang w:eastAsia="en-GB"/>
                              </w:rPr>
                              <w:t>GPhC</w:t>
                            </w:r>
                            <w:proofErr w:type="spellEnd"/>
                            <w:r w:rsidRPr="0095414E">
                              <w:rPr>
                                <w:rFonts w:ascii="Arial" w:eastAsia="Times New Roman" w:hAnsi="Arial" w:cs="Arial"/>
                                <w:lang w:eastAsia="en-GB"/>
                              </w:rPr>
                              <w:t xml:space="preserve"> regulations.</w:t>
                            </w:r>
                          </w:p>
                          <w:p w14:paraId="58CC986E" w14:textId="77777777" w:rsidR="00641884" w:rsidRDefault="00641884" w:rsidP="0095414E">
                            <w:pPr>
                              <w:spacing w:line="360" w:lineRule="auto"/>
                            </w:pPr>
                          </w:p>
                          <w:p w14:paraId="3C0089FB" w14:textId="77777777" w:rsidR="00641884" w:rsidRDefault="00641884" w:rsidP="0095414E">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02369" id="Text Box 8" o:spid="_x0000_s1034" type="#_x0000_t202" style="position:absolute;margin-left:81.95pt;margin-top:12.05pt;width:356.3pt;height:135.0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" strokeweight="3.75pt">
                <v:textbox>
                  <w:txbxContent>
                    <w:p w14:paraId="64FA5A87" w14:textId="77777777" w:rsidR="0095414E" w:rsidRPr="0095414E" w:rsidRDefault="0095414E" w:rsidP="0095414E">
                      <w:pPr>
                        <w:spacing w:before="100" w:beforeAutospacing="1" w:after="100" w:afterAutospacing="1" w:line="360" w:lineRule="auto"/>
                        <w:outlineLvl w:val="2"/>
                        <w:rPr>
                          <w:rFonts w:ascii="Arial" w:eastAsia="Times New Roman" w:hAnsi="Arial" w:cs="Arial"/>
                          <w:b/>
                          <w:bCs/>
                          <w:lang w:eastAsia="en-GB"/>
                        </w:rPr>
                      </w:pPr>
                      <w:r w:rsidRPr="0095414E">
                        <w:rPr>
                          <w:rFonts w:ascii="Arial" w:eastAsia="Times New Roman" w:hAnsi="Arial" w:cs="Arial"/>
                          <w:b/>
                          <w:bCs/>
                          <w:lang w:eastAsia="en-GB"/>
                        </w:rPr>
                        <w:t>Current Functioning of the Service (Very Short Version)</w:t>
                      </w:r>
                    </w:p>
                    <w:p w14:paraId="736FD9E9" w14:textId="77777777" w:rsidR="0095414E" w:rsidRPr="0095414E" w:rsidRDefault="0095414E" w:rsidP="0095414E">
                      <w:pPr>
                        <w:spacing w:before="100" w:beforeAutospacing="1" w:after="100" w:afterAutospacing="1" w:line="360" w:lineRule="auto"/>
                        <w:rPr>
                          <w:rFonts w:ascii="Arial" w:eastAsia="Times New Roman" w:hAnsi="Arial" w:cs="Arial"/>
                          <w:lang w:eastAsia="en-GB"/>
                        </w:rPr>
                      </w:pPr>
                      <w:r w:rsidRPr="0095414E">
                        <w:rPr>
                          <w:rFonts w:ascii="Arial" w:eastAsia="Times New Roman" w:hAnsi="Arial" w:cs="Arial"/>
                          <w:lang w:eastAsia="en-GB"/>
                        </w:rPr>
                        <w:t xml:space="preserve">In </w:t>
                      </w:r>
                      <w:r w:rsidRPr="0095414E">
                        <w:rPr>
                          <w:rFonts w:ascii="Arial" w:eastAsia="Times New Roman" w:hAnsi="Arial" w:cs="Arial"/>
                          <w:b/>
                          <w:bCs/>
                          <w:lang w:eastAsia="en-GB"/>
                        </w:rPr>
                        <w:t>2023–24</w:t>
                      </w:r>
                      <w:r w:rsidRPr="0095414E">
                        <w:rPr>
                          <w:rFonts w:ascii="Arial" w:eastAsia="Times New Roman" w:hAnsi="Arial" w:cs="Arial"/>
                          <w:lang w:eastAsia="en-GB"/>
                        </w:rPr>
                        <w:t xml:space="preserve">, over </w:t>
                      </w:r>
                      <w:r w:rsidRPr="0095414E">
                        <w:rPr>
                          <w:rFonts w:ascii="Arial" w:eastAsia="Times New Roman" w:hAnsi="Arial" w:cs="Arial"/>
                          <w:b/>
                          <w:bCs/>
                          <w:lang w:eastAsia="en-GB"/>
                        </w:rPr>
                        <w:t>12,000 community pharmacies</w:t>
                      </w:r>
                      <w:r w:rsidRPr="0095414E">
                        <w:rPr>
                          <w:rFonts w:ascii="Arial" w:eastAsia="Times New Roman" w:hAnsi="Arial" w:cs="Arial"/>
                          <w:lang w:eastAsia="en-GB"/>
                        </w:rPr>
                        <w:t xml:space="preserve"> in England provided NHS services, including dispensing medicines, </w:t>
                      </w:r>
                      <w:r w:rsidRPr="0095414E">
                        <w:rPr>
                          <w:rFonts w:ascii="Arial" w:eastAsia="Times New Roman" w:hAnsi="Arial" w:cs="Arial"/>
                          <w:b/>
                          <w:bCs/>
                          <w:lang w:eastAsia="en-GB"/>
                        </w:rPr>
                        <w:t>Pharmacy First</w:t>
                      </w:r>
                      <w:r w:rsidRPr="0095414E">
                        <w:rPr>
                          <w:rFonts w:ascii="Arial" w:eastAsia="Times New Roman" w:hAnsi="Arial" w:cs="Arial"/>
                          <w:lang w:eastAsia="en-GB"/>
                        </w:rPr>
                        <w:t>, vaccinations, health checks, and advice on common illnesses (</w:t>
                      </w:r>
                      <w:proofErr w:type="spellStart"/>
                      <w:r w:rsidRPr="0095414E">
                        <w:rPr>
                          <w:rFonts w:ascii="Arial" w:eastAsia="Times New Roman" w:hAnsi="Arial" w:cs="Arial"/>
                          <w:lang w:eastAsia="en-GB"/>
                        </w:rPr>
                        <w:t>Minhas</w:t>
                      </w:r>
                      <w:proofErr w:type="spellEnd"/>
                      <w:r w:rsidRPr="0095414E">
                        <w:rPr>
                          <w:rFonts w:ascii="Arial" w:eastAsia="Times New Roman" w:hAnsi="Arial" w:cs="Arial"/>
                          <w:lang w:eastAsia="en-GB"/>
                        </w:rPr>
                        <w:t xml:space="preserve">, 2026). Pharmacists work with GPs and hospitals to deliver safe, accessible care under </w:t>
                      </w:r>
                      <w:proofErr w:type="spellStart"/>
                      <w:r w:rsidRPr="0095414E">
                        <w:rPr>
                          <w:rFonts w:ascii="Arial" w:eastAsia="Times New Roman" w:hAnsi="Arial" w:cs="Arial"/>
                          <w:b/>
                          <w:bCs/>
                          <w:lang w:eastAsia="en-GB"/>
                        </w:rPr>
                        <w:t>GPhC</w:t>
                      </w:r>
                      <w:proofErr w:type="spellEnd"/>
                      <w:r w:rsidRPr="0095414E">
                        <w:rPr>
                          <w:rFonts w:ascii="Arial" w:eastAsia="Times New Roman" w:hAnsi="Arial" w:cs="Arial"/>
                          <w:lang w:eastAsia="en-GB"/>
                        </w:rPr>
                        <w:t xml:space="preserve"> regulations.</w:t>
                      </w:r>
                    </w:p>
                    <w:p w14:paraId="58CC986E" w14:textId="77777777" w:rsidR="00641884" w:rsidRDefault="00641884" w:rsidP="0095414E">
                      <w:pPr>
                        <w:spacing w:line="360" w:lineRule="auto"/>
                      </w:pPr>
                    </w:p>
                    <w:p w14:paraId="3C0089FB" w14:textId="77777777" w:rsidR="00641884" w:rsidRDefault="00641884" w:rsidP="0095414E">
                      <w:pPr>
                        <w:spacing w:line="360" w:lineRule="auto"/>
                      </w:pPr>
                    </w:p>
                  </w:txbxContent>
                </v:textbox>
                <w10:wrap type="square" anchorx="page"/>
              </v:shape>
            </w:pict>
          </mc:Fallback>
        </mc:AlternateContent>
      </w:r>
      <w:r w:rsidR="00812DD7">
        <w:rPr>
          <w:noProof/>
          <w:lang w:eastAsia="en-GB"/>
        </w:rPr>
        <mc:AlternateContent>
          <mc:Choice Requires="wps">
            <w:drawing>
              <wp:anchor distT="0" distB="0" distL="114300" distR="114300" simplePos="0" relativeHeight="251694080" behindDoc="0" locked="0" layoutInCell="1" allowOverlap="1" wp14:anchorId="367F99BD" wp14:editId="708A8123">
                <wp:simplePos x="0" y="0"/>
                <wp:positionH relativeFrom="page">
                  <wp:posOffset>5673285</wp:posOffset>
                </wp:positionH>
                <wp:positionV relativeFrom="paragraph">
                  <wp:posOffset>153512</wp:posOffset>
                </wp:positionV>
                <wp:extent cx="4951957" cy="2702560"/>
                <wp:effectExtent l="0" t="0" r="20320" b="21590"/>
                <wp:wrapNone/>
                <wp:docPr id="711446018" name="Text Box 14"/>
                <wp:cNvGraphicFramePr/>
                <a:graphic xmlns:a="http://schemas.openxmlformats.org/drawingml/2006/main">
                  <a:graphicData uri="http://schemas.microsoft.com/office/word/2010/wordprocessingShape">
                    <wps:wsp>
                      <wps:cNvSpPr txBox="1"/>
                      <wps:spPr>
                        <a:xfrm>
                          <a:off x="0" y="0"/>
                          <a:ext cx="4951957" cy="2702560"/>
                        </a:xfrm>
                        <a:prstGeom prst="rect">
                          <a:avLst/>
                        </a:prstGeom>
                        <a:solidFill>
                          <a:schemeClr val="lt1"/>
                        </a:solidFill>
                        <a:ln w="6350">
                          <a:solidFill>
                            <a:prstClr val="black"/>
                          </a:solidFill>
                        </a:ln>
                      </wps:spPr>
                      <wps:txbx>
                        <w:txbxContent>
                          <w:p w14:paraId="2B978BD1" w14:textId="49B4B3B6" w:rsidR="0004457F" w:rsidRDefault="0004457F">
                            <w:pPr>
                              <w:rPr>
                                <w:noProof/>
                                <w:lang w:eastAsia="en-GB"/>
                              </w:rPr>
                            </w:pPr>
                            <w:r>
                              <w:rPr>
                                <w:noProof/>
                                <w:lang w:eastAsia="en-GB"/>
                              </w:rPr>
                              <w:drawing>
                                <wp:inline distT="0" distB="0" distL="0" distR="0" wp14:anchorId="560114F6" wp14:editId="2AF3090B">
                                  <wp:extent cx="4818955" cy="20955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iii.png"/>
                                          <pic:cNvPicPr/>
                                        </pic:nvPicPr>
                                        <pic:blipFill>
                                          <a:blip r:embed="rId19">
                                            <a:extLst>
                                              <a:ext uri="{28A0092B-C50C-407E-A947-70E740481C1C}">
                                                <a14:useLocalDpi xmlns:a14="http://schemas.microsoft.com/office/drawing/2010/main" val="0"/>
                                              </a:ext>
                                            </a:extLst>
                                          </a:blip>
                                          <a:stretch>
                                            <a:fillRect/>
                                          </a:stretch>
                                        </pic:blipFill>
                                        <pic:spPr>
                                          <a:xfrm>
                                            <a:off x="0" y="0"/>
                                            <a:ext cx="4836989" cy="2103342"/>
                                          </a:xfrm>
                                          <a:prstGeom prst="rect">
                                            <a:avLst/>
                                          </a:prstGeom>
                                        </pic:spPr>
                                      </pic:pic>
                                    </a:graphicData>
                                  </a:graphic>
                                </wp:inline>
                              </w:drawing>
                            </w:r>
                          </w:p>
                          <w:p w14:paraId="55675E96" w14:textId="77777777" w:rsidR="0004457F" w:rsidRPr="00F34263" w:rsidRDefault="00F34263" w:rsidP="0004457F">
                            <w:pPr>
                              <w:spacing w:line="240" w:lineRule="auto"/>
                              <w:jc w:val="center"/>
                              <w:rPr>
                                <w:rFonts w:ascii="Calibri" w:hAnsi="Calibri" w:cs="Calibri"/>
                                <w:sz w:val="32"/>
                                <w:szCs w:val="32"/>
                              </w:rPr>
                            </w:pPr>
                            <w:r w:rsidRPr="00F34263">
                              <w:rPr>
                                <w:rFonts w:ascii="Calibri" w:hAnsi="Calibri" w:cs="Calibri"/>
                                <w:b/>
                                <w:bCs/>
                                <w:sz w:val="20"/>
                                <w:szCs w:val="20"/>
                              </w:rPr>
                              <w:t xml:space="preserve">Figure </w:t>
                            </w:r>
                            <w:r w:rsidR="004C44BA">
                              <w:rPr>
                                <w:rFonts w:ascii="Calibri" w:hAnsi="Calibri" w:cs="Calibri"/>
                                <w:b/>
                                <w:bCs/>
                                <w:sz w:val="20"/>
                                <w:szCs w:val="20"/>
                              </w:rPr>
                              <w:t>2</w:t>
                            </w:r>
                            <w:r w:rsidRPr="00F34263">
                              <w:rPr>
                                <w:rFonts w:ascii="Calibri" w:hAnsi="Calibri" w:cs="Calibri"/>
                                <w:b/>
                                <w:bCs/>
                                <w:sz w:val="20"/>
                                <w:szCs w:val="20"/>
                              </w:rPr>
                              <w:t>: Conditions</w:t>
                            </w:r>
                            <w:r w:rsidR="0033339C">
                              <w:rPr>
                                <w:rFonts w:ascii="Calibri" w:hAnsi="Calibri" w:cs="Calibri"/>
                                <w:b/>
                                <w:bCs/>
                                <w:sz w:val="20"/>
                                <w:szCs w:val="20"/>
                              </w:rPr>
                              <w:t>,</w:t>
                            </w:r>
                            <w:r w:rsidRPr="00F34263">
                              <w:rPr>
                                <w:rFonts w:ascii="Calibri" w:hAnsi="Calibri" w:cs="Calibri"/>
                                <w:b/>
                                <w:bCs/>
                                <w:sz w:val="20"/>
                                <w:szCs w:val="20"/>
                              </w:rPr>
                              <w:t xml:space="preserve"> pharmacists can manage with the intervention of GP </w:t>
                            </w:r>
                            <w:r w:rsidR="0004457F" w:rsidRPr="00F34263">
                              <w:rPr>
                                <w:rFonts w:ascii="Calibri" w:hAnsi="Calibri" w:cs="Calibri"/>
                                <w:sz w:val="20"/>
                                <w:szCs w:val="20"/>
                              </w:rPr>
                              <w:t>(Source: NHS England, 2024)</w:t>
                            </w:r>
                          </w:p>
                          <w:p w14:paraId="48806611" w14:textId="6B0BA888" w:rsidR="00F34263" w:rsidRDefault="00F34263" w:rsidP="00F34263">
                            <w:pPr>
                              <w:spacing w:line="240" w:lineRule="auto"/>
                              <w:jc w:val="center"/>
                              <w:rPr>
                                <w:rFonts w:ascii="Calibri" w:hAnsi="Calibri" w:cs="Calibri"/>
                                <w:b/>
                                <w:bCs/>
                                <w:sz w:val="20"/>
                                <w:szCs w:val="20"/>
                              </w:rPr>
                            </w:pPr>
                          </w:p>
                          <w:p w14:paraId="52A83567" w14:textId="77777777" w:rsidR="00F34263" w:rsidRDefault="00F342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F99BD" id="Text Box 14" o:spid="_x0000_s1035" type="#_x0000_t202" style="position:absolute;margin-left:446.7pt;margin-top:12.1pt;width:389.9pt;height:212.8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" fillcolor="white [3201]" strokeweight=".5pt">
                <v:textbox>
                  <w:txbxContent>
                    <w:p w14:paraId="2B978BD1" w14:textId="49B4B3B6" w:rsidR="0004457F" w:rsidRDefault="0004457F">
                      <w:pPr>
                        <w:rPr>
                          <w:noProof/>
                          <w:lang w:eastAsia="en-GB"/>
                        </w:rPr>
                      </w:pPr>
                      <w:r>
                        <w:rPr>
                          <w:noProof/>
                          <w:lang w:eastAsia="en-GB"/>
                        </w:rPr>
                        <w:drawing>
                          <wp:inline distT="0" distB="0" distL="0" distR="0" wp14:anchorId="560114F6" wp14:editId="2AF3090B">
                            <wp:extent cx="4818955" cy="20955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iii.png"/>
                                    <pic:cNvPicPr/>
                                  </pic:nvPicPr>
                                  <pic:blipFill>
                                    <a:blip r:embed="rId19">
                                      <a:extLst>
                                        <a:ext uri="{28A0092B-C50C-407E-A947-70E740481C1C}">
                                          <a14:useLocalDpi xmlns:a14="http://schemas.microsoft.com/office/drawing/2010/main" val="0"/>
                                        </a:ext>
                                      </a:extLst>
                                    </a:blip>
                                    <a:stretch>
                                      <a:fillRect/>
                                    </a:stretch>
                                  </pic:blipFill>
                                  <pic:spPr>
                                    <a:xfrm>
                                      <a:off x="0" y="0"/>
                                      <a:ext cx="4836989" cy="2103342"/>
                                    </a:xfrm>
                                    <a:prstGeom prst="rect">
                                      <a:avLst/>
                                    </a:prstGeom>
                                  </pic:spPr>
                                </pic:pic>
                              </a:graphicData>
                            </a:graphic>
                          </wp:inline>
                        </w:drawing>
                      </w:r>
                    </w:p>
                    <w:p w14:paraId="55675E96" w14:textId="77777777" w:rsidR="0004457F" w:rsidRPr="00F34263" w:rsidRDefault="00F34263" w:rsidP="0004457F">
                      <w:pPr>
                        <w:spacing w:line="240" w:lineRule="auto"/>
                        <w:jc w:val="center"/>
                        <w:rPr>
                          <w:rFonts w:ascii="Calibri" w:hAnsi="Calibri" w:cs="Calibri"/>
                          <w:sz w:val="32"/>
                          <w:szCs w:val="32"/>
                        </w:rPr>
                      </w:pPr>
                      <w:r w:rsidRPr="00F34263">
                        <w:rPr>
                          <w:rFonts w:ascii="Calibri" w:hAnsi="Calibri" w:cs="Calibri"/>
                          <w:b/>
                          <w:bCs/>
                          <w:sz w:val="20"/>
                          <w:szCs w:val="20"/>
                        </w:rPr>
                        <w:t xml:space="preserve">Figure </w:t>
                      </w:r>
                      <w:r w:rsidR="004C44BA">
                        <w:rPr>
                          <w:rFonts w:ascii="Calibri" w:hAnsi="Calibri" w:cs="Calibri"/>
                          <w:b/>
                          <w:bCs/>
                          <w:sz w:val="20"/>
                          <w:szCs w:val="20"/>
                        </w:rPr>
                        <w:t>2</w:t>
                      </w:r>
                      <w:r w:rsidRPr="00F34263">
                        <w:rPr>
                          <w:rFonts w:ascii="Calibri" w:hAnsi="Calibri" w:cs="Calibri"/>
                          <w:b/>
                          <w:bCs/>
                          <w:sz w:val="20"/>
                          <w:szCs w:val="20"/>
                        </w:rPr>
                        <w:t>: Conditions</w:t>
                      </w:r>
                      <w:r w:rsidR="0033339C">
                        <w:rPr>
                          <w:rFonts w:ascii="Calibri" w:hAnsi="Calibri" w:cs="Calibri"/>
                          <w:b/>
                          <w:bCs/>
                          <w:sz w:val="20"/>
                          <w:szCs w:val="20"/>
                        </w:rPr>
                        <w:t>,</w:t>
                      </w:r>
                      <w:r w:rsidRPr="00F34263">
                        <w:rPr>
                          <w:rFonts w:ascii="Calibri" w:hAnsi="Calibri" w:cs="Calibri"/>
                          <w:b/>
                          <w:bCs/>
                          <w:sz w:val="20"/>
                          <w:szCs w:val="20"/>
                        </w:rPr>
                        <w:t xml:space="preserve"> pharmacists can manage with the intervention of GP </w:t>
                      </w:r>
                      <w:r w:rsidR="0004457F" w:rsidRPr="00F34263">
                        <w:rPr>
                          <w:rFonts w:ascii="Calibri" w:hAnsi="Calibri" w:cs="Calibri"/>
                          <w:sz w:val="20"/>
                          <w:szCs w:val="20"/>
                        </w:rPr>
                        <w:t>(Source: NHS England, 2024)</w:t>
                      </w:r>
                    </w:p>
                    <w:p w14:paraId="48806611" w14:textId="6B0BA888" w:rsidR="00F34263" w:rsidRDefault="00F34263" w:rsidP="00F34263">
                      <w:pPr>
                        <w:spacing w:line="240" w:lineRule="auto"/>
                        <w:jc w:val="center"/>
                        <w:rPr>
                          <w:rFonts w:ascii="Calibri" w:hAnsi="Calibri" w:cs="Calibri"/>
                          <w:b/>
                          <w:bCs/>
                          <w:sz w:val="20"/>
                          <w:szCs w:val="20"/>
                        </w:rPr>
                      </w:pPr>
                    </w:p>
                    <w:p w14:paraId="52A83567" w14:textId="77777777" w:rsidR="00F34263" w:rsidRDefault="00F34263"/>
                  </w:txbxContent>
                </v:textbox>
                <w10:wrap anchorx="page"/>
              </v:shape>
            </w:pict>
          </mc:Fallback>
        </mc:AlternateContent>
      </w:r>
      <w:r w:rsidR="0004457F">
        <w:rPr>
          <w:noProof/>
          <w:lang w:eastAsia="en-GB"/>
        </w:rPr>
        <mc:AlternateContent>
          <mc:Choice Requires="wps">
            <w:drawing>
              <wp:anchor distT="45720" distB="45720" distL="114300" distR="114300" simplePos="0" relativeHeight="251692032" behindDoc="0" locked="0" layoutInCell="1" allowOverlap="1" wp14:anchorId="694378C0" wp14:editId="36326117">
                <wp:simplePos x="0" y="0"/>
                <wp:positionH relativeFrom="page">
                  <wp:align>right</wp:align>
                </wp:positionH>
                <wp:positionV relativeFrom="paragraph">
                  <wp:posOffset>3212465</wp:posOffset>
                </wp:positionV>
                <wp:extent cx="4991735" cy="2562860"/>
                <wp:effectExtent l="19050" t="19050" r="18415" b="27940"/>
                <wp:wrapSquare wrapText="bothSides"/>
                <wp:docPr id="760336096" name="Text Box 760336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735" cy="2562860"/>
                        </a:xfrm>
                        <a:prstGeom prst="rect">
                          <a:avLst/>
                        </a:prstGeom>
                        <a:solidFill>
                          <a:srgbClr val="FFFFFF"/>
                        </a:solidFill>
                        <a:ln w="44450">
                          <a:solidFill>
                            <a:srgbClr val="000000"/>
                          </a:solidFill>
                          <a:miter lim="800000"/>
                          <a:headEnd/>
                          <a:tailEnd/>
                        </a:ln>
                        <a:effectLst>
                          <a:softEdge rad="25400"/>
                        </a:effectLst>
                      </wps:spPr>
                      <wps:txbx>
                        <w:txbxContent>
                          <w:p w14:paraId="6F7631A0" w14:textId="77777777" w:rsidR="00287E27" w:rsidRPr="00287E27" w:rsidRDefault="00287E27" w:rsidP="00287E27">
                            <w:pPr>
                              <w:spacing w:before="100" w:beforeAutospacing="1" w:after="100" w:afterAutospacing="1" w:line="240" w:lineRule="auto"/>
                              <w:outlineLvl w:val="2"/>
                              <w:rPr>
                                <w:rFonts w:ascii="Arial" w:eastAsia="Times New Roman" w:hAnsi="Arial" w:cs="Arial"/>
                                <w:b/>
                                <w:bCs/>
                                <w:lang w:eastAsia="en-GB"/>
                              </w:rPr>
                            </w:pPr>
                            <w:r w:rsidRPr="00287E27">
                              <w:rPr>
                                <w:rFonts w:ascii="Arial" w:eastAsia="Times New Roman" w:hAnsi="Arial" w:cs="Arial"/>
                                <w:b/>
                                <w:bCs/>
                                <w:lang w:eastAsia="en-GB"/>
                              </w:rPr>
                              <w:t>Challenge 2: Rising Demand and Fewer Pharmacies</w:t>
                            </w:r>
                          </w:p>
                          <w:p w14:paraId="245AC47B" w14:textId="77777777" w:rsidR="00287E27" w:rsidRPr="00287E27" w:rsidRDefault="00287E27" w:rsidP="00812DD7">
                            <w:pPr>
                              <w:spacing w:before="100" w:beforeAutospacing="1" w:after="100" w:afterAutospacing="1" w:line="360" w:lineRule="auto"/>
                              <w:rPr>
                                <w:rFonts w:ascii="Arial" w:eastAsia="Times New Roman" w:hAnsi="Arial" w:cs="Arial"/>
                                <w:lang w:eastAsia="en-GB"/>
                              </w:rPr>
                            </w:pPr>
                            <w:r w:rsidRPr="00287E27">
                              <w:rPr>
                                <w:rFonts w:ascii="Arial" w:eastAsia="Times New Roman" w:hAnsi="Arial" w:cs="Arial"/>
                                <w:lang w:eastAsia="en-GB"/>
                              </w:rPr>
                              <w:t xml:space="preserve">Demand for pharmacy services is increasing as GP appointments become harder to access. At the same time, the number of community pharmacies in England has fallen from over </w:t>
                            </w:r>
                            <w:r w:rsidRPr="00287E27">
                              <w:rPr>
                                <w:rFonts w:ascii="Arial" w:eastAsia="Times New Roman" w:hAnsi="Arial" w:cs="Arial"/>
                                <w:b/>
                                <w:bCs/>
                                <w:lang w:eastAsia="en-GB"/>
                              </w:rPr>
                              <w:t>12,000</w:t>
                            </w:r>
                            <w:r w:rsidRPr="00287E27">
                              <w:rPr>
                                <w:rFonts w:ascii="Arial" w:eastAsia="Times New Roman" w:hAnsi="Arial" w:cs="Arial"/>
                                <w:lang w:eastAsia="en-GB"/>
                              </w:rPr>
                              <w:t xml:space="preserve"> to around </w:t>
                            </w:r>
                            <w:r w:rsidRPr="00287E27">
                              <w:rPr>
                                <w:rFonts w:ascii="Arial" w:eastAsia="Times New Roman" w:hAnsi="Arial" w:cs="Arial"/>
                                <w:b/>
                                <w:bCs/>
                                <w:lang w:eastAsia="en-GB"/>
                              </w:rPr>
                              <w:t>11,000</w:t>
                            </w:r>
                            <w:r w:rsidRPr="00287E27">
                              <w:rPr>
                                <w:rFonts w:ascii="Arial" w:eastAsia="Times New Roman" w:hAnsi="Arial" w:cs="Arial"/>
                                <w:lang w:eastAsia="en-GB"/>
                              </w:rPr>
                              <w:t xml:space="preserve"> (</w:t>
                            </w:r>
                            <w:proofErr w:type="spellStart"/>
                            <w:r w:rsidRPr="00287E27">
                              <w:rPr>
                                <w:rFonts w:ascii="Arial" w:eastAsia="Times New Roman" w:hAnsi="Arial" w:cs="Arial"/>
                                <w:lang w:eastAsia="en-GB"/>
                              </w:rPr>
                              <w:t>Minhas</w:t>
                            </w:r>
                            <w:proofErr w:type="spellEnd"/>
                            <w:r w:rsidRPr="00287E27">
                              <w:rPr>
                                <w:rFonts w:ascii="Arial" w:eastAsia="Times New Roman" w:hAnsi="Arial" w:cs="Arial"/>
                                <w:lang w:eastAsia="en-GB"/>
                              </w:rPr>
                              <w:t>, 2026). This particularly affects underserved communities. Increased investment, workforce development, and digital innovation are needed to maintain equal access to pharmacy services.</w:t>
                            </w:r>
                          </w:p>
                          <w:p w14:paraId="452D3C5D" w14:textId="7D9C47AA" w:rsidR="00135D14" w:rsidRPr="0031545E" w:rsidRDefault="00135D14" w:rsidP="0031545E">
                            <w:pPr>
                              <w:spacing w:line="240" w:lineRule="auto"/>
                              <w:jc w:val="both"/>
                              <w:rPr>
                                <w:rFonts w:ascii="Calibri" w:hAnsi="Calibri" w:cs="Calibri"/>
                                <w:sz w:val="32"/>
                                <w:szCs w:val="32"/>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378C0" id="Text Box 760336096" o:spid="_x0000_s1036" type="#_x0000_t202" style="position:absolute;margin-left:341.85pt;margin-top:252.95pt;width:393.05pt;height:201.8pt;z-index:2516920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" strokeweight="3.5pt">
                <v:textbox>
                  <w:txbxContent>
                    <w:p w14:paraId="6F7631A0" w14:textId="77777777" w:rsidR="00287E27" w:rsidRPr="00287E27" w:rsidRDefault="00287E27" w:rsidP="00287E27">
                      <w:pPr>
                        <w:spacing w:before="100" w:beforeAutospacing="1" w:after="100" w:afterAutospacing="1" w:line="240" w:lineRule="auto"/>
                        <w:outlineLvl w:val="2"/>
                        <w:rPr>
                          <w:rFonts w:ascii="Arial" w:eastAsia="Times New Roman" w:hAnsi="Arial" w:cs="Arial"/>
                          <w:b/>
                          <w:bCs/>
                          <w:lang w:eastAsia="en-GB"/>
                        </w:rPr>
                      </w:pPr>
                      <w:r w:rsidRPr="00287E27">
                        <w:rPr>
                          <w:rFonts w:ascii="Arial" w:eastAsia="Times New Roman" w:hAnsi="Arial" w:cs="Arial"/>
                          <w:b/>
                          <w:bCs/>
                          <w:lang w:eastAsia="en-GB"/>
                        </w:rPr>
                        <w:t>Challenge 2: Rising Demand and Fewer Pharmacies</w:t>
                      </w:r>
                    </w:p>
                    <w:p w14:paraId="245AC47B" w14:textId="77777777" w:rsidR="00287E27" w:rsidRPr="00287E27" w:rsidRDefault="00287E27" w:rsidP="00812DD7">
                      <w:pPr>
                        <w:spacing w:before="100" w:beforeAutospacing="1" w:after="100" w:afterAutospacing="1" w:line="360" w:lineRule="auto"/>
                        <w:rPr>
                          <w:rFonts w:ascii="Arial" w:eastAsia="Times New Roman" w:hAnsi="Arial" w:cs="Arial"/>
                          <w:lang w:eastAsia="en-GB"/>
                        </w:rPr>
                      </w:pPr>
                      <w:r w:rsidRPr="00287E27">
                        <w:rPr>
                          <w:rFonts w:ascii="Arial" w:eastAsia="Times New Roman" w:hAnsi="Arial" w:cs="Arial"/>
                          <w:lang w:eastAsia="en-GB"/>
                        </w:rPr>
                        <w:t xml:space="preserve">Demand for pharmacy services is increasing as GP appointments become harder to access. At the same time, the number of community pharmacies in England has fallen from over </w:t>
                      </w:r>
                      <w:r w:rsidRPr="00287E27">
                        <w:rPr>
                          <w:rFonts w:ascii="Arial" w:eastAsia="Times New Roman" w:hAnsi="Arial" w:cs="Arial"/>
                          <w:b/>
                          <w:bCs/>
                          <w:lang w:eastAsia="en-GB"/>
                        </w:rPr>
                        <w:t>12,000</w:t>
                      </w:r>
                      <w:r w:rsidRPr="00287E27">
                        <w:rPr>
                          <w:rFonts w:ascii="Arial" w:eastAsia="Times New Roman" w:hAnsi="Arial" w:cs="Arial"/>
                          <w:lang w:eastAsia="en-GB"/>
                        </w:rPr>
                        <w:t xml:space="preserve"> to around </w:t>
                      </w:r>
                      <w:r w:rsidRPr="00287E27">
                        <w:rPr>
                          <w:rFonts w:ascii="Arial" w:eastAsia="Times New Roman" w:hAnsi="Arial" w:cs="Arial"/>
                          <w:b/>
                          <w:bCs/>
                          <w:lang w:eastAsia="en-GB"/>
                        </w:rPr>
                        <w:t>11,000</w:t>
                      </w:r>
                      <w:r w:rsidRPr="00287E27">
                        <w:rPr>
                          <w:rFonts w:ascii="Arial" w:eastAsia="Times New Roman" w:hAnsi="Arial" w:cs="Arial"/>
                          <w:lang w:eastAsia="en-GB"/>
                        </w:rPr>
                        <w:t xml:space="preserve"> (</w:t>
                      </w:r>
                      <w:proofErr w:type="spellStart"/>
                      <w:r w:rsidRPr="00287E27">
                        <w:rPr>
                          <w:rFonts w:ascii="Arial" w:eastAsia="Times New Roman" w:hAnsi="Arial" w:cs="Arial"/>
                          <w:lang w:eastAsia="en-GB"/>
                        </w:rPr>
                        <w:t>Minhas</w:t>
                      </w:r>
                      <w:proofErr w:type="spellEnd"/>
                      <w:r w:rsidRPr="00287E27">
                        <w:rPr>
                          <w:rFonts w:ascii="Arial" w:eastAsia="Times New Roman" w:hAnsi="Arial" w:cs="Arial"/>
                          <w:lang w:eastAsia="en-GB"/>
                        </w:rPr>
                        <w:t>, 2026). This particularly affects underserved communities. Increased investment, workforce development, and digital innovation are needed to maintain equal access to pharmacy services.</w:t>
                      </w:r>
                    </w:p>
                    <w:p w14:paraId="452D3C5D" w14:textId="7D9C47AA" w:rsidR="00135D14" w:rsidRPr="0031545E" w:rsidRDefault="00135D14" w:rsidP="0031545E">
                      <w:pPr>
                        <w:spacing w:line="240" w:lineRule="auto"/>
                        <w:jc w:val="both"/>
                        <w:rPr>
                          <w:rFonts w:ascii="Calibri" w:hAnsi="Calibri" w:cs="Calibri"/>
                          <w:sz w:val="32"/>
                          <w:szCs w:val="32"/>
                          <w:lang w:val="en-IN"/>
                        </w:rPr>
                      </w:pPr>
                    </w:p>
                  </w:txbxContent>
                </v:textbox>
                <w10:wrap type="square" anchorx="page"/>
              </v:shape>
            </w:pict>
          </mc:Fallback>
        </mc:AlternateContent>
      </w:r>
      <w:r w:rsidR="009C27B0">
        <w:rPr>
          <w:noProof/>
          <w:lang w:eastAsia="en-GB"/>
        </w:rPr>
        <mc:AlternateContent>
          <mc:Choice Requires="wps">
            <w:drawing>
              <wp:anchor distT="0" distB="0" distL="114300" distR="114300" simplePos="0" relativeHeight="251679744" behindDoc="1" locked="0" layoutInCell="1" allowOverlap="1" wp14:anchorId="4BBE6966" wp14:editId="69CEDF5B">
                <wp:simplePos x="0" y="0"/>
                <wp:positionH relativeFrom="page">
                  <wp:posOffset>914400</wp:posOffset>
                </wp:positionH>
                <wp:positionV relativeFrom="paragraph">
                  <wp:posOffset>0</wp:posOffset>
                </wp:positionV>
                <wp:extent cx="10675620" cy="6858000"/>
                <wp:effectExtent l="0" t="0" r="11430" b="19050"/>
                <wp:wrapNone/>
                <wp:docPr id="427371795" name="Rectangle 427371795"/>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270A9B" w14:textId="52B6EB7D" w:rsidR="00310143" w:rsidRDefault="00310143" w:rsidP="003101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BE6966" id="Rectangle 427371795" o:spid="_x0000_s1037" style="position:absolute;margin-left:1in;margin-top:0;width:840.6pt;height:540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" fillcolor="gray [1629]" strokecolor="#92d050" strokeweight="1pt">
                <v:fill opacity="30069f"/>
                <v:textbox>
                  <w:txbxContent>
                    <w:p w14:paraId="79270A9B" w14:textId="52B6EB7D" w:rsidR="00310143" w:rsidRDefault="00310143" w:rsidP="00310143">
                      <w:pPr>
                        <w:jc w:val="center"/>
                      </w:pPr>
                    </w:p>
                  </w:txbxContent>
                </v:textbox>
                <w10:wrap anchorx="page"/>
              </v:rect>
            </w:pict>
          </mc:Fallback>
        </mc:AlternateContent>
      </w:r>
      <w:r w:rsidR="009C27B0">
        <w:rPr>
          <w:rFonts w:ascii="Arial" w:hAnsi="Arial" w:cs="Arial"/>
          <w:b/>
          <w:bCs/>
          <w:sz w:val="28"/>
          <w:szCs w:val="28"/>
        </w:rPr>
        <w:br w:type="page"/>
      </w:r>
    </w:p>
    <w:p w14:paraId="4A6F457C" w14:textId="19DC57BF" w:rsidR="00135D14" w:rsidRDefault="00695278">
      <w:pPr>
        <w:rPr>
          <w:rFonts w:ascii="Arial" w:hAnsi="Arial" w:cs="Arial"/>
          <w:b/>
          <w:bCs/>
          <w:sz w:val="28"/>
          <w:szCs w:val="28"/>
        </w:rPr>
      </w:pPr>
      <w:r>
        <w:rPr>
          <w:noProof/>
          <w:lang w:eastAsia="en-GB"/>
        </w:rPr>
        <w:lastRenderedPageBreak/>
        <mc:AlternateContent>
          <mc:Choice Requires="wps">
            <w:drawing>
              <wp:anchor distT="0" distB="0" distL="114300" distR="114300" simplePos="0" relativeHeight="251689984" behindDoc="1" locked="0" layoutInCell="1" allowOverlap="1" wp14:anchorId="3002D2BF" wp14:editId="7D1A6E5F">
                <wp:simplePos x="0" y="0"/>
                <wp:positionH relativeFrom="margin">
                  <wp:align>left</wp:align>
                </wp:positionH>
                <wp:positionV relativeFrom="paragraph">
                  <wp:posOffset>0</wp:posOffset>
                </wp:positionV>
                <wp:extent cx="10675620" cy="6857365"/>
                <wp:effectExtent l="0" t="0" r="11430" b="19685"/>
                <wp:wrapNone/>
                <wp:docPr id="1597471626" name="Rectangle 1597471626"/>
                <wp:cNvGraphicFramePr/>
                <a:graphic xmlns:a="http://schemas.openxmlformats.org/drawingml/2006/main">
                  <a:graphicData uri="http://schemas.microsoft.com/office/word/2010/wordprocessingShape">
                    <wps:wsp>
                      <wps:cNvSpPr/>
                      <wps:spPr>
                        <a:xfrm>
                          <a:off x="0" y="0"/>
                          <a:ext cx="10675620" cy="685736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07E14" id="Rectangle 1597471626" o:spid="_x0000_s1026" style="position:absolute;margin-left:0;margin-top:0;width:840.6pt;height:539.95pt;z-index:-251626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" fillcolor="gray [1629]" strokecolor="#92d050" strokeweight="1pt">
                <v:fill opacity="30069f"/>
                <w10:wrap anchorx="margin"/>
              </v:rect>
            </w:pict>
          </mc:Fallback>
        </mc:AlternateContent>
      </w:r>
      <w:r w:rsidR="00D564B7">
        <w:rPr>
          <w:noProof/>
          <w:lang w:eastAsia="en-GB"/>
        </w:rPr>
        <mc:AlternateContent>
          <mc:Choice Requires="wps">
            <w:drawing>
              <wp:anchor distT="0" distB="0" distL="114300" distR="114300" simplePos="0" relativeHeight="251695104" behindDoc="0" locked="0" layoutInCell="1" allowOverlap="1" wp14:anchorId="1F186459" wp14:editId="351EF954">
                <wp:simplePos x="0" y="0"/>
                <wp:positionH relativeFrom="column">
                  <wp:posOffset>95250</wp:posOffset>
                </wp:positionH>
                <wp:positionV relativeFrom="paragraph">
                  <wp:posOffset>95250</wp:posOffset>
                </wp:positionV>
                <wp:extent cx="9505950" cy="3095625"/>
                <wp:effectExtent l="0" t="0" r="19050" b="28575"/>
                <wp:wrapNone/>
                <wp:docPr id="933991933" name="Text Box 16"/>
                <wp:cNvGraphicFramePr/>
                <a:graphic xmlns:a="http://schemas.openxmlformats.org/drawingml/2006/main">
                  <a:graphicData uri="http://schemas.microsoft.com/office/word/2010/wordprocessingShape">
                    <wps:wsp>
                      <wps:cNvSpPr txBox="1"/>
                      <wps:spPr>
                        <a:xfrm>
                          <a:off x="0" y="0"/>
                          <a:ext cx="9505950" cy="3095625"/>
                        </a:xfrm>
                        <a:prstGeom prst="rect">
                          <a:avLst/>
                        </a:prstGeom>
                        <a:solidFill>
                          <a:schemeClr val="lt1"/>
                        </a:solidFill>
                        <a:ln w="6350">
                          <a:solidFill>
                            <a:prstClr val="black"/>
                          </a:solidFill>
                        </a:ln>
                      </wps:spPr>
                      <wps:txbx>
                        <w:txbxContent>
                          <w:p w14:paraId="36B1133F" w14:textId="77777777" w:rsidR="00D564B7" w:rsidRPr="00D564B7" w:rsidRDefault="00D564B7" w:rsidP="00D564B7">
                            <w:pPr>
                              <w:spacing w:line="240" w:lineRule="auto"/>
                              <w:jc w:val="both"/>
                              <w:rPr>
                                <w:b/>
                                <w:bCs/>
                                <w:color w:val="385623" w:themeColor="accent6" w:themeShade="80"/>
                              </w:rPr>
                            </w:pPr>
                            <w:r w:rsidRPr="00D564B7">
                              <w:rPr>
                                <w:b/>
                                <w:bCs/>
                                <w:color w:val="385623" w:themeColor="accent6" w:themeShade="80"/>
                              </w:rPr>
                              <w:t>References</w:t>
                            </w:r>
                          </w:p>
                          <w:p w14:paraId="423C2E6E"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Community Pharmacy England, (2025). </w:t>
                            </w:r>
                            <w:r w:rsidRPr="00D564B7">
                              <w:rPr>
                                <w:rFonts w:ascii="Calibri" w:hAnsi="Calibri" w:cs="Calibri"/>
                                <w:i/>
                                <w:iCs/>
                                <w:sz w:val="20"/>
                                <w:szCs w:val="20"/>
                              </w:rPr>
                              <w:t>Economic Analysis of NHS Pharmaceutical Services (Independent Economic Review).</w:t>
                            </w:r>
                            <w:r w:rsidRPr="00D564B7">
                              <w:rPr>
                                <w:rFonts w:ascii="Calibri" w:hAnsi="Calibri" w:cs="Calibri"/>
                                <w:sz w:val="20"/>
                                <w:szCs w:val="20"/>
                              </w:rPr>
                              <w:t xml:space="preserve"> [</w:t>
                            </w:r>
                            <w:proofErr w:type="gramStart"/>
                            <w:r w:rsidRPr="00D564B7">
                              <w:rPr>
                                <w:rFonts w:ascii="Calibri" w:hAnsi="Calibri" w:cs="Calibri"/>
                                <w:sz w:val="20"/>
                                <w:szCs w:val="20"/>
                              </w:rPr>
                              <w:t>online</w:t>
                            </w:r>
                            <w:proofErr w:type="gramEnd"/>
                            <w:r w:rsidRPr="00D564B7">
                              <w:rPr>
                                <w:rFonts w:ascii="Calibri" w:hAnsi="Calibri" w:cs="Calibri"/>
                                <w:sz w:val="20"/>
                                <w:szCs w:val="20"/>
                              </w:rPr>
                              <w:t>] Available at:</w:t>
                            </w:r>
                            <w:hyperlink r:id="rId20">
                              <w:r w:rsidRPr="00D564B7">
                                <w:rPr>
                                  <w:rFonts w:ascii="Calibri" w:hAnsi="Calibri" w:cs="Calibri"/>
                                  <w:sz w:val="20"/>
                                  <w:szCs w:val="20"/>
                                </w:rPr>
                                <w:t xml:space="preserve"> </w:t>
                              </w:r>
                            </w:hyperlink>
                            <w:hyperlink r:id="rId21">
                              <w:r w:rsidRPr="00D564B7">
                                <w:rPr>
                                  <w:rFonts w:ascii="Calibri" w:hAnsi="Calibri" w:cs="Calibri"/>
                                  <w:color w:val="1155CC"/>
                                  <w:sz w:val="20"/>
                                  <w:szCs w:val="20"/>
                                  <w:u w:val="single"/>
                                </w:rPr>
                                <w:t>https://cpe.org.uk/funding-and-reimbursement/pharmacy-funding/independent-economic-review/</w:t>
                              </w:r>
                            </w:hyperlink>
                            <w:r w:rsidRPr="00D564B7">
                              <w:rPr>
                                <w:rFonts w:ascii="Calibri" w:hAnsi="Calibri" w:cs="Calibri"/>
                                <w:sz w:val="20"/>
                                <w:szCs w:val="20"/>
                              </w:rPr>
                              <w:t xml:space="preserve"> (Accessed on: 2 July 2026)</w:t>
                            </w:r>
                          </w:p>
                          <w:p w14:paraId="19CE03EF" w14:textId="77777777" w:rsidR="00D564B7" w:rsidRPr="00D564B7" w:rsidRDefault="00D564B7" w:rsidP="00D564B7">
                            <w:pPr>
                              <w:spacing w:line="276" w:lineRule="auto"/>
                              <w:jc w:val="both"/>
                              <w:rPr>
                                <w:rFonts w:ascii="Calibri" w:hAnsi="Calibri" w:cs="Calibri"/>
                                <w:sz w:val="20"/>
                                <w:szCs w:val="20"/>
                              </w:rPr>
                            </w:pPr>
                            <w:proofErr w:type="spellStart"/>
                            <w:r w:rsidRPr="00D564B7">
                              <w:rPr>
                                <w:rFonts w:ascii="Calibri" w:hAnsi="Calibri" w:cs="Calibri"/>
                                <w:sz w:val="20"/>
                                <w:szCs w:val="20"/>
                              </w:rPr>
                              <w:t>Minhas</w:t>
                            </w:r>
                            <w:proofErr w:type="spellEnd"/>
                            <w:r w:rsidRPr="00D564B7">
                              <w:rPr>
                                <w:rFonts w:ascii="Calibri" w:hAnsi="Calibri" w:cs="Calibri"/>
                                <w:sz w:val="20"/>
                                <w:szCs w:val="20"/>
                              </w:rPr>
                              <w:t xml:space="preserve">, A., (2026). </w:t>
                            </w:r>
                            <w:r w:rsidRPr="00D564B7">
                              <w:rPr>
                                <w:rFonts w:ascii="Calibri" w:hAnsi="Calibri" w:cs="Calibri"/>
                                <w:i/>
                                <w:iCs/>
                                <w:sz w:val="20"/>
                                <w:szCs w:val="20"/>
                              </w:rPr>
                              <w:t>Number of Community Pharmacies in England from 2006/07 to 2024/25</w:t>
                            </w:r>
                            <w:r w:rsidRPr="00D564B7">
                              <w:rPr>
                                <w:rFonts w:ascii="Calibri" w:hAnsi="Calibri" w:cs="Calibri"/>
                                <w:sz w:val="20"/>
                                <w:szCs w:val="20"/>
                              </w:rPr>
                              <w:t>. [</w:t>
                            </w:r>
                            <w:proofErr w:type="gramStart"/>
                            <w:r w:rsidRPr="00D564B7">
                              <w:rPr>
                                <w:rFonts w:ascii="Calibri" w:hAnsi="Calibri" w:cs="Calibri"/>
                                <w:sz w:val="20"/>
                                <w:szCs w:val="20"/>
                              </w:rPr>
                              <w:t>online</w:t>
                            </w:r>
                            <w:proofErr w:type="gramEnd"/>
                            <w:r w:rsidRPr="00D564B7">
                              <w:rPr>
                                <w:rFonts w:ascii="Calibri" w:hAnsi="Calibri" w:cs="Calibri"/>
                                <w:sz w:val="20"/>
                                <w:szCs w:val="20"/>
                              </w:rPr>
                              <w:t>] Available at:</w:t>
                            </w:r>
                            <w:hyperlink r:id="rId22">
                              <w:r w:rsidRPr="00D564B7">
                                <w:rPr>
                                  <w:rFonts w:ascii="Calibri" w:hAnsi="Calibri" w:cs="Calibri"/>
                                  <w:sz w:val="20"/>
                                  <w:szCs w:val="20"/>
                                </w:rPr>
                                <w:t xml:space="preserve"> </w:t>
                              </w:r>
                            </w:hyperlink>
                            <w:hyperlink r:id="rId23">
                              <w:r w:rsidRPr="00D564B7">
                                <w:rPr>
                                  <w:rFonts w:ascii="Calibri" w:hAnsi="Calibri" w:cs="Calibri"/>
                                  <w:color w:val="1155CC"/>
                                  <w:sz w:val="20"/>
                                  <w:szCs w:val="20"/>
                                  <w:u w:val="single"/>
                                </w:rPr>
                                <w:t>https://www.statista.com/statistics/418071/community-pharmacies-in-england/</w:t>
                              </w:r>
                            </w:hyperlink>
                            <w:r w:rsidRPr="00D564B7">
                              <w:rPr>
                                <w:rFonts w:ascii="Calibri" w:hAnsi="Calibri" w:cs="Calibri"/>
                                <w:sz w:val="20"/>
                                <w:szCs w:val="20"/>
                              </w:rPr>
                              <w:t xml:space="preserve"> (Accessed on: 2 July 2026)</w:t>
                            </w:r>
                          </w:p>
                          <w:p w14:paraId="0F79B6BA"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NHS England, (2024). </w:t>
                            </w:r>
                            <w:r w:rsidRPr="00D564B7">
                              <w:rPr>
                                <w:rFonts w:ascii="Calibri" w:hAnsi="Calibri" w:cs="Calibri"/>
                                <w:i/>
                                <w:iCs/>
                                <w:sz w:val="20"/>
                                <w:szCs w:val="20"/>
                              </w:rPr>
                              <w:t>Pharmacy First</w:t>
                            </w:r>
                            <w:r w:rsidRPr="00D564B7">
                              <w:rPr>
                                <w:rFonts w:ascii="Calibri" w:hAnsi="Calibri" w:cs="Calibri"/>
                                <w:sz w:val="20"/>
                                <w:szCs w:val="20"/>
                              </w:rPr>
                              <w:t>. [</w:t>
                            </w:r>
                            <w:proofErr w:type="gramStart"/>
                            <w:r w:rsidRPr="00D564B7">
                              <w:rPr>
                                <w:rFonts w:ascii="Calibri" w:hAnsi="Calibri" w:cs="Calibri"/>
                                <w:sz w:val="20"/>
                                <w:szCs w:val="20"/>
                              </w:rPr>
                              <w:t>online</w:t>
                            </w:r>
                            <w:proofErr w:type="gramEnd"/>
                            <w:r w:rsidRPr="00D564B7">
                              <w:rPr>
                                <w:rFonts w:ascii="Calibri" w:hAnsi="Calibri" w:cs="Calibri"/>
                                <w:sz w:val="20"/>
                                <w:szCs w:val="20"/>
                              </w:rPr>
                              <w:t>] Available at:</w:t>
                            </w:r>
                            <w:hyperlink r:id="rId24">
                              <w:r w:rsidRPr="00D564B7">
                                <w:rPr>
                                  <w:rFonts w:ascii="Calibri" w:hAnsi="Calibri" w:cs="Calibri"/>
                                  <w:sz w:val="20"/>
                                  <w:szCs w:val="20"/>
                                </w:rPr>
                                <w:t xml:space="preserve"> </w:t>
                              </w:r>
                            </w:hyperlink>
                            <w:hyperlink r:id="rId25">
                              <w:r w:rsidRPr="00D564B7">
                                <w:rPr>
                                  <w:rFonts w:ascii="Calibri" w:hAnsi="Calibri" w:cs="Calibri"/>
                                  <w:color w:val="1155CC"/>
                                  <w:sz w:val="20"/>
                                  <w:szCs w:val="20"/>
                                  <w:u w:val="single"/>
                                </w:rPr>
                                <w:t>https://www.england.nhs.uk/primary-care/pharmacy/pharmacy-services/pharmacy-first/</w:t>
                              </w:r>
                            </w:hyperlink>
                            <w:r w:rsidRPr="00D564B7">
                              <w:rPr>
                                <w:rFonts w:ascii="Calibri" w:hAnsi="Calibri" w:cs="Calibri"/>
                                <w:sz w:val="20"/>
                                <w:szCs w:val="20"/>
                              </w:rPr>
                              <w:t xml:space="preserve"> (Accessed on: 2 July 2026)</w:t>
                            </w:r>
                          </w:p>
                          <w:p w14:paraId="4B63BB50"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Robertson, J., (2026). </w:t>
                            </w:r>
                            <w:r w:rsidRPr="00D564B7">
                              <w:rPr>
                                <w:rFonts w:ascii="Calibri" w:hAnsi="Calibri" w:cs="Calibri"/>
                                <w:i/>
                                <w:iCs/>
                                <w:sz w:val="20"/>
                                <w:szCs w:val="20"/>
                              </w:rPr>
                              <w:t>Growth in Pharmacy First Consultations ‘Not Sustainable’</w:t>
                            </w:r>
                            <w:r w:rsidRPr="00D564B7">
                              <w:rPr>
                                <w:rFonts w:ascii="Calibri" w:hAnsi="Calibri" w:cs="Calibri"/>
                                <w:sz w:val="20"/>
                                <w:szCs w:val="20"/>
                              </w:rPr>
                              <w:t xml:space="preserve">. </w:t>
                            </w:r>
                            <w:r w:rsidRPr="00D564B7">
                              <w:rPr>
                                <w:rFonts w:ascii="Calibri" w:hAnsi="Calibri" w:cs="Calibri"/>
                                <w:i/>
                                <w:iCs/>
                                <w:sz w:val="20"/>
                                <w:szCs w:val="20"/>
                              </w:rPr>
                              <w:t>The Pharmaceutical Journal</w:t>
                            </w:r>
                            <w:r w:rsidRPr="00D564B7">
                              <w:rPr>
                                <w:rFonts w:ascii="Calibri" w:hAnsi="Calibri" w:cs="Calibri"/>
                                <w:sz w:val="20"/>
                                <w:szCs w:val="20"/>
                              </w:rPr>
                              <w:t>. [</w:t>
                            </w:r>
                            <w:proofErr w:type="gramStart"/>
                            <w:r w:rsidRPr="00D564B7">
                              <w:rPr>
                                <w:rFonts w:ascii="Calibri" w:hAnsi="Calibri" w:cs="Calibri"/>
                                <w:sz w:val="20"/>
                                <w:szCs w:val="20"/>
                              </w:rPr>
                              <w:t>online</w:t>
                            </w:r>
                            <w:proofErr w:type="gramEnd"/>
                            <w:r w:rsidRPr="00D564B7">
                              <w:rPr>
                                <w:rFonts w:ascii="Calibri" w:hAnsi="Calibri" w:cs="Calibri"/>
                                <w:sz w:val="20"/>
                                <w:szCs w:val="20"/>
                              </w:rPr>
                              <w:t>] Available at:</w:t>
                            </w:r>
                            <w:hyperlink r:id="rId26">
                              <w:r w:rsidRPr="00D564B7">
                                <w:rPr>
                                  <w:rFonts w:ascii="Calibri" w:hAnsi="Calibri" w:cs="Calibri"/>
                                  <w:sz w:val="20"/>
                                  <w:szCs w:val="20"/>
                                </w:rPr>
                                <w:t xml:space="preserve"> </w:t>
                              </w:r>
                            </w:hyperlink>
                            <w:hyperlink r:id="rId27">
                              <w:r w:rsidRPr="00D564B7">
                                <w:rPr>
                                  <w:rFonts w:ascii="Calibri" w:hAnsi="Calibri" w:cs="Calibri"/>
                                  <w:color w:val="1155CC"/>
                                  <w:sz w:val="20"/>
                                  <w:szCs w:val="20"/>
                                  <w:u w:val="single"/>
                                </w:rPr>
                                <w:t>https://pharmaceutical-journal.com/article/news/growth-in-pharmacy-first-consultations-not-sustainable</w:t>
                              </w:r>
                            </w:hyperlink>
                            <w:r w:rsidRPr="00D564B7">
                              <w:rPr>
                                <w:rFonts w:ascii="Calibri" w:hAnsi="Calibri" w:cs="Calibri"/>
                                <w:sz w:val="20"/>
                                <w:szCs w:val="20"/>
                              </w:rPr>
                              <w:t xml:space="preserve"> (Accessed on: 2 July 2026)</w:t>
                            </w:r>
                          </w:p>
                          <w:p w14:paraId="4C15B950" w14:textId="77777777" w:rsidR="00D564B7" w:rsidRPr="00D564B7" w:rsidRDefault="00D564B7" w:rsidP="00D564B7">
                            <w:pPr>
                              <w:spacing w:line="276" w:lineRule="auto"/>
                              <w:jc w:val="both"/>
                              <w:rPr>
                                <w:rFonts w:ascii="Calibri" w:hAnsi="Calibri" w:cs="Calibri"/>
                                <w:color w:val="1155CC"/>
                                <w:sz w:val="20"/>
                                <w:szCs w:val="20"/>
                                <w:u w:val="single"/>
                              </w:rPr>
                            </w:pPr>
                            <w:r w:rsidRPr="00D564B7">
                              <w:rPr>
                                <w:rFonts w:ascii="Calibri" w:hAnsi="Calibri" w:cs="Calibri"/>
                                <w:sz w:val="20"/>
                                <w:szCs w:val="20"/>
                              </w:rPr>
                              <w:t xml:space="preserve">Rutter, P. and Barnes, N., 2024. Facilitating self-care through community pharmacy in England. </w:t>
                            </w:r>
                            <w:r w:rsidRPr="00D564B7">
                              <w:rPr>
                                <w:rFonts w:ascii="Calibri" w:hAnsi="Calibri" w:cs="Calibri"/>
                                <w:i/>
                                <w:iCs/>
                                <w:sz w:val="20"/>
                                <w:szCs w:val="20"/>
                              </w:rPr>
                              <w:t>Exploratory Research in Clinical and Social Pharmacy</w:t>
                            </w:r>
                            <w:r w:rsidRPr="00D564B7">
                              <w:rPr>
                                <w:rFonts w:ascii="Calibri" w:hAnsi="Calibri" w:cs="Calibri"/>
                                <w:sz w:val="20"/>
                                <w:szCs w:val="20"/>
                              </w:rPr>
                              <w:t xml:space="preserve">, </w:t>
                            </w:r>
                            <w:r w:rsidRPr="00D564B7">
                              <w:rPr>
                                <w:rFonts w:ascii="Calibri" w:hAnsi="Calibri" w:cs="Calibri"/>
                                <w:i/>
                                <w:iCs/>
                                <w:sz w:val="20"/>
                                <w:szCs w:val="20"/>
                              </w:rPr>
                              <w:t>13</w:t>
                            </w:r>
                            <w:r w:rsidRPr="00D564B7">
                              <w:rPr>
                                <w:rFonts w:ascii="Calibri" w:hAnsi="Calibri" w:cs="Calibri"/>
                                <w:sz w:val="20"/>
                                <w:szCs w:val="20"/>
                              </w:rPr>
                              <w:t>, p.100404.</w:t>
                            </w:r>
                            <w:hyperlink r:id="rId28">
                              <w:r w:rsidRPr="00D564B7">
                                <w:rPr>
                                  <w:rFonts w:ascii="Calibri" w:hAnsi="Calibri" w:cs="Calibri"/>
                                  <w:sz w:val="20"/>
                                  <w:szCs w:val="20"/>
                                </w:rPr>
                                <w:t xml:space="preserve"> </w:t>
                              </w:r>
                            </w:hyperlink>
                            <w:hyperlink r:id="rId29">
                              <w:r w:rsidRPr="00D564B7">
                                <w:rPr>
                                  <w:rFonts w:ascii="Calibri" w:hAnsi="Calibri" w:cs="Calibri"/>
                                  <w:color w:val="1155CC"/>
                                  <w:sz w:val="20"/>
                                  <w:szCs w:val="20"/>
                                  <w:u w:val="single"/>
                                </w:rPr>
                                <w:t>https://www.sciencedirect.com/science/article/pii/S2667276623001853</w:t>
                              </w:r>
                            </w:hyperlink>
                          </w:p>
                          <w:p w14:paraId="1F09D7AC" w14:textId="3A63DA43"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Your Health Your Pharmacy, (2023). </w:t>
                            </w:r>
                            <w:r w:rsidRPr="00D564B7">
                              <w:rPr>
                                <w:rFonts w:ascii="Calibri" w:hAnsi="Calibri" w:cs="Calibri"/>
                                <w:i/>
                                <w:iCs/>
                                <w:sz w:val="20"/>
                                <w:szCs w:val="20"/>
                              </w:rPr>
                              <w:t>Community Pharmacy – Past, Present and Future</w:t>
                            </w:r>
                            <w:r w:rsidRPr="00D564B7">
                              <w:rPr>
                                <w:rFonts w:ascii="Calibri" w:hAnsi="Calibri" w:cs="Calibri"/>
                                <w:sz w:val="20"/>
                                <w:szCs w:val="20"/>
                              </w:rPr>
                              <w:t>. [</w:t>
                            </w:r>
                            <w:proofErr w:type="gramStart"/>
                            <w:r w:rsidRPr="00D564B7">
                              <w:rPr>
                                <w:rFonts w:ascii="Calibri" w:hAnsi="Calibri" w:cs="Calibri"/>
                                <w:sz w:val="20"/>
                                <w:szCs w:val="20"/>
                              </w:rPr>
                              <w:t>online</w:t>
                            </w:r>
                            <w:proofErr w:type="gramEnd"/>
                            <w:r w:rsidRPr="00D564B7">
                              <w:rPr>
                                <w:rFonts w:ascii="Calibri" w:hAnsi="Calibri" w:cs="Calibri"/>
                                <w:sz w:val="20"/>
                                <w:szCs w:val="20"/>
                              </w:rPr>
                              <w:t>] Available at:</w:t>
                            </w:r>
                            <w:hyperlink r:id="rId30">
                              <w:r w:rsidRPr="00D564B7">
                                <w:rPr>
                                  <w:rFonts w:ascii="Calibri" w:hAnsi="Calibri" w:cs="Calibri"/>
                                  <w:sz w:val="20"/>
                                  <w:szCs w:val="20"/>
                                </w:rPr>
                                <w:t xml:space="preserve"> </w:t>
                              </w:r>
                            </w:hyperlink>
                            <w:hyperlink r:id="rId31">
                              <w:r w:rsidRPr="00D564B7">
                                <w:rPr>
                                  <w:rFonts w:ascii="Calibri" w:hAnsi="Calibri" w:cs="Calibri"/>
                                  <w:color w:val="1155CC"/>
                                  <w:sz w:val="20"/>
                                  <w:szCs w:val="20"/>
                                  <w:u w:val="single"/>
                                </w:rPr>
                                <w:t>https://www.yourhealthyourpharmacy.co.uk/community-pharmacy-past-present-and-future-3/</w:t>
                              </w:r>
                            </w:hyperlink>
                            <w:r w:rsidRPr="00D564B7">
                              <w:rPr>
                                <w:rFonts w:ascii="Calibri" w:hAnsi="Calibri" w:cs="Calibri"/>
                                <w:sz w:val="20"/>
                                <w:szCs w:val="20"/>
                              </w:rPr>
                              <w:t xml:space="preserve"> (Accessed on: 1 July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86459" id="Text Box 16" o:spid="_x0000_s1038" type="#_x0000_t202" style="position:absolute;margin-left:7.5pt;margin-top:7.5pt;width:748.5pt;height:243.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" fillcolor="white [3201]" strokeweight=".5pt">
                <v:textbox>
                  <w:txbxContent>
                    <w:p w14:paraId="36B1133F" w14:textId="77777777" w:rsidR="00D564B7" w:rsidRPr="00D564B7" w:rsidRDefault="00D564B7" w:rsidP="00D564B7">
                      <w:pPr>
                        <w:spacing w:line="240" w:lineRule="auto"/>
                        <w:jc w:val="both"/>
                        <w:rPr>
                          <w:b/>
                          <w:bCs/>
                          <w:color w:val="385623" w:themeColor="accent6" w:themeShade="80"/>
                        </w:rPr>
                      </w:pPr>
                      <w:r w:rsidRPr="00D564B7">
                        <w:rPr>
                          <w:b/>
                          <w:bCs/>
                          <w:color w:val="385623" w:themeColor="accent6" w:themeShade="80"/>
                        </w:rPr>
                        <w:t>References</w:t>
                      </w:r>
                    </w:p>
                    <w:p w14:paraId="423C2E6E"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Community Pharmacy England, (2025). </w:t>
                      </w:r>
                      <w:r w:rsidRPr="00D564B7">
                        <w:rPr>
                          <w:rFonts w:ascii="Calibri" w:hAnsi="Calibri" w:cs="Calibri"/>
                          <w:i/>
                          <w:iCs/>
                          <w:sz w:val="20"/>
                          <w:szCs w:val="20"/>
                        </w:rPr>
                        <w:t>Economic Analysis of NHS Pharmaceutical Services (Independent Economic Review).</w:t>
                      </w:r>
                      <w:r w:rsidRPr="00D564B7">
                        <w:rPr>
                          <w:rFonts w:ascii="Calibri" w:hAnsi="Calibri" w:cs="Calibri"/>
                          <w:sz w:val="20"/>
                          <w:szCs w:val="20"/>
                        </w:rPr>
                        <w:t xml:space="preserve"> [online] Available at:</w:t>
                      </w:r>
                      <w:hyperlink r:id="rId34">
                        <w:r w:rsidRPr="00D564B7">
                          <w:rPr>
                            <w:rFonts w:ascii="Calibri" w:hAnsi="Calibri" w:cs="Calibri"/>
                            <w:sz w:val="20"/>
                            <w:szCs w:val="20"/>
                          </w:rPr>
                          <w:t xml:space="preserve"> </w:t>
                        </w:r>
                      </w:hyperlink>
                      <w:hyperlink r:id="rId35">
                        <w:r w:rsidRPr="00D564B7">
                          <w:rPr>
                            <w:rFonts w:ascii="Calibri" w:hAnsi="Calibri" w:cs="Calibri"/>
                            <w:color w:val="1155CC"/>
                            <w:sz w:val="20"/>
                            <w:szCs w:val="20"/>
                            <w:u w:val="single"/>
                          </w:rPr>
                          <w:t>https://cpe.org.uk/funding-and-reimbursement/pharmacy-funding/independent-economic-review/</w:t>
                        </w:r>
                      </w:hyperlink>
                      <w:r w:rsidRPr="00D564B7">
                        <w:rPr>
                          <w:rFonts w:ascii="Calibri" w:hAnsi="Calibri" w:cs="Calibri"/>
                          <w:sz w:val="20"/>
                          <w:szCs w:val="20"/>
                        </w:rPr>
                        <w:t xml:space="preserve"> (Accessed on: 2 July 2026)</w:t>
                      </w:r>
                    </w:p>
                    <w:p w14:paraId="19CE03EF"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Minhas, A., (2026). </w:t>
                      </w:r>
                      <w:r w:rsidRPr="00D564B7">
                        <w:rPr>
                          <w:rFonts w:ascii="Calibri" w:hAnsi="Calibri" w:cs="Calibri"/>
                          <w:i/>
                          <w:iCs/>
                          <w:sz w:val="20"/>
                          <w:szCs w:val="20"/>
                        </w:rPr>
                        <w:t>Number of Community Pharmacies in England from 2006/07 to 2024/25</w:t>
                      </w:r>
                      <w:r w:rsidRPr="00D564B7">
                        <w:rPr>
                          <w:rFonts w:ascii="Calibri" w:hAnsi="Calibri" w:cs="Calibri"/>
                          <w:sz w:val="20"/>
                          <w:szCs w:val="20"/>
                        </w:rPr>
                        <w:t>. [online] Available at:</w:t>
                      </w:r>
                      <w:hyperlink r:id="rId36">
                        <w:r w:rsidRPr="00D564B7">
                          <w:rPr>
                            <w:rFonts w:ascii="Calibri" w:hAnsi="Calibri" w:cs="Calibri"/>
                            <w:sz w:val="20"/>
                            <w:szCs w:val="20"/>
                          </w:rPr>
                          <w:t xml:space="preserve"> </w:t>
                        </w:r>
                      </w:hyperlink>
                      <w:hyperlink r:id="rId37">
                        <w:r w:rsidRPr="00D564B7">
                          <w:rPr>
                            <w:rFonts w:ascii="Calibri" w:hAnsi="Calibri" w:cs="Calibri"/>
                            <w:color w:val="1155CC"/>
                            <w:sz w:val="20"/>
                            <w:szCs w:val="20"/>
                            <w:u w:val="single"/>
                          </w:rPr>
                          <w:t>https://www.statista.com/statistics/418071/community-pharmacies-in-england/</w:t>
                        </w:r>
                      </w:hyperlink>
                      <w:r w:rsidRPr="00D564B7">
                        <w:rPr>
                          <w:rFonts w:ascii="Calibri" w:hAnsi="Calibri" w:cs="Calibri"/>
                          <w:sz w:val="20"/>
                          <w:szCs w:val="20"/>
                        </w:rPr>
                        <w:t xml:space="preserve"> (Accessed on: 2 July 2026)</w:t>
                      </w:r>
                    </w:p>
                    <w:p w14:paraId="0F79B6BA"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NHS England, (2024). </w:t>
                      </w:r>
                      <w:r w:rsidRPr="00D564B7">
                        <w:rPr>
                          <w:rFonts w:ascii="Calibri" w:hAnsi="Calibri" w:cs="Calibri"/>
                          <w:i/>
                          <w:iCs/>
                          <w:sz w:val="20"/>
                          <w:szCs w:val="20"/>
                        </w:rPr>
                        <w:t>Pharmacy First</w:t>
                      </w:r>
                      <w:r w:rsidRPr="00D564B7">
                        <w:rPr>
                          <w:rFonts w:ascii="Calibri" w:hAnsi="Calibri" w:cs="Calibri"/>
                          <w:sz w:val="20"/>
                          <w:szCs w:val="20"/>
                        </w:rPr>
                        <w:t>. [online] Available at:</w:t>
                      </w:r>
                      <w:hyperlink r:id="rId38">
                        <w:r w:rsidRPr="00D564B7">
                          <w:rPr>
                            <w:rFonts w:ascii="Calibri" w:hAnsi="Calibri" w:cs="Calibri"/>
                            <w:sz w:val="20"/>
                            <w:szCs w:val="20"/>
                          </w:rPr>
                          <w:t xml:space="preserve"> </w:t>
                        </w:r>
                      </w:hyperlink>
                      <w:hyperlink r:id="rId39">
                        <w:r w:rsidRPr="00D564B7">
                          <w:rPr>
                            <w:rFonts w:ascii="Calibri" w:hAnsi="Calibri" w:cs="Calibri"/>
                            <w:color w:val="1155CC"/>
                            <w:sz w:val="20"/>
                            <w:szCs w:val="20"/>
                            <w:u w:val="single"/>
                          </w:rPr>
                          <w:t>https://www.england.nhs.uk/primary-care/pharmacy/pharmacy-services/pharmacy-first/</w:t>
                        </w:r>
                      </w:hyperlink>
                      <w:r w:rsidRPr="00D564B7">
                        <w:rPr>
                          <w:rFonts w:ascii="Calibri" w:hAnsi="Calibri" w:cs="Calibri"/>
                          <w:sz w:val="20"/>
                          <w:szCs w:val="20"/>
                        </w:rPr>
                        <w:t xml:space="preserve"> (Accessed on: 2 July 2026)</w:t>
                      </w:r>
                    </w:p>
                    <w:p w14:paraId="4B63BB50" w14:textId="77777777"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Robertson, J., (2026). </w:t>
                      </w:r>
                      <w:r w:rsidRPr="00D564B7">
                        <w:rPr>
                          <w:rFonts w:ascii="Calibri" w:hAnsi="Calibri" w:cs="Calibri"/>
                          <w:i/>
                          <w:iCs/>
                          <w:sz w:val="20"/>
                          <w:szCs w:val="20"/>
                        </w:rPr>
                        <w:t>Growth in Pharmacy First Consultations ‘Not Sustainable’</w:t>
                      </w:r>
                      <w:r w:rsidRPr="00D564B7">
                        <w:rPr>
                          <w:rFonts w:ascii="Calibri" w:hAnsi="Calibri" w:cs="Calibri"/>
                          <w:sz w:val="20"/>
                          <w:szCs w:val="20"/>
                        </w:rPr>
                        <w:t xml:space="preserve">. </w:t>
                      </w:r>
                      <w:r w:rsidRPr="00D564B7">
                        <w:rPr>
                          <w:rFonts w:ascii="Calibri" w:hAnsi="Calibri" w:cs="Calibri"/>
                          <w:i/>
                          <w:iCs/>
                          <w:sz w:val="20"/>
                          <w:szCs w:val="20"/>
                        </w:rPr>
                        <w:t>The Pharmaceutical Journal</w:t>
                      </w:r>
                      <w:r w:rsidRPr="00D564B7">
                        <w:rPr>
                          <w:rFonts w:ascii="Calibri" w:hAnsi="Calibri" w:cs="Calibri"/>
                          <w:sz w:val="20"/>
                          <w:szCs w:val="20"/>
                        </w:rPr>
                        <w:t>. [online] Available at:</w:t>
                      </w:r>
                      <w:hyperlink r:id="rId40">
                        <w:r w:rsidRPr="00D564B7">
                          <w:rPr>
                            <w:rFonts w:ascii="Calibri" w:hAnsi="Calibri" w:cs="Calibri"/>
                            <w:sz w:val="20"/>
                            <w:szCs w:val="20"/>
                          </w:rPr>
                          <w:t xml:space="preserve"> </w:t>
                        </w:r>
                      </w:hyperlink>
                      <w:hyperlink r:id="rId41">
                        <w:r w:rsidRPr="00D564B7">
                          <w:rPr>
                            <w:rFonts w:ascii="Calibri" w:hAnsi="Calibri" w:cs="Calibri"/>
                            <w:color w:val="1155CC"/>
                            <w:sz w:val="20"/>
                            <w:szCs w:val="20"/>
                            <w:u w:val="single"/>
                          </w:rPr>
                          <w:t>https://pharmaceutical-journal.com/article/news/growth-in-pharmacy-first-consultations-not-sustainable</w:t>
                        </w:r>
                      </w:hyperlink>
                      <w:r w:rsidRPr="00D564B7">
                        <w:rPr>
                          <w:rFonts w:ascii="Calibri" w:hAnsi="Calibri" w:cs="Calibri"/>
                          <w:sz w:val="20"/>
                          <w:szCs w:val="20"/>
                        </w:rPr>
                        <w:t xml:space="preserve"> (Accessed on: 2 July 2026)</w:t>
                      </w:r>
                    </w:p>
                    <w:p w14:paraId="4C15B950" w14:textId="77777777" w:rsidR="00D564B7" w:rsidRPr="00D564B7" w:rsidRDefault="00D564B7" w:rsidP="00D564B7">
                      <w:pPr>
                        <w:spacing w:line="276" w:lineRule="auto"/>
                        <w:jc w:val="both"/>
                        <w:rPr>
                          <w:rFonts w:ascii="Calibri" w:hAnsi="Calibri" w:cs="Calibri"/>
                          <w:color w:val="1155CC"/>
                          <w:sz w:val="20"/>
                          <w:szCs w:val="20"/>
                          <w:u w:val="single"/>
                        </w:rPr>
                      </w:pPr>
                      <w:r w:rsidRPr="00D564B7">
                        <w:rPr>
                          <w:rFonts w:ascii="Calibri" w:hAnsi="Calibri" w:cs="Calibri"/>
                          <w:sz w:val="20"/>
                          <w:szCs w:val="20"/>
                        </w:rPr>
                        <w:t xml:space="preserve">Rutter, P. and Barnes, N., 2024. Facilitating self-care through community pharmacy in England. </w:t>
                      </w:r>
                      <w:r w:rsidRPr="00D564B7">
                        <w:rPr>
                          <w:rFonts w:ascii="Calibri" w:hAnsi="Calibri" w:cs="Calibri"/>
                          <w:i/>
                          <w:iCs/>
                          <w:sz w:val="20"/>
                          <w:szCs w:val="20"/>
                        </w:rPr>
                        <w:t>Exploratory Research in Clinical and Social Pharmacy</w:t>
                      </w:r>
                      <w:r w:rsidRPr="00D564B7">
                        <w:rPr>
                          <w:rFonts w:ascii="Calibri" w:hAnsi="Calibri" w:cs="Calibri"/>
                          <w:sz w:val="20"/>
                          <w:szCs w:val="20"/>
                        </w:rPr>
                        <w:t xml:space="preserve">, </w:t>
                      </w:r>
                      <w:r w:rsidRPr="00D564B7">
                        <w:rPr>
                          <w:rFonts w:ascii="Calibri" w:hAnsi="Calibri" w:cs="Calibri"/>
                          <w:i/>
                          <w:iCs/>
                          <w:sz w:val="20"/>
                          <w:szCs w:val="20"/>
                        </w:rPr>
                        <w:t>13</w:t>
                      </w:r>
                      <w:r w:rsidRPr="00D564B7">
                        <w:rPr>
                          <w:rFonts w:ascii="Calibri" w:hAnsi="Calibri" w:cs="Calibri"/>
                          <w:sz w:val="20"/>
                          <w:szCs w:val="20"/>
                        </w:rPr>
                        <w:t>, p.100404.</w:t>
                      </w:r>
                      <w:hyperlink r:id="rId42">
                        <w:r w:rsidRPr="00D564B7">
                          <w:rPr>
                            <w:rFonts w:ascii="Calibri" w:hAnsi="Calibri" w:cs="Calibri"/>
                            <w:sz w:val="20"/>
                            <w:szCs w:val="20"/>
                          </w:rPr>
                          <w:t xml:space="preserve"> </w:t>
                        </w:r>
                      </w:hyperlink>
                      <w:hyperlink r:id="rId43">
                        <w:r w:rsidRPr="00D564B7">
                          <w:rPr>
                            <w:rFonts w:ascii="Calibri" w:hAnsi="Calibri" w:cs="Calibri"/>
                            <w:color w:val="1155CC"/>
                            <w:sz w:val="20"/>
                            <w:szCs w:val="20"/>
                            <w:u w:val="single"/>
                          </w:rPr>
                          <w:t>https://www.sciencedirect.com/science/article/pii/S2667276623001853</w:t>
                        </w:r>
                      </w:hyperlink>
                    </w:p>
                    <w:p w14:paraId="1F09D7AC" w14:textId="3A63DA43" w:rsidR="00D564B7" w:rsidRPr="00D564B7" w:rsidRDefault="00D564B7" w:rsidP="00D564B7">
                      <w:pPr>
                        <w:spacing w:line="276" w:lineRule="auto"/>
                        <w:jc w:val="both"/>
                        <w:rPr>
                          <w:rFonts w:ascii="Calibri" w:hAnsi="Calibri" w:cs="Calibri"/>
                          <w:sz w:val="20"/>
                          <w:szCs w:val="20"/>
                        </w:rPr>
                      </w:pPr>
                      <w:r w:rsidRPr="00D564B7">
                        <w:rPr>
                          <w:rFonts w:ascii="Calibri" w:hAnsi="Calibri" w:cs="Calibri"/>
                          <w:sz w:val="20"/>
                          <w:szCs w:val="20"/>
                        </w:rPr>
                        <w:t xml:space="preserve">Your Health Your Pharmacy, (2023). </w:t>
                      </w:r>
                      <w:r w:rsidRPr="00D564B7">
                        <w:rPr>
                          <w:rFonts w:ascii="Calibri" w:hAnsi="Calibri" w:cs="Calibri"/>
                          <w:i/>
                          <w:iCs/>
                          <w:sz w:val="20"/>
                          <w:szCs w:val="20"/>
                        </w:rPr>
                        <w:t>Community Pharmacy – Past, Present and Future</w:t>
                      </w:r>
                      <w:r w:rsidRPr="00D564B7">
                        <w:rPr>
                          <w:rFonts w:ascii="Calibri" w:hAnsi="Calibri" w:cs="Calibri"/>
                          <w:sz w:val="20"/>
                          <w:szCs w:val="20"/>
                        </w:rPr>
                        <w:t>. [online] Available at:</w:t>
                      </w:r>
                      <w:hyperlink r:id="rId44">
                        <w:r w:rsidRPr="00D564B7">
                          <w:rPr>
                            <w:rFonts w:ascii="Calibri" w:hAnsi="Calibri" w:cs="Calibri"/>
                            <w:sz w:val="20"/>
                            <w:szCs w:val="20"/>
                          </w:rPr>
                          <w:t xml:space="preserve"> </w:t>
                        </w:r>
                      </w:hyperlink>
                      <w:hyperlink r:id="rId45">
                        <w:r w:rsidRPr="00D564B7">
                          <w:rPr>
                            <w:rFonts w:ascii="Calibri" w:hAnsi="Calibri" w:cs="Calibri"/>
                            <w:color w:val="1155CC"/>
                            <w:sz w:val="20"/>
                            <w:szCs w:val="20"/>
                            <w:u w:val="single"/>
                          </w:rPr>
                          <w:t>https://www.yourhealthyourpharmacy.co.uk/community-pharmacy-past-present-and-future-3/</w:t>
                        </w:r>
                      </w:hyperlink>
                      <w:r w:rsidRPr="00D564B7">
                        <w:rPr>
                          <w:rFonts w:ascii="Calibri" w:hAnsi="Calibri" w:cs="Calibri"/>
                          <w:sz w:val="20"/>
                          <w:szCs w:val="20"/>
                        </w:rPr>
                        <w:t xml:space="preserve"> (Accessed on: 1 July 2026)</w:t>
                      </w:r>
                    </w:p>
                  </w:txbxContent>
                </v:textbox>
              </v:shape>
            </w:pict>
          </mc:Fallback>
        </mc:AlternateContent>
      </w:r>
      <w:r w:rsidR="00135D14">
        <w:rPr>
          <w:rFonts w:ascii="Arial" w:hAnsi="Arial" w:cs="Arial"/>
          <w:b/>
          <w:bCs/>
          <w:sz w:val="28"/>
          <w:szCs w:val="28"/>
        </w:rPr>
        <w:br w:type="page"/>
      </w:r>
    </w:p>
    <w:p w14:paraId="20F1A3B3" w14:textId="3A5FE367" w:rsidR="003A000F" w:rsidRPr="00A6165E" w:rsidRDefault="003A000F">
      <w:pPr>
        <w:rPr>
          <w:rFonts w:ascii="Arial" w:hAnsi="Arial" w:cs="Arial"/>
          <w:b/>
          <w:bCs/>
          <w:sz w:val="28"/>
          <w:szCs w:val="28"/>
        </w:rPr>
        <w:sectPr w:rsidR="003A000F" w:rsidRPr="00A6165E" w:rsidSect="001F5CC5">
          <w:pgSz w:w="16838" w:h="11906" w:orient="landscape"/>
          <w:pgMar w:top="1440" w:right="1440" w:bottom="568" w:left="1440" w:header="708" w:footer="708" w:gutter="0"/>
          <w:cols w:space="708"/>
          <w:docGrid w:linePitch="360"/>
        </w:sectPr>
      </w:pPr>
    </w:p>
    <w:p w14:paraId="07516C64" w14:textId="324C2238" w:rsidR="00C360E9" w:rsidRDefault="00C360E9" w:rsidP="004C44BA">
      <w:pPr>
        <w:pStyle w:val="Heading1"/>
      </w:pPr>
      <w:bookmarkStart w:id="3" w:name="_Toc234170982"/>
      <w:bookmarkStart w:id="4" w:name="_Toc234603145"/>
      <w:proofErr w:type="spellStart"/>
      <w:r>
        <w:lastRenderedPageBreak/>
        <w:t>Eassay</w:t>
      </w:r>
      <w:proofErr w:type="spellEnd"/>
    </w:p>
    <w:p w14:paraId="59B7DD91" w14:textId="77777777" w:rsidR="00C360E9" w:rsidRDefault="00C360E9" w:rsidP="004C44BA">
      <w:pPr>
        <w:pStyle w:val="Heading1"/>
      </w:pPr>
    </w:p>
    <w:p w14:paraId="6B6810B8" w14:textId="693BC616" w:rsidR="004C44BA" w:rsidRDefault="00C360E9" w:rsidP="004C44BA">
      <w:pPr>
        <w:pStyle w:val="Heading1"/>
      </w:pPr>
      <w:r>
        <w:t>Task 2</w:t>
      </w:r>
      <w:r w:rsidR="004C44BA" w:rsidRPr="00006E04">
        <w:t>: Residential care home</w:t>
      </w:r>
      <w:bookmarkEnd w:id="3"/>
      <w:bookmarkEnd w:id="4"/>
    </w:p>
    <w:p w14:paraId="352B2A16" w14:textId="77777777" w:rsidR="00C360E9" w:rsidRPr="00C360E9" w:rsidRDefault="00C360E9" w:rsidP="0095414E">
      <w:pPr>
        <w:spacing w:line="360" w:lineRule="auto"/>
        <w:rPr>
          <w:rFonts w:ascii="Arial" w:hAnsi="Arial" w:cs="Arial"/>
          <w:lang w:eastAsia="en-IN"/>
        </w:rPr>
      </w:pPr>
    </w:p>
    <w:p w14:paraId="12564048" w14:textId="77777777" w:rsidR="004C44BA" w:rsidRPr="00C360E9" w:rsidRDefault="004C44BA" w:rsidP="0095414E">
      <w:pPr>
        <w:spacing w:line="360" w:lineRule="auto"/>
        <w:jc w:val="both"/>
        <w:rPr>
          <w:rFonts w:ascii="Arial" w:hAnsi="Arial" w:cs="Arial"/>
        </w:rPr>
      </w:pPr>
      <w:r w:rsidRPr="00C360E9">
        <w:rPr>
          <w:rFonts w:ascii="Arial" w:hAnsi="Arial" w:cs="Arial"/>
        </w:rPr>
        <w:t>One of the key elements of the UK social care system is residential care homes, which support people with disabilities and elderly whose ability to live independently is impaired. Such population are provided personal care and assistance with their daily living. Residential care homes primarily offer personal care and not nursing care that is ongoing. They ensure dignity for everyone, independence and wellbeing while ensuring support for residents in a way that meets their individual needs.</w:t>
      </w:r>
    </w:p>
    <w:p w14:paraId="11ECD11E" w14:textId="77777777" w:rsidR="004C44BA" w:rsidRPr="00C360E9" w:rsidRDefault="004C44BA" w:rsidP="0095414E">
      <w:pPr>
        <w:spacing w:line="360" w:lineRule="auto"/>
        <w:jc w:val="both"/>
        <w:rPr>
          <w:rFonts w:ascii="Arial" w:hAnsi="Arial" w:cs="Arial"/>
        </w:rPr>
      </w:pPr>
      <w:r w:rsidRPr="00C360E9">
        <w:rPr>
          <w:rFonts w:ascii="Arial" w:hAnsi="Arial" w:cs="Arial"/>
        </w:rPr>
        <w:t>Residential care homes began to be established as part of the Poor Laws of the sixteenth centuries, when individuals who were unable to support themselves lived in workhouses and then poorhouses at the Parish level (</w:t>
      </w:r>
      <w:proofErr w:type="spellStart"/>
      <w:r w:rsidRPr="00C360E9">
        <w:rPr>
          <w:rFonts w:ascii="Arial" w:hAnsi="Arial" w:cs="Arial"/>
        </w:rPr>
        <w:t>Yerli</w:t>
      </w:r>
      <w:proofErr w:type="spellEnd"/>
      <w:r w:rsidRPr="00C360E9">
        <w:rPr>
          <w:rFonts w:ascii="Arial" w:hAnsi="Arial" w:cs="Arial"/>
        </w:rPr>
        <w:t>, 2020). Awful conditions and social stigma were often associated with these institutions. After the Second World War the welfare state was introduced, the workhouse system was overturned and local authorities’ responsibility for residential care was assumed under the National Assistance Act 1948. The focus on assessing social care requirements signalled a new shift in those laws, moving away from punitive institutionalisation to a welfare approach (</w:t>
      </w:r>
      <w:proofErr w:type="spellStart"/>
      <w:r w:rsidRPr="00C360E9">
        <w:rPr>
          <w:rFonts w:ascii="Arial" w:hAnsi="Arial" w:cs="Arial"/>
        </w:rPr>
        <w:t>Glasby</w:t>
      </w:r>
      <w:proofErr w:type="spellEnd"/>
      <w:r w:rsidRPr="00C360E9">
        <w:rPr>
          <w:rFonts w:ascii="Arial" w:hAnsi="Arial" w:cs="Arial"/>
        </w:rPr>
        <w:t>, 2026). The care in residential care homes became part of adult social care in England with a series of reforms which included the Care Standards Act 2000 and the Care Act 2014 that increased the strength of regulation, safeguarding and person-centred care.</w:t>
      </w:r>
    </w:p>
    <w:p w14:paraId="451F1FE6" w14:textId="77777777" w:rsidR="004C44BA" w:rsidRPr="00C360E9" w:rsidRDefault="004C44BA" w:rsidP="0095414E">
      <w:pPr>
        <w:spacing w:line="360" w:lineRule="auto"/>
        <w:jc w:val="both"/>
        <w:rPr>
          <w:rFonts w:ascii="Arial" w:hAnsi="Arial" w:cs="Arial"/>
        </w:rPr>
      </w:pPr>
      <w:r w:rsidRPr="00C360E9">
        <w:rPr>
          <w:rFonts w:ascii="Arial" w:hAnsi="Arial" w:cs="Arial"/>
        </w:rPr>
        <w:t>Residential care homes are regulated and run today under the Care Quality Commission (CQC). Providers need to comply with the national minimum standards of safety, effectiveness, responsiveness, leadership and quality of care (Care Quality Commission (CQC), 2025). Care is provided by partnership by a multidisciplinary team comprising care staff, GP, pharmacists and social workers to meet residents’ physical, emotional and social needs. Accurate record-keeping and good communication along with individual care plans help to ensure continuity of care and allow the residents and family to have a voice in decisions made. Digital care records also have benefits for information sharing and care co-ordination between health and social care services, as their use has increased (</w:t>
      </w:r>
      <w:proofErr w:type="spellStart"/>
      <w:r w:rsidRPr="00C360E9">
        <w:rPr>
          <w:rFonts w:ascii="Arial" w:hAnsi="Arial" w:cs="Arial"/>
        </w:rPr>
        <w:t>Allsop</w:t>
      </w:r>
      <w:proofErr w:type="spellEnd"/>
      <w:r w:rsidRPr="00C360E9">
        <w:rPr>
          <w:rFonts w:ascii="Arial" w:hAnsi="Arial" w:cs="Arial"/>
        </w:rPr>
        <w:t xml:space="preserve"> </w:t>
      </w:r>
      <w:r w:rsidRPr="00C360E9">
        <w:rPr>
          <w:rFonts w:ascii="Arial" w:hAnsi="Arial" w:cs="Arial"/>
          <w:i/>
          <w:iCs/>
        </w:rPr>
        <w:t>et al.,</w:t>
      </w:r>
      <w:r w:rsidRPr="00C360E9">
        <w:rPr>
          <w:rFonts w:ascii="Arial" w:hAnsi="Arial" w:cs="Arial"/>
        </w:rPr>
        <w:t xml:space="preserve"> 2022).</w:t>
      </w:r>
    </w:p>
    <w:p w14:paraId="561796A4" w14:textId="77777777" w:rsidR="004C44BA" w:rsidRPr="00C360E9" w:rsidRDefault="004C44BA" w:rsidP="0095414E">
      <w:pPr>
        <w:spacing w:line="360" w:lineRule="auto"/>
        <w:jc w:val="both"/>
        <w:rPr>
          <w:rFonts w:ascii="Arial" w:hAnsi="Arial" w:cs="Arial"/>
        </w:rPr>
      </w:pPr>
      <w:r w:rsidRPr="00C360E9">
        <w:rPr>
          <w:rFonts w:ascii="Arial" w:hAnsi="Arial" w:cs="Arial"/>
        </w:rPr>
        <w:t xml:space="preserve">Despite all of these progressions, there are still a lot of problems in front residential care homes. Providers are facing some serious pressure due to staff shortages and rising operational costs, while they are also seeing a growing demand because of mounting of an ageing population. Skills for Care (2025) estimates that adult social care continues to have high vacancy and </w:t>
      </w:r>
      <w:r w:rsidRPr="00C360E9">
        <w:rPr>
          <w:rFonts w:ascii="Arial" w:hAnsi="Arial" w:cs="Arial"/>
        </w:rPr>
        <w:lastRenderedPageBreak/>
        <w:t>turnover rates in England, which have an impact on continuity of care and quality of the care provided. In addition, because of funding restrictions, providers have been struggling to engage and retain qualified workforce to respond to an increasingly complicated and varied set of care needs (House of Commons Health and Social Care Committee, 2022). The issues bring many challenges: the need for sustainable investment, building a workforce and better integrate health and social care services.</w:t>
      </w:r>
    </w:p>
    <w:p w14:paraId="22336B3F" w14:textId="61FAF47B" w:rsidR="001F5CC5" w:rsidRPr="00C360E9" w:rsidRDefault="004C44BA" w:rsidP="0095414E">
      <w:pPr>
        <w:spacing w:line="360" w:lineRule="auto"/>
        <w:jc w:val="both"/>
        <w:rPr>
          <w:rFonts w:ascii="Arial" w:hAnsi="Arial" w:cs="Arial"/>
          <w:b/>
          <w:bCs/>
        </w:rPr>
      </w:pPr>
      <w:r w:rsidRPr="00C360E9">
        <w:rPr>
          <w:rFonts w:ascii="Arial" w:hAnsi="Arial" w:cs="Arial"/>
        </w:rPr>
        <w:t>The contribution that residential care homes can make to service users’ lives in terms of improving their lives is key. They also offer social interaction, recreational activities and emotional support to mitigate social isolation beyond supporting self-care, and support one’s overall well-being. Person centred care allows residents to live independently, with dignity and choice whilst maximising their physical and mental wellbeing. Evidence shows that strong connections to and relationships with staff, personalised care and a safe environment are key to fostering an enhanced quality of life and life satisfaction amongst residents (</w:t>
      </w:r>
      <w:proofErr w:type="spellStart"/>
      <w:r w:rsidRPr="00C360E9">
        <w:rPr>
          <w:rFonts w:ascii="Arial" w:hAnsi="Arial" w:cs="Arial"/>
        </w:rPr>
        <w:t>Borovika</w:t>
      </w:r>
      <w:proofErr w:type="spellEnd"/>
      <w:r w:rsidRPr="00C360E9">
        <w:rPr>
          <w:rFonts w:ascii="Arial" w:hAnsi="Arial" w:cs="Arial"/>
        </w:rPr>
        <w:t xml:space="preserve"> </w:t>
      </w:r>
      <w:r w:rsidRPr="00C360E9">
        <w:rPr>
          <w:rFonts w:ascii="Arial" w:hAnsi="Arial" w:cs="Arial"/>
          <w:i/>
          <w:iCs/>
        </w:rPr>
        <w:t>et al.,</w:t>
      </w:r>
      <w:r w:rsidRPr="00C360E9">
        <w:rPr>
          <w:rFonts w:ascii="Arial" w:hAnsi="Arial" w:cs="Arial"/>
        </w:rPr>
        <w:t xml:space="preserve"> 2025). Besides, residential care homes serve to give the families reassurances as to the presence of continuous support and protection for vulnerable persons. Nonetheless, there are need for improvements to tackle issues, such as funding crunch and shortage of workforce in residential care homes that play an important role to drive the wellbeing of vulnerable elderly people and supporting healthy ageing in the country.</w:t>
      </w:r>
      <w:r w:rsidR="001F5CC5" w:rsidRPr="00C360E9">
        <w:rPr>
          <w:rFonts w:ascii="Arial" w:hAnsi="Arial" w:cs="Arial"/>
          <w:b/>
          <w:bCs/>
        </w:rPr>
        <w:br w:type="page"/>
      </w:r>
    </w:p>
    <w:p w14:paraId="23578436" w14:textId="0BA3B3BF" w:rsidR="00833470" w:rsidRPr="009A6E05" w:rsidRDefault="00833470" w:rsidP="00D22470">
      <w:pPr>
        <w:pStyle w:val="Heading1"/>
      </w:pPr>
      <w:bookmarkStart w:id="5" w:name="_Toc234603146"/>
      <w:r w:rsidRPr="009A6E05">
        <w:lastRenderedPageBreak/>
        <w:t>References</w:t>
      </w:r>
      <w:bookmarkEnd w:id="5"/>
    </w:p>
    <w:p w14:paraId="72005D36" w14:textId="77777777" w:rsidR="004C44BA" w:rsidRPr="004C44BA" w:rsidRDefault="004C44BA" w:rsidP="004C44BA">
      <w:pPr>
        <w:spacing w:line="360" w:lineRule="auto"/>
        <w:jc w:val="both"/>
        <w:rPr>
          <w:rFonts w:ascii="Arial" w:hAnsi="Arial" w:cs="Arial"/>
          <w:sz w:val="24"/>
          <w:szCs w:val="24"/>
        </w:rPr>
      </w:pPr>
      <w:proofErr w:type="spellStart"/>
      <w:r w:rsidRPr="004C44BA">
        <w:rPr>
          <w:rFonts w:ascii="Arial" w:hAnsi="Arial" w:cs="Arial"/>
          <w:sz w:val="24"/>
          <w:szCs w:val="24"/>
        </w:rPr>
        <w:t>Allsop</w:t>
      </w:r>
      <w:proofErr w:type="spellEnd"/>
      <w:r w:rsidRPr="004C44BA">
        <w:rPr>
          <w:rFonts w:ascii="Arial" w:hAnsi="Arial" w:cs="Arial"/>
          <w:sz w:val="24"/>
          <w:szCs w:val="24"/>
        </w:rPr>
        <w:t xml:space="preserve">, M.J., </w:t>
      </w:r>
      <w:proofErr w:type="spellStart"/>
      <w:r w:rsidRPr="004C44BA">
        <w:rPr>
          <w:rFonts w:ascii="Arial" w:hAnsi="Arial" w:cs="Arial"/>
          <w:sz w:val="24"/>
          <w:szCs w:val="24"/>
        </w:rPr>
        <w:t>Chumbley</w:t>
      </w:r>
      <w:proofErr w:type="spellEnd"/>
      <w:r w:rsidRPr="004C44BA">
        <w:rPr>
          <w:rFonts w:ascii="Arial" w:hAnsi="Arial" w:cs="Arial"/>
          <w:sz w:val="24"/>
          <w:szCs w:val="24"/>
        </w:rPr>
        <w:t xml:space="preserve">, K., </w:t>
      </w:r>
      <w:proofErr w:type="spellStart"/>
      <w:r w:rsidRPr="004C44BA">
        <w:rPr>
          <w:rFonts w:ascii="Arial" w:hAnsi="Arial" w:cs="Arial"/>
          <w:sz w:val="24"/>
          <w:szCs w:val="24"/>
        </w:rPr>
        <w:t>Birtwistle</w:t>
      </w:r>
      <w:proofErr w:type="spellEnd"/>
      <w:r w:rsidRPr="004C44BA">
        <w:rPr>
          <w:rFonts w:ascii="Arial" w:hAnsi="Arial" w:cs="Arial"/>
          <w:sz w:val="24"/>
          <w:szCs w:val="24"/>
        </w:rPr>
        <w:t xml:space="preserve">, J., Bennett, M.I. and </w:t>
      </w:r>
      <w:proofErr w:type="spellStart"/>
      <w:r w:rsidRPr="004C44BA">
        <w:rPr>
          <w:rFonts w:ascii="Arial" w:hAnsi="Arial" w:cs="Arial"/>
          <w:sz w:val="24"/>
          <w:szCs w:val="24"/>
        </w:rPr>
        <w:t>Pocock</w:t>
      </w:r>
      <w:proofErr w:type="spellEnd"/>
      <w:r w:rsidRPr="004C44BA">
        <w:rPr>
          <w:rFonts w:ascii="Arial" w:hAnsi="Arial" w:cs="Arial"/>
          <w:sz w:val="24"/>
          <w:szCs w:val="24"/>
        </w:rPr>
        <w:t>, L., 2022. Building on sand: digital technologies for care coordination and advance care planning. </w:t>
      </w:r>
      <w:r w:rsidRPr="004C44BA">
        <w:rPr>
          <w:rFonts w:ascii="Arial" w:hAnsi="Arial" w:cs="Arial"/>
          <w:i/>
          <w:iCs/>
          <w:sz w:val="24"/>
          <w:szCs w:val="24"/>
        </w:rPr>
        <w:t>BMJ supportive &amp; palliative care</w:t>
      </w:r>
      <w:r w:rsidRPr="004C44BA">
        <w:rPr>
          <w:rFonts w:ascii="Arial" w:hAnsi="Arial" w:cs="Arial"/>
          <w:sz w:val="24"/>
          <w:szCs w:val="24"/>
        </w:rPr>
        <w:t>, </w:t>
      </w:r>
      <w:r w:rsidRPr="004C44BA">
        <w:rPr>
          <w:rFonts w:ascii="Arial" w:hAnsi="Arial" w:cs="Arial"/>
          <w:i/>
          <w:iCs/>
          <w:sz w:val="24"/>
          <w:szCs w:val="24"/>
        </w:rPr>
        <w:t>12</w:t>
      </w:r>
      <w:r w:rsidRPr="004C44BA">
        <w:rPr>
          <w:rFonts w:ascii="Arial" w:hAnsi="Arial" w:cs="Arial"/>
          <w:sz w:val="24"/>
          <w:szCs w:val="24"/>
        </w:rPr>
        <w:t xml:space="preserve">(2), pp.194-197. </w:t>
      </w:r>
      <w:hyperlink r:id="rId46" w:history="1">
        <w:r w:rsidRPr="004C44BA">
          <w:rPr>
            <w:rStyle w:val="Hyperlink"/>
            <w:rFonts w:ascii="Arial" w:hAnsi="Arial" w:cs="Arial"/>
            <w:sz w:val="24"/>
            <w:szCs w:val="24"/>
          </w:rPr>
          <w:t>https://eprints.whiterose.ac.uk/id/eprint/180801/3/Main%20Document_accepted_Allsop%20et%20al%202021.pdf</w:t>
        </w:r>
      </w:hyperlink>
    </w:p>
    <w:p w14:paraId="1304E265" w14:textId="77777777" w:rsidR="004C44BA" w:rsidRPr="004C44BA" w:rsidRDefault="004C44BA" w:rsidP="004C44BA">
      <w:pPr>
        <w:spacing w:line="360" w:lineRule="auto"/>
        <w:jc w:val="both"/>
        <w:rPr>
          <w:rFonts w:ascii="Arial" w:hAnsi="Arial" w:cs="Arial"/>
          <w:sz w:val="24"/>
          <w:szCs w:val="24"/>
        </w:rPr>
      </w:pPr>
      <w:proofErr w:type="spellStart"/>
      <w:r w:rsidRPr="004C44BA">
        <w:rPr>
          <w:rFonts w:ascii="Arial" w:hAnsi="Arial" w:cs="Arial"/>
          <w:sz w:val="24"/>
          <w:szCs w:val="24"/>
        </w:rPr>
        <w:t>Borovika</w:t>
      </w:r>
      <w:proofErr w:type="spellEnd"/>
      <w:r w:rsidRPr="004C44BA">
        <w:rPr>
          <w:rFonts w:ascii="Arial" w:hAnsi="Arial" w:cs="Arial"/>
          <w:sz w:val="24"/>
          <w:szCs w:val="24"/>
        </w:rPr>
        <w:t xml:space="preserve">, A., Moors, M. and </w:t>
      </w:r>
      <w:proofErr w:type="spellStart"/>
      <w:r w:rsidRPr="004C44BA">
        <w:rPr>
          <w:rFonts w:ascii="Arial" w:hAnsi="Arial" w:cs="Arial"/>
          <w:sz w:val="24"/>
          <w:szCs w:val="24"/>
        </w:rPr>
        <w:t>Zolovs</w:t>
      </w:r>
      <w:proofErr w:type="spellEnd"/>
      <w:r w:rsidRPr="004C44BA">
        <w:rPr>
          <w:rFonts w:ascii="Arial" w:hAnsi="Arial" w:cs="Arial"/>
          <w:sz w:val="24"/>
          <w:szCs w:val="24"/>
        </w:rPr>
        <w:t>, M., 2025. Enhancing quality of life: Key factors from long-term social care residents’ perspectives. </w:t>
      </w:r>
      <w:r w:rsidRPr="004C44BA">
        <w:rPr>
          <w:rFonts w:ascii="Arial" w:hAnsi="Arial" w:cs="Arial"/>
          <w:i/>
          <w:iCs/>
          <w:sz w:val="24"/>
          <w:szCs w:val="24"/>
        </w:rPr>
        <w:t>International Journal of Environmental Research and Public Health</w:t>
      </w:r>
      <w:r w:rsidRPr="004C44BA">
        <w:rPr>
          <w:rFonts w:ascii="Arial" w:hAnsi="Arial" w:cs="Arial"/>
          <w:sz w:val="24"/>
          <w:szCs w:val="24"/>
        </w:rPr>
        <w:t>, </w:t>
      </w:r>
      <w:r w:rsidRPr="004C44BA">
        <w:rPr>
          <w:rFonts w:ascii="Arial" w:hAnsi="Arial" w:cs="Arial"/>
          <w:i/>
          <w:iCs/>
          <w:sz w:val="24"/>
          <w:szCs w:val="24"/>
        </w:rPr>
        <w:t>22</w:t>
      </w:r>
      <w:r w:rsidRPr="004C44BA">
        <w:rPr>
          <w:rFonts w:ascii="Arial" w:hAnsi="Arial" w:cs="Arial"/>
          <w:sz w:val="24"/>
          <w:szCs w:val="24"/>
        </w:rPr>
        <w:t xml:space="preserve">(2), p.231. </w:t>
      </w:r>
      <w:hyperlink r:id="rId47" w:history="1">
        <w:r w:rsidRPr="004C44BA">
          <w:rPr>
            <w:rStyle w:val="Hyperlink"/>
            <w:rFonts w:ascii="Arial" w:hAnsi="Arial" w:cs="Arial"/>
            <w:sz w:val="24"/>
            <w:szCs w:val="24"/>
          </w:rPr>
          <w:t>https://www.mdpi.com/1660-4601/22/2/231</w:t>
        </w:r>
      </w:hyperlink>
    </w:p>
    <w:p w14:paraId="3D6E073F" w14:textId="77777777" w:rsidR="004C44BA" w:rsidRPr="004C44BA" w:rsidRDefault="004C44BA" w:rsidP="004C44BA">
      <w:pPr>
        <w:spacing w:line="360" w:lineRule="auto"/>
        <w:jc w:val="both"/>
        <w:rPr>
          <w:rFonts w:ascii="Arial" w:hAnsi="Arial" w:cs="Arial"/>
          <w:sz w:val="24"/>
          <w:szCs w:val="24"/>
        </w:rPr>
      </w:pPr>
      <w:r w:rsidRPr="004C44BA">
        <w:rPr>
          <w:rFonts w:ascii="Arial" w:hAnsi="Arial" w:cs="Arial"/>
          <w:sz w:val="24"/>
          <w:szCs w:val="24"/>
        </w:rPr>
        <w:t xml:space="preserve">Care Quality Commission (CQC), (2025). </w:t>
      </w:r>
      <w:r w:rsidRPr="004C44BA">
        <w:rPr>
          <w:rFonts w:ascii="Arial" w:hAnsi="Arial" w:cs="Arial"/>
          <w:i/>
          <w:iCs/>
          <w:sz w:val="24"/>
          <w:szCs w:val="24"/>
        </w:rPr>
        <w:t>The State of Health Care and Adult Social Care in England 2024/25</w:t>
      </w:r>
      <w:r w:rsidRPr="004C44BA">
        <w:rPr>
          <w:rFonts w:ascii="Arial" w:hAnsi="Arial" w:cs="Arial"/>
          <w:sz w:val="24"/>
          <w:szCs w:val="24"/>
        </w:rPr>
        <w:t>. [</w:t>
      </w:r>
      <w:proofErr w:type="gramStart"/>
      <w:r w:rsidRPr="004C44BA">
        <w:rPr>
          <w:rFonts w:ascii="Arial" w:hAnsi="Arial" w:cs="Arial"/>
          <w:sz w:val="24"/>
          <w:szCs w:val="24"/>
        </w:rPr>
        <w:t>online</w:t>
      </w:r>
      <w:proofErr w:type="gramEnd"/>
      <w:r w:rsidRPr="004C44BA">
        <w:rPr>
          <w:rFonts w:ascii="Arial" w:hAnsi="Arial" w:cs="Arial"/>
          <w:sz w:val="24"/>
          <w:szCs w:val="24"/>
        </w:rPr>
        <w:t xml:space="preserve">] Available at: </w:t>
      </w:r>
      <w:hyperlink r:id="rId48" w:tgtFrame="_new" w:history="1">
        <w:r w:rsidRPr="004C44BA">
          <w:rPr>
            <w:rStyle w:val="Hyperlink"/>
            <w:rFonts w:ascii="Arial" w:hAnsi="Arial" w:cs="Arial"/>
            <w:sz w:val="24"/>
            <w:szCs w:val="24"/>
          </w:rPr>
          <w:t>https://www.cqc.org.uk/sites/default/files/2025-10/20251024_stateofcare2425_print.pdf</w:t>
        </w:r>
      </w:hyperlink>
      <w:r w:rsidRPr="004C44BA">
        <w:rPr>
          <w:rFonts w:ascii="Arial" w:hAnsi="Arial" w:cs="Arial"/>
          <w:sz w:val="24"/>
          <w:szCs w:val="24"/>
        </w:rPr>
        <w:t xml:space="preserve"> (Accessed on: 2 July 2026)</w:t>
      </w:r>
    </w:p>
    <w:p w14:paraId="4118CB76" w14:textId="77777777" w:rsidR="004C44BA" w:rsidRPr="004C44BA" w:rsidRDefault="004C44BA" w:rsidP="004C44BA">
      <w:pPr>
        <w:spacing w:line="360" w:lineRule="auto"/>
        <w:jc w:val="both"/>
        <w:rPr>
          <w:rFonts w:ascii="Arial" w:hAnsi="Arial" w:cs="Arial"/>
          <w:sz w:val="24"/>
          <w:szCs w:val="24"/>
        </w:rPr>
      </w:pPr>
      <w:proofErr w:type="spellStart"/>
      <w:r w:rsidRPr="004C44BA">
        <w:rPr>
          <w:rFonts w:ascii="Arial" w:hAnsi="Arial" w:cs="Arial"/>
          <w:sz w:val="24"/>
          <w:szCs w:val="24"/>
        </w:rPr>
        <w:t>Glasby</w:t>
      </w:r>
      <w:proofErr w:type="spellEnd"/>
      <w:r w:rsidRPr="004C44BA">
        <w:rPr>
          <w:rFonts w:ascii="Arial" w:hAnsi="Arial" w:cs="Arial"/>
          <w:sz w:val="24"/>
          <w:szCs w:val="24"/>
        </w:rPr>
        <w:t>, J., 2026. Understanding health and social care. In </w:t>
      </w:r>
      <w:r w:rsidRPr="004C44BA">
        <w:rPr>
          <w:rFonts w:ascii="Arial" w:hAnsi="Arial" w:cs="Arial"/>
          <w:i/>
          <w:iCs/>
          <w:sz w:val="24"/>
          <w:szCs w:val="24"/>
        </w:rPr>
        <w:t>Understanding Health and Social Care</w:t>
      </w:r>
      <w:r w:rsidRPr="004C44BA">
        <w:rPr>
          <w:rFonts w:ascii="Arial" w:hAnsi="Arial" w:cs="Arial"/>
          <w:sz w:val="24"/>
          <w:szCs w:val="24"/>
        </w:rPr>
        <w:t xml:space="preserve">. Policy Press. </w:t>
      </w:r>
      <w:hyperlink r:id="rId49" w:history="1">
        <w:r w:rsidRPr="004C44BA">
          <w:rPr>
            <w:rStyle w:val="Hyperlink"/>
            <w:rFonts w:ascii="Arial" w:hAnsi="Arial" w:cs="Arial"/>
            <w:sz w:val="24"/>
            <w:szCs w:val="24"/>
          </w:rPr>
          <w:t>https://cmls.org.uk/online/wp-content/uploads/2019/07/Understanding-health-and-social-care.pdf</w:t>
        </w:r>
      </w:hyperlink>
    </w:p>
    <w:p w14:paraId="6F4243F5" w14:textId="77777777" w:rsidR="004C44BA" w:rsidRPr="004C44BA" w:rsidRDefault="004C44BA" w:rsidP="004C44BA">
      <w:pPr>
        <w:spacing w:line="360" w:lineRule="auto"/>
        <w:jc w:val="both"/>
        <w:rPr>
          <w:rFonts w:ascii="Arial" w:hAnsi="Arial" w:cs="Arial"/>
          <w:sz w:val="24"/>
          <w:szCs w:val="24"/>
        </w:rPr>
      </w:pPr>
      <w:r w:rsidRPr="004C44BA">
        <w:rPr>
          <w:rFonts w:ascii="Arial" w:hAnsi="Arial" w:cs="Arial"/>
          <w:sz w:val="24"/>
          <w:szCs w:val="24"/>
        </w:rPr>
        <w:t xml:space="preserve">House of Commons Health and Social Care Committee, (2022). </w:t>
      </w:r>
      <w:r w:rsidRPr="004C44BA">
        <w:rPr>
          <w:rFonts w:ascii="Arial" w:hAnsi="Arial" w:cs="Arial"/>
          <w:i/>
          <w:iCs/>
          <w:sz w:val="24"/>
          <w:szCs w:val="24"/>
        </w:rPr>
        <w:t>Workforce: Recruitment, Training and Retention in Health and Social Care (HC 115).</w:t>
      </w:r>
      <w:r w:rsidRPr="004C44BA">
        <w:rPr>
          <w:rFonts w:ascii="Arial" w:hAnsi="Arial" w:cs="Arial"/>
          <w:sz w:val="24"/>
          <w:szCs w:val="24"/>
        </w:rPr>
        <w:t xml:space="preserve"> [</w:t>
      </w:r>
      <w:proofErr w:type="gramStart"/>
      <w:r w:rsidRPr="004C44BA">
        <w:rPr>
          <w:rFonts w:ascii="Arial" w:hAnsi="Arial" w:cs="Arial"/>
          <w:sz w:val="24"/>
          <w:szCs w:val="24"/>
        </w:rPr>
        <w:t>online</w:t>
      </w:r>
      <w:proofErr w:type="gramEnd"/>
      <w:r w:rsidRPr="004C44BA">
        <w:rPr>
          <w:rFonts w:ascii="Arial" w:hAnsi="Arial" w:cs="Arial"/>
          <w:sz w:val="24"/>
          <w:szCs w:val="24"/>
        </w:rPr>
        <w:t xml:space="preserve">] Available at: </w:t>
      </w:r>
      <w:hyperlink r:id="rId50" w:tgtFrame="_new" w:history="1">
        <w:r w:rsidRPr="004C44BA">
          <w:rPr>
            <w:rStyle w:val="Hyperlink"/>
            <w:rFonts w:ascii="Arial" w:hAnsi="Arial" w:cs="Arial"/>
            <w:sz w:val="24"/>
            <w:szCs w:val="24"/>
          </w:rPr>
          <w:t>https://publications.parliament.uk/pa/cm5803/cmselect/cmhealth/115/report.html</w:t>
        </w:r>
      </w:hyperlink>
      <w:r w:rsidRPr="004C44BA">
        <w:rPr>
          <w:rFonts w:ascii="Arial" w:hAnsi="Arial" w:cs="Arial"/>
          <w:sz w:val="24"/>
          <w:szCs w:val="24"/>
        </w:rPr>
        <w:t xml:space="preserve"> (Accessed on: 3 July 2026)</w:t>
      </w:r>
    </w:p>
    <w:p w14:paraId="5C3602E4" w14:textId="77777777" w:rsidR="004C44BA" w:rsidRPr="004C44BA" w:rsidRDefault="004C44BA" w:rsidP="004C44BA">
      <w:pPr>
        <w:spacing w:line="360" w:lineRule="auto"/>
        <w:jc w:val="both"/>
        <w:rPr>
          <w:rFonts w:ascii="Arial" w:hAnsi="Arial" w:cs="Arial"/>
          <w:sz w:val="24"/>
          <w:szCs w:val="24"/>
        </w:rPr>
      </w:pPr>
      <w:r w:rsidRPr="004C44BA">
        <w:rPr>
          <w:rFonts w:ascii="Arial" w:hAnsi="Arial" w:cs="Arial"/>
          <w:sz w:val="24"/>
          <w:szCs w:val="24"/>
        </w:rPr>
        <w:t xml:space="preserve">Skills for Care, (2025). </w:t>
      </w:r>
      <w:r w:rsidRPr="004C44BA">
        <w:rPr>
          <w:rFonts w:ascii="Arial" w:hAnsi="Arial" w:cs="Arial"/>
          <w:i/>
          <w:iCs/>
          <w:sz w:val="24"/>
          <w:szCs w:val="24"/>
        </w:rPr>
        <w:t>Latest Social Care Sector and Workforce Data Published</w:t>
      </w:r>
      <w:r w:rsidRPr="004C44BA">
        <w:rPr>
          <w:rFonts w:ascii="Arial" w:hAnsi="Arial" w:cs="Arial"/>
          <w:sz w:val="24"/>
          <w:szCs w:val="24"/>
        </w:rPr>
        <w:t>. [</w:t>
      </w:r>
      <w:proofErr w:type="gramStart"/>
      <w:r w:rsidRPr="004C44BA">
        <w:rPr>
          <w:rFonts w:ascii="Arial" w:hAnsi="Arial" w:cs="Arial"/>
          <w:sz w:val="24"/>
          <w:szCs w:val="24"/>
        </w:rPr>
        <w:t>online</w:t>
      </w:r>
      <w:proofErr w:type="gramEnd"/>
      <w:r w:rsidRPr="004C44BA">
        <w:rPr>
          <w:rFonts w:ascii="Arial" w:hAnsi="Arial" w:cs="Arial"/>
          <w:sz w:val="24"/>
          <w:szCs w:val="24"/>
        </w:rPr>
        <w:t xml:space="preserve">] Available at: </w:t>
      </w:r>
      <w:hyperlink r:id="rId51" w:tgtFrame="_new" w:history="1">
        <w:r w:rsidRPr="004C44BA">
          <w:rPr>
            <w:rStyle w:val="Hyperlink"/>
            <w:rFonts w:ascii="Arial" w:hAnsi="Arial" w:cs="Arial"/>
            <w:sz w:val="24"/>
            <w:szCs w:val="24"/>
          </w:rPr>
          <w:t>https://www.skillsforcare.org.uk/news-and-events/news/latest-social-care-sector-and-workforce-data-published</w:t>
        </w:r>
      </w:hyperlink>
      <w:r w:rsidRPr="004C44BA">
        <w:rPr>
          <w:rFonts w:ascii="Arial" w:hAnsi="Arial" w:cs="Arial"/>
          <w:sz w:val="24"/>
          <w:szCs w:val="24"/>
        </w:rPr>
        <w:t xml:space="preserve"> (Accessed on: 2 July 2026)</w:t>
      </w:r>
    </w:p>
    <w:p w14:paraId="150E9E72" w14:textId="1F19CC75" w:rsidR="00EF3E35" w:rsidRPr="004C44BA" w:rsidRDefault="004C44BA" w:rsidP="004C44BA">
      <w:pPr>
        <w:spacing w:line="360" w:lineRule="auto"/>
        <w:jc w:val="both"/>
        <w:rPr>
          <w:rFonts w:ascii="Arial" w:hAnsi="Arial" w:cs="Arial"/>
          <w:sz w:val="24"/>
          <w:szCs w:val="24"/>
        </w:rPr>
      </w:pPr>
      <w:proofErr w:type="spellStart"/>
      <w:r w:rsidRPr="004C44BA">
        <w:rPr>
          <w:rFonts w:ascii="Arial" w:hAnsi="Arial" w:cs="Arial"/>
          <w:sz w:val="24"/>
          <w:szCs w:val="24"/>
        </w:rPr>
        <w:t>Yerli</w:t>
      </w:r>
      <w:proofErr w:type="spellEnd"/>
      <w:r w:rsidRPr="004C44BA">
        <w:rPr>
          <w:rFonts w:ascii="Arial" w:hAnsi="Arial" w:cs="Arial"/>
          <w:sz w:val="24"/>
          <w:szCs w:val="24"/>
        </w:rPr>
        <w:t>, K., 2020. The Elizabethan Poor Law of 1601 as a result of socio-political and economic conditions of the sixteenth century England. </w:t>
      </w:r>
      <w:r w:rsidRPr="004C44BA">
        <w:rPr>
          <w:rFonts w:ascii="Arial" w:hAnsi="Arial" w:cs="Arial"/>
          <w:i/>
          <w:iCs/>
          <w:sz w:val="24"/>
          <w:szCs w:val="24"/>
        </w:rPr>
        <w:t>Turkish Journal of Applied Social Work</w:t>
      </w:r>
      <w:r w:rsidRPr="004C44BA">
        <w:rPr>
          <w:rFonts w:ascii="Arial" w:hAnsi="Arial" w:cs="Arial"/>
          <w:sz w:val="24"/>
          <w:szCs w:val="24"/>
        </w:rPr>
        <w:t>, </w:t>
      </w:r>
      <w:r w:rsidRPr="004C44BA">
        <w:rPr>
          <w:rFonts w:ascii="Arial" w:hAnsi="Arial" w:cs="Arial"/>
          <w:i/>
          <w:iCs/>
          <w:sz w:val="24"/>
          <w:szCs w:val="24"/>
        </w:rPr>
        <w:t>3</w:t>
      </w:r>
      <w:r w:rsidRPr="004C44BA">
        <w:rPr>
          <w:rFonts w:ascii="Arial" w:hAnsi="Arial" w:cs="Arial"/>
          <w:sz w:val="24"/>
          <w:szCs w:val="24"/>
        </w:rPr>
        <w:t xml:space="preserve">(1), pp.88-99. </w:t>
      </w:r>
      <w:hyperlink r:id="rId52" w:history="1">
        <w:r w:rsidRPr="004C44BA">
          <w:rPr>
            <w:rStyle w:val="Hyperlink"/>
            <w:rFonts w:ascii="Arial" w:hAnsi="Arial" w:cs="Arial"/>
            <w:sz w:val="24"/>
            <w:szCs w:val="24"/>
          </w:rPr>
          <w:t>https://dergipark.org.tr/en/download/article-file/1179644</w:t>
        </w:r>
      </w:hyperlink>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EAEF3" w14:textId="77777777" w:rsidR="007A0F4C" w:rsidRDefault="007A0F4C" w:rsidP="00BE6BE0">
      <w:pPr>
        <w:spacing w:after="0" w:line="240" w:lineRule="auto"/>
      </w:pPr>
      <w:r>
        <w:separator/>
      </w:r>
    </w:p>
  </w:endnote>
  <w:endnote w:type="continuationSeparator" w:id="0">
    <w:p w14:paraId="77E37F56" w14:textId="77777777" w:rsidR="007A0F4C" w:rsidRDefault="007A0F4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4977449"/>
      <w:docPartObj>
        <w:docPartGallery w:val="Page Numbers (Bottom of Page)"/>
        <w:docPartUnique/>
      </w:docPartObj>
    </w:sdtPr>
    <w:sdtEndPr>
      <w:rPr>
        <w:rFonts w:ascii="Arial" w:hAnsi="Arial" w:cs="Arial"/>
        <w:noProof/>
        <w:sz w:val="20"/>
        <w:szCs w:val="20"/>
      </w:rPr>
    </w:sdtEndPr>
    <w:sdtContent>
      <w:p w14:paraId="767246AA" w14:textId="4C5DD82A" w:rsidR="00C572DA" w:rsidRPr="00C572DA" w:rsidRDefault="00C572DA" w:rsidP="00C572DA">
        <w:pPr>
          <w:pStyle w:val="Footer"/>
          <w:spacing w:line="360" w:lineRule="auto"/>
          <w:jc w:val="right"/>
          <w:rPr>
            <w:rFonts w:ascii="Arial" w:hAnsi="Arial" w:cs="Arial"/>
            <w:sz w:val="20"/>
            <w:szCs w:val="20"/>
          </w:rPr>
        </w:pPr>
        <w:r w:rsidRPr="00C572DA">
          <w:rPr>
            <w:rFonts w:ascii="Arial" w:hAnsi="Arial" w:cs="Arial"/>
            <w:sz w:val="20"/>
            <w:szCs w:val="20"/>
          </w:rPr>
          <w:fldChar w:fldCharType="begin"/>
        </w:r>
        <w:r w:rsidRPr="00C572DA">
          <w:rPr>
            <w:rFonts w:ascii="Arial" w:hAnsi="Arial" w:cs="Arial"/>
            <w:sz w:val="20"/>
            <w:szCs w:val="20"/>
          </w:rPr>
          <w:instrText xml:space="preserve"> PAGE   \* MERGEFORMAT </w:instrText>
        </w:r>
        <w:r w:rsidRPr="00C572DA">
          <w:rPr>
            <w:rFonts w:ascii="Arial" w:hAnsi="Arial" w:cs="Arial"/>
            <w:sz w:val="20"/>
            <w:szCs w:val="20"/>
          </w:rPr>
          <w:fldChar w:fldCharType="separate"/>
        </w:r>
        <w:r w:rsidR="0095414E">
          <w:rPr>
            <w:rFonts w:ascii="Arial" w:hAnsi="Arial" w:cs="Arial"/>
            <w:noProof/>
            <w:sz w:val="20"/>
            <w:szCs w:val="20"/>
          </w:rPr>
          <w:t>3</w:t>
        </w:r>
        <w:r w:rsidRPr="00C572DA">
          <w:rPr>
            <w:rFonts w:ascii="Arial" w:hAnsi="Arial" w:cs="Arial"/>
            <w:noProof/>
            <w:sz w:val="20"/>
            <w:szCs w:val="20"/>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5B088E" w14:textId="77777777" w:rsidR="007A0F4C" w:rsidRDefault="007A0F4C" w:rsidP="00BE6BE0">
      <w:pPr>
        <w:spacing w:after="0" w:line="240" w:lineRule="auto"/>
      </w:pPr>
      <w:r>
        <w:separator/>
      </w:r>
    </w:p>
  </w:footnote>
  <w:footnote w:type="continuationSeparator" w:id="0">
    <w:p w14:paraId="6061161D" w14:textId="77777777" w:rsidR="007A0F4C" w:rsidRDefault="007A0F4C" w:rsidP="00BE6B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9FA97" w14:textId="0D213EB9" w:rsidR="00BE6BE0" w:rsidRDefault="00BE6BE0" w:rsidP="00BE6BE0">
    <w:pPr>
      <w:pStyle w:val="Header"/>
      <w:ind w:left="11520"/>
    </w:pPr>
    <w:r>
      <w:rPr>
        <w:noProof/>
        <w:lang w:eastAsia="en-GB"/>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140E0"/>
    <w:multiLevelType w:val="hybridMultilevel"/>
    <w:tmpl w:val="1728C1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0F"/>
    <w:rsid w:val="0004457F"/>
    <w:rsid w:val="000464A0"/>
    <w:rsid w:val="00056EB1"/>
    <w:rsid w:val="00076C3B"/>
    <w:rsid w:val="00135D14"/>
    <w:rsid w:val="001F5CC5"/>
    <w:rsid w:val="002767BF"/>
    <w:rsid w:val="00287E27"/>
    <w:rsid w:val="002B76F4"/>
    <w:rsid w:val="00310143"/>
    <w:rsid w:val="0031545E"/>
    <w:rsid w:val="0033339C"/>
    <w:rsid w:val="003A000F"/>
    <w:rsid w:val="004C44BA"/>
    <w:rsid w:val="005711F6"/>
    <w:rsid w:val="005849BA"/>
    <w:rsid w:val="00641884"/>
    <w:rsid w:val="00695278"/>
    <w:rsid w:val="006A6816"/>
    <w:rsid w:val="007A0F4C"/>
    <w:rsid w:val="00804A7F"/>
    <w:rsid w:val="00812DD7"/>
    <w:rsid w:val="00833470"/>
    <w:rsid w:val="008D2421"/>
    <w:rsid w:val="00925D5E"/>
    <w:rsid w:val="0095414E"/>
    <w:rsid w:val="009C27B0"/>
    <w:rsid w:val="009E257B"/>
    <w:rsid w:val="00A126B3"/>
    <w:rsid w:val="00A6165E"/>
    <w:rsid w:val="00A82690"/>
    <w:rsid w:val="00AA7266"/>
    <w:rsid w:val="00AF06F6"/>
    <w:rsid w:val="00B053AD"/>
    <w:rsid w:val="00B43258"/>
    <w:rsid w:val="00B642EF"/>
    <w:rsid w:val="00BE6BE0"/>
    <w:rsid w:val="00C360E9"/>
    <w:rsid w:val="00C572DA"/>
    <w:rsid w:val="00C83A82"/>
    <w:rsid w:val="00CF5FAF"/>
    <w:rsid w:val="00D22470"/>
    <w:rsid w:val="00D564B7"/>
    <w:rsid w:val="00D65664"/>
    <w:rsid w:val="00E24DB5"/>
    <w:rsid w:val="00EA6D24"/>
    <w:rsid w:val="00ED0D33"/>
    <w:rsid w:val="00EF3E35"/>
    <w:rsid w:val="00F34263"/>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44BA"/>
    <w:pPr>
      <w:spacing w:after="0" w:line="360" w:lineRule="auto"/>
      <w:jc w:val="both"/>
      <w:outlineLvl w:val="0"/>
    </w:pPr>
    <w:rPr>
      <w:rFonts w:ascii="Arial" w:eastAsia="Arial" w:hAnsi="Arial" w:cs="Arial"/>
      <w:b/>
      <w:bCs/>
      <w:sz w:val="28"/>
      <w:szCs w:val="28"/>
      <w:lang w:eastAsia="en-IN"/>
    </w:rPr>
  </w:style>
  <w:style w:type="paragraph" w:styleId="Heading3">
    <w:name w:val="heading 3"/>
    <w:basedOn w:val="Normal"/>
    <w:next w:val="Normal"/>
    <w:link w:val="Heading3Char"/>
    <w:uiPriority w:val="9"/>
    <w:semiHidden/>
    <w:unhideWhenUsed/>
    <w:qFormat/>
    <w:rsid w:val="00287E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641884"/>
    <w:pPr>
      <w:ind w:left="720"/>
      <w:contextualSpacing/>
    </w:pPr>
  </w:style>
  <w:style w:type="character" w:customStyle="1" w:styleId="Heading1Char">
    <w:name w:val="Heading 1 Char"/>
    <w:basedOn w:val="DefaultParagraphFont"/>
    <w:link w:val="Heading1"/>
    <w:uiPriority w:val="9"/>
    <w:rsid w:val="004C44BA"/>
    <w:rPr>
      <w:rFonts w:ascii="Arial" w:eastAsia="Arial" w:hAnsi="Arial" w:cs="Arial"/>
      <w:b/>
      <w:bCs/>
      <w:sz w:val="28"/>
      <w:szCs w:val="28"/>
      <w:lang w:eastAsia="en-IN"/>
    </w:rPr>
  </w:style>
  <w:style w:type="character" w:styleId="Hyperlink">
    <w:name w:val="Hyperlink"/>
    <w:basedOn w:val="DefaultParagraphFont"/>
    <w:uiPriority w:val="99"/>
    <w:unhideWhenUsed/>
    <w:rsid w:val="004C44BA"/>
    <w:rPr>
      <w:color w:val="0563C1" w:themeColor="hyperlink"/>
      <w:u w:val="single"/>
    </w:rPr>
  </w:style>
  <w:style w:type="paragraph" w:styleId="TOCHeading">
    <w:name w:val="TOC Heading"/>
    <w:basedOn w:val="Heading1"/>
    <w:next w:val="Normal"/>
    <w:uiPriority w:val="39"/>
    <w:unhideWhenUsed/>
    <w:qFormat/>
    <w:rsid w:val="004C44BA"/>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4C44BA"/>
    <w:pPr>
      <w:spacing w:after="100"/>
    </w:pPr>
  </w:style>
  <w:style w:type="character" w:customStyle="1" w:styleId="Heading3Char">
    <w:name w:val="Heading 3 Char"/>
    <w:basedOn w:val="DefaultParagraphFont"/>
    <w:link w:val="Heading3"/>
    <w:uiPriority w:val="9"/>
    <w:semiHidden/>
    <w:rsid w:val="00287E2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49004">
      <w:bodyDiv w:val="1"/>
      <w:marLeft w:val="0"/>
      <w:marRight w:val="0"/>
      <w:marTop w:val="0"/>
      <w:marBottom w:val="0"/>
      <w:divBdr>
        <w:top w:val="none" w:sz="0" w:space="0" w:color="auto"/>
        <w:left w:val="none" w:sz="0" w:space="0" w:color="auto"/>
        <w:bottom w:val="none" w:sz="0" w:space="0" w:color="auto"/>
        <w:right w:val="none" w:sz="0" w:space="0" w:color="auto"/>
      </w:divBdr>
    </w:div>
    <w:div w:id="621838234">
      <w:bodyDiv w:val="1"/>
      <w:marLeft w:val="0"/>
      <w:marRight w:val="0"/>
      <w:marTop w:val="0"/>
      <w:marBottom w:val="0"/>
      <w:divBdr>
        <w:top w:val="none" w:sz="0" w:space="0" w:color="auto"/>
        <w:left w:val="none" w:sz="0" w:space="0" w:color="auto"/>
        <w:bottom w:val="none" w:sz="0" w:space="0" w:color="auto"/>
        <w:right w:val="none" w:sz="0" w:space="0" w:color="auto"/>
      </w:divBdr>
    </w:div>
    <w:div w:id="895506753">
      <w:bodyDiv w:val="1"/>
      <w:marLeft w:val="0"/>
      <w:marRight w:val="0"/>
      <w:marTop w:val="0"/>
      <w:marBottom w:val="0"/>
      <w:divBdr>
        <w:top w:val="none" w:sz="0" w:space="0" w:color="auto"/>
        <w:left w:val="none" w:sz="0" w:space="0" w:color="auto"/>
        <w:bottom w:val="none" w:sz="0" w:space="0" w:color="auto"/>
        <w:right w:val="none" w:sz="0" w:space="0" w:color="auto"/>
      </w:divBdr>
      <w:divsChild>
        <w:div w:id="1236817033">
          <w:marLeft w:val="0"/>
          <w:marRight w:val="0"/>
          <w:marTop w:val="0"/>
          <w:marBottom w:val="0"/>
          <w:divBdr>
            <w:top w:val="none" w:sz="0" w:space="0" w:color="auto"/>
            <w:left w:val="none" w:sz="0" w:space="0" w:color="auto"/>
            <w:bottom w:val="none" w:sz="0" w:space="0" w:color="auto"/>
            <w:right w:val="none" w:sz="0" w:space="0" w:color="auto"/>
          </w:divBdr>
          <w:divsChild>
            <w:div w:id="684750818">
              <w:marLeft w:val="0"/>
              <w:marRight w:val="0"/>
              <w:marTop w:val="0"/>
              <w:marBottom w:val="0"/>
              <w:divBdr>
                <w:top w:val="none" w:sz="0" w:space="0" w:color="auto"/>
                <w:left w:val="none" w:sz="0" w:space="0" w:color="auto"/>
                <w:bottom w:val="none" w:sz="0" w:space="0" w:color="auto"/>
                <w:right w:val="none" w:sz="0" w:space="0" w:color="auto"/>
              </w:divBdr>
              <w:divsChild>
                <w:div w:id="217398047">
                  <w:marLeft w:val="0"/>
                  <w:marRight w:val="0"/>
                  <w:marTop w:val="0"/>
                  <w:marBottom w:val="0"/>
                  <w:divBdr>
                    <w:top w:val="none" w:sz="0" w:space="0" w:color="auto"/>
                    <w:left w:val="none" w:sz="0" w:space="0" w:color="auto"/>
                    <w:bottom w:val="none" w:sz="0" w:space="0" w:color="auto"/>
                    <w:right w:val="none" w:sz="0" w:space="0" w:color="auto"/>
                  </w:divBdr>
                  <w:divsChild>
                    <w:div w:id="2076851508">
                      <w:marLeft w:val="0"/>
                      <w:marRight w:val="0"/>
                      <w:marTop w:val="0"/>
                      <w:marBottom w:val="0"/>
                      <w:divBdr>
                        <w:top w:val="none" w:sz="0" w:space="0" w:color="auto"/>
                        <w:left w:val="none" w:sz="0" w:space="0" w:color="auto"/>
                        <w:bottom w:val="none" w:sz="0" w:space="0" w:color="auto"/>
                        <w:right w:val="none" w:sz="0" w:space="0" w:color="auto"/>
                      </w:divBdr>
                      <w:divsChild>
                        <w:div w:id="481510741">
                          <w:marLeft w:val="0"/>
                          <w:marRight w:val="0"/>
                          <w:marTop w:val="0"/>
                          <w:marBottom w:val="0"/>
                          <w:divBdr>
                            <w:top w:val="none" w:sz="0" w:space="0" w:color="auto"/>
                            <w:left w:val="none" w:sz="0" w:space="0" w:color="auto"/>
                            <w:bottom w:val="none" w:sz="0" w:space="0" w:color="auto"/>
                            <w:right w:val="none" w:sz="0" w:space="0" w:color="auto"/>
                          </w:divBdr>
                          <w:divsChild>
                            <w:div w:id="1036538920">
                              <w:marLeft w:val="0"/>
                              <w:marRight w:val="0"/>
                              <w:marTop w:val="0"/>
                              <w:marBottom w:val="0"/>
                              <w:divBdr>
                                <w:top w:val="none" w:sz="0" w:space="0" w:color="auto"/>
                                <w:left w:val="none" w:sz="0" w:space="0" w:color="auto"/>
                                <w:bottom w:val="none" w:sz="0" w:space="0" w:color="auto"/>
                                <w:right w:val="none" w:sz="0" w:space="0" w:color="auto"/>
                              </w:divBdr>
                              <w:divsChild>
                                <w:div w:id="1906333954">
                                  <w:marLeft w:val="0"/>
                                  <w:marRight w:val="0"/>
                                  <w:marTop w:val="0"/>
                                  <w:marBottom w:val="0"/>
                                  <w:divBdr>
                                    <w:top w:val="none" w:sz="0" w:space="0" w:color="auto"/>
                                    <w:left w:val="none" w:sz="0" w:space="0" w:color="auto"/>
                                    <w:bottom w:val="none" w:sz="0" w:space="0" w:color="auto"/>
                                    <w:right w:val="none" w:sz="0" w:space="0" w:color="auto"/>
                                  </w:divBdr>
                                  <w:divsChild>
                                    <w:div w:id="132802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559887">
      <w:bodyDiv w:val="1"/>
      <w:marLeft w:val="0"/>
      <w:marRight w:val="0"/>
      <w:marTop w:val="0"/>
      <w:marBottom w:val="0"/>
      <w:divBdr>
        <w:top w:val="none" w:sz="0" w:space="0" w:color="auto"/>
        <w:left w:val="none" w:sz="0" w:space="0" w:color="auto"/>
        <w:bottom w:val="none" w:sz="0" w:space="0" w:color="auto"/>
        <w:right w:val="none" w:sz="0" w:space="0" w:color="auto"/>
      </w:divBdr>
      <w:divsChild>
        <w:div w:id="1007253512">
          <w:marLeft w:val="0"/>
          <w:marRight w:val="0"/>
          <w:marTop w:val="0"/>
          <w:marBottom w:val="0"/>
          <w:divBdr>
            <w:top w:val="none" w:sz="0" w:space="0" w:color="auto"/>
            <w:left w:val="none" w:sz="0" w:space="0" w:color="auto"/>
            <w:bottom w:val="none" w:sz="0" w:space="0" w:color="auto"/>
            <w:right w:val="none" w:sz="0" w:space="0" w:color="auto"/>
          </w:divBdr>
          <w:divsChild>
            <w:div w:id="595138843">
              <w:marLeft w:val="0"/>
              <w:marRight w:val="0"/>
              <w:marTop w:val="0"/>
              <w:marBottom w:val="0"/>
              <w:divBdr>
                <w:top w:val="none" w:sz="0" w:space="0" w:color="auto"/>
                <w:left w:val="none" w:sz="0" w:space="0" w:color="auto"/>
                <w:bottom w:val="none" w:sz="0" w:space="0" w:color="auto"/>
                <w:right w:val="none" w:sz="0" w:space="0" w:color="auto"/>
              </w:divBdr>
              <w:divsChild>
                <w:div w:id="1416241208">
                  <w:marLeft w:val="0"/>
                  <w:marRight w:val="0"/>
                  <w:marTop w:val="0"/>
                  <w:marBottom w:val="0"/>
                  <w:divBdr>
                    <w:top w:val="none" w:sz="0" w:space="0" w:color="auto"/>
                    <w:left w:val="none" w:sz="0" w:space="0" w:color="auto"/>
                    <w:bottom w:val="none" w:sz="0" w:space="0" w:color="auto"/>
                    <w:right w:val="none" w:sz="0" w:space="0" w:color="auto"/>
                  </w:divBdr>
                  <w:divsChild>
                    <w:div w:id="1569264103">
                      <w:marLeft w:val="0"/>
                      <w:marRight w:val="0"/>
                      <w:marTop w:val="0"/>
                      <w:marBottom w:val="0"/>
                      <w:divBdr>
                        <w:top w:val="none" w:sz="0" w:space="0" w:color="auto"/>
                        <w:left w:val="none" w:sz="0" w:space="0" w:color="auto"/>
                        <w:bottom w:val="none" w:sz="0" w:space="0" w:color="auto"/>
                        <w:right w:val="none" w:sz="0" w:space="0" w:color="auto"/>
                      </w:divBdr>
                      <w:divsChild>
                        <w:div w:id="2105615341">
                          <w:marLeft w:val="0"/>
                          <w:marRight w:val="0"/>
                          <w:marTop w:val="0"/>
                          <w:marBottom w:val="0"/>
                          <w:divBdr>
                            <w:top w:val="none" w:sz="0" w:space="0" w:color="auto"/>
                            <w:left w:val="none" w:sz="0" w:space="0" w:color="auto"/>
                            <w:bottom w:val="none" w:sz="0" w:space="0" w:color="auto"/>
                            <w:right w:val="none" w:sz="0" w:space="0" w:color="auto"/>
                          </w:divBdr>
                          <w:divsChild>
                            <w:div w:id="1190216885">
                              <w:marLeft w:val="0"/>
                              <w:marRight w:val="0"/>
                              <w:marTop w:val="0"/>
                              <w:marBottom w:val="0"/>
                              <w:divBdr>
                                <w:top w:val="none" w:sz="0" w:space="0" w:color="auto"/>
                                <w:left w:val="none" w:sz="0" w:space="0" w:color="auto"/>
                                <w:bottom w:val="none" w:sz="0" w:space="0" w:color="auto"/>
                                <w:right w:val="none" w:sz="0" w:space="0" w:color="auto"/>
                              </w:divBdr>
                              <w:divsChild>
                                <w:div w:id="139229795">
                                  <w:marLeft w:val="0"/>
                                  <w:marRight w:val="0"/>
                                  <w:marTop w:val="0"/>
                                  <w:marBottom w:val="0"/>
                                  <w:divBdr>
                                    <w:top w:val="none" w:sz="0" w:space="0" w:color="auto"/>
                                    <w:left w:val="none" w:sz="0" w:space="0" w:color="auto"/>
                                    <w:bottom w:val="none" w:sz="0" w:space="0" w:color="auto"/>
                                    <w:right w:val="none" w:sz="0" w:space="0" w:color="auto"/>
                                  </w:divBdr>
                                  <w:divsChild>
                                    <w:div w:id="15356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hyperlink" Target="https://pharmaceutical-journal.com/article/news/growth-in-pharmacy-first-consultations-not-sustainable" TargetMode="External"/><Relationship Id="rId39" Type="http://schemas.openxmlformats.org/officeDocument/2006/relationships/hyperlink" Target="https://www.england.nhs.uk/primary-care/pharmacy/pharmacy-services/pharmacy-first/" TargetMode="External"/><Relationship Id="rId21" Type="http://schemas.openxmlformats.org/officeDocument/2006/relationships/hyperlink" Target="https://cpe.org.uk/funding-and-reimbursement/pharmacy-funding/independent-economic-review/?utm_source=chatgpt.com" TargetMode="External"/><Relationship Id="rId34" Type="http://schemas.openxmlformats.org/officeDocument/2006/relationships/hyperlink" Target="https://cpe.org.uk/funding-and-reimbursement/pharmacy-funding/independent-economic-review/?utm_source=chatgpt.com" TargetMode="External"/><Relationship Id="rId42" Type="http://schemas.openxmlformats.org/officeDocument/2006/relationships/hyperlink" Target="https://www.sciencedirect.com/science/article/pii/S2667276623001853" TargetMode="External"/><Relationship Id="rId47" Type="http://schemas.openxmlformats.org/officeDocument/2006/relationships/hyperlink" Target="https://www.mdpi.com/1660-4601/22/2/231" TargetMode="External"/><Relationship Id="rId50" Type="http://schemas.openxmlformats.org/officeDocument/2006/relationships/hyperlink" Target="https://publications.parliament.uk/pa/cm5803/cmselect/cmhealth/115/report.html"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www.sciencedirect.com/science/article/pii/S2667276623001853" TargetMode="External"/><Relationship Id="rId11" Type="http://schemas.openxmlformats.org/officeDocument/2006/relationships/footer" Target="footer1.xml"/><Relationship Id="rId24" Type="http://schemas.openxmlformats.org/officeDocument/2006/relationships/hyperlink" Target="https://www.england.nhs.uk/primary-care/pharmacy/pharmacy-services/pharmacy-first/" TargetMode="External"/><Relationship Id="rId37" Type="http://schemas.openxmlformats.org/officeDocument/2006/relationships/hyperlink" Target="https://www.statista.com/statistics/418071/community-pharmacies-in-england/" TargetMode="External"/><Relationship Id="rId40" Type="http://schemas.openxmlformats.org/officeDocument/2006/relationships/hyperlink" Target="https://pharmaceutical-journal.com/article/news/growth-in-pharmacy-first-consultations-not-sustainable" TargetMode="External"/><Relationship Id="rId45" Type="http://schemas.openxmlformats.org/officeDocument/2006/relationships/hyperlink" Target="https://www.yourhealthyourpharmacy.co.uk/community-pharmacy-past-present-and-future-3/"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statista.com/statistics/418071/community-pharmacies-in-england/" TargetMode="External"/><Relationship Id="rId28" Type="http://schemas.openxmlformats.org/officeDocument/2006/relationships/hyperlink" Target="https://www.sciencedirect.com/science/article/pii/S2667276623001853" TargetMode="External"/><Relationship Id="rId36" Type="http://schemas.openxmlformats.org/officeDocument/2006/relationships/hyperlink" Target="https://www.statista.com/statistics/418071/community-pharmacies-in-england/" TargetMode="External"/><Relationship Id="rId49" Type="http://schemas.openxmlformats.org/officeDocument/2006/relationships/hyperlink" Target="https://cmls.org.uk/online/wp-content/uploads/2019/07/Understanding-health-and-social-care.pdf" TargetMode="Externa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hyperlink" Target="https://www.yourhealthyourpharmacy.co.uk/community-pharmacy-past-present-and-future-3/" TargetMode="External"/><Relationship Id="rId44" Type="http://schemas.openxmlformats.org/officeDocument/2006/relationships/hyperlink" Target="https://www.yourhealthyourpharmacy.co.uk/community-pharmacy-past-present-and-future-3/" TargetMode="External"/><Relationship Id="rId52" Type="http://schemas.openxmlformats.org/officeDocument/2006/relationships/hyperlink" Target="https://dergipark.org.tr/en/download/article-file/117964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hyperlink" Target="https://www.statista.com/statistics/418071/community-pharmacies-in-england/" TargetMode="External"/><Relationship Id="rId27" Type="http://schemas.openxmlformats.org/officeDocument/2006/relationships/hyperlink" Target="https://pharmaceutical-journal.com/article/news/growth-in-pharmacy-first-consultations-not-sustainable" TargetMode="External"/><Relationship Id="rId30" Type="http://schemas.openxmlformats.org/officeDocument/2006/relationships/hyperlink" Target="https://www.yourhealthyourpharmacy.co.uk/community-pharmacy-past-present-and-future-3/" TargetMode="External"/><Relationship Id="rId35" Type="http://schemas.openxmlformats.org/officeDocument/2006/relationships/hyperlink" Target="https://cpe.org.uk/funding-and-reimbursement/pharmacy-funding/independent-economic-review/?utm_source=chatgpt.com" TargetMode="External"/><Relationship Id="rId43" Type="http://schemas.openxmlformats.org/officeDocument/2006/relationships/hyperlink" Target="https://www.sciencedirect.com/science/article/pii/S2667276623001853" TargetMode="External"/><Relationship Id="rId48" Type="http://schemas.openxmlformats.org/officeDocument/2006/relationships/hyperlink" Target="https://www.cqc.org.uk/sites/default/files/2025-10/20251024_stateofcare2425_print.pdf" TargetMode="External"/><Relationship Id="rId8" Type="http://schemas.openxmlformats.org/officeDocument/2006/relationships/image" Target="media/image1.png"/><Relationship Id="rId51" Type="http://schemas.openxmlformats.org/officeDocument/2006/relationships/hyperlink" Target="https://www.skillsforcare.org.uk/news-and-events/news/latest-social-care-sector-and-workforce-data-published"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england.nhs.uk/primary-care/pharmacy/pharmacy-services/pharmacy-first/" TargetMode="External"/><Relationship Id="rId38" Type="http://schemas.openxmlformats.org/officeDocument/2006/relationships/hyperlink" Target="https://www.england.nhs.uk/primary-care/pharmacy/pharmacy-services/pharmacy-first/" TargetMode="External"/><Relationship Id="rId46" Type="http://schemas.openxmlformats.org/officeDocument/2006/relationships/hyperlink" Target="https://eprints.whiterose.ac.uk/id/eprint/180801/3/Main%20Document_accepted_Allsop%20et%20al%202021.pdf" TargetMode="External"/><Relationship Id="rId20" Type="http://schemas.openxmlformats.org/officeDocument/2006/relationships/hyperlink" Target="https://cpe.org.uk/funding-and-reimbursement/pharmacy-funding/independent-economic-review/?utm_source=chatgpt.com" TargetMode="External"/><Relationship Id="rId41" Type="http://schemas.openxmlformats.org/officeDocument/2006/relationships/hyperlink" Target="https://pharmaceutical-journal.com/article/news/growth-in-pharmacy-first-consultations-not-sustainabl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BF133A-625F-46DE-AE4D-6E3A1F28D134}" type="doc">
      <dgm:prSet loTypeId="urn:microsoft.com/office/officeart/2005/8/layout/process1" loCatId="process" qsTypeId="urn:microsoft.com/office/officeart/2005/8/quickstyle/simple1" qsCatId="simple" csTypeId="urn:microsoft.com/office/officeart/2005/8/colors/colorful4" csCatId="colorful" phldr="1"/>
      <dgm:spPr/>
    </dgm:pt>
    <dgm:pt modelId="{09F8FA05-9B62-4026-89F2-97CC99F070E1}">
      <dgm:prSet phldrT="[Text]" custT="1"/>
      <dgm:spPr/>
      <dgm:t>
        <a:bodyPr/>
        <a:lstStyle/>
        <a:p>
          <a:pPr algn="ctr"/>
          <a:r>
            <a:rPr lang="en-IN" sz="1600"/>
            <a:t>19</a:t>
          </a:r>
          <a:r>
            <a:rPr lang="en-IN" sz="1600" baseline="30000"/>
            <a:t>th</a:t>
          </a:r>
          <a:r>
            <a:rPr lang="en-IN" sz="1600"/>
            <a:t> Century: Creation of modern UK profession of pharmacy </a:t>
          </a:r>
        </a:p>
      </dgm:t>
    </dgm:pt>
    <dgm:pt modelId="{23B13038-6B59-4414-BF27-3075057B76AA}" type="parTrans" cxnId="{A9F6CFB8-929D-45E3-8636-CC09106FDF46}">
      <dgm:prSet/>
      <dgm:spPr/>
      <dgm:t>
        <a:bodyPr/>
        <a:lstStyle/>
        <a:p>
          <a:pPr algn="ctr"/>
          <a:endParaRPr lang="en-IN" sz="1200"/>
        </a:p>
      </dgm:t>
    </dgm:pt>
    <dgm:pt modelId="{3A942973-41C9-4A05-AAF6-D0B931CC694C}" type="sibTrans" cxnId="{A9F6CFB8-929D-45E3-8636-CC09106FDF46}">
      <dgm:prSet custT="1"/>
      <dgm:spPr/>
      <dgm:t>
        <a:bodyPr/>
        <a:lstStyle/>
        <a:p>
          <a:pPr algn="ctr"/>
          <a:endParaRPr lang="en-IN" sz="1200"/>
        </a:p>
      </dgm:t>
    </dgm:pt>
    <dgm:pt modelId="{4CAE0084-1D19-426E-A0DA-AEC7FDB790CE}">
      <dgm:prSet phldrT="[Text]" custT="1"/>
      <dgm:spPr/>
      <dgm:t>
        <a:bodyPr/>
        <a:lstStyle/>
        <a:p>
          <a:pPr algn="ctr"/>
          <a:r>
            <a:rPr lang="en-IN" sz="1600"/>
            <a:t>1948: Introduction of the NHS</a:t>
          </a:r>
        </a:p>
      </dgm:t>
    </dgm:pt>
    <dgm:pt modelId="{87C5A3F8-203B-42C5-B5D3-D5F361904A83}" type="parTrans" cxnId="{36BBDFA8-59A2-4B64-B0C3-F313DAD3D8F7}">
      <dgm:prSet/>
      <dgm:spPr/>
      <dgm:t>
        <a:bodyPr/>
        <a:lstStyle/>
        <a:p>
          <a:pPr algn="ctr"/>
          <a:endParaRPr lang="en-IN" sz="1200"/>
        </a:p>
      </dgm:t>
    </dgm:pt>
    <dgm:pt modelId="{323BFB9A-BC6A-464F-A339-43FA4956AEDA}" type="sibTrans" cxnId="{36BBDFA8-59A2-4B64-B0C3-F313DAD3D8F7}">
      <dgm:prSet custT="1"/>
      <dgm:spPr/>
      <dgm:t>
        <a:bodyPr/>
        <a:lstStyle/>
        <a:p>
          <a:pPr algn="ctr"/>
          <a:endParaRPr lang="en-IN" sz="1200"/>
        </a:p>
      </dgm:t>
    </dgm:pt>
    <dgm:pt modelId="{3E3AEBB5-D4DA-47E1-B6B7-F2129568C00B}">
      <dgm:prSet phldrT="[Text]" custT="1"/>
      <dgm:spPr/>
      <dgm:t>
        <a:bodyPr/>
        <a:lstStyle/>
        <a:p>
          <a:pPr algn="ctr"/>
          <a:r>
            <a:rPr lang="en-IN" sz="1600"/>
            <a:t>2024: Adoption of 'Pharmacy First'</a:t>
          </a:r>
        </a:p>
      </dgm:t>
    </dgm:pt>
    <dgm:pt modelId="{46E09248-C9A8-4884-8C98-7CA3B1165CB5}" type="parTrans" cxnId="{1702F8FD-0532-41A6-87CE-F28CD45CB0D1}">
      <dgm:prSet/>
      <dgm:spPr/>
      <dgm:t>
        <a:bodyPr/>
        <a:lstStyle/>
        <a:p>
          <a:pPr algn="ctr"/>
          <a:endParaRPr lang="en-IN" sz="1200"/>
        </a:p>
      </dgm:t>
    </dgm:pt>
    <dgm:pt modelId="{68F4B2AF-E3BB-4827-A21E-CEC7356DD0A2}" type="sibTrans" cxnId="{1702F8FD-0532-41A6-87CE-F28CD45CB0D1}">
      <dgm:prSet/>
      <dgm:spPr/>
      <dgm:t>
        <a:bodyPr/>
        <a:lstStyle/>
        <a:p>
          <a:pPr algn="ctr"/>
          <a:endParaRPr lang="en-IN" sz="1200"/>
        </a:p>
      </dgm:t>
    </dgm:pt>
    <dgm:pt modelId="{FAB4EA60-1837-4ACA-AB2F-98DAC7F34529}" type="pres">
      <dgm:prSet presAssocID="{A4BF133A-625F-46DE-AE4D-6E3A1F28D134}" presName="Name0" presStyleCnt="0">
        <dgm:presLayoutVars>
          <dgm:dir/>
          <dgm:resizeHandles val="exact"/>
        </dgm:presLayoutVars>
      </dgm:prSet>
      <dgm:spPr/>
    </dgm:pt>
    <dgm:pt modelId="{726CFEFA-2DBF-412E-9570-33429E3BC0A7}" type="pres">
      <dgm:prSet presAssocID="{09F8FA05-9B62-4026-89F2-97CC99F070E1}" presName="node" presStyleLbl="node1" presStyleIdx="0" presStyleCnt="3">
        <dgm:presLayoutVars>
          <dgm:bulletEnabled val="1"/>
        </dgm:presLayoutVars>
      </dgm:prSet>
      <dgm:spPr/>
      <dgm:t>
        <a:bodyPr/>
        <a:lstStyle/>
        <a:p>
          <a:endParaRPr lang="en-GB"/>
        </a:p>
      </dgm:t>
    </dgm:pt>
    <dgm:pt modelId="{47345650-8681-4B0E-9B5D-67C9C526ECE7}" type="pres">
      <dgm:prSet presAssocID="{3A942973-41C9-4A05-AAF6-D0B931CC694C}" presName="sibTrans" presStyleLbl="sibTrans2D1" presStyleIdx="0" presStyleCnt="2"/>
      <dgm:spPr/>
      <dgm:t>
        <a:bodyPr/>
        <a:lstStyle/>
        <a:p>
          <a:endParaRPr lang="en-GB"/>
        </a:p>
      </dgm:t>
    </dgm:pt>
    <dgm:pt modelId="{72E58995-66B8-4959-BCCD-A4FA213C4306}" type="pres">
      <dgm:prSet presAssocID="{3A942973-41C9-4A05-AAF6-D0B931CC694C}" presName="connectorText" presStyleLbl="sibTrans2D1" presStyleIdx="0" presStyleCnt="2"/>
      <dgm:spPr/>
      <dgm:t>
        <a:bodyPr/>
        <a:lstStyle/>
        <a:p>
          <a:endParaRPr lang="en-GB"/>
        </a:p>
      </dgm:t>
    </dgm:pt>
    <dgm:pt modelId="{C179EC3C-228F-4C2B-9BE9-F28AA7BF7640}" type="pres">
      <dgm:prSet presAssocID="{4CAE0084-1D19-426E-A0DA-AEC7FDB790CE}" presName="node" presStyleLbl="node1" presStyleIdx="1" presStyleCnt="3" custLinFactNeighborX="691" custLinFactNeighborY="1201">
        <dgm:presLayoutVars>
          <dgm:bulletEnabled val="1"/>
        </dgm:presLayoutVars>
      </dgm:prSet>
      <dgm:spPr/>
      <dgm:t>
        <a:bodyPr/>
        <a:lstStyle/>
        <a:p>
          <a:endParaRPr lang="en-GB"/>
        </a:p>
      </dgm:t>
    </dgm:pt>
    <dgm:pt modelId="{3A234647-1651-4A76-B899-EAB7E313FAE4}" type="pres">
      <dgm:prSet presAssocID="{323BFB9A-BC6A-464F-A339-43FA4956AEDA}" presName="sibTrans" presStyleLbl="sibTrans2D1" presStyleIdx="1" presStyleCnt="2"/>
      <dgm:spPr/>
      <dgm:t>
        <a:bodyPr/>
        <a:lstStyle/>
        <a:p>
          <a:endParaRPr lang="en-GB"/>
        </a:p>
      </dgm:t>
    </dgm:pt>
    <dgm:pt modelId="{2B7F62A9-F3E5-46BE-AB6D-C215C50DB8AC}" type="pres">
      <dgm:prSet presAssocID="{323BFB9A-BC6A-464F-A339-43FA4956AEDA}" presName="connectorText" presStyleLbl="sibTrans2D1" presStyleIdx="1" presStyleCnt="2"/>
      <dgm:spPr/>
      <dgm:t>
        <a:bodyPr/>
        <a:lstStyle/>
        <a:p>
          <a:endParaRPr lang="en-GB"/>
        </a:p>
      </dgm:t>
    </dgm:pt>
    <dgm:pt modelId="{B3AE3802-986F-4DE5-B8F5-6675158FD2A8}" type="pres">
      <dgm:prSet presAssocID="{3E3AEBB5-D4DA-47E1-B6B7-F2129568C00B}" presName="node" presStyleLbl="node1" presStyleIdx="2" presStyleCnt="3">
        <dgm:presLayoutVars>
          <dgm:bulletEnabled val="1"/>
        </dgm:presLayoutVars>
      </dgm:prSet>
      <dgm:spPr/>
      <dgm:t>
        <a:bodyPr/>
        <a:lstStyle/>
        <a:p>
          <a:endParaRPr lang="en-GB"/>
        </a:p>
      </dgm:t>
    </dgm:pt>
  </dgm:ptLst>
  <dgm:cxnLst>
    <dgm:cxn modelId="{7DC7DFC8-21E2-4973-B1B9-B4E639BE374E}" type="presOf" srcId="{A4BF133A-625F-46DE-AE4D-6E3A1F28D134}" destId="{FAB4EA60-1837-4ACA-AB2F-98DAC7F34529}" srcOrd="0" destOrd="0" presId="urn:microsoft.com/office/officeart/2005/8/layout/process1"/>
    <dgm:cxn modelId="{A9F6CFB8-929D-45E3-8636-CC09106FDF46}" srcId="{A4BF133A-625F-46DE-AE4D-6E3A1F28D134}" destId="{09F8FA05-9B62-4026-89F2-97CC99F070E1}" srcOrd="0" destOrd="0" parTransId="{23B13038-6B59-4414-BF27-3075057B76AA}" sibTransId="{3A942973-41C9-4A05-AAF6-D0B931CC694C}"/>
    <dgm:cxn modelId="{FCE174F9-4B83-422F-B569-C805484E62B9}" type="presOf" srcId="{3E3AEBB5-D4DA-47E1-B6B7-F2129568C00B}" destId="{B3AE3802-986F-4DE5-B8F5-6675158FD2A8}" srcOrd="0" destOrd="0" presId="urn:microsoft.com/office/officeart/2005/8/layout/process1"/>
    <dgm:cxn modelId="{4957E37B-D3BF-4DF3-AFC3-D1B1CC4F1E6C}" type="presOf" srcId="{323BFB9A-BC6A-464F-A339-43FA4956AEDA}" destId="{2B7F62A9-F3E5-46BE-AB6D-C215C50DB8AC}" srcOrd="1" destOrd="0" presId="urn:microsoft.com/office/officeart/2005/8/layout/process1"/>
    <dgm:cxn modelId="{6F34AF0A-49EA-4BF2-9C77-53D439C38545}" type="presOf" srcId="{3A942973-41C9-4A05-AAF6-D0B931CC694C}" destId="{72E58995-66B8-4959-BCCD-A4FA213C4306}" srcOrd="1" destOrd="0" presId="urn:microsoft.com/office/officeart/2005/8/layout/process1"/>
    <dgm:cxn modelId="{1702F8FD-0532-41A6-87CE-F28CD45CB0D1}" srcId="{A4BF133A-625F-46DE-AE4D-6E3A1F28D134}" destId="{3E3AEBB5-D4DA-47E1-B6B7-F2129568C00B}" srcOrd="2" destOrd="0" parTransId="{46E09248-C9A8-4884-8C98-7CA3B1165CB5}" sibTransId="{68F4B2AF-E3BB-4827-A21E-CEC7356DD0A2}"/>
    <dgm:cxn modelId="{8340FC82-BE79-404A-8F65-91FEB6D47E97}" type="presOf" srcId="{3A942973-41C9-4A05-AAF6-D0B931CC694C}" destId="{47345650-8681-4B0E-9B5D-67C9C526ECE7}" srcOrd="0" destOrd="0" presId="urn:microsoft.com/office/officeart/2005/8/layout/process1"/>
    <dgm:cxn modelId="{221EFBDF-14F0-4833-9FE5-ED6EC0A7BBE9}" type="presOf" srcId="{09F8FA05-9B62-4026-89F2-97CC99F070E1}" destId="{726CFEFA-2DBF-412E-9570-33429E3BC0A7}" srcOrd="0" destOrd="0" presId="urn:microsoft.com/office/officeart/2005/8/layout/process1"/>
    <dgm:cxn modelId="{36BBDFA8-59A2-4B64-B0C3-F313DAD3D8F7}" srcId="{A4BF133A-625F-46DE-AE4D-6E3A1F28D134}" destId="{4CAE0084-1D19-426E-A0DA-AEC7FDB790CE}" srcOrd="1" destOrd="0" parTransId="{87C5A3F8-203B-42C5-B5D3-D5F361904A83}" sibTransId="{323BFB9A-BC6A-464F-A339-43FA4956AEDA}"/>
    <dgm:cxn modelId="{5650D7C0-6AE6-4A35-A6C6-54BFB12B1A85}" type="presOf" srcId="{4CAE0084-1D19-426E-A0DA-AEC7FDB790CE}" destId="{C179EC3C-228F-4C2B-9BE9-F28AA7BF7640}" srcOrd="0" destOrd="0" presId="urn:microsoft.com/office/officeart/2005/8/layout/process1"/>
    <dgm:cxn modelId="{5EF5C92D-2CD1-4AE7-939B-04BE20D17E51}" type="presOf" srcId="{323BFB9A-BC6A-464F-A339-43FA4956AEDA}" destId="{3A234647-1651-4A76-B899-EAB7E313FAE4}" srcOrd="0" destOrd="0" presId="urn:microsoft.com/office/officeart/2005/8/layout/process1"/>
    <dgm:cxn modelId="{5B6C2212-ED3F-4F96-A444-974DC380AC05}" type="presParOf" srcId="{FAB4EA60-1837-4ACA-AB2F-98DAC7F34529}" destId="{726CFEFA-2DBF-412E-9570-33429E3BC0A7}" srcOrd="0" destOrd="0" presId="urn:microsoft.com/office/officeart/2005/8/layout/process1"/>
    <dgm:cxn modelId="{4F69CD76-63EB-46F9-AA05-AB29287FB908}" type="presParOf" srcId="{FAB4EA60-1837-4ACA-AB2F-98DAC7F34529}" destId="{47345650-8681-4B0E-9B5D-67C9C526ECE7}" srcOrd="1" destOrd="0" presId="urn:microsoft.com/office/officeart/2005/8/layout/process1"/>
    <dgm:cxn modelId="{35F2AC1D-1515-4671-AE20-474B66F917A2}" type="presParOf" srcId="{47345650-8681-4B0E-9B5D-67C9C526ECE7}" destId="{72E58995-66B8-4959-BCCD-A4FA213C4306}" srcOrd="0" destOrd="0" presId="urn:microsoft.com/office/officeart/2005/8/layout/process1"/>
    <dgm:cxn modelId="{712AC8C4-3BC7-4778-A254-8165824EA133}" type="presParOf" srcId="{FAB4EA60-1837-4ACA-AB2F-98DAC7F34529}" destId="{C179EC3C-228F-4C2B-9BE9-F28AA7BF7640}" srcOrd="2" destOrd="0" presId="urn:microsoft.com/office/officeart/2005/8/layout/process1"/>
    <dgm:cxn modelId="{3B5CBBDB-F76D-4AA5-B7F0-F4C63CB1A268}" type="presParOf" srcId="{FAB4EA60-1837-4ACA-AB2F-98DAC7F34529}" destId="{3A234647-1651-4A76-B899-EAB7E313FAE4}" srcOrd="3" destOrd="0" presId="urn:microsoft.com/office/officeart/2005/8/layout/process1"/>
    <dgm:cxn modelId="{92FDB864-4F73-4F10-BBFA-515DE6D1138B}" type="presParOf" srcId="{3A234647-1651-4A76-B899-EAB7E313FAE4}" destId="{2B7F62A9-F3E5-46BE-AB6D-C215C50DB8AC}" srcOrd="0" destOrd="0" presId="urn:microsoft.com/office/officeart/2005/8/layout/process1"/>
    <dgm:cxn modelId="{0E88A735-0F0A-4739-9F38-CF0FCBD9D26A}" type="presParOf" srcId="{FAB4EA60-1837-4ACA-AB2F-98DAC7F34529}" destId="{B3AE3802-986F-4DE5-B8F5-6675158FD2A8}"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4BF133A-625F-46DE-AE4D-6E3A1F28D134}" type="doc">
      <dgm:prSet loTypeId="urn:microsoft.com/office/officeart/2005/8/layout/process1" loCatId="process" qsTypeId="urn:microsoft.com/office/officeart/2005/8/quickstyle/simple1" qsCatId="simple" csTypeId="urn:microsoft.com/office/officeart/2005/8/colors/colorful4" csCatId="colorful" phldr="1"/>
      <dgm:spPr/>
    </dgm:pt>
    <dgm:pt modelId="{09F8FA05-9B62-4026-89F2-97CC99F070E1}">
      <dgm:prSet phldrT="[Text]" custT="1"/>
      <dgm:spPr/>
      <dgm:t>
        <a:bodyPr/>
        <a:lstStyle/>
        <a:p>
          <a:pPr algn="ctr"/>
          <a:r>
            <a:rPr lang="en-IN" sz="1600"/>
            <a:t>19</a:t>
          </a:r>
          <a:r>
            <a:rPr lang="en-IN" sz="1600" baseline="30000"/>
            <a:t>th</a:t>
          </a:r>
          <a:r>
            <a:rPr lang="en-IN" sz="1600"/>
            <a:t> Century: Creation of modern UK profession of pharmacy </a:t>
          </a:r>
        </a:p>
      </dgm:t>
    </dgm:pt>
    <dgm:pt modelId="{23B13038-6B59-4414-BF27-3075057B76AA}" type="parTrans" cxnId="{A9F6CFB8-929D-45E3-8636-CC09106FDF46}">
      <dgm:prSet/>
      <dgm:spPr/>
      <dgm:t>
        <a:bodyPr/>
        <a:lstStyle/>
        <a:p>
          <a:pPr algn="ctr"/>
          <a:endParaRPr lang="en-IN" sz="1200"/>
        </a:p>
      </dgm:t>
    </dgm:pt>
    <dgm:pt modelId="{3A942973-41C9-4A05-AAF6-D0B931CC694C}" type="sibTrans" cxnId="{A9F6CFB8-929D-45E3-8636-CC09106FDF46}">
      <dgm:prSet custT="1"/>
      <dgm:spPr/>
      <dgm:t>
        <a:bodyPr/>
        <a:lstStyle/>
        <a:p>
          <a:pPr algn="ctr"/>
          <a:endParaRPr lang="en-IN" sz="1200"/>
        </a:p>
      </dgm:t>
    </dgm:pt>
    <dgm:pt modelId="{4CAE0084-1D19-426E-A0DA-AEC7FDB790CE}">
      <dgm:prSet phldrT="[Text]" custT="1"/>
      <dgm:spPr/>
      <dgm:t>
        <a:bodyPr/>
        <a:lstStyle/>
        <a:p>
          <a:pPr algn="ctr"/>
          <a:r>
            <a:rPr lang="en-IN" sz="1600"/>
            <a:t>1948: Introduction of the NHS</a:t>
          </a:r>
        </a:p>
      </dgm:t>
    </dgm:pt>
    <dgm:pt modelId="{87C5A3F8-203B-42C5-B5D3-D5F361904A83}" type="parTrans" cxnId="{36BBDFA8-59A2-4B64-B0C3-F313DAD3D8F7}">
      <dgm:prSet/>
      <dgm:spPr/>
      <dgm:t>
        <a:bodyPr/>
        <a:lstStyle/>
        <a:p>
          <a:pPr algn="ctr"/>
          <a:endParaRPr lang="en-IN" sz="1200"/>
        </a:p>
      </dgm:t>
    </dgm:pt>
    <dgm:pt modelId="{323BFB9A-BC6A-464F-A339-43FA4956AEDA}" type="sibTrans" cxnId="{36BBDFA8-59A2-4B64-B0C3-F313DAD3D8F7}">
      <dgm:prSet custT="1"/>
      <dgm:spPr/>
      <dgm:t>
        <a:bodyPr/>
        <a:lstStyle/>
        <a:p>
          <a:pPr algn="ctr"/>
          <a:endParaRPr lang="en-IN" sz="1200"/>
        </a:p>
      </dgm:t>
    </dgm:pt>
    <dgm:pt modelId="{3E3AEBB5-D4DA-47E1-B6B7-F2129568C00B}">
      <dgm:prSet phldrT="[Text]" custT="1"/>
      <dgm:spPr/>
      <dgm:t>
        <a:bodyPr/>
        <a:lstStyle/>
        <a:p>
          <a:pPr algn="ctr"/>
          <a:r>
            <a:rPr lang="en-IN" sz="1600"/>
            <a:t>2024: Adoption of 'Pharmacy First'</a:t>
          </a:r>
        </a:p>
      </dgm:t>
    </dgm:pt>
    <dgm:pt modelId="{46E09248-C9A8-4884-8C98-7CA3B1165CB5}" type="parTrans" cxnId="{1702F8FD-0532-41A6-87CE-F28CD45CB0D1}">
      <dgm:prSet/>
      <dgm:spPr/>
      <dgm:t>
        <a:bodyPr/>
        <a:lstStyle/>
        <a:p>
          <a:pPr algn="ctr"/>
          <a:endParaRPr lang="en-IN" sz="1200"/>
        </a:p>
      </dgm:t>
    </dgm:pt>
    <dgm:pt modelId="{68F4B2AF-E3BB-4827-A21E-CEC7356DD0A2}" type="sibTrans" cxnId="{1702F8FD-0532-41A6-87CE-F28CD45CB0D1}">
      <dgm:prSet/>
      <dgm:spPr/>
      <dgm:t>
        <a:bodyPr/>
        <a:lstStyle/>
        <a:p>
          <a:pPr algn="ctr"/>
          <a:endParaRPr lang="en-IN" sz="1200"/>
        </a:p>
      </dgm:t>
    </dgm:pt>
    <dgm:pt modelId="{FAB4EA60-1837-4ACA-AB2F-98DAC7F34529}" type="pres">
      <dgm:prSet presAssocID="{A4BF133A-625F-46DE-AE4D-6E3A1F28D134}" presName="Name0" presStyleCnt="0">
        <dgm:presLayoutVars>
          <dgm:dir/>
          <dgm:resizeHandles val="exact"/>
        </dgm:presLayoutVars>
      </dgm:prSet>
      <dgm:spPr/>
    </dgm:pt>
    <dgm:pt modelId="{726CFEFA-2DBF-412E-9570-33429E3BC0A7}" type="pres">
      <dgm:prSet presAssocID="{09F8FA05-9B62-4026-89F2-97CC99F070E1}" presName="node" presStyleLbl="node1" presStyleIdx="0" presStyleCnt="3">
        <dgm:presLayoutVars>
          <dgm:bulletEnabled val="1"/>
        </dgm:presLayoutVars>
      </dgm:prSet>
      <dgm:spPr/>
      <dgm:t>
        <a:bodyPr/>
        <a:lstStyle/>
        <a:p>
          <a:endParaRPr lang="en-GB"/>
        </a:p>
      </dgm:t>
    </dgm:pt>
    <dgm:pt modelId="{47345650-8681-4B0E-9B5D-67C9C526ECE7}" type="pres">
      <dgm:prSet presAssocID="{3A942973-41C9-4A05-AAF6-D0B931CC694C}" presName="sibTrans" presStyleLbl="sibTrans2D1" presStyleIdx="0" presStyleCnt="2"/>
      <dgm:spPr/>
      <dgm:t>
        <a:bodyPr/>
        <a:lstStyle/>
        <a:p>
          <a:endParaRPr lang="en-GB"/>
        </a:p>
      </dgm:t>
    </dgm:pt>
    <dgm:pt modelId="{72E58995-66B8-4959-BCCD-A4FA213C4306}" type="pres">
      <dgm:prSet presAssocID="{3A942973-41C9-4A05-AAF6-D0B931CC694C}" presName="connectorText" presStyleLbl="sibTrans2D1" presStyleIdx="0" presStyleCnt="2"/>
      <dgm:spPr/>
      <dgm:t>
        <a:bodyPr/>
        <a:lstStyle/>
        <a:p>
          <a:endParaRPr lang="en-GB"/>
        </a:p>
      </dgm:t>
    </dgm:pt>
    <dgm:pt modelId="{C179EC3C-228F-4C2B-9BE9-F28AA7BF7640}" type="pres">
      <dgm:prSet presAssocID="{4CAE0084-1D19-426E-A0DA-AEC7FDB790CE}" presName="node" presStyleLbl="node1" presStyleIdx="1" presStyleCnt="3" custLinFactNeighborX="691" custLinFactNeighborY="1201">
        <dgm:presLayoutVars>
          <dgm:bulletEnabled val="1"/>
        </dgm:presLayoutVars>
      </dgm:prSet>
      <dgm:spPr/>
      <dgm:t>
        <a:bodyPr/>
        <a:lstStyle/>
        <a:p>
          <a:endParaRPr lang="en-GB"/>
        </a:p>
      </dgm:t>
    </dgm:pt>
    <dgm:pt modelId="{3A234647-1651-4A76-B899-EAB7E313FAE4}" type="pres">
      <dgm:prSet presAssocID="{323BFB9A-BC6A-464F-A339-43FA4956AEDA}" presName="sibTrans" presStyleLbl="sibTrans2D1" presStyleIdx="1" presStyleCnt="2"/>
      <dgm:spPr/>
      <dgm:t>
        <a:bodyPr/>
        <a:lstStyle/>
        <a:p>
          <a:endParaRPr lang="en-GB"/>
        </a:p>
      </dgm:t>
    </dgm:pt>
    <dgm:pt modelId="{2B7F62A9-F3E5-46BE-AB6D-C215C50DB8AC}" type="pres">
      <dgm:prSet presAssocID="{323BFB9A-BC6A-464F-A339-43FA4956AEDA}" presName="connectorText" presStyleLbl="sibTrans2D1" presStyleIdx="1" presStyleCnt="2"/>
      <dgm:spPr/>
      <dgm:t>
        <a:bodyPr/>
        <a:lstStyle/>
        <a:p>
          <a:endParaRPr lang="en-GB"/>
        </a:p>
      </dgm:t>
    </dgm:pt>
    <dgm:pt modelId="{B3AE3802-986F-4DE5-B8F5-6675158FD2A8}" type="pres">
      <dgm:prSet presAssocID="{3E3AEBB5-D4DA-47E1-B6B7-F2129568C00B}" presName="node" presStyleLbl="node1" presStyleIdx="2" presStyleCnt="3">
        <dgm:presLayoutVars>
          <dgm:bulletEnabled val="1"/>
        </dgm:presLayoutVars>
      </dgm:prSet>
      <dgm:spPr/>
      <dgm:t>
        <a:bodyPr/>
        <a:lstStyle/>
        <a:p>
          <a:endParaRPr lang="en-GB"/>
        </a:p>
      </dgm:t>
    </dgm:pt>
  </dgm:ptLst>
  <dgm:cxnLst>
    <dgm:cxn modelId="{7DC7DFC8-21E2-4973-B1B9-B4E639BE374E}" type="presOf" srcId="{A4BF133A-625F-46DE-AE4D-6E3A1F28D134}" destId="{FAB4EA60-1837-4ACA-AB2F-98DAC7F34529}" srcOrd="0" destOrd="0" presId="urn:microsoft.com/office/officeart/2005/8/layout/process1"/>
    <dgm:cxn modelId="{A9F6CFB8-929D-45E3-8636-CC09106FDF46}" srcId="{A4BF133A-625F-46DE-AE4D-6E3A1F28D134}" destId="{09F8FA05-9B62-4026-89F2-97CC99F070E1}" srcOrd="0" destOrd="0" parTransId="{23B13038-6B59-4414-BF27-3075057B76AA}" sibTransId="{3A942973-41C9-4A05-AAF6-D0B931CC694C}"/>
    <dgm:cxn modelId="{FCE174F9-4B83-422F-B569-C805484E62B9}" type="presOf" srcId="{3E3AEBB5-D4DA-47E1-B6B7-F2129568C00B}" destId="{B3AE3802-986F-4DE5-B8F5-6675158FD2A8}" srcOrd="0" destOrd="0" presId="urn:microsoft.com/office/officeart/2005/8/layout/process1"/>
    <dgm:cxn modelId="{4957E37B-D3BF-4DF3-AFC3-D1B1CC4F1E6C}" type="presOf" srcId="{323BFB9A-BC6A-464F-A339-43FA4956AEDA}" destId="{2B7F62A9-F3E5-46BE-AB6D-C215C50DB8AC}" srcOrd="1" destOrd="0" presId="urn:microsoft.com/office/officeart/2005/8/layout/process1"/>
    <dgm:cxn modelId="{6F34AF0A-49EA-4BF2-9C77-53D439C38545}" type="presOf" srcId="{3A942973-41C9-4A05-AAF6-D0B931CC694C}" destId="{72E58995-66B8-4959-BCCD-A4FA213C4306}" srcOrd="1" destOrd="0" presId="urn:microsoft.com/office/officeart/2005/8/layout/process1"/>
    <dgm:cxn modelId="{1702F8FD-0532-41A6-87CE-F28CD45CB0D1}" srcId="{A4BF133A-625F-46DE-AE4D-6E3A1F28D134}" destId="{3E3AEBB5-D4DA-47E1-B6B7-F2129568C00B}" srcOrd="2" destOrd="0" parTransId="{46E09248-C9A8-4884-8C98-7CA3B1165CB5}" sibTransId="{68F4B2AF-E3BB-4827-A21E-CEC7356DD0A2}"/>
    <dgm:cxn modelId="{8340FC82-BE79-404A-8F65-91FEB6D47E97}" type="presOf" srcId="{3A942973-41C9-4A05-AAF6-D0B931CC694C}" destId="{47345650-8681-4B0E-9B5D-67C9C526ECE7}" srcOrd="0" destOrd="0" presId="urn:microsoft.com/office/officeart/2005/8/layout/process1"/>
    <dgm:cxn modelId="{221EFBDF-14F0-4833-9FE5-ED6EC0A7BBE9}" type="presOf" srcId="{09F8FA05-9B62-4026-89F2-97CC99F070E1}" destId="{726CFEFA-2DBF-412E-9570-33429E3BC0A7}" srcOrd="0" destOrd="0" presId="urn:microsoft.com/office/officeart/2005/8/layout/process1"/>
    <dgm:cxn modelId="{36BBDFA8-59A2-4B64-B0C3-F313DAD3D8F7}" srcId="{A4BF133A-625F-46DE-AE4D-6E3A1F28D134}" destId="{4CAE0084-1D19-426E-A0DA-AEC7FDB790CE}" srcOrd="1" destOrd="0" parTransId="{87C5A3F8-203B-42C5-B5D3-D5F361904A83}" sibTransId="{323BFB9A-BC6A-464F-A339-43FA4956AEDA}"/>
    <dgm:cxn modelId="{5650D7C0-6AE6-4A35-A6C6-54BFB12B1A85}" type="presOf" srcId="{4CAE0084-1D19-426E-A0DA-AEC7FDB790CE}" destId="{C179EC3C-228F-4C2B-9BE9-F28AA7BF7640}" srcOrd="0" destOrd="0" presId="urn:microsoft.com/office/officeart/2005/8/layout/process1"/>
    <dgm:cxn modelId="{5EF5C92D-2CD1-4AE7-939B-04BE20D17E51}" type="presOf" srcId="{323BFB9A-BC6A-464F-A339-43FA4956AEDA}" destId="{3A234647-1651-4A76-B899-EAB7E313FAE4}" srcOrd="0" destOrd="0" presId="urn:microsoft.com/office/officeart/2005/8/layout/process1"/>
    <dgm:cxn modelId="{5B6C2212-ED3F-4F96-A444-974DC380AC05}" type="presParOf" srcId="{FAB4EA60-1837-4ACA-AB2F-98DAC7F34529}" destId="{726CFEFA-2DBF-412E-9570-33429E3BC0A7}" srcOrd="0" destOrd="0" presId="urn:microsoft.com/office/officeart/2005/8/layout/process1"/>
    <dgm:cxn modelId="{4F69CD76-63EB-46F9-AA05-AB29287FB908}" type="presParOf" srcId="{FAB4EA60-1837-4ACA-AB2F-98DAC7F34529}" destId="{47345650-8681-4B0E-9B5D-67C9C526ECE7}" srcOrd="1" destOrd="0" presId="urn:microsoft.com/office/officeart/2005/8/layout/process1"/>
    <dgm:cxn modelId="{35F2AC1D-1515-4671-AE20-474B66F917A2}" type="presParOf" srcId="{47345650-8681-4B0E-9B5D-67C9C526ECE7}" destId="{72E58995-66B8-4959-BCCD-A4FA213C4306}" srcOrd="0" destOrd="0" presId="urn:microsoft.com/office/officeart/2005/8/layout/process1"/>
    <dgm:cxn modelId="{712AC8C4-3BC7-4778-A254-8165824EA133}" type="presParOf" srcId="{FAB4EA60-1837-4ACA-AB2F-98DAC7F34529}" destId="{C179EC3C-228F-4C2B-9BE9-F28AA7BF7640}" srcOrd="2" destOrd="0" presId="urn:microsoft.com/office/officeart/2005/8/layout/process1"/>
    <dgm:cxn modelId="{3B5CBBDB-F76D-4AA5-B7F0-F4C63CB1A268}" type="presParOf" srcId="{FAB4EA60-1837-4ACA-AB2F-98DAC7F34529}" destId="{3A234647-1651-4A76-B899-EAB7E313FAE4}" srcOrd="3" destOrd="0" presId="urn:microsoft.com/office/officeart/2005/8/layout/process1"/>
    <dgm:cxn modelId="{92FDB864-4F73-4F10-BBFA-515DE6D1138B}" type="presParOf" srcId="{3A234647-1651-4A76-B899-EAB7E313FAE4}" destId="{2B7F62A9-F3E5-46BE-AB6D-C215C50DB8AC}" srcOrd="0" destOrd="0" presId="urn:microsoft.com/office/officeart/2005/8/layout/process1"/>
    <dgm:cxn modelId="{0E88A735-0F0A-4739-9F38-CF0FCBD9D26A}" type="presParOf" srcId="{FAB4EA60-1837-4ACA-AB2F-98DAC7F34529}" destId="{B3AE3802-986F-4DE5-B8F5-6675158FD2A8}"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6CFEFA-2DBF-412E-9570-33429E3BC0A7}">
      <dsp:nvSpPr>
        <dsp:cNvPr id="0" name=""/>
        <dsp:cNvSpPr/>
      </dsp:nvSpPr>
      <dsp:spPr>
        <a:xfrm>
          <a:off x="12475" y="0"/>
          <a:ext cx="2396236" cy="80035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IN" sz="1600" kern="1200"/>
            <a:t>19</a:t>
          </a:r>
          <a:r>
            <a:rPr lang="en-IN" sz="1600" kern="1200" baseline="30000"/>
            <a:t>th</a:t>
          </a:r>
          <a:r>
            <a:rPr lang="en-IN" sz="1600" kern="1200"/>
            <a:t> Century: Creation of modern UK profession of pharmacy </a:t>
          </a:r>
        </a:p>
      </dsp:txBody>
      <dsp:txXfrm>
        <a:off x="35916" y="23441"/>
        <a:ext cx="2349354" cy="753468"/>
      </dsp:txXfrm>
    </dsp:sp>
    <dsp:sp modelId="{47345650-8681-4B0E-9B5D-67C9C526ECE7}">
      <dsp:nvSpPr>
        <dsp:cNvPr id="0" name=""/>
        <dsp:cNvSpPr/>
      </dsp:nvSpPr>
      <dsp:spPr>
        <a:xfrm>
          <a:off x="2649991" y="103041"/>
          <a:ext cx="511512" cy="594266"/>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IN" sz="1200" kern="1200"/>
        </a:p>
      </dsp:txBody>
      <dsp:txXfrm>
        <a:off x="2649991" y="221894"/>
        <a:ext cx="358058" cy="356560"/>
      </dsp:txXfrm>
    </dsp:sp>
    <dsp:sp modelId="{C179EC3C-228F-4C2B-9BE9-F28AA7BF7640}">
      <dsp:nvSpPr>
        <dsp:cNvPr id="0" name=""/>
        <dsp:cNvSpPr/>
      </dsp:nvSpPr>
      <dsp:spPr>
        <a:xfrm>
          <a:off x="3373830" y="0"/>
          <a:ext cx="2396236" cy="800350"/>
        </a:xfrm>
        <a:prstGeom prst="roundRect">
          <a:avLst>
            <a:gd name="adj" fmla="val 1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IN" sz="1600" kern="1200"/>
            <a:t>1948: Introduction of the NHS</a:t>
          </a:r>
        </a:p>
      </dsp:txBody>
      <dsp:txXfrm>
        <a:off x="3397271" y="23441"/>
        <a:ext cx="2349354" cy="753468"/>
      </dsp:txXfrm>
    </dsp:sp>
    <dsp:sp modelId="{3A234647-1651-4A76-B899-EAB7E313FAE4}">
      <dsp:nvSpPr>
        <dsp:cNvPr id="0" name=""/>
        <dsp:cNvSpPr/>
      </dsp:nvSpPr>
      <dsp:spPr>
        <a:xfrm>
          <a:off x="6008035" y="103041"/>
          <a:ext cx="504491" cy="594266"/>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IN" sz="1200" kern="1200"/>
        </a:p>
      </dsp:txBody>
      <dsp:txXfrm>
        <a:off x="6008035" y="221894"/>
        <a:ext cx="353144" cy="356560"/>
      </dsp:txXfrm>
    </dsp:sp>
    <dsp:sp modelId="{B3AE3802-986F-4DE5-B8F5-6675158FD2A8}">
      <dsp:nvSpPr>
        <dsp:cNvPr id="0" name=""/>
        <dsp:cNvSpPr/>
      </dsp:nvSpPr>
      <dsp:spPr>
        <a:xfrm>
          <a:off x="6721938" y="0"/>
          <a:ext cx="2396236" cy="800350"/>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IN" sz="1600" kern="1200"/>
            <a:t>2024: Adoption of 'Pharmacy First'</a:t>
          </a:r>
        </a:p>
      </dsp:txBody>
      <dsp:txXfrm>
        <a:off x="6745379" y="23441"/>
        <a:ext cx="2349354" cy="75346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D6D4CB-F8BF-4802-AC89-6941CBE8E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2026-07-17T15:43:00Z</dcterms:created>
  <dcterms:modified xsi:type="dcterms:W3CDTF">2026-07-17T23:31:00Z</dcterms:modified>
</cp:coreProperties>
</file>