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5BE3E4D">
      <w:pPr>
        <w:pStyle w:val="24"/>
        <w:jc w:val="left"/>
      </w:pPr>
      <w:r>
        <w:rPr>
          <w:rFonts w:eastAsia="Aptos" w:cs="Arial"/>
          <w:sz w:val="22"/>
        </w:rPr>
        <w:drawing>
          <wp:inline distT="0" distB="0" distL="0" distR="0">
            <wp:extent cx="2485390"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537772" cy="954997"/>
                    </a:xfrm>
                    <a:prstGeom prst="rect">
                      <a:avLst/>
                    </a:prstGeom>
                    <a:noFill/>
                    <a:ln>
                      <a:noFill/>
                    </a:ln>
                  </pic:spPr>
                </pic:pic>
              </a:graphicData>
            </a:graphic>
          </wp:inline>
        </w:drawing>
      </w:r>
    </w:p>
    <w:p w14:paraId="44E29AD9"/>
    <w:p w14:paraId="2DB5B602">
      <w:pPr>
        <w:pStyle w:val="24"/>
        <w:jc w:val="center"/>
      </w:pPr>
    </w:p>
    <w:p w14:paraId="30311545"/>
    <w:p w14:paraId="5DC4863E">
      <w:pPr>
        <w:pStyle w:val="24"/>
        <w:jc w:val="center"/>
        <w:rPr>
          <w:sz w:val="44"/>
          <w:szCs w:val="44"/>
        </w:rPr>
      </w:pPr>
      <w:r>
        <w:rPr>
          <w:sz w:val="44"/>
          <w:szCs w:val="44"/>
        </w:rPr>
        <w:t>Research Proposal Report</w:t>
      </w:r>
    </w:p>
    <w:p w14:paraId="575ED18A">
      <w:pPr>
        <w:jc w:val="center"/>
        <w:rPr>
          <w:bCs/>
          <w:sz w:val="44"/>
          <w:szCs w:val="44"/>
          <w14:textFill>
            <w14:gradFill>
              <w14:gsLst>
                <w14:gs w14:pos="21000">
                  <w14:srgbClr w14:val="53575C"/>
                </w14:gs>
                <w14:gs w14:pos="88000">
                  <w14:srgbClr w14:val="C5C7CA"/>
                </w14:gs>
              </w14:gsLst>
              <w14:lin w14:ang="5400000" w14:scaled="0"/>
            </w14:gradFill>
          </w14:textFill>
        </w:rPr>
      </w:pPr>
      <w:r>
        <w:rPr>
          <w:bCs/>
          <w:sz w:val="44"/>
          <w:szCs w:val="44"/>
          <w:shd w:val="clear" w:color="auto" w:fill="FFFFFF"/>
          <w14:textFill>
            <w14:gradFill>
              <w14:gsLst>
                <w14:gs w14:pos="21000">
                  <w14:srgbClr w14:val="53575C"/>
                </w14:gs>
                <w14:gs w14:pos="88000">
                  <w14:srgbClr w14:val="C5C7CA"/>
                </w14:gs>
              </w14:gsLst>
              <w14:lin w14:ang="5400000" w14:scaled="0"/>
            </w14:gradFill>
          </w14:textFill>
        </w:rPr>
        <w:t>The impact of AI technology in Human Resources in the digital age in Automobile Area in UK</w:t>
      </w:r>
    </w:p>
    <w:p w14:paraId="6B996CE1">
      <w:pPr>
        <w:pStyle w:val="24"/>
        <w:jc w:val="center"/>
        <w:rPr>
          <w:b w:val="0"/>
          <w:spacing w:val="0"/>
          <w:sz w:val="44"/>
          <w:szCs w:val="44"/>
          <w14:textFill>
            <w14:gradFill>
              <w14:gsLst>
                <w14:gs w14:pos="21000">
                  <w14:srgbClr w14:val="53575C"/>
                </w14:gs>
                <w14:gs w14:pos="88000">
                  <w14:srgbClr w14:val="C5C7CA"/>
                </w14:gs>
              </w14:gsLst>
              <w14:lin w14:ang="5400000" w14:scaled="0"/>
            </w14:gradFill>
          </w14:textFill>
        </w:rPr>
      </w:pPr>
    </w:p>
    <w:p w14:paraId="77F2D418">
      <w:pPr>
        <w:pStyle w:val="24"/>
      </w:pPr>
    </w:p>
    <w:p w14:paraId="39BF8D56">
      <w:pPr>
        <w:ind w:firstLine="720"/>
        <w:contextualSpacing/>
        <w:rPr>
          <w:rFonts w:cs="Times New Roman"/>
          <w:b/>
          <w:bCs/>
          <w:color w:val="000000" w:themeColor="text1"/>
          <w:lang w:val="en-US"/>
          <w14:textFill>
            <w14:solidFill>
              <w14:schemeClr w14:val="tx1"/>
            </w14:solidFill>
          </w14:textFill>
        </w:rPr>
      </w:pPr>
      <w:r>
        <w:rPr>
          <w:rFonts w:cs="Times New Roman"/>
          <w:b/>
          <w:bCs/>
          <w:color w:val="000000" w:themeColor="text1"/>
          <w:lang w:val="en-US"/>
          <w14:textFill>
            <w14:solidFill>
              <w14:schemeClr w14:val="tx1"/>
            </w14:solidFill>
          </w14:textFill>
        </w:rPr>
        <w:t xml:space="preserve">STUDENT NAME: </w:t>
      </w:r>
    </w:p>
    <w:p w14:paraId="66CC1796">
      <w:pPr>
        <w:ind w:left="720"/>
        <w:contextualSpacing/>
        <w:rPr>
          <w:rFonts w:cs="Times New Roman"/>
          <w:b/>
          <w:bCs/>
          <w:color w:val="000000" w:themeColor="text1"/>
          <w:lang w:val="en-US"/>
          <w14:textFill>
            <w14:solidFill>
              <w14:schemeClr w14:val="tx1"/>
            </w14:solidFill>
          </w14:textFill>
        </w:rPr>
      </w:pPr>
      <w:r>
        <w:rPr>
          <w:rFonts w:cs="Times New Roman"/>
          <w:b/>
          <w:bCs/>
          <w:color w:val="000000" w:themeColor="text1"/>
          <w:lang w:val="en-US"/>
          <w14:textFill>
            <w14:solidFill>
              <w14:schemeClr w14:val="tx1"/>
            </w14:solidFill>
          </w14:textFill>
        </w:rPr>
        <w:t xml:space="preserve">STUDENT NUMBER: </w:t>
      </w:r>
    </w:p>
    <w:p w14:paraId="3B01D4C9">
      <w:pPr>
        <w:ind w:left="720"/>
        <w:contextualSpacing/>
        <w:rPr>
          <w:rFonts w:cs="Times New Roman"/>
          <w:color w:val="000000" w:themeColor="text1"/>
          <w14:textFill>
            <w14:solidFill>
              <w14:schemeClr w14:val="tx1"/>
            </w14:solidFill>
          </w14:textFill>
        </w:rPr>
      </w:pPr>
      <w:r>
        <w:rPr>
          <w:rFonts w:cs="Times New Roman"/>
          <w:b/>
          <w:bCs/>
          <w:color w:val="000000" w:themeColor="text1"/>
          <w:lang w:val="en-US"/>
          <w14:textFill>
            <w14:solidFill>
              <w14:schemeClr w14:val="tx1"/>
            </w14:solidFill>
          </w14:textFill>
        </w:rPr>
        <w:t xml:space="preserve">MODULE CODE: </w:t>
      </w:r>
      <w:r>
        <w:rPr>
          <w:rFonts w:cs="Times New Roman"/>
          <w:b/>
        </w:rPr>
        <w:t>BMMB7028</w:t>
      </w:r>
    </w:p>
    <w:p w14:paraId="504CEBED">
      <w:pPr>
        <w:ind w:left="720"/>
        <w:contextualSpacing/>
        <w:rPr>
          <w:rFonts w:cs="Times New Roman"/>
          <w:color w:val="000000" w:themeColor="text1"/>
          <w14:textFill>
            <w14:solidFill>
              <w14:schemeClr w14:val="tx1"/>
            </w14:solidFill>
          </w14:textFill>
        </w:rPr>
      </w:pPr>
      <w:r>
        <w:rPr>
          <w:rFonts w:cs="Times New Roman"/>
          <w:b/>
          <w:bCs/>
          <w:color w:val="000000" w:themeColor="text1"/>
          <w:lang w:val="en-US"/>
          <w14:textFill>
            <w14:solidFill>
              <w14:schemeClr w14:val="tx1"/>
            </w14:solidFill>
          </w14:textFill>
        </w:rPr>
        <w:t xml:space="preserve">MODULE NAME: </w:t>
      </w:r>
      <w:r>
        <w:rPr>
          <w:rFonts w:cs="Times New Roman"/>
          <w:b/>
        </w:rPr>
        <w:t>Business Research</w:t>
      </w:r>
    </w:p>
    <w:p w14:paraId="3203B2D3">
      <w:pPr>
        <w:rPr>
          <w:rFonts w:cs="Times New Roman"/>
        </w:rPr>
      </w:pPr>
    </w:p>
    <w:p w14:paraId="52F00651">
      <w:pPr>
        <w:rPr>
          <w:rFonts w:cs="Times New Roman"/>
        </w:rPr>
      </w:pPr>
    </w:p>
    <w:p w14:paraId="5D2F3E12">
      <w:pPr>
        <w:rPr>
          <w:rFonts w:cs="Times New Roman"/>
        </w:rPr>
      </w:pPr>
    </w:p>
    <w:p w14:paraId="786D20E9">
      <w:pPr>
        <w:rPr>
          <w:rFonts w:cs="Times New Roman"/>
        </w:rPr>
      </w:pPr>
    </w:p>
    <w:p w14:paraId="0D948BD3">
      <w:pPr>
        <w:rPr>
          <w:rFonts w:cs="Times New Roman"/>
        </w:rPr>
      </w:pPr>
    </w:p>
    <w:p w14:paraId="16C4D6D3">
      <w:pPr>
        <w:rPr>
          <w:rFonts w:cs="Times New Roman"/>
        </w:rPr>
      </w:pPr>
    </w:p>
    <w:p w14:paraId="187226D6">
      <w:pPr>
        <w:ind w:left="4320" w:firstLine="720"/>
        <w:jc w:val="center"/>
        <w:rPr>
          <w:rFonts w:cs="Times New Roman"/>
          <w:b/>
          <w:bCs/>
        </w:rPr>
      </w:pPr>
      <w:r>
        <w:rPr>
          <w:rFonts w:cs="Times New Roman"/>
          <w:b/>
          <w:bCs/>
        </w:rPr>
        <w:t xml:space="preserve">Lecturer: </w:t>
      </w:r>
      <w:bookmarkStart w:id="11" w:name="_GoBack"/>
      <w:bookmarkEnd w:id="11"/>
    </w:p>
    <w:p w14:paraId="3FBEF0E1">
      <w:pPr>
        <w:spacing w:after="80"/>
      </w:pPr>
      <w:r>
        <w:br w:type="page"/>
      </w:r>
    </w:p>
    <w:p w14:paraId="790178AF">
      <w:pPr>
        <w:pStyle w:val="2"/>
      </w:pPr>
      <w:bookmarkStart w:id="0" w:name="_Toc196731118"/>
      <w:r>
        <w:t>Executive Summary</w:t>
      </w:r>
      <w:bookmarkEnd w:id="0"/>
    </w:p>
    <w:p w14:paraId="0DA2CB21"/>
    <w:p w14:paraId="75008A28">
      <w:pPr>
        <w:spacing w:after="80"/>
      </w:pPr>
      <w:r>
        <w:t>The research proposal examines the effects of Artificial Intelligence (AI) technology on Human Resources (HR) practices during the digital age for the UK automobile sector. Organisations experience rising global market challenges along with digital disruption that accelerates their adoption of AI technology in HR departments. The research investigates the critical effects of AI technology on standard HR operations alongside its influence on workplace leadership and the ethical matters facing the sector.</w:t>
      </w:r>
    </w:p>
    <w:p w14:paraId="79937AC0">
      <w:pPr>
        <w:spacing w:after="80"/>
      </w:pPr>
      <w:r>
        <w:t>This research evaluates the implementation level and characteristics of Artificial Intelligence (AI) technology across human resources procedures, including recruitment, selection and performance evaluation, as well as talent growth. This study investigates what impact AI has on HR leadership functions, along with executive decision-making abilities and employee work culture norms within organisations. The research explores employee viewpoints about AI-driven HR strategies and documents the ethical problems as well as operational obstacles which come from AI adoption.</w:t>
      </w:r>
    </w:p>
    <w:p w14:paraId="08929C27">
      <w:pPr>
        <w:spacing w:after="80"/>
      </w:pPr>
      <w:r>
        <w:t>The research implements a multiple case study methodology based on qualitative methods for investigation of two to three UK automobile companies which excel in technological innovation. The research analysis employs semi-structured interviews among HR professionals, together with managers and employees, to gather meaningful contextual information. The research analysis uses thematic methods to understand findings backed by theoretical models, which include the Technology Acceptance Model (TAM) and socio-technical systems theory.</w:t>
      </w:r>
    </w:p>
    <w:p w14:paraId="0DEC2532">
      <w:pPr>
        <w:spacing w:after="80"/>
      </w:pPr>
      <w:r>
        <w:t>Essential research design aspects involve ethical elements such as participant consent procedures, together with data protection rules and committed confidentiality practices. The researcher faces three main challenges: limited contact with study participants and possible response distortions, and conclusions which only apply to specific industries.</w:t>
      </w:r>
    </w:p>
    <w:p w14:paraId="40929460">
      <w:pPr>
        <w:spacing w:after="80"/>
      </w:pPr>
      <w:r>
        <w:t>This research seeks to enrich AI in HR knowledge for the academic world and generate practical guidelines toward effectively harmonising AI implementation with human-focused leadership. The study helps HR practitioners, together with senior leaders, to handle the ethical alongside strategic demands of AI to maintain a responsible digital workplace progress.</w:t>
      </w:r>
    </w:p>
    <w:p w14:paraId="6208355A">
      <w:pPr>
        <w:spacing w:after="80"/>
      </w:pPr>
    </w:p>
    <w:sdt>
      <w:sdtPr>
        <w:rPr>
          <w:rFonts w:ascii="Times New Roman" w:hAnsi="Times New Roman" w:eastAsiaTheme="minorHAnsi" w:cstheme="minorBidi"/>
          <w:color w:val="auto"/>
          <w:kern w:val="2"/>
          <w:sz w:val="24"/>
          <w:szCs w:val="24"/>
          <w:lang w:val="en-IN"/>
          <w14:ligatures w14:val="standardContextual"/>
        </w:rPr>
        <w:id w:val="699516990"/>
        <w:docPartObj>
          <w:docPartGallery w:val="Table of Contents"/>
          <w:docPartUnique/>
        </w:docPartObj>
      </w:sdtPr>
      <w:sdtEndPr>
        <w:rPr>
          <w:rFonts w:ascii="Times New Roman" w:hAnsi="Times New Roman" w:eastAsiaTheme="minorHAnsi" w:cstheme="minorBidi"/>
          <w:b/>
          <w:bCs/>
          <w:color w:val="auto"/>
          <w:kern w:val="2"/>
          <w:sz w:val="24"/>
          <w:szCs w:val="24"/>
          <w:lang w:val="en-IN"/>
          <w14:ligatures w14:val="standardContextual"/>
        </w:rPr>
      </w:sdtEndPr>
      <w:sdtContent>
        <w:p w14:paraId="68085E23">
          <w:pPr>
            <w:pStyle w:val="47"/>
            <w:spacing w:after="80"/>
            <w:rPr>
              <w:rFonts w:ascii="Times New Roman" w:hAnsi="Times New Roman" w:cs="Times New Roman"/>
              <w:b/>
              <w:bCs/>
              <w:color w:val="auto"/>
            </w:rPr>
          </w:pPr>
          <w:r>
            <w:rPr>
              <w:rFonts w:ascii="Times New Roman" w:hAnsi="Times New Roman" w:cs="Times New Roman"/>
              <w:b/>
              <w:bCs/>
              <w:color w:val="auto"/>
            </w:rPr>
            <w:t>Table of Contents</w:t>
          </w:r>
        </w:p>
        <w:p w14:paraId="1CE7A584">
          <w:pPr>
            <w:pStyle w:val="47"/>
            <w:spacing w:after="80"/>
            <w:rPr>
              <w:rFonts w:ascii="Times New Roman" w:hAnsi="Times New Roman" w:cs="Times New Roman"/>
              <w:b/>
              <w:bCs/>
              <w:color w:val="auto"/>
            </w:rPr>
          </w:pPr>
          <w:r>
            <w:fldChar w:fldCharType="begin"/>
          </w:r>
          <w:r>
            <w:instrText xml:space="preserve"> TOC \o "1-3" \h \z \u </w:instrText>
          </w:r>
          <w:r>
            <w:fldChar w:fldCharType="separate"/>
          </w:r>
        </w:p>
        <w:p w14:paraId="7DC5854E">
          <w:pPr>
            <w:pStyle w:val="25"/>
            <w:tabs>
              <w:tab w:val="right" w:leader="dot" w:pos="9016"/>
            </w:tabs>
            <w:rPr>
              <w:rFonts w:asciiTheme="minorHAnsi" w:hAnsiTheme="minorHAnsi" w:eastAsiaTheme="minorEastAsia"/>
              <w:lang w:val="en-GB" w:eastAsia="en-GB"/>
            </w:rPr>
          </w:pPr>
          <w:r>
            <w:fldChar w:fldCharType="begin"/>
          </w:r>
          <w:r>
            <w:instrText xml:space="preserve"> HYPERLINK \l "_Toc196731119" </w:instrText>
          </w:r>
          <w:r>
            <w:fldChar w:fldCharType="separate"/>
          </w:r>
          <w:r>
            <w:rPr>
              <w:rStyle w:val="19"/>
            </w:rPr>
            <w:t>Introduction and Rationale</w:t>
          </w:r>
          <w:r>
            <w:tab/>
          </w:r>
          <w:r>
            <w:fldChar w:fldCharType="begin"/>
          </w:r>
          <w:r>
            <w:instrText xml:space="preserve"> PAGEREF _Toc196731119 \h </w:instrText>
          </w:r>
          <w:r>
            <w:fldChar w:fldCharType="separate"/>
          </w:r>
          <w:r>
            <w:t>4</w:t>
          </w:r>
          <w:r>
            <w:fldChar w:fldCharType="end"/>
          </w:r>
          <w:r>
            <w:fldChar w:fldCharType="end"/>
          </w:r>
        </w:p>
        <w:p w14:paraId="1D97EA33">
          <w:pPr>
            <w:pStyle w:val="25"/>
            <w:tabs>
              <w:tab w:val="right" w:leader="dot" w:pos="9016"/>
            </w:tabs>
            <w:rPr>
              <w:rFonts w:asciiTheme="minorHAnsi" w:hAnsiTheme="minorHAnsi" w:eastAsiaTheme="minorEastAsia"/>
              <w:lang w:val="en-GB" w:eastAsia="en-GB"/>
            </w:rPr>
          </w:pPr>
          <w:r>
            <w:fldChar w:fldCharType="begin"/>
          </w:r>
          <w:r>
            <w:instrText xml:space="preserve"> HYPERLINK \l "_Toc196731120" </w:instrText>
          </w:r>
          <w:r>
            <w:fldChar w:fldCharType="separate"/>
          </w:r>
          <w:r>
            <w:rPr>
              <w:rStyle w:val="19"/>
            </w:rPr>
            <w:t>Research Aim, Objectives and Questions</w:t>
          </w:r>
          <w:r>
            <w:tab/>
          </w:r>
          <w:r>
            <w:fldChar w:fldCharType="begin"/>
          </w:r>
          <w:r>
            <w:instrText xml:space="preserve"> PAGEREF _Toc196731120 \h </w:instrText>
          </w:r>
          <w:r>
            <w:fldChar w:fldCharType="separate"/>
          </w:r>
          <w:r>
            <w:t>5</w:t>
          </w:r>
          <w:r>
            <w:fldChar w:fldCharType="end"/>
          </w:r>
          <w:r>
            <w:fldChar w:fldCharType="end"/>
          </w:r>
        </w:p>
        <w:p w14:paraId="68007520">
          <w:pPr>
            <w:pStyle w:val="25"/>
            <w:tabs>
              <w:tab w:val="right" w:leader="dot" w:pos="9016"/>
            </w:tabs>
            <w:rPr>
              <w:rFonts w:asciiTheme="minorHAnsi" w:hAnsiTheme="minorHAnsi" w:eastAsiaTheme="minorEastAsia"/>
              <w:lang w:val="en-GB" w:eastAsia="en-GB"/>
            </w:rPr>
          </w:pPr>
          <w:r>
            <w:fldChar w:fldCharType="begin"/>
          </w:r>
          <w:r>
            <w:instrText xml:space="preserve"> HYPERLINK \l "_Toc196731121" </w:instrText>
          </w:r>
          <w:r>
            <w:fldChar w:fldCharType="separate"/>
          </w:r>
          <w:r>
            <w:rPr>
              <w:rStyle w:val="19"/>
            </w:rPr>
            <w:t>Literature Review</w:t>
          </w:r>
          <w:r>
            <w:tab/>
          </w:r>
          <w:r>
            <w:fldChar w:fldCharType="begin"/>
          </w:r>
          <w:r>
            <w:instrText xml:space="preserve"> PAGEREF _Toc196731121 \h </w:instrText>
          </w:r>
          <w:r>
            <w:fldChar w:fldCharType="separate"/>
          </w:r>
          <w:r>
            <w:t>6</w:t>
          </w:r>
          <w:r>
            <w:fldChar w:fldCharType="end"/>
          </w:r>
          <w:r>
            <w:fldChar w:fldCharType="end"/>
          </w:r>
        </w:p>
        <w:p w14:paraId="749A3B37">
          <w:pPr>
            <w:pStyle w:val="25"/>
            <w:tabs>
              <w:tab w:val="right" w:leader="dot" w:pos="9016"/>
            </w:tabs>
            <w:rPr>
              <w:rFonts w:asciiTheme="minorHAnsi" w:hAnsiTheme="minorHAnsi" w:eastAsiaTheme="minorEastAsia"/>
              <w:lang w:val="en-GB" w:eastAsia="en-GB"/>
            </w:rPr>
          </w:pPr>
          <w:r>
            <w:fldChar w:fldCharType="begin"/>
          </w:r>
          <w:r>
            <w:instrText xml:space="preserve"> HYPERLINK \l "_Toc196731122" </w:instrText>
          </w:r>
          <w:r>
            <w:fldChar w:fldCharType="separate"/>
          </w:r>
          <w:r>
            <w:rPr>
              <w:rStyle w:val="19"/>
            </w:rPr>
            <w:t>Methodology</w:t>
          </w:r>
          <w:r>
            <w:tab/>
          </w:r>
          <w:r>
            <w:fldChar w:fldCharType="begin"/>
          </w:r>
          <w:r>
            <w:instrText xml:space="preserve"> PAGEREF _Toc196731122 \h </w:instrText>
          </w:r>
          <w:r>
            <w:fldChar w:fldCharType="separate"/>
          </w:r>
          <w:r>
            <w:t>10</w:t>
          </w:r>
          <w:r>
            <w:fldChar w:fldCharType="end"/>
          </w:r>
          <w:r>
            <w:fldChar w:fldCharType="end"/>
          </w:r>
        </w:p>
        <w:p w14:paraId="5BDEB114">
          <w:pPr>
            <w:pStyle w:val="25"/>
            <w:tabs>
              <w:tab w:val="right" w:leader="dot" w:pos="9016"/>
            </w:tabs>
            <w:rPr>
              <w:rFonts w:asciiTheme="minorHAnsi" w:hAnsiTheme="minorHAnsi" w:eastAsiaTheme="minorEastAsia"/>
              <w:lang w:val="en-GB" w:eastAsia="en-GB"/>
            </w:rPr>
          </w:pPr>
          <w:r>
            <w:fldChar w:fldCharType="begin"/>
          </w:r>
          <w:r>
            <w:instrText xml:space="preserve"> HYPERLINK \l "_Toc196731123" </w:instrText>
          </w:r>
          <w:r>
            <w:fldChar w:fldCharType="separate"/>
          </w:r>
          <w:r>
            <w:rPr>
              <w:rStyle w:val="19"/>
            </w:rPr>
            <w:t>Evaluation of Methods and Data Tools</w:t>
          </w:r>
          <w:r>
            <w:tab/>
          </w:r>
          <w:r>
            <w:fldChar w:fldCharType="begin"/>
          </w:r>
          <w:r>
            <w:instrText xml:space="preserve"> PAGEREF _Toc196731123 \h </w:instrText>
          </w:r>
          <w:r>
            <w:fldChar w:fldCharType="separate"/>
          </w:r>
          <w:r>
            <w:t>15</w:t>
          </w:r>
          <w:r>
            <w:fldChar w:fldCharType="end"/>
          </w:r>
          <w:r>
            <w:fldChar w:fldCharType="end"/>
          </w:r>
        </w:p>
        <w:p w14:paraId="093C2F1A">
          <w:pPr>
            <w:pStyle w:val="25"/>
            <w:tabs>
              <w:tab w:val="right" w:leader="dot" w:pos="9016"/>
            </w:tabs>
            <w:rPr>
              <w:rFonts w:asciiTheme="minorHAnsi" w:hAnsiTheme="minorHAnsi" w:eastAsiaTheme="minorEastAsia"/>
              <w:lang w:val="en-GB" w:eastAsia="en-GB"/>
            </w:rPr>
          </w:pPr>
          <w:r>
            <w:fldChar w:fldCharType="begin"/>
          </w:r>
          <w:r>
            <w:instrText xml:space="preserve"> HYPERLINK \l "_Toc196731124" </w:instrText>
          </w:r>
          <w:r>
            <w:fldChar w:fldCharType="separate"/>
          </w:r>
          <w:r>
            <w:rPr>
              <w:rStyle w:val="19"/>
            </w:rPr>
            <w:t>Resource Implications</w:t>
          </w:r>
          <w:r>
            <w:tab/>
          </w:r>
          <w:r>
            <w:fldChar w:fldCharType="begin"/>
          </w:r>
          <w:r>
            <w:instrText xml:space="preserve"> PAGEREF _Toc196731124 \h </w:instrText>
          </w:r>
          <w:r>
            <w:fldChar w:fldCharType="separate"/>
          </w:r>
          <w:r>
            <w:t>17</w:t>
          </w:r>
          <w:r>
            <w:fldChar w:fldCharType="end"/>
          </w:r>
          <w:r>
            <w:fldChar w:fldCharType="end"/>
          </w:r>
        </w:p>
        <w:p w14:paraId="64E79BF6">
          <w:pPr>
            <w:pStyle w:val="25"/>
            <w:tabs>
              <w:tab w:val="right" w:leader="dot" w:pos="9016"/>
            </w:tabs>
            <w:rPr>
              <w:rFonts w:asciiTheme="minorHAnsi" w:hAnsiTheme="minorHAnsi" w:eastAsiaTheme="minorEastAsia"/>
              <w:lang w:val="en-GB" w:eastAsia="en-GB"/>
            </w:rPr>
          </w:pPr>
          <w:r>
            <w:fldChar w:fldCharType="begin"/>
          </w:r>
          <w:r>
            <w:instrText xml:space="preserve"> HYPERLINK \l "_Toc196731125" </w:instrText>
          </w:r>
          <w:r>
            <w:fldChar w:fldCharType="separate"/>
          </w:r>
          <w:r>
            <w:rPr>
              <w:rStyle w:val="19"/>
            </w:rPr>
            <w:t>Time Plan</w:t>
          </w:r>
          <w:r>
            <w:tab/>
          </w:r>
          <w:r>
            <w:fldChar w:fldCharType="begin"/>
          </w:r>
          <w:r>
            <w:instrText xml:space="preserve"> PAGEREF _Toc196731125 \h </w:instrText>
          </w:r>
          <w:r>
            <w:fldChar w:fldCharType="separate"/>
          </w:r>
          <w:r>
            <w:t>18</w:t>
          </w:r>
          <w:r>
            <w:fldChar w:fldCharType="end"/>
          </w:r>
          <w:r>
            <w:fldChar w:fldCharType="end"/>
          </w:r>
        </w:p>
        <w:p w14:paraId="245709F4">
          <w:pPr>
            <w:pStyle w:val="25"/>
            <w:tabs>
              <w:tab w:val="right" w:leader="dot" w:pos="9016"/>
            </w:tabs>
            <w:rPr>
              <w:rFonts w:asciiTheme="minorHAnsi" w:hAnsiTheme="minorHAnsi" w:eastAsiaTheme="minorEastAsia"/>
              <w:lang w:val="en-GB" w:eastAsia="en-GB"/>
            </w:rPr>
          </w:pPr>
          <w:r>
            <w:fldChar w:fldCharType="begin"/>
          </w:r>
          <w:r>
            <w:instrText xml:space="preserve"> HYPERLINK \l "_Toc196731126" </w:instrText>
          </w:r>
          <w:r>
            <w:fldChar w:fldCharType="separate"/>
          </w:r>
          <w:r>
            <w:rPr>
              <w:rStyle w:val="19"/>
            </w:rPr>
            <w:t>Ethical Consideration</w:t>
          </w:r>
          <w:r>
            <w:tab/>
          </w:r>
          <w:r>
            <w:fldChar w:fldCharType="begin"/>
          </w:r>
          <w:r>
            <w:instrText xml:space="preserve"> PAGEREF _Toc196731126 \h </w:instrText>
          </w:r>
          <w:r>
            <w:fldChar w:fldCharType="separate"/>
          </w:r>
          <w:r>
            <w:t>19</w:t>
          </w:r>
          <w:r>
            <w:fldChar w:fldCharType="end"/>
          </w:r>
          <w:r>
            <w:fldChar w:fldCharType="end"/>
          </w:r>
        </w:p>
        <w:p w14:paraId="3A25AA76">
          <w:pPr>
            <w:pStyle w:val="25"/>
            <w:tabs>
              <w:tab w:val="right" w:leader="dot" w:pos="9016"/>
            </w:tabs>
            <w:rPr>
              <w:rFonts w:asciiTheme="minorHAnsi" w:hAnsiTheme="minorHAnsi" w:eastAsiaTheme="minorEastAsia"/>
              <w:lang w:val="en-GB" w:eastAsia="en-GB"/>
            </w:rPr>
          </w:pPr>
          <w:r>
            <w:fldChar w:fldCharType="begin"/>
          </w:r>
          <w:r>
            <w:instrText xml:space="preserve"> HYPERLINK \l "_Toc196731127" </w:instrText>
          </w:r>
          <w:r>
            <w:fldChar w:fldCharType="separate"/>
          </w:r>
          <w:r>
            <w:rPr>
              <w:rStyle w:val="19"/>
            </w:rPr>
            <w:t>References</w:t>
          </w:r>
          <w:r>
            <w:tab/>
          </w:r>
          <w:r>
            <w:fldChar w:fldCharType="begin"/>
          </w:r>
          <w:r>
            <w:instrText xml:space="preserve"> PAGEREF _Toc196731127 \h </w:instrText>
          </w:r>
          <w:r>
            <w:fldChar w:fldCharType="separate"/>
          </w:r>
          <w:r>
            <w:t>21</w:t>
          </w:r>
          <w:r>
            <w:fldChar w:fldCharType="end"/>
          </w:r>
          <w:r>
            <w:fldChar w:fldCharType="end"/>
          </w:r>
        </w:p>
        <w:p w14:paraId="29EF0AB8">
          <w:pPr>
            <w:spacing w:after="80"/>
          </w:pPr>
          <w:r>
            <w:rPr>
              <w:b/>
              <w:bCs/>
            </w:rPr>
            <w:fldChar w:fldCharType="end"/>
          </w:r>
        </w:p>
      </w:sdtContent>
    </w:sdt>
    <w:p w14:paraId="742E8C91">
      <w:pPr>
        <w:spacing w:after="80" w:line="240" w:lineRule="auto"/>
        <w:jc w:val="left"/>
        <w:rPr>
          <w:rFonts w:eastAsiaTheme="majorEastAsia" w:cstheme="majorBidi"/>
          <w:b/>
          <w:color w:val="000000" w:themeColor="text1"/>
          <w:sz w:val="32"/>
          <w:szCs w:val="40"/>
          <w14:textFill>
            <w14:solidFill>
              <w14:schemeClr w14:val="tx1"/>
            </w14:solidFill>
          </w14:textFill>
        </w:rPr>
      </w:pPr>
      <w:r>
        <w:br w:type="page"/>
      </w:r>
    </w:p>
    <w:p w14:paraId="05A7A788">
      <w:pPr>
        <w:pStyle w:val="2"/>
      </w:pPr>
      <w:bookmarkStart w:id="1" w:name="_Toc196731119"/>
      <w:r>
        <w:t>Introduction and Rationale</w:t>
      </w:r>
      <w:bookmarkEnd w:id="1"/>
    </w:p>
    <w:p w14:paraId="7945968E"/>
    <w:p w14:paraId="0BD2CB20">
      <w:pPr>
        <w:spacing w:after="80"/>
      </w:pPr>
      <w:r>
        <w:t>Organisations transform the way they handle their people through the incorporation of Artificial Intelligence (AI) into Human Resources (HR) operations. Modern businesses face continuous pressure from the digital period which requires them to achieve operational excellence together with enhanced employee experience through technological innovation to remain competitive</w:t>
      </w:r>
      <w:r>
        <w:rPr>
          <w:shd w:val="clear" w:color="auto" w:fill="FFFFFF"/>
        </w:rPr>
        <w:t xml:space="preserve"> (George and Thomas, 2019). </w:t>
      </w:r>
      <w:r>
        <w:t xml:space="preserve"> AI functions as an influential transformative tool that transforms ordinary HR procedures, starting from recruitment through talent administration to performance measurement and evaluation.</w:t>
      </w:r>
    </w:p>
    <w:p w14:paraId="30C73F60">
      <w:pPr>
        <w:spacing w:after="80"/>
      </w:pPr>
      <w:r>
        <w:t>The UK automobile sector requires immediate digital transformation at the current stage. Changes in customer requirements, worldwide market competition, electric vehicle transformation, and sustainable mobility developments affect this sector. The market response includes two major developments where companies invest in intelligent manufacturing systems and rethink their strategies for human capital management. Through AI, companies gain the power to make their operations more efficient while achieving more precise decision planning and developing flexible workforce systems. When used as an aid in HR operations, AI eliminates repetitive workloads while simultaneously supplying data-based information to help professionals concentrate on employee development and strategic planning</w:t>
      </w:r>
      <w:r>
        <w:rPr>
          <w:shd w:val="clear" w:color="auto" w:fill="FFFFFF"/>
        </w:rPr>
        <w:t xml:space="preserve"> (Saeed et al., 2025).</w:t>
      </w:r>
    </w:p>
    <w:p w14:paraId="66D71AEB">
      <w:pPr>
        <w:spacing w:after="80"/>
      </w:pPr>
      <w:r>
        <w:t>The organisational changes create several important challenges for HR leadership as well as the cultural dynamics within organisations. Holders of HR leadership positions now need to handle tasks that require relationship-building while demonstrating adaptability and ethical decision-making because machines perform an increasing number of analytics and administrative duties. Leaders in HR need to handle AI-output data interpretation alongside staff support, along with guaranteeing technology serves HR objectives without harming their element. Maintaining both efficiency and empathy stands out as a primary challenge for HR executives in automotive manufacturing because this sector has always operated within strong labour traditions since it began embracing innovation (</w:t>
      </w:r>
      <w:r>
        <w:rPr>
          <w:shd w:val="clear" w:color="auto" w:fill="FFFFFF"/>
        </w:rPr>
        <w:t>Davenport et al., 2020).</w:t>
      </w:r>
    </w:p>
    <w:p w14:paraId="6530896D">
      <w:pPr>
        <w:spacing w:after="80"/>
      </w:pPr>
      <w:r>
        <w:t>Leaders need to handle HR digitalisation-related ethical problems with the necessary level of caution. Modern technology is creating critical problems because of its biased algorithms, its inability to protect employees' privacy, and its inability to maintain transparent operations</w:t>
      </w:r>
      <w:r>
        <w:rPr>
          <w:shd w:val="clear" w:color="auto" w:fill="FFFFFF"/>
        </w:rPr>
        <w:t xml:space="preserve"> (Sargiotis, 2024). </w:t>
      </w:r>
      <w:r>
        <w:t xml:space="preserve"> Workers usually express displeasure regarding AI systems that handle their performance evaluations, selection processes for promotions, and new staff (</w:t>
      </w:r>
      <w:r>
        <w:rPr>
          <w:shd w:val="clear" w:color="auto" w:fill="FFFFFF"/>
        </w:rPr>
        <w:t xml:space="preserve">Park et al., 2021, May). </w:t>
      </w:r>
      <w:r>
        <w:t>The lack of oversight in governing AI implementation within HR results in decreased trust between employees and their workplace.</w:t>
      </w:r>
    </w:p>
    <w:p w14:paraId="1215158F">
      <w:pPr>
        <w:spacing w:after="80"/>
      </w:pPr>
      <w:r>
        <w:t>As AI adoption in HR continues to expand rapidly, researchers have not thoroughly studied its future effects on leadership, organisation design and workplace environment</w:t>
      </w:r>
      <w:r>
        <w:rPr>
          <w:shd w:val="clear" w:color="auto" w:fill="FFFFFF"/>
        </w:rPr>
        <w:t xml:space="preserve"> (Vrontis et al., 2023). </w:t>
      </w:r>
      <w:r>
        <w:t xml:space="preserve"> Research needs to go past surface-level AI implementation studies by evaluating the complete impact that these systems have on human workers and work procedures, alongside leadership conduct. An investigation of AI adoption in HR benefits from studying the UK automobile sector because of its major size, combined with its technological focus and importance to the national economy (</w:t>
      </w:r>
      <w:r>
        <w:rPr>
          <w:shd w:val="clear" w:color="auto" w:fill="FFFFFF"/>
        </w:rPr>
        <w:t>Tschang and Almirall, 2021).</w:t>
      </w:r>
    </w:p>
    <w:p w14:paraId="030664E8">
      <w:pPr>
        <w:spacing w:after="80"/>
      </w:pPr>
      <w:r>
        <w:t>This study targets a comprehensive examination of both practical and ethical implications of HR AI integration through an assessment of leader changes and worker viewpoint changes</w:t>
      </w:r>
      <w:r>
        <w:rPr>
          <w:shd w:val="clear" w:color="auto" w:fill="FFFFFF"/>
        </w:rPr>
        <w:t xml:space="preserve">. </w:t>
      </w:r>
      <w:r>
        <w:t xml:space="preserve">This study aims to create better knowledge about AI support for human potential while offering essential guidance to organisations regarding responsible workplace changes in the digital era </w:t>
      </w:r>
      <w:r>
        <w:rPr>
          <w:shd w:val="clear" w:color="auto" w:fill="FFFFFF"/>
        </w:rPr>
        <w:t>(Morandini et al., 2023).</w:t>
      </w:r>
    </w:p>
    <w:p w14:paraId="25BD1002">
      <w:pPr>
        <w:spacing w:after="80" w:line="240" w:lineRule="auto"/>
        <w:jc w:val="left"/>
        <w:rPr>
          <w:rFonts w:eastAsiaTheme="majorEastAsia" w:cstheme="majorBidi"/>
          <w:b/>
          <w:color w:val="000000" w:themeColor="text1"/>
          <w:sz w:val="32"/>
          <w:szCs w:val="40"/>
          <w14:textFill>
            <w14:solidFill>
              <w14:schemeClr w14:val="tx1"/>
            </w14:solidFill>
          </w14:textFill>
        </w:rPr>
      </w:pPr>
    </w:p>
    <w:p w14:paraId="2759C072">
      <w:pPr>
        <w:pStyle w:val="2"/>
      </w:pPr>
      <w:bookmarkStart w:id="2" w:name="_Toc196731120"/>
      <w:r>
        <w:t>Research Aim, Objectives and Questions</w:t>
      </w:r>
      <w:bookmarkEnd w:id="2"/>
    </w:p>
    <w:p w14:paraId="393896AE">
      <w:pPr>
        <w:spacing w:after="80"/>
        <w:rPr>
          <w:b/>
          <w:bCs/>
        </w:rPr>
      </w:pPr>
      <w:r>
        <w:rPr>
          <w:b/>
          <w:bCs/>
        </w:rPr>
        <w:t>Research Aim</w:t>
      </w:r>
    </w:p>
    <w:p w14:paraId="4AF963B5">
      <w:pPr>
        <w:spacing w:after="80"/>
      </w:pPr>
      <w:r>
        <w:t>This research aims to examine how Artificial Intelligence technology modifies Human Resource practices and leadership in the UK automobile industry during digital transformation.</w:t>
      </w:r>
    </w:p>
    <w:p w14:paraId="5C72F011">
      <w:pPr>
        <w:spacing w:after="80"/>
      </w:pPr>
      <w:r>
        <w:t>The research investigates AI application integration into human resource procedures and their impact on management responsibilities and decision systems, and the emergence of AI-related ethical limits and organisational hurdles</w:t>
      </w:r>
      <w:r>
        <w:rPr>
          <w:shd w:val="clear" w:color="auto" w:fill="FFFFFF"/>
        </w:rPr>
        <w:t xml:space="preserve"> (Oosthuizen, 2019). </w:t>
      </w:r>
      <w:r>
        <w:t xml:space="preserve"> This investigation focuses on UK automotive organisations to deliver evidence which promotes proper AI management in HR applications.</w:t>
      </w:r>
    </w:p>
    <w:p w14:paraId="4070A9CC">
      <w:pPr>
        <w:spacing w:after="80"/>
        <w:rPr>
          <w:b/>
          <w:bCs/>
        </w:rPr>
      </w:pPr>
      <w:r>
        <w:rPr>
          <w:b/>
          <w:bCs/>
        </w:rPr>
        <w:t>Research Objectives</w:t>
      </w:r>
    </w:p>
    <w:p w14:paraId="3D2EC6FC">
      <w:pPr>
        <w:pStyle w:val="39"/>
        <w:numPr>
          <w:ilvl w:val="0"/>
          <w:numId w:val="1"/>
        </w:numPr>
        <w:spacing w:after="80"/>
      </w:pPr>
      <w:r>
        <w:t>To understand the present utilisation of AI technologies throughout HR operations in the UK automotive industry sector.</w:t>
      </w:r>
    </w:p>
    <w:p w14:paraId="46947D26">
      <w:pPr>
        <w:pStyle w:val="39"/>
        <w:numPr>
          <w:ilvl w:val="0"/>
          <w:numId w:val="1"/>
        </w:numPr>
        <w:spacing w:after="80"/>
      </w:pPr>
      <w:r>
        <w:t>To evaluate the impact of AI adoption on HR department leadership structures and managerial choices, as well as organisational operations (</w:t>
      </w:r>
      <w:r>
        <w:rPr>
          <w:shd w:val="clear" w:color="auto" w:fill="FFFFFF"/>
        </w:rPr>
        <w:t>Hmoud, 2021).</w:t>
      </w:r>
    </w:p>
    <w:p w14:paraId="4991FF35">
      <w:pPr>
        <w:pStyle w:val="39"/>
        <w:numPr>
          <w:ilvl w:val="0"/>
          <w:numId w:val="1"/>
        </w:numPr>
        <w:spacing w:after="80"/>
      </w:pPr>
      <w:r>
        <w:t>To assess how employees perceive and interact with human resource processes that use artificial intelligence.</w:t>
      </w:r>
    </w:p>
    <w:p w14:paraId="00F87D62">
      <w:pPr>
        <w:pStyle w:val="39"/>
        <w:numPr>
          <w:ilvl w:val="0"/>
          <w:numId w:val="1"/>
        </w:numPr>
        <w:spacing w:after="80"/>
      </w:pPr>
      <w:r>
        <w:t>To investigate the moral issues, organisational obstacles, and strategic problems that arise from the HR system implementation of AI.</w:t>
      </w:r>
    </w:p>
    <w:p w14:paraId="57EEC602">
      <w:pPr>
        <w:pStyle w:val="39"/>
        <w:numPr>
          <w:ilvl w:val="0"/>
          <w:numId w:val="1"/>
        </w:numPr>
        <w:spacing w:after="80"/>
      </w:pPr>
      <w:r>
        <w:t>To introduce methods which unite AI innovation with workforce sustainability and human-centred leadership.</w:t>
      </w:r>
    </w:p>
    <w:p w14:paraId="7E2F1769">
      <w:pPr>
        <w:spacing w:after="80"/>
        <w:rPr>
          <w:b/>
          <w:bCs/>
        </w:rPr>
      </w:pPr>
      <w:r>
        <w:rPr>
          <w:b/>
          <w:bCs/>
        </w:rPr>
        <w:t>Research Questions</w:t>
      </w:r>
    </w:p>
    <w:p w14:paraId="6FA216E5">
      <w:pPr>
        <w:pStyle w:val="39"/>
        <w:numPr>
          <w:ilvl w:val="0"/>
          <w:numId w:val="2"/>
        </w:numPr>
        <w:spacing w:after="80"/>
      </w:pPr>
      <w:r>
        <w:t>Which AI technologies do current human resources practices in the UK automobile industry utilise?</w:t>
      </w:r>
    </w:p>
    <w:p w14:paraId="385543DB">
      <w:pPr>
        <w:pStyle w:val="39"/>
        <w:numPr>
          <w:ilvl w:val="0"/>
          <w:numId w:val="2"/>
        </w:numPr>
        <w:spacing w:after="80"/>
      </w:pPr>
      <w:r>
        <w:t>AI technology affects how leaders of HR departments manage their responsibilities alongside their decision-making duties.</w:t>
      </w:r>
    </w:p>
    <w:p w14:paraId="3A18FB5B">
      <w:pPr>
        <w:pStyle w:val="39"/>
        <w:numPr>
          <w:ilvl w:val="0"/>
          <w:numId w:val="2"/>
        </w:numPr>
        <w:spacing w:after="80"/>
      </w:pPr>
      <w:r>
        <w:t>Employees observe both advantages and disadvantages when Artificial Intelligence enters the Human Resources field.</w:t>
      </w:r>
    </w:p>
    <w:p w14:paraId="6B6FA0E1">
      <w:pPr>
        <w:pStyle w:val="39"/>
        <w:numPr>
          <w:ilvl w:val="0"/>
          <w:numId w:val="2"/>
        </w:numPr>
        <w:spacing w:after="80"/>
      </w:pPr>
      <w:r>
        <w:t>What important moral problems develop when management implements AI solutions to carry out HR tasks?</w:t>
      </w:r>
    </w:p>
    <w:p w14:paraId="0E96849C">
      <w:pPr>
        <w:spacing w:after="80"/>
      </w:pPr>
      <w:r>
        <w:t>Organisations need strategies to achieve optimal AI system efficiency and protect employee-centred HR leadership values.</w:t>
      </w:r>
    </w:p>
    <w:p w14:paraId="222E8A41">
      <w:pPr>
        <w:spacing w:after="80"/>
      </w:pPr>
    </w:p>
    <w:p w14:paraId="3F6A1928">
      <w:pPr>
        <w:spacing w:after="80"/>
      </w:pPr>
      <w:bookmarkStart w:id="3" w:name="_Toc196731121"/>
      <w:r>
        <w:rPr>
          <w:rStyle w:val="26"/>
        </w:rPr>
        <w:t>Literature Review</w:t>
      </w:r>
      <w:bookmarkEnd w:id="3"/>
      <w:r>
        <w:t xml:space="preserve"> </w:t>
      </w:r>
    </w:p>
    <w:p w14:paraId="6453EE1E">
      <w:pPr>
        <w:pStyle w:val="39"/>
        <w:numPr>
          <w:ilvl w:val="0"/>
          <w:numId w:val="3"/>
        </w:numPr>
        <w:spacing w:after="80"/>
      </w:pPr>
      <w:r>
        <w:rPr>
          <w:b/>
          <w:bCs/>
        </w:rPr>
        <w:t>The Evolution of AI in Human Resource Management</w:t>
      </w:r>
    </w:p>
    <w:p w14:paraId="02E2E5E5">
      <w:pPr>
        <w:spacing w:after="80"/>
      </w:pPr>
      <w:r>
        <w:t>Artificial Intelligence (AI) functions today as the main force behind digital transformation in Human Resource Management (HRM) by creating automated methods for recruitment systems as well as employee onboarding, performance appraisal, and workplace engagement processes</w:t>
      </w:r>
      <w:r>
        <w:rPr>
          <w:shd w:val="clear" w:color="auto" w:fill="FFFFFF"/>
        </w:rPr>
        <w:t xml:space="preserve"> (El-Ghoul et al., 2024). </w:t>
      </w:r>
      <w:r>
        <w:t>AI systems analyse extensive candidate information through analytics and use video interview results and historical employee data to make talent assessment predictions</w:t>
      </w:r>
      <w:r>
        <w:rPr>
          <w:shd w:val="clear" w:color="auto" w:fill="FFFFFF"/>
        </w:rPr>
        <w:t xml:space="preserve"> (Qin et al., 2023). </w:t>
      </w:r>
      <w:r>
        <w:t>AI shows tremendous value in HR operations because it processes non-structured data efficiently, which delivers both speed and precision.</w:t>
      </w:r>
    </w:p>
    <w:p w14:paraId="559A325F">
      <w:pPr>
        <w:spacing w:after="80"/>
        <w:rPr>
          <w:shd w:val="clear" w:color="auto" w:fill="FFFFFF"/>
        </w:rPr>
      </w:pPr>
      <w:r>
        <w:t>Technical AI capabilities have become apparent, yet organisations must thoroughly explore strategic concepts about AI for HR applications. The transition of HR from a basic operational unit towards an organisational strategic partner has occurred because AI requires professionals to extract data-based insights and design talent models while ensuring workforce plans support business targets (</w:t>
      </w:r>
      <w:r>
        <w:rPr>
          <w:shd w:val="clear" w:color="auto" w:fill="FFFFFF"/>
        </w:rPr>
        <w:t>Jarrahi, 2018).</w:t>
      </w:r>
    </w:p>
    <w:p w14:paraId="0869CB8D">
      <w:pPr>
        <w:spacing w:after="80"/>
      </w:pPr>
    </w:p>
    <w:p w14:paraId="178B387D">
      <w:pPr>
        <w:pStyle w:val="39"/>
        <w:numPr>
          <w:ilvl w:val="0"/>
          <w:numId w:val="3"/>
        </w:numPr>
        <w:spacing w:after="80"/>
        <w:rPr>
          <w:b/>
          <w:bCs/>
        </w:rPr>
      </w:pPr>
      <w:r>
        <w:rPr>
          <w:b/>
          <w:bCs/>
        </w:rPr>
        <w:t>Leadership Transformation and Decision-Making</w:t>
      </w:r>
    </w:p>
    <w:p w14:paraId="5302D2F3">
      <w:pPr>
        <w:spacing w:after="80"/>
      </w:pPr>
      <w:r>
        <w:t>The adoption of artificial intelligence technologies shapes both human resource management practices as well as technical leadership abilities needed to lead workforce operations in technological environments. Current leadership demands that professionals bridge genuine emotional abilities with deep technological knowledge</w:t>
      </w:r>
      <w:r>
        <w:rPr>
          <w:shd w:val="clear" w:color="auto" w:fill="FFFFFF"/>
        </w:rPr>
        <w:t xml:space="preserve"> (Kessi et al., 2025). </w:t>
      </w:r>
      <w:r>
        <w:t xml:space="preserve"> Universal Artificial Intelligence provides critical information, yet human leaders must maintain accountability for interpretation, together with ethical implementation of discovered knowledge. The ability of AI to boost decision-making quality does not diminish the crucial role of leadership which ensures data transformation into action designed for human needs (</w:t>
      </w:r>
      <w:r>
        <w:rPr>
          <w:shd w:val="clear" w:color="auto" w:fill="FFFFFF"/>
        </w:rPr>
        <w:t>Wang, 2021).</w:t>
      </w:r>
    </w:p>
    <w:p w14:paraId="41B611B8">
      <w:pPr>
        <w:spacing w:after="80"/>
      </w:pPr>
      <w:r>
        <w:t>The leadership function needs evolution to provide oversight of systems which evaluate employees for hiring and productivity assessment. AI-related changes need leaders who will establish reliability with AI systems while sustaining transparency throughout and guaranteeing equal treatment, specifically for tasks requiring sensitive attention to performance evaluation or disciplinary procedures.</w:t>
      </w:r>
    </w:p>
    <w:p w14:paraId="76F5D1BA">
      <w:pPr>
        <w:spacing w:after="80"/>
      </w:pPr>
    </w:p>
    <w:p w14:paraId="3C7DE480">
      <w:pPr>
        <w:pStyle w:val="39"/>
        <w:numPr>
          <w:ilvl w:val="0"/>
          <w:numId w:val="3"/>
        </w:numPr>
        <w:spacing w:after="80"/>
        <w:rPr>
          <w:b/>
          <w:bCs/>
        </w:rPr>
      </w:pPr>
      <w:r>
        <w:rPr>
          <w:b/>
          <w:bCs/>
        </w:rPr>
        <w:t>Applications of AI in Recruitment and Talent Management</w:t>
      </w:r>
    </w:p>
    <w:p w14:paraId="44B3E6AE">
      <w:pPr>
        <w:spacing w:after="80"/>
      </w:pPr>
      <w:r>
        <w:t>Organisations widely research AI applications for recruitment purposes because this field stands out as one of its most transformative areas. Thousands of applications are scanned within minutes by AI algorithms, which eliminates manual work and possibly decreases human bias. Modern recruitment software, consisting of resume parsers along with automated scheduling systems and virtual interview bots, is widely adopted by large organisations (</w:t>
      </w:r>
      <w:r>
        <w:rPr>
          <w:shd w:val="clear" w:color="auto" w:fill="FFFFFF"/>
        </w:rPr>
        <w:t>Ahmad et al., 2024, June).</w:t>
      </w:r>
    </w:p>
    <w:p w14:paraId="44A5756E">
      <w:pPr>
        <w:spacing w:after="80"/>
      </w:pPr>
      <w:r>
        <w:t>The improper evaluation and training of AI tools with insufficient diverse datasets allow biases to either strengthen or duplicate existing ones (</w:t>
      </w:r>
      <w:r>
        <w:rPr>
          <w:shd w:val="clear" w:color="auto" w:fill="FFFFFF"/>
        </w:rPr>
        <w:t>Daneshjou et al., 2021).</w:t>
      </w:r>
      <w:r>
        <w:t xml:space="preserve"> When AI systems use past hiring information during training, they tend to show a preference for specific demographic groups, which reduces organisation-wide diversity goals. The benefits of AI-based recruitment systems exist alongside severe concerns that derive from their impact on transparency and fairness in recruitment processes.</w:t>
      </w:r>
    </w:p>
    <w:p w14:paraId="1A96DD19">
      <w:pPr>
        <w:spacing w:after="80"/>
      </w:pPr>
      <w:r>
        <w:t>Talent management benefits from AI deployment, which enables the prediction of employee performance and helps identify personal training needs, as well as adjusts learning experiences. HR managers can take preventative action toward both engaged staff and high-potential workers through a predictive analytics system</w:t>
      </w:r>
      <w:r>
        <w:rPr>
          <w:shd w:val="clear" w:color="auto" w:fill="FFFFFF"/>
        </w:rPr>
        <w:t xml:space="preserve"> (Natarajan et al., 2024). </w:t>
      </w:r>
      <w:r>
        <w:t xml:space="preserve"> The utilisation of these tools requires careful implementation to stop micromanagement and staff surveillance suspicions.</w:t>
      </w:r>
    </w:p>
    <w:p w14:paraId="5BF2B3AC">
      <w:pPr>
        <w:spacing w:after="80"/>
      </w:pPr>
    </w:p>
    <w:p w14:paraId="28ACBD48">
      <w:pPr>
        <w:pStyle w:val="39"/>
        <w:numPr>
          <w:ilvl w:val="0"/>
          <w:numId w:val="3"/>
        </w:numPr>
        <w:spacing w:after="80"/>
        <w:rPr>
          <w:b/>
          <w:bCs/>
        </w:rPr>
      </w:pPr>
      <w:r>
        <w:rPr>
          <w:b/>
          <w:bCs/>
        </w:rPr>
        <w:t>Employee Perception and Organisational Trust</w:t>
      </w:r>
    </w:p>
    <w:p w14:paraId="05E64BA7">
      <w:pPr>
        <w:spacing w:after="80"/>
      </w:pPr>
      <w:r>
        <w:t>AI adoption within HR attains success based on employee-related perceptions of the implemented technology. Methods that employees view as either unfair or invasive will break down workplace trust and lower their cooperation with the organisation. Transparency with honest approaches in implementation leads to increased employee belief in the organisational systems (</w:t>
      </w:r>
      <w:r>
        <w:rPr>
          <w:shd w:val="clear" w:color="auto" w:fill="FFFFFF"/>
        </w:rPr>
        <w:t>Al Balushi, 2021).</w:t>
      </w:r>
    </w:p>
    <w:p w14:paraId="6EF0E6A2">
      <w:pPr>
        <w:spacing w:after="80"/>
      </w:pPr>
      <w:r>
        <w:t>Employees become more open to accepting AI if they grasp the decision-making processes and if there exists human supervision (</w:t>
      </w:r>
      <w:r>
        <w:rPr>
          <w:shd w:val="clear" w:color="auto" w:fill="FFFFFF"/>
        </w:rPr>
        <w:t>Jarrahi, 2018).</w:t>
      </w:r>
      <w:r>
        <w:t xml:space="preserve"> Using AI only as a recommendation source instead of an automated decision-making platform for performance assessments generates improved staff reception rates and lessens their stress.</w:t>
      </w:r>
    </w:p>
    <w:p w14:paraId="225478C8">
      <w:pPr>
        <w:spacing w:after="80"/>
      </w:pPr>
    </w:p>
    <w:p w14:paraId="2ACCD20F">
      <w:pPr>
        <w:pStyle w:val="39"/>
        <w:numPr>
          <w:ilvl w:val="0"/>
          <w:numId w:val="3"/>
        </w:numPr>
        <w:spacing w:after="80"/>
        <w:rPr>
          <w:b/>
          <w:bCs/>
        </w:rPr>
      </w:pPr>
      <w:r>
        <w:rPr>
          <w:b/>
          <w:bCs/>
        </w:rPr>
        <w:t>Ethical and Legal Considerations</w:t>
      </w:r>
    </w:p>
    <w:p w14:paraId="0EA35102">
      <w:pPr>
        <w:spacing w:after="80"/>
      </w:pPr>
      <w:r>
        <w:t>People voice strong ethical objections to AI systems used in HR administration. The main dangers arising from AI decision-making stem from algorithmic bias combinations with privacy issues, along with unexplained decisions and insufficient accountability (</w:t>
      </w:r>
      <w:r>
        <w:rPr>
          <w:shd w:val="clear" w:color="auto" w:fill="FFFFFF"/>
        </w:rPr>
        <w:t>Kubanek and Szymoniak, 2024).</w:t>
      </w:r>
    </w:p>
    <w:p w14:paraId="2A677F1D">
      <w:pPr>
        <w:spacing w:after="80"/>
      </w:pPr>
      <w:r>
        <w:t>AI systems that generate termination recommendations using performance data create problems when the system does not explain its decision-making process, which makes it challenging to defend or dispute the recommendation.</w:t>
      </w:r>
    </w:p>
    <w:p w14:paraId="5F8436A7">
      <w:pPr>
        <w:spacing w:after="80"/>
      </w:pPr>
      <w:r>
        <w:t>Privacy problems develop when organisations implement AI systems that monitor emails as well as analyse interviewee’ facial expressions and record their keystroke actions. The implementation of such workplace monitoring practices creates concerns about ownership rights of the collected data, together with employee consent standards and acceptable workplace surveillance boundaries (</w:t>
      </w:r>
      <w:r>
        <w:rPr>
          <w:shd w:val="clear" w:color="auto" w:fill="FFFFFF"/>
        </w:rPr>
        <w:t>Ball, 2021).</w:t>
      </w:r>
    </w:p>
    <w:p w14:paraId="6E318A91">
      <w:pPr>
        <w:spacing w:after="80"/>
      </w:pPr>
      <w:r>
        <w:t>AI implementation in HR must follow data protection laws with a particular focus on the General Data Protection Regulation (GDPR), which governs UK operations</w:t>
      </w:r>
      <w:r>
        <w:rPr>
          <w:shd w:val="clear" w:color="auto" w:fill="FFFFFF"/>
        </w:rPr>
        <w:t xml:space="preserve"> (Addis and Kutar, 2020, March). </w:t>
      </w:r>
      <w:r>
        <w:t xml:space="preserve"> Organisations must guarantee that AI system data processing adheres to legal standards while remaining transparent about operations with reduced data boundaries.</w:t>
      </w:r>
    </w:p>
    <w:p w14:paraId="7D9DDE13">
      <w:pPr>
        <w:pStyle w:val="39"/>
        <w:numPr>
          <w:ilvl w:val="0"/>
          <w:numId w:val="3"/>
        </w:numPr>
        <w:spacing w:after="80"/>
        <w:rPr>
          <w:b/>
          <w:bCs/>
        </w:rPr>
      </w:pPr>
      <w:r>
        <w:rPr>
          <w:b/>
          <w:bCs/>
        </w:rPr>
        <w:t>AI in the UK Automobile Sector</w:t>
      </w:r>
    </w:p>
    <w:p w14:paraId="2AECE1B6">
      <w:pPr>
        <w:spacing w:after="80"/>
      </w:pPr>
      <w:r>
        <w:t>The changing landscape of the UK automobile market includes rapid developments regarding electric vehicles and automation systems, which simultaneously transform consumer needs</w:t>
      </w:r>
      <w:r>
        <w:rPr>
          <w:shd w:val="clear" w:color="auto" w:fill="FFFFFF"/>
        </w:rPr>
        <w:t xml:space="preserve"> (Vazquez, Hallack, and Perez, 2018). </w:t>
      </w:r>
      <w:r>
        <w:rPr>
          <w:rFonts w:ascii="-webkit-standard" w:hAnsi="-webkit-standard"/>
          <w:color w:val="000000"/>
          <w:sz w:val="27"/>
          <w:szCs w:val="27"/>
        </w:rPr>
        <w:t xml:space="preserve"> </w:t>
      </w:r>
      <w:r>
        <w:t xml:space="preserve">Automation is presently applied on a large scale to manufacturing operations, and there is a trend towards the implementation of AI systems to HR back-office functions for optimising operational efficiency and data management. </w:t>
      </w:r>
    </w:p>
    <w:p w14:paraId="2C4B60E7">
      <w:pPr>
        <w:spacing w:after="80"/>
      </w:pPr>
      <w:r>
        <w:t>The automotive companies Jaguar Land Rover, along with Nissan UK, test artificial intelligence applications throughout their manufacturing departments and their human resources systems. The study implements qualitative case studies through semi-structured interviews to analyse the influence of AI technology on Human Resources practices in UK automobile companies (</w:t>
      </w:r>
      <w:r>
        <w:rPr>
          <w:shd w:val="clear" w:color="auto" w:fill="FFFFFF"/>
        </w:rPr>
        <w:t>Khawar et al., 2024)</w:t>
      </w:r>
      <w:r>
        <w:t xml:space="preserve"> Through case study methodology, researchers gain deep knowledge about actual organisational settings since these designs help them analyse intricate connections among artificial intelligence systems and employee encounters and Human Resources leadership. Research focuses on two to three automobile companies that utilise AI-driven HR solutions to address the specific features of technology acceptance, as well as ethical matters and leadership advancement (</w:t>
      </w:r>
      <w:r>
        <w:rPr>
          <w:shd w:val="clear" w:color="auto" w:fill="FFFFFF"/>
        </w:rPr>
        <w:t>Patil, 2024).</w:t>
      </w:r>
      <w:r>
        <w:t xml:space="preserve">  Semi-structured conversations with members of human resources management and team leaders, along with staff employees, will deliver comprehensive context-dependent findings through an adaptable approach that keeps the research focus intact. The chosen research method proves efficient for studying new phenomena, while traditional theory presents constraints because organisational environments directly impact such research (</w:t>
      </w:r>
      <w:r>
        <w:rPr>
          <w:shd w:val="clear" w:color="auto" w:fill="FFFFFF"/>
        </w:rPr>
        <w:t>Nyathani, 2023).</w:t>
      </w:r>
    </w:p>
    <w:p w14:paraId="5B53A100">
      <w:pPr>
        <w:spacing w:after="80"/>
      </w:pPr>
      <w:r>
        <w:t>The academic body of literature provides insufficient explanation about the effects of these technologies on automotive sector organisational leadership, alongside employee behaviours and cultural elements. Research lacks empirical evidence about how HR professionals in this field understand and react to ethical obstacles created by AI technology.</w:t>
      </w:r>
    </w:p>
    <w:p w14:paraId="0A8A1E4A">
      <w:pPr>
        <w:spacing w:after="80"/>
      </w:pPr>
    </w:p>
    <w:p w14:paraId="32545963">
      <w:pPr>
        <w:pStyle w:val="39"/>
        <w:numPr>
          <w:ilvl w:val="0"/>
          <w:numId w:val="3"/>
        </w:numPr>
        <w:spacing w:after="80"/>
        <w:rPr>
          <w:b/>
          <w:bCs/>
        </w:rPr>
      </w:pPr>
      <w:r>
        <w:rPr>
          <w:b/>
          <w:bCs/>
        </w:rPr>
        <w:t>Theoretical Frameworks</w:t>
      </w:r>
    </w:p>
    <w:p w14:paraId="68F60361">
      <w:pPr>
        <w:spacing w:after="80"/>
      </w:pPr>
      <w:r>
        <w:t>The research bases its discussion on multiple suitable theoretical frameworks, which provide structure to fields of study.</w:t>
      </w:r>
    </w:p>
    <w:p w14:paraId="40EC86F7">
      <w:pPr>
        <w:spacing w:after="80"/>
      </w:pPr>
      <w:r>
        <w:t>The Technology Acceptance Model demonstrates user processes of embracing new technology for use. The investigation will shed light on how HR professionals rate the usefulness combined with the ease of operating AI systems (</w:t>
      </w:r>
      <w:r>
        <w:rPr>
          <w:shd w:val="clear" w:color="auto" w:fill="FFFFFF"/>
        </w:rPr>
        <w:t>Khan, Khan, and Aslam, 2024).</w:t>
      </w:r>
    </w:p>
    <w:p w14:paraId="4D028CB1">
      <w:pPr>
        <w:spacing w:after="80"/>
      </w:pPr>
      <w:r>
        <w:t>Socio-Tech Systems Theory focuses on demonstrating the relationships which form between organisational users and technological systems</w:t>
      </w:r>
      <w:r>
        <w:rPr>
          <w:shd w:val="clear" w:color="auto" w:fill="FFFFFF"/>
        </w:rPr>
        <w:t xml:space="preserve"> (Leitão, Amaral, and Carvalho, 2024). </w:t>
      </w:r>
      <w:r>
        <w:t>The study helps identify the fundamental organisational modifications which result from AI in both HR operations as well as leadership responsibilities.</w:t>
      </w:r>
    </w:p>
    <w:p w14:paraId="75DC4FC5">
      <w:pPr>
        <w:spacing w:after="80"/>
        <w:rPr>
          <w:shd w:val="clear" w:color="auto" w:fill="FFFFFF"/>
        </w:rPr>
      </w:pPr>
      <w:r>
        <w:t>Enticing Conflict Models for Ethical Decision-Making provides solutions to assess how HR leadership handles fairness as well as privacy-related and transparency-focused dilemmas during AI implementation (</w:t>
      </w:r>
      <w:r>
        <w:rPr>
          <w:shd w:val="clear" w:color="auto" w:fill="FFFFFF"/>
        </w:rPr>
        <w:t>Wang, 2021).</w:t>
      </w:r>
    </w:p>
    <w:p w14:paraId="1913A4F6">
      <w:pPr>
        <w:spacing w:after="80"/>
      </w:pPr>
    </w:p>
    <w:p w14:paraId="1FED20DE">
      <w:pPr>
        <w:pStyle w:val="39"/>
        <w:numPr>
          <w:ilvl w:val="0"/>
          <w:numId w:val="3"/>
        </w:numPr>
        <w:spacing w:after="80"/>
        <w:rPr>
          <w:b/>
          <w:bCs/>
        </w:rPr>
      </w:pPr>
      <w:r>
        <w:rPr>
          <w:b/>
          <w:bCs/>
        </w:rPr>
        <w:t>Research Needs</w:t>
      </w:r>
    </w:p>
    <w:p w14:paraId="6712B87E">
      <w:pPr>
        <w:spacing w:after="80"/>
      </w:pPr>
      <w:r>
        <w:t>AI applications in human resource management have attracted growing attention, but most research either presents theoretical concepts or concentrates on major technology groups</w:t>
      </w:r>
      <w:r>
        <w:rPr>
          <w:shd w:val="clear" w:color="auto" w:fill="FFFFFF"/>
        </w:rPr>
        <w:t xml:space="preserve"> (Kim, Wang, and Boon, 2021). </w:t>
      </w:r>
      <w:r>
        <w:t xml:space="preserve"> Little research exists about the practical utilisation of AI within traditional business sectors, particularly automotive manufacturing. Such settings provide minimal evidence about how professionals in HR departments handle AI systems, their experiences with AI implementation, and employee reactions to these changes.</w:t>
      </w:r>
    </w:p>
    <w:p w14:paraId="543C9D6D">
      <w:pPr>
        <w:spacing w:after="80"/>
      </w:pPr>
      <w:r>
        <w:t>Academic research lacks evidence-based investigation to establish how AI efficiency interacts with ethical leadership. The research aims to fill this existing knowledge gap through an investigation of AI practice and ethical elements in human resource management within UK automotive organisations (</w:t>
      </w:r>
      <w:r>
        <w:rPr>
          <w:shd w:val="clear" w:color="auto" w:fill="FFFFFF"/>
        </w:rPr>
        <w:t>Vrontis et al., 2023).</w:t>
      </w:r>
    </w:p>
    <w:p w14:paraId="34704EC4">
      <w:pPr>
        <w:pStyle w:val="2"/>
        <w:rPr>
          <w:rStyle w:val="21"/>
          <w:b/>
          <w:bCs w:val="0"/>
        </w:rPr>
      </w:pPr>
      <w:bookmarkStart w:id="4" w:name="_Toc196731122"/>
      <w:r>
        <w:rPr>
          <w:rStyle w:val="21"/>
          <w:b/>
          <w:bCs w:val="0"/>
        </w:rPr>
        <w:t>Methodology</w:t>
      </w:r>
      <w:bookmarkEnd w:id="4"/>
    </w:p>
    <w:p w14:paraId="538A8BD2">
      <w:pPr>
        <w:pStyle w:val="39"/>
        <w:numPr>
          <w:ilvl w:val="0"/>
          <w:numId w:val="4"/>
        </w:numPr>
        <w:spacing w:after="80"/>
        <w:rPr>
          <w:b/>
          <w:bCs/>
        </w:rPr>
      </w:pPr>
      <w:r>
        <w:rPr>
          <w:b/>
          <w:bCs/>
        </w:rPr>
        <w:t>Research Philosophy</w:t>
      </w:r>
    </w:p>
    <w:p w14:paraId="0522D03C">
      <w:pPr>
        <w:spacing w:after="80"/>
      </w:pPr>
      <w:r>
        <w:t>The pragmatic research philosophy serves this study well because it allows the examination of the complex system involving AI integration in Human Resources. Under pragmatism, researchers understand that quantitative objective and qualitative subjective data provide essential knowledge based on their research objectives and study environment</w:t>
      </w:r>
      <w:r>
        <w:rPr>
          <w:shd w:val="clear" w:color="auto" w:fill="FFFFFF"/>
        </w:rPr>
        <w:t xml:space="preserve"> (Maarouf, 2019). </w:t>
      </w:r>
      <w:r>
        <w:t xml:space="preserve"> The selected research methods receive support from pragmatic philosophy because it emphasises best practices to address research questions. This investigation studies perceptions alongside experiences as well as implications because it avoids hypothesis testing and outcome predictions</w:t>
      </w:r>
      <w:r>
        <w:rPr>
          <w:shd w:val="clear" w:color="auto" w:fill="FFFFFF"/>
        </w:rPr>
        <w:t xml:space="preserve"> (Bergmann, 2023). </w:t>
      </w:r>
      <w:r>
        <w:t>Understanding how the UK automobile sector applies and reacts to AI technologies in human resource management takes priority over this research.</w:t>
      </w:r>
    </w:p>
    <w:p w14:paraId="244C2250">
      <w:pPr>
        <w:spacing w:after="80"/>
      </w:pPr>
    </w:p>
    <w:p w14:paraId="239B3237">
      <w:pPr>
        <w:pStyle w:val="39"/>
        <w:numPr>
          <w:ilvl w:val="0"/>
          <w:numId w:val="4"/>
        </w:numPr>
        <w:spacing w:after="80"/>
        <w:rPr>
          <w:b/>
          <w:bCs/>
        </w:rPr>
      </w:pPr>
      <w:r>
        <w:rPr>
          <w:b/>
          <w:bCs/>
        </w:rPr>
        <w:t>Research Approach and Strategy</w:t>
      </w:r>
    </w:p>
    <w:p w14:paraId="13E22619">
      <w:pPr>
        <w:spacing w:after="80"/>
      </w:pPr>
      <w:r>
        <w:t>The research adopts qualitative methods because such techniques suit exploratory investigations. The lack of empirical evidence surrounding this topic in both the field and the automotive sector makes qualitative research optimal for obtaining detailed information about how artificial intelligence impacts human resource practices, leadership dynamics, and ethical considerations (</w:t>
      </w:r>
      <w:r>
        <w:rPr>
          <w:shd w:val="clear" w:color="auto" w:fill="FFFFFF"/>
        </w:rPr>
        <w:t>Basias and Pollalis, 2018).</w:t>
      </w:r>
    </w:p>
    <w:p w14:paraId="65DC56CF">
      <w:pPr>
        <w:spacing w:after="80"/>
      </w:pPr>
      <w:r>
        <w:t>The research study design utilises multiple case studies, aiming to assess UK automobile firms which use AI systems to develop their HR functions</w:t>
      </w:r>
      <w:r>
        <w:rPr>
          <w:shd w:val="clear" w:color="auto" w:fill="FFFFFF"/>
        </w:rPr>
        <w:t xml:space="preserve"> (Raut et al., 2020). </w:t>
      </w:r>
      <w:r>
        <w:t>The selected research approach uses case studies because these methods let researchers analyse intricate issues while studying genuine settings, thus permitting examination of AI-HR integration at both process and cultural levels.</w:t>
      </w:r>
    </w:p>
    <w:p w14:paraId="30118232">
      <w:pPr>
        <w:spacing w:after="80"/>
      </w:pPr>
    </w:p>
    <w:p w14:paraId="50FB3936">
      <w:pPr>
        <w:pStyle w:val="39"/>
        <w:numPr>
          <w:ilvl w:val="0"/>
          <w:numId w:val="4"/>
        </w:numPr>
        <w:spacing w:after="80"/>
        <w:rPr>
          <w:b/>
          <w:bCs/>
        </w:rPr>
      </w:pPr>
      <w:r>
        <w:rPr>
          <w:b/>
          <w:bCs/>
        </w:rPr>
        <w:t>Data Collection Methods</w:t>
      </w:r>
    </w:p>
    <w:p w14:paraId="50CEA9AD">
      <w:pPr>
        <w:spacing w:after="80"/>
      </w:pPr>
      <w:r>
        <w:t>Acquiring data will primarily involve conducting semi-structured interviews as the main step. The method works well for collecting deep qualitative information through standardised or adapted interview techniques that offer flexibility during response examinations. Semi-structured interviews make the best use of personal experiences while exploring technological transformation and leadership by providing participants space to share their insights (</w:t>
      </w:r>
      <w:r>
        <w:rPr>
          <w:shd w:val="clear" w:color="auto" w:fill="FFFFFF"/>
        </w:rPr>
        <w:t>Mazhar et al., (2021).</w:t>
      </w:r>
    </w:p>
    <w:p w14:paraId="2350429E">
      <w:pPr>
        <w:spacing w:after="80"/>
      </w:pPr>
      <w:r>
        <w:t>The researcher will interview professionals from the HR department alongside departmental leaders and mid-level staff from selected UK automobile enterprises. The research requires participants who either initiate or monitor AI-based operations in human resources management due to their best knowledge of these practices. The interviews will take between 45 to 60 minutes to complete, either by in-person meeting or video communication according to participant reachability and organisational requirements (</w:t>
      </w:r>
      <w:r>
        <w:rPr>
          <w:shd w:val="clear" w:color="auto" w:fill="FFFFFF"/>
        </w:rPr>
        <w:t>Sukmawati, 2023).</w:t>
      </w:r>
    </w:p>
    <w:p w14:paraId="59186909">
      <w:pPr>
        <w:spacing w:after="80"/>
      </w:pPr>
      <w:r>
        <w:t>The prepared interview guide contains pre-developed questions which explore the following main topics:</w:t>
      </w:r>
    </w:p>
    <w:p w14:paraId="18825C9B">
      <w:pPr>
        <w:pStyle w:val="39"/>
        <w:numPr>
          <w:ilvl w:val="0"/>
          <w:numId w:val="5"/>
        </w:numPr>
        <w:spacing w:after="80"/>
      </w:pPr>
      <w:r>
        <w:t>The role of AI in current HR practices</w:t>
      </w:r>
    </w:p>
    <w:p w14:paraId="5C277415">
      <w:pPr>
        <w:pStyle w:val="39"/>
        <w:numPr>
          <w:ilvl w:val="0"/>
          <w:numId w:val="5"/>
        </w:numPr>
        <w:spacing w:after="80"/>
      </w:pPr>
      <w:r>
        <w:t>Organisations perceive multiple advantages and obstacles ahead when using Artificial Intelligence for their operations.</w:t>
      </w:r>
    </w:p>
    <w:p w14:paraId="709D384C">
      <w:pPr>
        <w:pStyle w:val="39"/>
        <w:numPr>
          <w:ilvl w:val="0"/>
          <w:numId w:val="5"/>
        </w:numPr>
        <w:spacing w:after="80"/>
      </w:pPr>
      <w:r>
        <w:t>Impact on leadership and decision-making</w:t>
      </w:r>
    </w:p>
    <w:p w14:paraId="5A85A050">
      <w:pPr>
        <w:pStyle w:val="39"/>
        <w:numPr>
          <w:ilvl w:val="0"/>
          <w:numId w:val="5"/>
        </w:numPr>
        <w:spacing w:after="80"/>
      </w:pPr>
      <w:r>
        <w:t>Employee response and engagement</w:t>
      </w:r>
    </w:p>
    <w:p w14:paraId="5363FBB2">
      <w:pPr>
        <w:pStyle w:val="39"/>
        <w:numPr>
          <w:ilvl w:val="0"/>
          <w:numId w:val="5"/>
        </w:numPr>
        <w:spacing w:after="80"/>
      </w:pPr>
      <w:r>
        <w:t>Ethical considerations and data privacy</w:t>
      </w:r>
    </w:p>
    <w:p w14:paraId="3DBBC550">
      <w:pPr>
        <w:spacing w:after="80"/>
      </w:pPr>
      <w:r>
        <w:t>The planned questions will maintain flexibility throughout the interview to accommodate newly discovered topics.</w:t>
      </w:r>
    </w:p>
    <w:p w14:paraId="1B434FB1">
      <w:pPr>
        <w:spacing w:after="80"/>
      </w:pPr>
    </w:p>
    <w:p w14:paraId="678D6C3F">
      <w:pPr>
        <w:pStyle w:val="39"/>
        <w:numPr>
          <w:ilvl w:val="0"/>
          <w:numId w:val="4"/>
        </w:numPr>
        <w:spacing w:after="80"/>
        <w:rPr>
          <w:b/>
          <w:bCs/>
        </w:rPr>
      </w:pPr>
      <w:r>
        <w:rPr>
          <w:b/>
          <w:bCs/>
        </w:rPr>
        <w:t>Sampling Strategy</w:t>
      </w:r>
    </w:p>
    <w:p w14:paraId="377E9317">
      <w:pPr>
        <w:spacing w:after="80"/>
      </w:pPr>
      <w:r>
        <w:t>The study will implement purposive sampling as a non-probability technique, which naturally works well for qualitative research. The recruitment process will seek participants who demonstrate expert knowledge as well as practical experience with human resources applications of AI technology</w:t>
      </w:r>
      <w:r>
        <w:rPr>
          <w:shd w:val="clear" w:color="auto" w:fill="FFFFFF"/>
        </w:rPr>
        <w:t xml:space="preserve"> (Islam and Aldaihani, 2022). </w:t>
      </w:r>
      <w:r>
        <w:t>This research aims for theoretical saturation instead of statistical generalisation through the process of achieving no new insights from additional interviews.</w:t>
      </w:r>
    </w:p>
    <w:p w14:paraId="0DDDA9E8">
      <w:pPr>
        <w:spacing w:after="80"/>
      </w:pPr>
      <w:r>
        <w:t>The research aims to gather interviews from 12 to 15 participants who work in 2 to 3 automobile companies</w:t>
      </w:r>
      <w:r>
        <w:rPr>
          <w:shd w:val="clear" w:color="auto" w:fill="FFFFFF"/>
        </w:rPr>
        <w:t xml:space="preserve"> (Heide-Jørgensen et al., 2018). </w:t>
      </w:r>
      <w:r>
        <w:t xml:space="preserve"> This quantity of participants matches thematic saturation requirements in qualitative research and enables evaluation between different organisations.</w:t>
      </w:r>
    </w:p>
    <w:p w14:paraId="0BCBE6E0">
      <w:pPr>
        <w:spacing w:after="80"/>
      </w:pPr>
      <w:r>
        <w:t>Inclusion criteria for participants:</w:t>
      </w:r>
    </w:p>
    <w:p w14:paraId="2864DEB1">
      <w:pPr>
        <w:pStyle w:val="39"/>
        <w:numPr>
          <w:ilvl w:val="0"/>
          <w:numId w:val="6"/>
        </w:numPr>
        <w:spacing w:after="80"/>
      </w:pPr>
      <w:r>
        <w:t>The participants need to work either in the Human Resources department or management, or the digital transformation sector.</w:t>
      </w:r>
    </w:p>
    <w:p w14:paraId="40BFF26F">
      <w:pPr>
        <w:pStyle w:val="39"/>
        <w:numPr>
          <w:ilvl w:val="0"/>
          <w:numId w:val="6"/>
        </w:numPr>
        <w:spacing w:after="80"/>
      </w:pPr>
      <w:r>
        <w:t>The participant needs to work in a UK automobile manufacturing or services organisation.</w:t>
      </w:r>
    </w:p>
    <w:p w14:paraId="1EC466C4">
      <w:pPr>
        <w:pStyle w:val="39"/>
        <w:numPr>
          <w:ilvl w:val="0"/>
          <w:numId w:val="6"/>
        </w:numPr>
        <w:spacing w:after="80"/>
      </w:pPr>
      <w:r>
        <w:t>The interview candidates need to demonstrate manipulation of AI-based HR technology platforms or demonstrate a supervisory role in these platforms.</w:t>
      </w:r>
    </w:p>
    <w:p w14:paraId="6FA729E4">
      <w:pPr>
        <w:spacing w:after="80"/>
      </w:pPr>
      <w:r>
        <w:t>An effort will be undertaken to recruit members from different organisational levels, including HR executives and operational staff, to obtain diverse insights.</w:t>
      </w:r>
    </w:p>
    <w:p w14:paraId="5485460B">
      <w:pPr>
        <w:spacing w:after="80"/>
      </w:pPr>
    </w:p>
    <w:p w14:paraId="7AFF14F9">
      <w:pPr>
        <w:pStyle w:val="39"/>
        <w:numPr>
          <w:ilvl w:val="0"/>
          <w:numId w:val="4"/>
        </w:numPr>
        <w:spacing w:after="80"/>
        <w:rPr>
          <w:b/>
          <w:bCs/>
        </w:rPr>
      </w:pPr>
      <w:r>
        <w:rPr>
          <w:b/>
          <w:bCs/>
        </w:rPr>
        <w:t>Data Analysis</w:t>
      </w:r>
    </w:p>
    <w:p w14:paraId="26D48C1F">
      <w:pPr>
        <w:spacing w:after="80"/>
      </w:pPr>
      <w:r>
        <w:t>The researcher will study the collected data through thematic analysis by following Braun and Clarke’s six-step process (</w:t>
      </w:r>
      <w:r>
        <w:rPr>
          <w:shd w:val="clear" w:color="auto" w:fill="FFFFFF"/>
        </w:rPr>
        <w:t>Majumdar, 2022).</w:t>
      </w:r>
    </w:p>
    <w:p w14:paraId="431037E2">
      <w:pPr>
        <w:pStyle w:val="39"/>
        <w:numPr>
          <w:ilvl w:val="0"/>
          <w:numId w:val="7"/>
        </w:numPr>
        <w:spacing w:after="80"/>
      </w:pPr>
      <w:r>
        <w:rPr>
          <w:b/>
          <w:bCs/>
        </w:rPr>
        <w:t>Familiarisation with the data:</w:t>
      </w:r>
      <w:r>
        <w:rPr>
          <w:rFonts w:ascii="-webkit-standard" w:hAnsi="-webkit-standard"/>
          <w:color w:val="000000"/>
          <w:sz w:val="27"/>
          <w:szCs w:val="27"/>
        </w:rPr>
        <w:t xml:space="preserve"> </w:t>
      </w:r>
      <w:r>
        <w:t>The first step in understanding the data requires the transcriptions of interviews, along with transcript examination and recording of preliminary observations (</w:t>
      </w:r>
      <w:r>
        <w:rPr>
          <w:shd w:val="clear" w:color="auto" w:fill="FFFFFF"/>
        </w:rPr>
        <w:t>Azevedo et al., 2017).</w:t>
      </w:r>
    </w:p>
    <w:p w14:paraId="603CC2E6">
      <w:pPr>
        <w:pStyle w:val="39"/>
        <w:numPr>
          <w:ilvl w:val="0"/>
          <w:numId w:val="7"/>
        </w:numPr>
        <w:spacing w:after="80"/>
      </w:pPr>
      <w:r>
        <w:rPr>
          <w:b/>
          <w:bCs/>
        </w:rPr>
        <w:t>Generating initial codes:</w:t>
      </w:r>
      <w:r>
        <w:rPr>
          <w:rFonts w:ascii="-webkit-standard" w:hAnsi="-webkit-standard"/>
          <w:color w:val="000000"/>
          <w:sz w:val="27"/>
          <w:szCs w:val="27"/>
        </w:rPr>
        <w:t xml:space="preserve"> </w:t>
      </w:r>
      <w:r>
        <w:t>Systematically conducting initial code generation requires researchers to observe interesting features throughout the entire dataset.</w:t>
      </w:r>
    </w:p>
    <w:p w14:paraId="160DDDAE">
      <w:pPr>
        <w:pStyle w:val="39"/>
        <w:numPr>
          <w:ilvl w:val="0"/>
          <w:numId w:val="7"/>
        </w:numPr>
        <w:spacing w:after="80"/>
      </w:pPr>
      <w:r>
        <w:rPr>
          <w:b/>
          <w:bCs/>
        </w:rPr>
        <w:t>Searching for themes:</w:t>
      </w:r>
      <w:r>
        <w:rPr>
          <w:rFonts w:ascii="-webkit-standard" w:hAnsi="-webkit-standard"/>
          <w:color w:val="000000"/>
          <w:sz w:val="27"/>
          <w:szCs w:val="27"/>
        </w:rPr>
        <w:t xml:space="preserve"> </w:t>
      </w:r>
      <w:r>
        <w:t>The researcher performs theme searching by grouping codes to form potential structures and obtains relevant data to back them up (</w:t>
      </w:r>
      <w:r>
        <w:rPr>
          <w:shd w:val="clear" w:color="auto" w:fill="FFFFFF"/>
        </w:rPr>
        <w:t>Williams and Moser, 2019).</w:t>
      </w:r>
    </w:p>
    <w:p w14:paraId="2CFE13CF">
      <w:pPr>
        <w:pStyle w:val="39"/>
        <w:numPr>
          <w:ilvl w:val="0"/>
          <w:numId w:val="7"/>
        </w:numPr>
        <w:spacing w:after="80"/>
      </w:pPr>
      <w:r>
        <w:rPr>
          <w:b/>
          <w:bCs/>
        </w:rPr>
        <w:t>Reviewing themes:</w:t>
      </w:r>
      <w:r>
        <w:rPr>
          <w:rFonts w:ascii="-webkit-standard" w:hAnsi="-webkit-standard"/>
          <w:color w:val="000000"/>
          <w:sz w:val="27"/>
          <w:szCs w:val="27"/>
        </w:rPr>
        <w:t xml:space="preserve"> </w:t>
      </w:r>
      <w:r>
        <w:t>An examination of themes takes place to check their effectiveness in coded data sets and the full research data.</w:t>
      </w:r>
    </w:p>
    <w:p w14:paraId="2A4ABD80">
      <w:pPr>
        <w:pStyle w:val="39"/>
        <w:numPr>
          <w:ilvl w:val="0"/>
          <w:numId w:val="7"/>
        </w:numPr>
        <w:spacing w:after="80"/>
      </w:pPr>
      <w:r>
        <w:rPr>
          <w:b/>
          <w:bCs/>
        </w:rPr>
        <w:t>Defining and naming themes:</w:t>
      </w:r>
      <w:r>
        <w:rPr>
          <w:rFonts w:ascii="-webkit-standard" w:hAnsi="-webkit-standard"/>
          <w:color w:val="000000"/>
          <w:sz w:val="27"/>
          <w:szCs w:val="27"/>
        </w:rPr>
        <w:t xml:space="preserve"> </w:t>
      </w:r>
      <w:r>
        <w:t>The process involves theme definition alongside the assignment of appropriate names to achieve clarity on their impact on research goals</w:t>
      </w:r>
      <w:r>
        <w:rPr>
          <w:shd w:val="clear" w:color="auto" w:fill="FFFFFF"/>
        </w:rPr>
        <w:t xml:space="preserve"> (Vaismoradi et al., 2016).</w:t>
      </w:r>
    </w:p>
    <w:p w14:paraId="10548E0D">
      <w:pPr>
        <w:pStyle w:val="39"/>
        <w:numPr>
          <w:ilvl w:val="0"/>
          <w:numId w:val="7"/>
        </w:numPr>
        <w:spacing w:after="80"/>
      </w:pPr>
      <w:r>
        <w:rPr>
          <w:b/>
          <w:bCs/>
        </w:rPr>
        <w:t>Producing the report:</w:t>
      </w:r>
      <w:r>
        <w:rPr>
          <w:rFonts w:ascii="-webkit-standard" w:hAnsi="-webkit-standard"/>
          <w:color w:val="000000"/>
          <w:sz w:val="27"/>
          <w:szCs w:val="27"/>
        </w:rPr>
        <w:t xml:space="preserve"> </w:t>
      </w:r>
      <w:r>
        <w:t>The research report production includes the connection of the analysis findings to the original study questions and the related literature.</w:t>
      </w:r>
    </w:p>
    <w:p w14:paraId="16DA4531">
      <w:pPr>
        <w:spacing w:after="80"/>
      </w:pPr>
      <w:r>
        <w:t>NVivo software will operate as a research platform to assist with analysis tasks for coding and theme development. The analytic tool improves the data management system while delivering clear pathways for transparent and methodical analysis procedures.</w:t>
      </w:r>
    </w:p>
    <w:p w14:paraId="11D3A859">
      <w:pPr>
        <w:spacing w:after="80"/>
      </w:pPr>
    </w:p>
    <w:p w14:paraId="4E9D32AE">
      <w:pPr>
        <w:pStyle w:val="39"/>
        <w:numPr>
          <w:ilvl w:val="0"/>
          <w:numId w:val="4"/>
        </w:numPr>
        <w:spacing w:after="80"/>
        <w:rPr>
          <w:b/>
          <w:bCs/>
        </w:rPr>
      </w:pPr>
      <w:r>
        <w:rPr>
          <w:b/>
          <w:bCs/>
        </w:rPr>
        <w:t>Ethical Considerations</w:t>
      </w:r>
    </w:p>
    <w:p w14:paraId="7FAE1ACB">
      <w:pPr>
        <w:spacing w:after="80"/>
      </w:pPr>
      <w:r>
        <w:t>Deserving ethical attention throughout the research period will be the ethical issue. The university's ethics review board provides the ethical approval necessary for starting data collection activities (</w:t>
      </w:r>
      <w:r>
        <w:rPr>
          <w:shd w:val="clear" w:color="auto" w:fill="FFFFFF"/>
        </w:rPr>
        <w:t>Ciuk and Latusek, 2018). </w:t>
      </w:r>
    </w:p>
    <w:p w14:paraId="5546D8ED">
      <w:pPr>
        <w:spacing w:after="80"/>
      </w:pPr>
      <w:r>
        <w:t>The research adheres to these essential moral standards:</w:t>
      </w:r>
    </w:p>
    <w:p w14:paraId="19FCED9E">
      <w:pPr>
        <w:pStyle w:val="39"/>
        <w:numPr>
          <w:ilvl w:val="0"/>
          <w:numId w:val="8"/>
        </w:numPr>
        <w:spacing w:after="80"/>
      </w:pPr>
      <w:r>
        <w:rPr>
          <w:b/>
          <w:bCs/>
        </w:rPr>
        <w:t>Informed consent:</w:t>
      </w:r>
      <w:r>
        <w:rPr>
          <w:rFonts w:ascii="-webkit-standard" w:hAnsi="-webkit-standard"/>
          <w:color w:val="000000"/>
          <w:sz w:val="27"/>
          <w:szCs w:val="27"/>
        </w:rPr>
        <w:t xml:space="preserve"> </w:t>
      </w:r>
      <w:r>
        <w:t>The research participants need to receive an informative sheet about the study objectives, as well as data usage explanations and clarity on their rights and the right to leave the study anytime without any cost penalties.</w:t>
      </w:r>
    </w:p>
    <w:p w14:paraId="173480FF">
      <w:pPr>
        <w:pStyle w:val="39"/>
        <w:numPr>
          <w:ilvl w:val="0"/>
          <w:numId w:val="8"/>
        </w:numPr>
        <w:spacing w:after="80"/>
      </w:pPr>
      <w:r>
        <w:rPr>
          <w:b/>
          <w:bCs/>
        </w:rPr>
        <w:t>Anonymity and confidentiality:</w:t>
      </w:r>
      <w:r>
        <w:rPr>
          <w:rFonts w:ascii="-webkit-standard" w:hAnsi="-webkit-standard"/>
          <w:color w:val="000000"/>
          <w:sz w:val="27"/>
          <w:szCs w:val="27"/>
        </w:rPr>
        <w:t xml:space="preserve"> </w:t>
      </w:r>
      <w:r>
        <w:t>The study ensures both confidentiality and anonymity because personal identifying information will be removed from both transcripts and reports. Only the researcher will have access to data that is securely stored (</w:t>
      </w:r>
      <w:r>
        <w:rPr>
          <w:shd w:val="clear" w:color="auto" w:fill="FFFFFF"/>
        </w:rPr>
        <w:t>HWANG, 2023).</w:t>
      </w:r>
    </w:p>
    <w:p w14:paraId="54456BC3">
      <w:pPr>
        <w:pStyle w:val="39"/>
        <w:numPr>
          <w:ilvl w:val="0"/>
          <w:numId w:val="8"/>
        </w:numPr>
        <w:spacing w:after="80"/>
      </w:pPr>
      <w:r>
        <w:rPr>
          <w:b/>
          <w:bCs/>
        </w:rPr>
        <w:t>Data protection:</w:t>
      </w:r>
      <w:r>
        <w:rPr>
          <w:rFonts w:ascii="-webkit-standard" w:hAnsi="-webkit-standard"/>
          <w:color w:val="000000"/>
          <w:sz w:val="27"/>
          <w:szCs w:val="27"/>
        </w:rPr>
        <w:t xml:space="preserve"> </w:t>
      </w:r>
      <w:r>
        <w:t>The research team will protect all digital files through encryption methods which meet GDPR standards, together with university data management requirements (</w:t>
      </w:r>
      <w:r>
        <w:rPr>
          <w:shd w:val="clear" w:color="auto" w:fill="FFFFFF"/>
        </w:rPr>
        <w:t>Ducato, 2020).</w:t>
      </w:r>
    </w:p>
    <w:p w14:paraId="0643E95E">
      <w:pPr>
        <w:pStyle w:val="39"/>
        <w:numPr>
          <w:ilvl w:val="0"/>
          <w:numId w:val="8"/>
        </w:numPr>
        <w:spacing w:after="80"/>
      </w:pPr>
      <w:r>
        <w:rPr>
          <w:rStyle w:val="21"/>
          <w:color w:val="000000"/>
        </w:rPr>
        <w:t xml:space="preserve">Non-maleficence: </w:t>
      </w:r>
      <w:r>
        <w:t>The researcher will ensure participants do not face any adverse effects or distress from participating. Professionally handled approaches will be deployed for discussing sensitive material with proper discretion (</w:t>
      </w:r>
      <w:r>
        <w:rPr>
          <w:shd w:val="clear" w:color="auto" w:fill="FFFFFF"/>
        </w:rPr>
        <w:t>Wa-Mbaleka, 2019).</w:t>
      </w:r>
    </w:p>
    <w:p w14:paraId="765C603C">
      <w:pPr>
        <w:spacing w:after="80"/>
      </w:pPr>
      <w:r>
        <w:t>The consent form, together with the data management plan, will be added to the appendix section of the final dissertation.</w:t>
      </w:r>
    </w:p>
    <w:p w14:paraId="6A286FA3">
      <w:pPr>
        <w:spacing w:after="80"/>
      </w:pPr>
    </w:p>
    <w:p w14:paraId="50E4DAA0">
      <w:pPr>
        <w:pStyle w:val="39"/>
        <w:numPr>
          <w:ilvl w:val="0"/>
          <w:numId w:val="4"/>
        </w:numPr>
        <w:spacing w:after="80"/>
        <w:rPr>
          <w:b/>
          <w:bCs/>
        </w:rPr>
      </w:pPr>
      <w:r>
        <w:rPr>
          <w:b/>
          <w:bCs/>
        </w:rPr>
        <w:t>Reliability, Validity, and Trustworthiness</w:t>
      </w:r>
    </w:p>
    <w:p w14:paraId="76A41DA3">
      <w:pPr>
        <w:spacing w:after="80"/>
      </w:pPr>
      <w:r>
        <w:t>The established measures of trustworthiness prove better for qualitative research instead of traditional reliability and validity concepts (</w:t>
      </w:r>
      <w:r>
        <w:rPr>
          <w:shd w:val="clear" w:color="auto" w:fill="FFFFFF"/>
        </w:rPr>
        <w:t>Stahl and King, 2020).</w:t>
      </w:r>
    </w:p>
    <w:p w14:paraId="1111FD8A">
      <w:pPr>
        <w:pStyle w:val="39"/>
        <w:numPr>
          <w:ilvl w:val="0"/>
          <w:numId w:val="9"/>
        </w:numPr>
        <w:spacing w:after="80"/>
      </w:pPr>
      <w:r>
        <w:t xml:space="preserve">Research </w:t>
      </w:r>
      <w:r>
        <w:rPr>
          <w:b/>
          <w:bCs/>
        </w:rPr>
        <w:t xml:space="preserve">credibility </w:t>
      </w:r>
      <w:r>
        <w:t>derives from two elements: first, researchers will invest sufficient time in their subject matter and second, they will incorporate multiple data sources and verify results with research subjects.</w:t>
      </w:r>
    </w:p>
    <w:p w14:paraId="7A384C67">
      <w:pPr>
        <w:pStyle w:val="39"/>
        <w:numPr>
          <w:ilvl w:val="0"/>
          <w:numId w:val="9"/>
        </w:numPr>
        <w:spacing w:after="80"/>
      </w:pPr>
      <w:r>
        <w:t>The research uses complete, detailed case descriptions to enable readers to decide how well the findings work across different situations.</w:t>
      </w:r>
    </w:p>
    <w:p w14:paraId="5CD8113D">
      <w:pPr>
        <w:pStyle w:val="39"/>
        <w:numPr>
          <w:ilvl w:val="0"/>
          <w:numId w:val="9"/>
        </w:numPr>
        <w:spacing w:after="80"/>
      </w:pPr>
      <w:r>
        <w:t xml:space="preserve">Achievement of </w:t>
      </w:r>
      <w:r>
        <w:rPr>
          <w:b/>
          <w:bCs/>
        </w:rPr>
        <w:t>dependable</w:t>
      </w:r>
      <w:r>
        <w:t xml:space="preserve"> results depends on documenting research processes fully to enable future researchers to replicate the methodology (</w:t>
      </w:r>
      <w:r>
        <w:rPr>
          <w:shd w:val="clear" w:color="auto" w:fill="FFFFFF"/>
        </w:rPr>
        <w:t>Tracy, 2024). </w:t>
      </w:r>
    </w:p>
    <w:p w14:paraId="681A3AE2">
      <w:pPr>
        <w:pStyle w:val="39"/>
        <w:numPr>
          <w:ilvl w:val="0"/>
          <w:numId w:val="9"/>
        </w:numPr>
        <w:spacing w:after="80"/>
      </w:pPr>
      <w:r>
        <w:t xml:space="preserve">The method follows two steps to demonstrate </w:t>
      </w:r>
      <w:r>
        <w:rPr>
          <w:b/>
          <w:bCs/>
        </w:rPr>
        <w:t>confirmability,</w:t>
      </w:r>
      <w:r>
        <w:t xml:space="preserve"> which include maintaining awareness of the potential researcher bias and reflective journaling as evidence of bias assessment.</w:t>
      </w:r>
    </w:p>
    <w:p w14:paraId="093CAA11">
      <w:pPr>
        <w:pStyle w:val="39"/>
        <w:spacing w:after="80"/>
        <w:ind w:left="360"/>
      </w:pPr>
    </w:p>
    <w:p w14:paraId="5151D541">
      <w:pPr>
        <w:pStyle w:val="39"/>
        <w:numPr>
          <w:ilvl w:val="0"/>
          <w:numId w:val="4"/>
        </w:numPr>
        <w:spacing w:after="80"/>
        <w:rPr>
          <w:b/>
          <w:bCs/>
        </w:rPr>
      </w:pPr>
      <w:r>
        <w:rPr>
          <w:b/>
          <w:bCs/>
        </w:rPr>
        <w:t>Justification of Methodology</w:t>
      </w:r>
    </w:p>
    <w:p w14:paraId="4B6F00B2">
      <w:pPr>
        <w:spacing w:after="80"/>
      </w:pPr>
      <w:r>
        <w:t>There are multiple essential reasons underlying the selection of the qualitative case study methodology as the research choice. The research questions require exploration of human subjective experiences alongside ethical perspectives, so qualitative data collection provides optimal results instead of statistical information. The implementation of AI integration in HR practices for automobiles remains new, so pre-established theories and databases become inadequate</w:t>
      </w:r>
      <w:r>
        <w:rPr>
          <w:shd w:val="clear" w:color="auto" w:fill="FFFFFF"/>
        </w:rPr>
        <w:t xml:space="preserve"> (Basias and Pollalis, 2018). </w:t>
      </w:r>
      <w:r>
        <w:t>The case study method delivers a profound evaluation of individual organisational components and their factors that become essential to understand how organisations adapt to technology and change.</w:t>
      </w:r>
    </w:p>
    <w:p w14:paraId="7C7A7D95">
      <w:pPr>
        <w:spacing w:after="80"/>
      </w:pPr>
      <w:r>
        <w:t>Alternative research methods, such as surveys and experimental designs, failed to meet requirements because they showed a restricted capacity to identify complex and detailed information. This study provides foundational knowledge that could direct quantitatively studies to implement and validate hypotheses stemming from the collected qualitative data.</w:t>
      </w:r>
    </w:p>
    <w:p w14:paraId="0230C3EE">
      <w:pPr>
        <w:pStyle w:val="2"/>
      </w:pPr>
      <w:bookmarkStart w:id="5" w:name="_Toc196731123"/>
      <w:r>
        <w:t>Evaluation of Methods and Data Tools</w:t>
      </w:r>
      <w:bookmarkEnd w:id="5"/>
    </w:p>
    <w:p w14:paraId="71F787D4">
      <w:pPr>
        <w:spacing w:after="80"/>
      </w:pPr>
      <w:r>
        <w:t>The chosen research design, consisting of qualitative case studies and semi-structured interviews supervised by thematic analysis, produces detailed findings that monitor AI effects on UK automobile Human Resource management. The chosen procedure matches the research objectives well; however, it is vital to analyse both its benefits and drawbacks while also presenting the data collection and analysis approach.</w:t>
      </w:r>
    </w:p>
    <w:p w14:paraId="127AFD5C">
      <w:pPr>
        <w:spacing w:after="80"/>
      </w:pPr>
    </w:p>
    <w:p w14:paraId="5D833BDD">
      <w:pPr>
        <w:pStyle w:val="39"/>
        <w:numPr>
          <w:ilvl w:val="0"/>
          <w:numId w:val="10"/>
        </w:numPr>
        <w:spacing w:after="80"/>
        <w:rPr>
          <w:b/>
          <w:bCs/>
        </w:rPr>
      </w:pPr>
      <w:r>
        <w:rPr>
          <w:b/>
          <w:bCs/>
        </w:rPr>
        <w:t>Advantages of the Chosen Methods</w:t>
      </w:r>
    </w:p>
    <w:p w14:paraId="0E9C6900">
      <w:pPr>
        <w:spacing w:after="80"/>
      </w:pPr>
      <w:r>
        <w:rPr>
          <w:shd w:val="clear" w:color="auto" w:fill="FFFFFF"/>
        </w:rPr>
        <w:t xml:space="preserve">The research design follows qualitative case studies that are strengthened by conducting semi-structured interviews. The case study research design enables intensive examination of the effects of AI technologies on human resource methods and executive management within the automobile industry based in the UK (Aldulaimi et al., 2021).  In-depth interviews using a semi-structured approach will collect detailed information about what HR specialists and employees experience within their organisations to understand both their issues and ethical factors at play. The methods provide a thorough understanding of current operational practices, which closely match the study's objectives (Votto et al., 2021). </w:t>
      </w:r>
      <w:r>
        <w:t xml:space="preserve"> The methodology allows researchers to conduct flexible interviews that result in valuable findings that traditional formal or numerical measurement techniques would miss.</w:t>
      </w:r>
    </w:p>
    <w:p w14:paraId="2174E511">
      <w:pPr>
        <w:spacing w:after="80"/>
      </w:pPr>
      <w:r>
        <w:t>The research technique proves most useful for examining complex subjects, including leadership adjustments and ethical challenges, alongside employee responses to AI system operation, because quantitative measures fall short in such cases. Interview probing allows researchers to reach beneath surface responses, thus revealing unexpressed workplace views about organisational technology (</w:t>
      </w:r>
      <w:r>
        <w:rPr>
          <w:shd w:val="clear" w:color="auto" w:fill="FFFFFF"/>
        </w:rPr>
        <w:t>Li, 2024). </w:t>
      </w:r>
    </w:p>
    <w:p w14:paraId="1C847C45">
      <w:pPr>
        <w:spacing w:after="80"/>
      </w:pPr>
      <w:r>
        <w:t>Multiple case research allows researchers to observe connections between various workplace settings by comparing results across different organisations. The wider view of AI implementation perceptions comes from the broad sectoral analysis, which enhances the research findings’ validity.</w:t>
      </w:r>
    </w:p>
    <w:p w14:paraId="784A4F4A">
      <w:pPr>
        <w:spacing w:after="80"/>
      </w:pPr>
    </w:p>
    <w:p w14:paraId="4202EC7C">
      <w:pPr>
        <w:spacing w:after="80"/>
      </w:pPr>
    </w:p>
    <w:p w14:paraId="21A0144C">
      <w:pPr>
        <w:pStyle w:val="39"/>
        <w:numPr>
          <w:ilvl w:val="0"/>
          <w:numId w:val="10"/>
        </w:numPr>
        <w:spacing w:after="80"/>
        <w:rPr>
          <w:b/>
          <w:bCs/>
        </w:rPr>
      </w:pPr>
      <w:r>
        <w:rPr>
          <w:b/>
          <w:bCs/>
        </w:rPr>
        <w:t>Limitations and Challenges</w:t>
      </w:r>
    </w:p>
    <w:p w14:paraId="1537680D">
      <w:pPr>
        <w:spacing w:after="80"/>
      </w:pPr>
      <w:r>
        <w:t>The methodology has several benefits, but users must understand its operational boundaries. The process of working with qualitative data through multiple case site analyses requires considerable time and dedication</w:t>
      </w:r>
      <w:r>
        <w:rPr>
          <w:shd w:val="clear" w:color="auto" w:fill="FFFFFF"/>
        </w:rPr>
        <w:t xml:space="preserve"> (Lim, 2024). </w:t>
      </w:r>
      <w:r>
        <w:t xml:space="preserve"> Obtaining access from HR professionals for interviews, along with finding appointment times, might face difficulties because of either time limitations or organisational privacy policies. </w:t>
      </w:r>
    </w:p>
    <w:p w14:paraId="099F764B">
      <w:pPr>
        <w:spacing w:after="80"/>
      </w:pPr>
      <w:r>
        <w:t>Subjective elements pose issues in this research from both participant responses and from the researcher. Research subjects tend to give replies that show the society's preferences, while possible biases stem from the researcher's analysis of qualitative study information. Different measures, including participant validation together with transparent coding processes and the implementation of analysis software NVivo, will be applied to enhance the study's consistency and rigour (</w:t>
      </w:r>
      <w:r>
        <w:rPr>
          <w:shd w:val="clear" w:color="auto" w:fill="FFFFFF"/>
        </w:rPr>
        <w:t>Allsop et al., 2022).</w:t>
      </w:r>
    </w:p>
    <w:p w14:paraId="4589DE3B">
      <w:pPr>
        <w:spacing w:after="80"/>
      </w:pPr>
      <w:r>
        <w:t>Two main limitations appear in findings drawn from case studies because they cannot easily be extended to other situations. The main objective of this research is to collect transferable knowledge instead of seeking statistical generalisation because it will assist in generating additional studies or practical applications.</w:t>
      </w:r>
    </w:p>
    <w:p w14:paraId="326661C4">
      <w:pPr>
        <w:spacing w:after="80"/>
      </w:pPr>
    </w:p>
    <w:p w14:paraId="551F661C">
      <w:pPr>
        <w:pStyle w:val="39"/>
        <w:numPr>
          <w:ilvl w:val="0"/>
          <w:numId w:val="10"/>
        </w:numPr>
        <w:spacing w:after="80"/>
        <w:rPr>
          <w:b/>
          <w:bCs/>
        </w:rPr>
      </w:pPr>
      <w:r>
        <w:rPr>
          <w:b/>
          <w:bCs/>
        </w:rPr>
        <w:t>Data Tools</w:t>
      </w:r>
    </w:p>
    <w:p w14:paraId="309D107F">
      <w:pPr>
        <w:spacing w:after="80"/>
      </w:pPr>
      <w:r>
        <w:t>The upcoming section demonstrates the collection and analysis solutions through the following tools (</w:t>
      </w:r>
      <w:r>
        <w:rPr>
          <w:shd w:val="clear" w:color="auto" w:fill="FFFFFF"/>
        </w:rPr>
        <w:t>Ikegwu et al., 2022).</w:t>
      </w:r>
    </w:p>
    <w:p w14:paraId="148EA730">
      <w:pPr>
        <w:pStyle w:val="39"/>
        <w:numPr>
          <w:ilvl w:val="0"/>
          <w:numId w:val="11"/>
        </w:numPr>
        <w:spacing w:after="80"/>
      </w:pPr>
      <w:r>
        <w:rPr>
          <w:b/>
          <w:bCs/>
        </w:rPr>
        <w:t>Interview guide:</w:t>
      </w:r>
      <w:r>
        <w:t xml:space="preserve"> To structure semi-structured interviews around key themes.</w:t>
      </w:r>
    </w:p>
    <w:p w14:paraId="3FB0A81E">
      <w:pPr>
        <w:pStyle w:val="39"/>
        <w:numPr>
          <w:ilvl w:val="0"/>
          <w:numId w:val="11"/>
        </w:numPr>
        <w:spacing w:after="80"/>
      </w:pPr>
      <w:r>
        <w:rPr>
          <w:rStyle w:val="21"/>
          <w:color w:val="000000"/>
        </w:rPr>
        <w:t xml:space="preserve">Audio recorder: </w:t>
      </w:r>
      <w:r>
        <w:t>The audio recorder will capture information reliably after participants provide their permission for data recording.</w:t>
      </w:r>
    </w:p>
    <w:p w14:paraId="772E4BE8">
      <w:pPr>
        <w:pStyle w:val="39"/>
        <w:numPr>
          <w:ilvl w:val="0"/>
          <w:numId w:val="11"/>
        </w:numPr>
        <w:spacing w:after="80"/>
      </w:pPr>
      <w:r>
        <w:rPr>
          <w:rStyle w:val="21"/>
          <w:color w:val="000000"/>
        </w:rPr>
        <w:t>NVivo software:</w:t>
      </w:r>
      <w:r>
        <w:rPr>
          <w:rStyle w:val="45"/>
          <w:rFonts w:ascii="-webkit-standard" w:hAnsi="-webkit-standard"/>
          <w:color w:val="000000"/>
          <w:sz w:val="27"/>
          <w:szCs w:val="27"/>
        </w:rPr>
        <w:t> </w:t>
      </w:r>
      <w:r>
        <w:t>The NVivo software will help researchers code their data and discover themes when analysing it.</w:t>
      </w:r>
    </w:p>
    <w:p w14:paraId="4622E849">
      <w:pPr>
        <w:pStyle w:val="39"/>
        <w:numPr>
          <w:ilvl w:val="0"/>
          <w:numId w:val="11"/>
        </w:numPr>
        <w:spacing w:after="80"/>
      </w:pPr>
      <w:r>
        <w:rPr>
          <w:rStyle w:val="21"/>
          <w:color w:val="000000"/>
        </w:rPr>
        <w:t xml:space="preserve">Field notes and reflective journal: </w:t>
      </w:r>
      <w:r>
        <w:t>Researcher observations will be documented through combined field notes and reflective journal practices, which promote self-reflection during the research process (</w:t>
      </w:r>
      <w:r>
        <w:rPr>
          <w:shd w:val="clear" w:color="auto" w:fill="FFFFFF"/>
        </w:rPr>
        <w:t>Roy and Uekusa, 2020).</w:t>
      </w:r>
    </w:p>
    <w:p w14:paraId="44360CAA">
      <w:pPr>
        <w:spacing w:after="80"/>
      </w:pPr>
      <w:r>
        <w:t>The collection of tools alongside analysis methods will enable a proper investigation of the research topic with credibility, ethical conduct, and comprehensive scope.</w:t>
      </w:r>
    </w:p>
    <w:p w14:paraId="6890AEEC">
      <w:pPr>
        <w:pStyle w:val="2"/>
      </w:pPr>
      <w:bookmarkStart w:id="6" w:name="_Toc196731124"/>
      <w:r>
        <w:t>Resource Implications</w:t>
      </w:r>
      <w:bookmarkEnd w:id="6"/>
    </w:p>
    <w:p w14:paraId="1193736C">
      <w:pPr>
        <w:spacing w:after="80"/>
      </w:pPr>
      <w:r>
        <w:t>To successfully implement this study, researchers require detailed planning, which focuses mainly on time management and research tool selection and access procurement. The research demands limited yet important resources because it conducts multiple case organisation studies through semi-structured interviews and performs thematic analysis.</w:t>
      </w:r>
    </w:p>
    <w:p w14:paraId="218C8A35">
      <w:pPr>
        <w:spacing w:after="80"/>
      </w:pPr>
    </w:p>
    <w:p w14:paraId="60BFA7FC">
      <w:pPr>
        <w:pStyle w:val="39"/>
        <w:numPr>
          <w:ilvl w:val="0"/>
          <w:numId w:val="12"/>
        </w:numPr>
        <w:spacing w:after="80"/>
        <w:rPr>
          <w:b/>
          <w:bCs/>
        </w:rPr>
      </w:pPr>
      <w:r>
        <w:rPr>
          <w:b/>
          <w:bCs/>
        </w:rPr>
        <w:t>Time Requirements</w:t>
      </w:r>
    </w:p>
    <w:p w14:paraId="339C5FC4">
      <w:pPr>
        <w:spacing w:after="80"/>
      </w:pPr>
      <w:r>
        <w:t>The research timetable extends through an estimated 14 weeks to achieve planning and generate analysis outputs and research report completion. The research period will encompass a literature review and acquisition of ethical approval and participant selection and accessibility, followed by interviews with subject transcription work, then coding analysis leading to findings compilation (</w:t>
      </w:r>
      <w:r>
        <w:rPr>
          <w:shd w:val="clear" w:color="auto" w:fill="FFFFFF"/>
        </w:rPr>
        <w:t>Hartmann and Briskorn, 2022).</w:t>
      </w:r>
    </w:p>
    <w:p w14:paraId="1112A74A">
      <w:pPr>
        <w:spacing w:after="80"/>
      </w:pPr>
      <w:r>
        <w:t>Delaying access acquisition to businesses and scheduling meetings with occupied HR staff members might extend project timelines. Contingency timeframes built into the adaptable plan will help users deal with potential operational challenges.</w:t>
      </w:r>
    </w:p>
    <w:p w14:paraId="5DDCB705">
      <w:pPr>
        <w:spacing w:after="80"/>
      </w:pPr>
    </w:p>
    <w:p w14:paraId="13A8877F">
      <w:pPr>
        <w:pStyle w:val="39"/>
        <w:numPr>
          <w:ilvl w:val="0"/>
          <w:numId w:val="12"/>
        </w:numPr>
        <w:spacing w:after="80"/>
        <w:rPr>
          <w:b/>
          <w:bCs/>
        </w:rPr>
      </w:pPr>
      <w:r>
        <w:rPr>
          <w:b/>
          <w:bCs/>
        </w:rPr>
        <w:t>Budget Considerations</w:t>
      </w:r>
    </w:p>
    <w:p w14:paraId="4362BCCC">
      <w:pPr>
        <w:spacing w:after="80"/>
      </w:pPr>
      <w:r>
        <w:t>The project does not require a significant financial investment, yet a few costs and expenses are anticipated.</w:t>
      </w:r>
    </w:p>
    <w:tbl>
      <w:tblPr>
        <w:tblStyle w:val="23"/>
        <w:tblW w:w="894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151"/>
        <w:gridCol w:w="2798"/>
      </w:tblGrid>
      <w:tr w14:paraId="319FBA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0" w:type="auto"/>
            <w:shd w:val="clear" w:color="auto" w:fill="FFD965" w:themeFill="accent4" w:themeFillTint="99"/>
          </w:tcPr>
          <w:p w14:paraId="3DF1B7A6">
            <w:pPr>
              <w:spacing w:after="80"/>
              <w:jc w:val="center"/>
              <w:rPr>
                <w:b/>
                <w:bCs/>
                <w:lang w:eastAsia="en-GB"/>
              </w:rPr>
            </w:pPr>
            <w:r>
              <w:rPr>
                <w:b/>
                <w:bCs/>
                <w:lang w:eastAsia="en-GB"/>
              </w:rPr>
              <w:t>Resource</w:t>
            </w:r>
          </w:p>
        </w:tc>
        <w:tc>
          <w:tcPr>
            <w:tcW w:w="0" w:type="auto"/>
            <w:shd w:val="clear" w:color="auto" w:fill="FFD965" w:themeFill="accent4" w:themeFillTint="99"/>
          </w:tcPr>
          <w:p w14:paraId="7D1F3777">
            <w:pPr>
              <w:spacing w:after="80"/>
              <w:jc w:val="center"/>
              <w:rPr>
                <w:b/>
                <w:bCs/>
                <w:lang w:eastAsia="en-GB"/>
              </w:rPr>
            </w:pPr>
            <w:r>
              <w:rPr>
                <w:b/>
                <w:bCs/>
                <w:lang w:eastAsia="en-GB"/>
              </w:rPr>
              <w:t>Estimated Cost</w:t>
            </w:r>
          </w:p>
        </w:tc>
      </w:tr>
      <w:tr w14:paraId="401113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0" w:type="auto"/>
            <w:shd w:val="clear" w:color="auto" w:fill="FEF2CC" w:themeFill="accent4" w:themeFillTint="33"/>
          </w:tcPr>
          <w:p w14:paraId="57B36A9C">
            <w:pPr>
              <w:spacing w:after="80"/>
              <w:rPr>
                <w:lang w:eastAsia="en-GB"/>
              </w:rPr>
            </w:pPr>
            <w:r>
              <w:rPr>
                <w:lang w:eastAsia="en-GB"/>
              </w:rPr>
              <w:t>NVivo software (student license)</w:t>
            </w:r>
          </w:p>
        </w:tc>
        <w:tc>
          <w:tcPr>
            <w:tcW w:w="0" w:type="auto"/>
            <w:shd w:val="clear" w:color="auto" w:fill="FEF2CC" w:themeFill="accent4" w:themeFillTint="33"/>
          </w:tcPr>
          <w:p w14:paraId="190DC37B">
            <w:pPr>
              <w:spacing w:after="80"/>
              <w:rPr>
                <w:lang w:eastAsia="en-GB"/>
              </w:rPr>
            </w:pPr>
            <w:r>
              <w:t>Free through UWTSD</w:t>
            </w:r>
          </w:p>
        </w:tc>
      </w:tr>
      <w:tr w14:paraId="1DB227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0" w:type="auto"/>
            <w:shd w:val="clear" w:color="auto" w:fill="FEF2CC" w:themeFill="accent4" w:themeFillTint="33"/>
          </w:tcPr>
          <w:p w14:paraId="6A1BBE8F">
            <w:pPr>
              <w:spacing w:after="80"/>
              <w:rPr>
                <w:lang w:eastAsia="en-GB"/>
              </w:rPr>
            </w:pPr>
            <w:r>
              <w:rPr>
                <w:lang w:eastAsia="en-GB"/>
              </w:rPr>
              <w:t>Transcription services (manual or automated)</w:t>
            </w:r>
          </w:p>
        </w:tc>
        <w:tc>
          <w:tcPr>
            <w:tcW w:w="0" w:type="auto"/>
            <w:shd w:val="clear" w:color="auto" w:fill="FEF2CC" w:themeFill="accent4" w:themeFillTint="33"/>
          </w:tcPr>
          <w:p w14:paraId="456A6504">
            <w:pPr>
              <w:spacing w:after="80"/>
              <w:rPr>
                <w:lang w:eastAsia="en-GB"/>
              </w:rPr>
            </w:pPr>
            <w:r>
              <w:rPr>
                <w:lang w:eastAsia="en-GB"/>
              </w:rPr>
              <w:t>£250–£300</w:t>
            </w:r>
          </w:p>
        </w:tc>
      </w:tr>
      <w:tr w14:paraId="266EE3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0" w:type="auto"/>
            <w:shd w:val="clear" w:color="auto" w:fill="FEF2CC" w:themeFill="accent4" w:themeFillTint="33"/>
          </w:tcPr>
          <w:p w14:paraId="56B3FC94">
            <w:pPr>
              <w:spacing w:after="80"/>
              <w:rPr>
                <w:lang w:eastAsia="en-GB"/>
              </w:rPr>
            </w:pPr>
            <w:r>
              <w:rPr>
                <w:lang w:eastAsia="en-GB"/>
              </w:rPr>
              <w:t>Travel (if face-to-face interviews are conducted)</w:t>
            </w:r>
          </w:p>
        </w:tc>
        <w:tc>
          <w:tcPr>
            <w:tcW w:w="0" w:type="auto"/>
            <w:shd w:val="clear" w:color="auto" w:fill="FEF2CC" w:themeFill="accent4" w:themeFillTint="33"/>
          </w:tcPr>
          <w:p w14:paraId="51EDAF67">
            <w:pPr>
              <w:spacing w:after="80"/>
              <w:rPr>
                <w:lang w:eastAsia="en-GB"/>
              </w:rPr>
            </w:pPr>
            <w:r>
              <w:rPr>
                <w:lang w:eastAsia="en-GB"/>
              </w:rPr>
              <w:t>£100</w:t>
            </w:r>
          </w:p>
        </w:tc>
      </w:tr>
      <w:tr w14:paraId="7DA54B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0" w:type="auto"/>
            <w:shd w:val="clear" w:color="auto" w:fill="FEF2CC" w:themeFill="accent4" w:themeFillTint="33"/>
          </w:tcPr>
          <w:p w14:paraId="07075603">
            <w:pPr>
              <w:spacing w:after="80"/>
              <w:rPr>
                <w:lang w:eastAsia="en-GB"/>
              </w:rPr>
            </w:pPr>
            <w:r>
              <w:rPr>
                <w:lang w:eastAsia="en-GB"/>
              </w:rPr>
              <w:t>Miscellaneous (printing, communication, materials)</w:t>
            </w:r>
          </w:p>
        </w:tc>
        <w:tc>
          <w:tcPr>
            <w:tcW w:w="0" w:type="auto"/>
            <w:shd w:val="clear" w:color="auto" w:fill="FEF2CC" w:themeFill="accent4" w:themeFillTint="33"/>
          </w:tcPr>
          <w:p w14:paraId="3F7B70DB">
            <w:pPr>
              <w:spacing w:after="80"/>
              <w:rPr>
                <w:lang w:eastAsia="en-GB"/>
              </w:rPr>
            </w:pPr>
            <w:r>
              <w:rPr>
                <w:lang w:eastAsia="en-GB"/>
              </w:rPr>
              <w:t>£50</w:t>
            </w:r>
          </w:p>
        </w:tc>
      </w:tr>
    </w:tbl>
    <w:p w14:paraId="494065CA">
      <w:pPr>
        <w:spacing w:after="80"/>
        <w:ind w:firstLine="720"/>
      </w:pPr>
    </w:p>
    <w:p w14:paraId="468DDBC3">
      <w:pPr>
        <w:spacing w:after="80"/>
      </w:pPr>
      <w:r>
        <w:t>A budget amounting to £400–£450 has been decided for the research project which will fit under a self-funded academic research setting.</w:t>
      </w:r>
    </w:p>
    <w:p w14:paraId="679E0D49">
      <w:pPr>
        <w:pStyle w:val="2"/>
      </w:pPr>
      <w:bookmarkStart w:id="7" w:name="_Toc196731125"/>
      <w:r>
        <w:t>Time Plan</w:t>
      </w:r>
      <w:bookmarkEnd w:id="7"/>
    </w:p>
    <w:p w14:paraId="35709977">
      <w:pPr>
        <w:spacing w:after="80"/>
      </w:pPr>
      <w:r>
        <w:t>Time management remains essential to accomplishing this research task because the sequential workflow and external participant participation would benefit from effective time management. This project has been planned for 14 weeks, which enables complete planning, execution, and analysis together with scheduled delay periods (</w:t>
      </w:r>
      <w:r>
        <w:rPr>
          <w:shd w:val="clear" w:color="auto" w:fill="FFFFFF"/>
        </w:rPr>
        <w:t>Nicholas and Steyn, 2020). </w:t>
      </w:r>
    </w:p>
    <w:p w14:paraId="3BBC2BF1">
      <w:pPr>
        <w:spacing w:after="80"/>
      </w:pPr>
      <w:r>
        <w:t>Below is a detailed timeline of key activities:</w:t>
      </w:r>
    </w:p>
    <w:p w14:paraId="2A9066C2">
      <w:pPr>
        <w:spacing w:after="80"/>
      </w:pPr>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83"/>
        <w:gridCol w:w="1035"/>
        <w:gridCol w:w="996"/>
        <w:gridCol w:w="1528"/>
      </w:tblGrid>
      <w:tr w14:paraId="585F73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F4B083" w:themeFill="accent2" w:themeFillTint="99"/>
          </w:tcPr>
          <w:p w14:paraId="28BEAD55">
            <w:pPr>
              <w:spacing w:after="80"/>
              <w:jc w:val="center"/>
              <w:rPr>
                <w:b/>
                <w:bCs/>
                <w:lang w:eastAsia="en-GB"/>
              </w:rPr>
            </w:pPr>
            <w:r>
              <w:rPr>
                <w:b/>
                <w:bCs/>
                <w:lang w:eastAsia="en-GB"/>
              </w:rPr>
              <w:t>Activity</w:t>
            </w:r>
          </w:p>
        </w:tc>
        <w:tc>
          <w:tcPr>
            <w:tcW w:w="0" w:type="auto"/>
            <w:shd w:val="clear" w:color="auto" w:fill="F4B083" w:themeFill="accent2" w:themeFillTint="99"/>
          </w:tcPr>
          <w:p w14:paraId="360C672D">
            <w:pPr>
              <w:spacing w:after="80"/>
              <w:jc w:val="center"/>
              <w:rPr>
                <w:b/>
                <w:bCs/>
                <w:lang w:eastAsia="en-GB"/>
              </w:rPr>
            </w:pPr>
            <w:r>
              <w:rPr>
                <w:b/>
                <w:bCs/>
                <w:lang w:eastAsia="en-GB"/>
              </w:rPr>
              <w:t>Start Week</w:t>
            </w:r>
          </w:p>
        </w:tc>
        <w:tc>
          <w:tcPr>
            <w:tcW w:w="0" w:type="auto"/>
            <w:shd w:val="clear" w:color="auto" w:fill="F4B083" w:themeFill="accent2" w:themeFillTint="99"/>
          </w:tcPr>
          <w:p w14:paraId="14DF0643">
            <w:pPr>
              <w:spacing w:after="80"/>
              <w:jc w:val="center"/>
              <w:rPr>
                <w:b/>
                <w:bCs/>
                <w:lang w:eastAsia="en-GB"/>
              </w:rPr>
            </w:pPr>
            <w:r>
              <w:rPr>
                <w:b/>
                <w:bCs/>
                <w:lang w:eastAsia="en-GB"/>
              </w:rPr>
              <w:t>End Week</w:t>
            </w:r>
          </w:p>
        </w:tc>
        <w:tc>
          <w:tcPr>
            <w:tcW w:w="0" w:type="auto"/>
            <w:shd w:val="clear" w:color="auto" w:fill="F4B083" w:themeFill="accent2" w:themeFillTint="99"/>
          </w:tcPr>
          <w:p w14:paraId="4AFFF4CE">
            <w:pPr>
              <w:spacing w:after="80"/>
              <w:jc w:val="center"/>
              <w:rPr>
                <w:b/>
                <w:bCs/>
                <w:lang w:eastAsia="en-GB"/>
              </w:rPr>
            </w:pPr>
            <w:r>
              <w:rPr>
                <w:b/>
                <w:bCs/>
                <w:lang w:eastAsia="en-GB"/>
              </w:rPr>
              <w:t>Duration (Weeks)</w:t>
            </w:r>
          </w:p>
        </w:tc>
      </w:tr>
      <w:tr w14:paraId="2FBCD2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FBE4D5" w:themeFill="accent2" w:themeFillTint="33"/>
          </w:tcPr>
          <w:p w14:paraId="60CEA3D9">
            <w:pPr>
              <w:spacing w:after="80"/>
              <w:rPr>
                <w:lang w:eastAsia="en-GB"/>
              </w:rPr>
            </w:pPr>
            <w:r>
              <w:rPr>
                <w:lang w:eastAsia="en-GB"/>
              </w:rPr>
              <w:t>Finalisation of proposal, background reading, refining research questions</w:t>
            </w:r>
          </w:p>
        </w:tc>
        <w:tc>
          <w:tcPr>
            <w:tcW w:w="0" w:type="auto"/>
            <w:shd w:val="clear" w:color="auto" w:fill="FBE4D5" w:themeFill="accent2" w:themeFillTint="33"/>
          </w:tcPr>
          <w:p w14:paraId="7270B703">
            <w:pPr>
              <w:spacing w:after="80"/>
              <w:jc w:val="center"/>
              <w:rPr>
                <w:lang w:eastAsia="en-GB"/>
              </w:rPr>
            </w:pPr>
            <w:r>
              <w:rPr>
                <w:lang w:eastAsia="en-GB"/>
              </w:rPr>
              <w:t>1</w:t>
            </w:r>
          </w:p>
        </w:tc>
        <w:tc>
          <w:tcPr>
            <w:tcW w:w="0" w:type="auto"/>
            <w:shd w:val="clear" w:color="auto" w:fill="FBE4D5" w:themeFill="accent2" w:themeFillTint="33"/>
          </w:tcPr>
          <w:p w14:paraId="6929DF9B">
            <w:pPr>
              <w:spacing w:after="80"/>
              <w:jc w:val="center"/>
              <w:rPr>
                <w:lang w:eastAsia="en-GB"/>
              </w:rPr>
            </w:pPr>
            <w:r>
              <w:rPr>
                <w:lang w:eastAsia="en-GB"/>
              </w:rPr>
              <w:t>2</w:t>
            </w:r>
          </w:p>
        </w:tc>
        <w:tc>
          <w:tcPr>
            <w:tcW w:w="0" w:type="auto"/>
            <w:shd w:val="clear" w:color="auto" w:fill="FBE4D5" w:themeFill="accent2" w:themeFillTint="33"/>
          </w:tcPr>
          <w:p w14:paraId="06741E58">
            <w:pPr>
              <w:spacing w:after="80"/>
              <w:jc w:val="center"/>
              <w:rPr>
                <w:lang w:eastAsia="en-GB"/>
              </w:rPr>
            </w:pPr>
            <w:r>
              <w:rPr>
                <w:lang w:eastAsia="en-GB"/>
              </w:rPr>
              <w:t>2</w:t>
            </w:r>
          </w:p>
        </w:tc>
      </w:tr>
      <w:tr w14:paraId="167E39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FBE4D5" w:themeFill="accent2" w:themeFillTint="33"/>
          </w:tcPr>
          <w:p w14:paraId="79D37D36">
            <w:pPr>
              <w:spacing w:after="80"/>
              <w:rPr>
                <w:lang w:eastAsia="en-GB"/>
              </w:rPr>
            </w:pPr>
            <w:r>
              <w:rPr>
                <w:lang w:eastAsia="en-GB"/>
              </w:rPr>
              <w:t>Submission and approval of ethical clearance; identification and contact with target organisations and participants</w:t>
            </w:r>
          </w:p>
        </w:tc>
        <w:tc>
          <w:tcPr>
            <w:tcW w:w="0" w:type="auto"/>
            <w:shd w:val="clear" w:color="auto" w:fill="FBE4D5" w:themeFill="accent2" w:themeFillTint="33"/>
          </w:tcPr>
          <w:p w14:paraId="417772CF">
            <w:pPr>
              <w:spacing w:after="80"/>
              <w:jc w:val="center"/>
              <w:rPr>
                <w:lang w:eastAsia="en-GB"/>
              </w:rPr>
            </w:pPr>
            <w:r>
              <w:rPr>
                <w:lang w:eastAsia="en-GB"/>
              </w:rPr>
              <w:t>3</w:t>
            </w:r>
          </w:p>
        </w:tc>
        <w:tc>
          <w:tcPr>
            <w:tcW w:w="0" w:type="auto"/>
            <w:shd w:val="clear" w:color="auto" w:fill="FBE4D5" w:themeFill="accent2" w:themeFillTint="33"/>
          </w:tcPr>
          <w:p w14:paraId="1E7C4226">
            <w:pPr>
              <w:spacing w:after="80"/>
              <w:jc w:val="center"/>
              <w:rPr>
                <w:lang w:eastAsia="en-GB"/>
              </w:rPr>
            </w:pPr>
            <w:r>
              <w:rPr>
                <w:lang w:eastAsia="en-GB"/>
              </w:rPr>
              <w:t>4</w:t>
            </w:r>
          </w:p>
        </w:tc>
        <w:tc>
          <w:tcPr>
            <w:tcW w:w="0" w:type="auto"/>
            <w:shd w:val="clear" w:color="auto" w:fill="FBE4D5" w:themeFill="accent2" w:themeFillTint="33"/>
          </w:tcPr>
          <w:p w14:paraId="20026234">
            <w:pPr>
              <w:spacing w:after="80"/>
              <w:jc w:val="center"/>
              <w:rPr>
                <w:lang w:eastAsia="en-GB"/>
              </w:rPr>
            </w:pPr>
            <w:r>
              <w:rPr>
                <w:lang w:eastAsia="en-GB"/>
              </w:rPr>
              <w:t>2</w:t>
            </w:r>
          </w:p>
        </w:tc>
      </w:tr>
      <w:tr w14:paraId="5A0A1C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FBE4D5" w:themeFill="accent2" w:themeFillTint="33"/>
          </w:tcPr>
          <w:p w14:paraId="037BA625">
            <w:pPr>
              <w:spacing w:after="80"/>
              <w:rPr>
                <w:lang w:eastAsia="en-GB"/>
              </w:rPr>
            </w:pPr>
            <w:r>
              <w:rPr>
                <w:lang w:eastAsia="en-GB"/>
              </w:rPr>
              <w:t>Development of interview guide; scheduling and preparing for interviews</w:t>
            </w:r>
          </w:p>
        </w:tc>
        <w:tc>
          <w:tcPr>
            <w:tcW w:w="0" w:type="auto"/>
            <w:shd w:val="clear" w:color="auto" w:fill="FBE4D5" w:themeFill="accent2" w:themeFillTint="33"/>
          </w:tcPr>
          <w:p w14:paraId="39A18FEA">
            <w:pPr>
              <w:spacing w:after="80"/>
              <w:jc w:val="center"/>
              <w:rPr>
                <w:lang w:eastAsia="en-GB"/>
              </w:rPr>
            </w:pPr>
            <w:r>
              <w:rPr>
                <w:lang w:eastAsia="en-GB"/>
              </w:rPr>
              <w:t>5</w:t>
            </w:r>
          </w:p>
        </w:tc>
        <w:tc>
          <w:tcPr>
            <w:tcW w:w="0" w:type="auto"/>
            <w:shd w:val="clear" w:color="auto" w:fill="FBE4D5" w:themeFill="accent2" w:themeFillTint="33"/>
          </w:tcPr>
          <w:p w14:paraId="061ADFE0">
            <w:pPr>
              <w:spacing w:after="80"/>
              <w:jc w:val="center"/>
              <w:rPr>
                <w:lang w:eastAsia="en-GB"/>
              </w:rPr>
            </w:pPr>
            <w:r>
              <w:rPr>
                <w:lang w:eastAsia="en-GB"/>
              </w:rPr>
              <w:t>6</w:t>
            </w:r>
          </w:p>
        </w:tc>
        <w:tc>
          <w:tcPr>
            <w:tcW w:w="0" w:type="auto"/>
            <w:shd w:val="clear" w:color="auto" w:fill="FBE4D5" w:themeFill="accent2" w:themeFillTint="33"/>
          </w:tcPr>
          <w:p w14:paraId="500B3C03">
            <w:pPr>
              <w:spacing w:after="80"/>
              <w:jc w:val="center"/>
              <w:rPr>
                <w:lang w:eastAsia="en-GB"/>
              </w:rPr>
            </w:pPr>
            <w:r>
              <w:rPr>
                <w:lang w:eastAsia="en-GB"/>
              </w:rPr>
              <w:t>2</w:t>
            </w:r>
          </w:p>
        </w:tc>
      </w:tr>
      <w:tr w14:paraId="3CC194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FBE4D5" w:themeFill="accent2" w:themeFillTint="33"/>
          </w:tcPr>
          <w:p w14:paraId="50EC8E50">
            <w:pPr>
              <w:spacing w:after="80"/>
              <w:rPr>
                <w:lang w:eastAsia="en-GB"/>
              </w:rPr>
            </w:pPr>
            <w:r>
              <w:rPr>
                <w:lang w:eastAsia="en-GB"/>
              </w:rPr>
              <w:t>Primary data collection through semi-structured interviews</w:t>
            </w:r>
          </w:p>
        </w:tc>
        <w:tc>
          <w:tcPr>
            <w:tcW w:w="0" w:type="auto"/>
            <w:shd w:val="clear" w:color="auto" w:fill="FBE4D5" w:themeFill="accent2" w:themeFillTint="33"/>
          </w:tcPr>
          <w:p w14:paraId="1E1C72D3">
            <w:pPr>
              <w:spacing w:after="80"/>
              <w:jc w:val="center"/>
              <w:rPr>
                <w:lang w:eastAsia="en-GB"/>
              </w:rPr>
            </w:pPr>
            <w:r>
              <w:rPr>
                <w:lang w:eastAsia="en-GB"/>
              </w:rPr>
              <w:t>7</w:t>
            </w:r>
          </w:p>
        </w:tc>
        <w:tc>
          <w:tcPr>
            <w:tcW w:w="0" w:type="auto"/>
            <w:shd w:val="clear" w:color="auto" w:fill="FBE4D5" w:themeFill="accent2" w:themeFillTint="33"/>
          </w:tcPr>
          <w:p w14:paraId="446DC160">
            <w:pPr>
              <w:spacing w:after="80"/>
              <w:jc w:val="center"/>
              <w:rPr>
                <w:lang w:eastAsia="en-GB"/>
              </w:rPr>
            </w:pPr>
            <w:r>
              <w:rPr>
                <w:lang w:eastAsia="en-GB"/>
              </w:rPr>
              <w:t>9</w:t>
            </w:r>
          </w:p>
        </w:tc>
        <w:tc>
          <w:tcPr>
            <w:tcW w:w="0" w:type="auto"/>
            <w:shd w:val="clear" w:color="auto" w:fill="FBE4D5" w:themeFill="accent2" w:themeFillTint="33"/>
          </w:tcPr>
          <w:p w14:paraId="41A0469C">
            <w:pPr>
              <w:spacing w:after="80"/>
              <w:jc w:val="center"/>
              <w:rPr>
                <w:lang w:eastAsia="en-GB"/>
              </w:rPr>
            </w:pPr>
            <w:r>
              <w:rPr>
                <w:lang w:eastAsia="en-GB"/>
              </w:rPr>
              <w:t>3</w:t>
            </w:r>
          </w:p>
        </w:tc>
      </w:tr>
      <w:tr w14:paraId="33C813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FBE4D5" w:themeFill="accent2" w:themeFillTint="33"/>
          </w:tcPr>
          <w:p w14:paraId="695C9E70">
            <w:pPr>
              <w:spacing w:after="80"/>
              <w:rPr>
                <w:lang w:eastAsia="en-GB"/>
              </w:rPr>
            </w:pPr>
            <w:r>
              <w:rPr>
                <w:lang w:eastAsia="en-GB"/>
              </w:rPr>
              <w:t>Transcription and initial familiarisation with interview data</w:t>
            </w:r>
          </w:p>
        </w:tc>
        <w:tc>
          <w:tcPr>
            <w:tcW w:w="0" w:type="auto"/>
            <w:shd w:val="clear" w:color="auto" w:fill="FBE4D5" w:themeFill="accent2" w:themeFillTint="33"/>
          </w:tcPr>
          <w:p w14:paraId="21371079">
            <w:pPr>
              <w:spacing w:after="80"/>
              <w:jc w:val="center"/>
              <w:rPr>
                <w:lang w:eastAsia="en-GB"/>
              </w:rPr>
            </w:pPr>
            <w:r>
              <w:rPr>
                <w:lang w:eastAsia="en-GB"/>
              </w:rPr>
              <w:t>10</w:t>
            </w:r>
          </w:p>
        </w:tc>
        <w:tc>
          <w:tcPr>
            <w:tcW w:w="0" w:type="auto"/>
            <w:shd w:val="clear" w:color="auto" w:fill="FBE4D5" w:themeFill="accent2" w:themeFillTint="33"/>
          </w:tcPr>
          <w:p w14:paraId="587FA701">
            <w:pPr>
              <w:spacing w:after="80"/>
              <w:jc w:val="center"/>
              <w:rPr>
                <w:lang w:eastAsia="en-GB"/>
              </w:rPr>
            </w:pPr>
            <w:r>
              <w:rPr>
                <w:lang w:eastAsia="en-GB"/>
              </w:rPr>
              <w:t>10</w:t>
            </w:r>
          </w:p>
        </w:tc>
        <w:tc>
          <w:tcPr>
            <w:tcW w:w="0" w:type="auto"/>
            <w:shd w:val="clear" w:color="auto" w:fill="FBE4D5" w:themeFill="accent2" w:themeFillTint="33"/>
          </w:tcPr>
          <w:p w14:paraId="3436C248">
            <w:pPr>
              <w:spacing w:after="80"/>
              <w:jc w:val="center"/>
              <w:rPr>
                <w:lang w:eastAsia="en-GB"/>
              </w:rPr>
            </w:pPr>
            <w:r>
              <w:rPr>
                <w:lang w:eastAsia="en-GB"/>
              </w:rPr>
              <w:t>1</w:t>
            </w:r>
          </w:p>
        </w:tc>
      </w:tr>
      <w:tr w14:paraId="273F2F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FBE4D5" w:themeFill="accent2" w:themeFillTint="33"/>
          </w:tcPr>
          <w:p w14:paraId="1DA9C307">
            <w:pPr>
              <w:spacing w:after="80"/>
              <w:rPr>
                <w:lang w:eastAsia="en-GB"/>
              </w:rPr>
            </w:pPr>
            <w:r>
              <w:rPr>
                <w:lang w:eastAsia="en-GB"/>
              </w:rPr>
              <w:t>Thematic coding and analysis using NVivo</w:t>
            </w:r>
          </w:p>
        </w:tc>
        <w:tc>
          <w:tcPr>
            <w:tcW w:w="0" w:type="auto"/>
            <w:shd w:val="clear" w:color="auto" w:fill="FBE4D5" w:themeFill="accent2" w:themeFillTint="33"/>
          </w:tcPr>
          <w:p w14:paraId="14ABB212">
            <w:pPr>
              <w:spacing w:after="80"/>
              <w:jc w:val="center"/>
              <w:rPr>
                <w:lang w:eastAsia="en-GB"/>
              </w:rPr>
            </w:pPr>
            <w:r>
              <w:rPr>
                <w:lang w:eastAsia="en-GB"/>
              </w:rPr>
              <w:t>11</w:t>
            </w:r>
          </w:p>
        </w:tc>
        <w:tc>
          <w:tcPr>
            <w:tcW w:w="0" w:type="auto"/>
            <w:shd w:val="clear" w:color="auto" w:fill="FBE4D5" w:themeFill="accent2" w:themeFillTint="33"/>
          </w:tcPr>
          <w:p w14:paraId="19DB1DCE">
            <w:pPr>
              <w:spacing w:after="80"/>
              <w:jc w:val="center"/>
              <w:rPr>
                <w:lang w:eastAsia="en-GB"/>
              </w:rPr>
            </w:pPr>
            <w:r>
              <w:rPr>
                <w:lang w:eastAsia="en-GB"/>
              </w:rPr>
              <w:t>12</w:t>
            </w:r>
          </w:p>
        </w:tc>
        <w:tc>
          <w:tcPr>
            <w:tcW w:w="0" w:type="auto"/>
            <w:shd w:val="clear" w:color="auto" w:fill="FBE4D5" w:themeFill="accent2" w:themeFillTint="33"/>
          </w:tcPr>
          <w:p w14:paraId="06132355">
            <w:pPr>
              <w:spacing w:after="80"/>
              <w:jc w:val="center"/>
              <w:rPr>
                <w:lang w:eastAsia="en-GB"/>
              </w:rPr>
            </w:pPr>
            <w:r>
              <w:rPr>
                <w:lang w:eastAsia="en-GB"/>
              </w:rPr>
              <w:t>2</w:t>
            </w:r>
          </w:p>
        </w:tc>
      </w:tr>
      <w:tr w14:paraId="2C1E03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FBE4D5" w:themeFill="accent2" w:themeFillTint="33"/>
          </w:tcPr>
          <w:p w14:paraId="3E1D50FD">
            <w:pPr>
              <w:spacing w:after="80"/>
              <w:rPr>
                <w:lang w:eastAsia="en-GB"/>
              </w:rPr>
            </w:pPr>
            <w:r>
              <w:rPr>
                <w:lang w:eastAsia="en-GB"/>
              </w:rPr>
              <w:t>Interpretation of findings, formulation of discussion and conclusions</w:t>
            </w:r>
          </w:p>
        </w:tc>
        <w:tc>
          <w:tcPr>
            <w:tcW w:w="0" w:type="auto"/>
            <w:shd w:val="clear" w:color="auto" w:fill="FBE4D5" w:themeFill="accent2" w:themeFillTint="33"/>
          </w:tcPr>
          <w:p w14:paraId="05B8C9DD">
            <w:pPr>
              <w:spacing w:after="80"/>
              <w:jc w:val="center"/>
              <w:rPr>
                <w:lang w:eastAsia="en-GB"/>
              </w:rPr>
            </w:pPr>
            <w:r>
              <w:rPr>
                <w:lang w:eastAsia="en-GB"/>
              </w:rPr>
              <w:t>13</w:t>
            </w:r>
          </w:p>
        </w:tc>
        <w:tc>
          <w:tcPr>
            <w:tcW w:w="0" w:type="auto"/>
            <w:shd w:val="clear" w:color="auto" w:fill="FBE4D5" w:themeFill="accent2" w:themeFillTint="33"/>
          </w:tcPr>
          <w:p w14:paraId="1D24CF7F">
            <w:pPr>
              <w:spacing w:after="80"/>
              <w:jc w:val="center"/>
              <w:rPr>
                <w:lang w:eastAsia="en-GB"/>
              </w:rPr>
            </w:pPr>
            <w:r>
              <w:rPr>
                <w:lang w:eastAsia="en-GB"/>
              </w:rPr>
              <w:t>13</w:t>
            </w:r>
          </w:p>
        </w:tc>
        <w:tc>
          <w:tcPr>
            <w:tcW w:w="0" w:type="auto"/>
            <w:shd w:val="clear" w:color="auto" w:fill="FBE4D5" w:themeFill="accent2" w:themeFillTint="33"/>
          </w:tcPr>
          <w:p w14:paraId="2838F50F">
            <w:pPr>
              <w:spacing w:after="80"/>
              <w:jc w:val="center"/>
              <w:rPr>
                <w:lang w:eastAsia="en-GB"/>
              </w:rPr>
            </w:pPr>
            <w:r>
              <w:rPr>
                <w:lang w:eastAsia="en-GB"/>
              </w:rPr>
              <w:t>1</w:t>
            </w:r>
          </w:p>
        </w:tc>
      </w:tr>
      <w:tr w14:paraId="47CB7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67C61BE">
            <w:pPr>
              <w:spacing w:after="80"/>
              <w:rPr>
                <w:lang w:eastAsia="en-GB"/>
              </w:rPr>
            </w:pPr>
          </w:p>
        </w:tc>
        <w:tc>
          <w:tcPr>
            <w:tcW w:w="0" w:type="auto"/>
          </w:tcPr>
          <w:p w14:paraId="3CBE7E1B">
            <w:pPr>
              <w:spacing w:after="80"/>
              <w:rPr>
                <w:sz w:val="20"/>
                <w:szCs w:val="20"/>
                <w:lang w:eastAsia="en-GB"/>
              </w:rPr>
            </w:pPr>
          </w:p>
        </w:tc>
        <w:tc>
          <w:tcPr>
            <w:tcW w:w="0" w:type="auto"/>
          </w:tcPr>
          <w:p w14:paraId="72F8A19B">
            <w:pPr>
              <w:spacing w:after="80"/>
              <w:rPr>
                <w:sz w:val="20"/>
                <w:szCs w:val="20"/>
                <w:lang w:eastAsia="en-GB"/>
              </w:rPr>
            </w:pPr>
          </w:p>
        </w:tc>
        <w:tc>
          <w:tcPr>
            <w:tcW w:w="0" w:type="auto"/>
          </w:tcPr>
          <w:p w14:paraId="475CA24E">
            <w:pPr>
              <w:spacing w:after="80"/>
              <w:rPr>
                <w:sz w:val="20"/>
                <w:szCs w:val="20"/>
                <w:lang w:eastAsia="en-GB"/>
              </w:rPr>
            </w:pPr>
          </w:p>
        </w:tc>
      </w:tr>
    </w:tbl>
    <w:p w14:paraId="7AF0CDA1">
      <w:pPr>
        <w:spacing w:after="80"/>
        <w:jc w:val="center"/>
      </w:pPr>
      <w:r>
        <w:drawing>
          <wp:inline distT="0" distB="0" distL="0" distR="0">
            <wp:extent cx="5091430" cy="2820035"/>
            <wp:effectExtent l="0" t="0" r="13970" b="18415"/>
            <wp:docPr id="78678177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F4FB792">
      <w:pPr>
        <w:spacing w:after="80"/>
      </w:pPr>
      <w:r>
        <w:t>The project implementation plan includes adequate time for each phase to follow logically from the proposal stage into analysis and writing, while creating buffer zones for addressing possible scheduling or accessibility problems. Ethical approval and the initiation of data collection constitute critical path tasks that need immediate completion to maintain subsequent phase schedules.</w:t>
      </w:r>
    </w:p>
    <w:p w14:paraId="5042205F">
      <w:pPr>
        <w:spacing w:after="80"/>
      </w:pPr>
      <w:r>
        <w:t>The project team will perform consistent assessments and adaptations to maintain proper development and keep to university requirements during the project duration.</w:t>
      </w:r>
    </w:p>
    <w:p w14:paraId="13E0CF88">
      <w:pPr>
        <w:pStyle w:val="2"/>
      </w:pPr>
      <w:bookmarkStart w:id="8" w:name="_Toc196731126"/>
      <w:r>
        <w:t>Ethical Consideration</w:t>
      </w:r>
      <w:bookmarkEnd w:id="8"/>
      <w:r>
        <w:t xml:space="preserve"> </w:t>
      </w:r>
    </w:p>
    <w:p w14:paraId="760D2F2C">
      <w:pPr>
        <w:spacing w:after="80"/>
      </w:pPr>
      <w:r>
        <w:t>This study depends on ethical foundations as it uses qualitative methodology with human participants. This research observes all university-prescribed ethical guidelines together with the General Data Protection Regulation (GDPR) and other relevant UK data protection regulations.</w:t>
      </w:r>
    </w:p>
    <w:p w14:paraId="72D7AA96">
      <w:pPr>
        <w:spacing w:after="80"/>
      </w:pPr>
      <w:r>
        <w:t>An application for formal ethical authorisation to collect data will be directed at the research ethics committee of the university (Ciuk and Latusek, 2018).  Every participant will access an information summary that describes the research goals along with procedures and full details about non-mandatory participation and information handling and storage protocols. Every participant must give written consent to begin the interview process.</w:t>
      </w:r>
    </w:p>
    <w:p w14:paraId="56B82338">
      <w:pPr>
        <w:spacing w:after="80"/>
      </w:pPr>
      <w:r>
        <w:t>A protected environment for confidentiality, together with anonymity, will exist throughout the entire research period. The final report excludes any mention of participant names or identities (Eungoo and Hwang, 2023). The research utilises pseudonyms together with numerical identifiers as references within data files and transcripts. The research data storage system includes password-protected encrypted devices that maintain sole access for the researcher.</w:t>
      </w:r>
    </w:p>
    <w:p w14:paraId="712BF661">
      <w:pPr>
        <w:spacing w:after="80"/>
      </w:pPr>
      <w:r>
        <w:t>The study participants will maintain full freedom to discontinue their involvement at any time without need for explanation and with no resulting negative implications. The participants are given the guarantee that optional questions can be avoided when the interview time arrives.</w:t>
      </w:r>
    </w:p>
    <w:p w14:paraId="3E97DBAD">
      <w:pPr>
        <w:spacing w:after="80"/>
      </w:pPr>
      <w:r>
        <w:t>A reflexive journal will serve as a record of the researcher’s decisions and challenges, together with their reflections to reduce personal biases throughout the project</w:t>
      </w:r>
      <w:r>
        <w:rPr>
          <w:shd w:val="clear" w:color="auto" w:fill="FFFFFF"/>
        </w:rPr>
        <w:t xml:space="preserve"> (Karcher, McCuaig, and King-Hill, 2024). </w:t>
      </w:r>
      <w:r>
        <w:t xml:space="preserve"> The notebook ensures complete transparency as well as critical insights during data interpretation processes.</w:t>
      </w:r>
    </w:p>
    <w:p w14:paraId="1283C3A0">
      <w:pPr>
        <w:spacing w:after="80"/>
      </w:pPr>
      <w:r>
        <w:t>Participants will experience no physical or psychological damage because the research design protects their well-being (Karunarathna et al., 2024). The interview procedure will be professional and non-intrusive concerning participants’ dignity (Karunarathna et al., 2024).  The research protects participant rights while maintaining data integrity as well as academic responsibility through its commitment to high ethical standards throughout the entire research period.</w:t>
      </w:r>
    </w:p>
    <w:p w14:paraId="63A0E7AA">
      <w:pPr>
        <w:spacing w:after="80"/>
      </w:pPr>
      <w:r>
        <w:t>The proposed study establishes appropriate ethical standards for participant consent procedures alongside guaranteed confidentiality and secure data management that fulfils GDPR requirements and applicable institutional research ethics standards. This study acknowledges the limitations which stem from restricted participant availability and small sample sizes, in addition to subjective interpretations that come from doing qualitative analysis. The research design implements methodological techniques and ethical standards along with transparent practices to reduce these challenges.</w:t>
      </w:r>
    </w:p>
    <w:p w14:paraId="0EEA8961">
      <w:pPr>
        <w:spacing w:after="80"/>
      </w:pPr>
      <w:r>
        <w:t xml:space="preserve">The focus on UK automobile sector operations provides this investigation with unique insights into AI-altered HR leadership methods across a traditional industry branch that is undergoing technological changes. The research analyses operational advantages besides exploring security hazards and barriers, and ethical management effects. The study produces results which benefit both HR professionals together with senior leaders and policymakers by offering practical methods for using AI innovation alongside ethical human capital management strategies. In doing so, the study aims to facilitate a balanced and sustainable future for HR where artificial intelligence leverages, rather than replaces, the most important human elements of leadership, empathy, and trust.       </w:t>
      </w:r>
    </w:p>
    <w:p w14:paraId="35CF0C27">
      <w:pPr>
        <w:spacing w:after="80"/>
        <w:rPr>
          <w:b/>
          <w:bCs/>
        </w:rPr>
      </w:pPr>
      <w:r>
        <w:rPr>
          <w:b/>
          <w:bCs/>
        </w:rPr>
        <w:t>Word count: 4.971</w:t>
      </w:r>
    </w:p>
    <w:p w14:paraId="19217A51">
      <w:pPr>
        <w:pStyle w:val="2"/>
        <w:rPr>
          <w:color w:val="FF0000"/>
        </w:rPr>
      </w:pPr>
      <w:bookmarkStart w:id="9" w:name="_Toc196731127"/>
      <w:bookmarkStart w:id="10" w:name="_Toc196730508"/>
      <w:r>
        <w:t>References</w:t>
      </w:r>
      <w:bookmarkEnd w:id="9"/>
      <w:bookmarkEnd w:id="10"/>
      <w:r>
        <w:t xml:space="preserve">  </w:t>
      </w:r>
    </w:p>
    <w:p w14:paraId="4F736556">
      <w:pPr>
        <w:pStyle w:val="39"/>
        <w:numPr>
          <w:ilvl w:val="0"/>
          <w:numId w:val="13"/>
        </w:numPr>
        <w:rPr>
          <w:shd w:val="clear" w:color="auto" w:fill="FFFFFF"/>
        </w:rPr>
      </w:pPr>
      <w:r>
        <w:rPr>
          <w:shd w:val="clear" w:color="auto" w:fill="FFFFFF"/>
        </w:rPr>
        <w:t>Addis, C., and Kutar, M. S. (2020, March). General Data Protection Regulation (GDPR), artificial intelligence (AI) and UK organisations: a year of implementation of GDPR. In </w:t>
      </w:r>
      <w:r>
        <w:rPr>
          <w:i/>
          <w:iCs/>
          <w:shd w:val="clear" w:color="auto" w:fill="FFFFFF"/>
        </w:rPr>
        <w:t>UK Academy for information systems conference proceedings 2020</w:t>
      </w:r>
      <w:r>
        <w:rPr>
          <w:shd w:val="clear" w:color="auto" w:fill="FFFFFF"/>
        </w:rPr>
        <w:t>.</w:t>
      </w:r>
    </w:p>
    <w:p w14:paraId="19037CC5">
      <w:pPr>
        <w:pStyle w:val="39"/>
        <w:numPr>
          <w:ilvl w:val="0"/>
          <w:numId w:val="13"/>
        </w:numPr>
        <w:rPr>
          <w:shd w:val="clear" w:color="auto" w:fill="FFFFFF"/>
        </w:rPr>
      </w:pPr>
      <w:r>
        <w:rPr>
          <w:shd w:val="clear" w:color="auto" w:fill="FFFFFF"/>
        </w:rPr>
        <w:t>Ahmad, S., Hussain, S., Wasid, M., Onyarin, O. J., Arif, M., and Ahmad, J. (2024, June). The Future of Recruitment: Using Deep Learning to Build Intelligent Interview Bots. In </w:t>
      </w:r>
      <w:r>
        <w:rPr>
          <w:i/>
          <w:iCs/>
          <w:shd w:val="clear" w:color="auto" w:fill="FFFFFF"/>
        </w:rPr>
        <w:t>2024 15th International Conference on Computing Communication and Networking Technologies (ICCCNT)</w:t>
      </w:r>
      <w:r>
        <w:rPr>
          <w:shd w:val="clear" w:color="auto" w:fill="FFFFFF"/>
        </w:rPr>
        <w:t> (pp. 1-6). IEEE.</w:t>
      </w:r>
    </w:p>
    <w:p w14:paraId="35D653F4">
      <w:pPr>
        <w:pStyle w:val="39"/>
        <w:numPr>
          <w:ilvl w:val="0"/>
          <w:numId w:val="13"/>
        </w:numPr>
        <w:rPr>
          <w:shd w:val="clear" w:color="auto" w:fill="FFFFFF"/>
        </w:rPr>
      </w:pPr>
      <w:r>
        <w:rPr>
          <w:shd w:val="clear" w:color="auto" w:fill="FFFFFF"/>
        </w:rPr>
        <w:t>Al Balushi, M. (2021). How internal transparency impacts organizational resilience. </w:t>
      </w:r>
      <w:r>
        <w:rPr>
          <w:i/>
          <w:iCs/>
          <w:shd w:val="clear" w:color="auto" w:fill="FFFFFF"/>
        </w:rPr>
        <w:t>International Journal of Quality &amp; Reliability Management</w:t>
      </w:r>
      <w:r>
        <w:rPr>
          <w:shd w:val="clear" w:color="auto" w:fill="FFFFFF"/>
        </w:rPr>
        <w:t>, </w:t>
      </w:r>
      <w:r>
        <w:rPr>
          <w:i/>
          <w:iCs/>
          <w:shd w:val="clear" w:color="auto" w:fill="FFFFFF"/>
        </w:rPr>
        <w:t>38</w:t>
      </w:r>
      <w:r>
        <w:rPr>
          <w:shd w:val="clear" w:color="auto" w:fill="FFFFFF"/>
        </w:rPr>
        <w:t>(5), 1246-1263.</w:t>
      </w:r>
    </w:p>
    <w:p w14:paraId="7A5F8EEE">
      <w:pPr>
        <w:pStyle w:val="39"/>
        <w:numPr>
          <w:ilvl w:val="0"/>
          <w:numId w:val="13"/>
        </w:numPr>
        <w:rPr>
          <w:b/>
        </w:rPr>
      </w:pPr>
      <w:r>
        <w:rPr>
          <w:shd w:val="clear" w:color="auto" w:fill="FFFFFF"/>
        </w:rPr>
        <w:t>Aldulaimi, S. H., Abdeldayem, M. M., Mowafak, B. M., and Abdulaziz, M. M. (2021). Experimental perspective of artificial intelligence technology in human resources management. </w:t>
      </w:r>
      <w:r>
        <w:rPr>
          <w:i/>
          <w:iCs/>
          <w:shd w:val="clear" w:color="auto" w:fill="FFFFFF"/>
        </w:rPr>
        <w:t>Applications of artificial intelligence in business, education and healthcare</w:t>
      </w:r>
      <w:r>
        <w:rPr>
          <w:shd w:val="clear" w:color="auto" w:fill="FFFFFF"/>
        </w:rPr>
        <w:t>, 487-511.</w:t>
      </w:r>
    </w:p>
    <w:p w14:paraId="3EFB31C1">
      <w:pPr>
        <w:pStyle w:val="39"/>
        <w:numPr>
          <w:ilvl w:val="0"/>
          <w:numId w:val="13"/>
        </w:numPr>
        <w:rPr>
          <w:shd w:val="clear" w:color="auto" w:fill="FFFFFF"/>
        </w:rPr>
      </w:pPr>
      <w:r>
        <w:rPr>
          <w:shd w:val="clear" w:color="auto" w:fill="FFFFFF"/>
        </w:rPr>
        <w:t>Allsop, D. B., Chelladurai, J. M., Kimball, E. R., Marks, L. D., and Hendricks, J. J. (2022). Qualitative methods with Nvivo software: A practical guide for analyzing qualitative data. </w:t>
      </w:r>
      <w:r>
        <w:rPr>
          <w:i/>
          <w:iCs/>
          <w:shd w:val="clear" w:color="auto" w:fill="FFFFFF"/>
        </w:rPr>
        <w:t>Psych</w:t>
      </w:r>
      <w:r>
        <w:rPr>
          <w:shd w:val="clear" w:color="auto" w:fill="FFFFFF"/>
        </w:rPr>
        <w:t>, </w:t>
      </w:r>
      <w:r>
        <w:rPr>
          <w:i/>
          <w:iCs/>
          <w:shd w:val="clear" w:color="auto" w:fill="FFFFFF"/>
        </w:rPr>
        <w:t>4</w:t>
      </w:r>
      <w:r>
        <w:rPr>
          <w:shd w:val="clear" w:color="auto" w:fill="FFFFFF"/>
        </w:rPr>
        <w:t>(2), 142-159.</w:t>
      </w:r>
    </w:p>
    <w:p w14:paraId="45B0852A">
      <w:pPr>
        <w:pStyle w:val="39"/>
        <w:numPr>
          <w:ilvl w:val="0"/>
          <w:numId w:val="13"/>
        </w:numPr>
        <w:rPr>
          <w:shd w:val="clear" w:color="auto" w:fill="FFFFFF"/>
        </w:rPr>
      </w:pPr>
      <w:r>
        <w:rPr>
          <w:shd w:val="clear" w:color="auto" w:fill="FFFFFF"/>
          <w:lang w:val="pt-BR"/>
        </w:rPr>
        <w:t xml:space="preserve">Azevedo, V., Carvalho, M., Fernandes-Costa, F., Mesquita, S., Soares, J., Teixeira, F., and Maia, Â. (2017). </w:t>
      </w:r>
      <w:r>
        <w:rPr>
          <w:shd w:val="clear" w:color="auto" w:fill="FFFFFF"/>
        </w:rPr>
        <w:t>Interview transcription: conceptual issues, practical guidelines, and challenges. </w:t>
      </w:r>
      <w:r>
        <w:rPr>
          <w:i/>
          <w:iCs/>
          <w:shd w:val="clear" w:color="auto" w:fill="FFFFFF"/>
        </w:rPr>
        <w:t>Revista de Enfermagem Referência</w:t>
      </w:r>
      <w:r>
        <w:rPr>
          <w:shd w:val="clear" w:color="auto" w:fill="FFFFFF"/>
        </w:rPr>
        <w:t>, </w:t>
      </w:r>
      <w:r>
        <w:rPr>
          <w:i/>
          <w:iCs/>
          <w:shd w:val="clear" w:color="auto" w:fill="FFFFFF"/>
        </w:rPr>
        <w:t>4</w:t>
      </w:r>
      <w:r>
        <w:rPr>
          <w:shd w:val="clear" w:color="auto" w:fill="FFFFFF"/>
        </w:rPr>
        <w:t>(14), 159-167.</w:t>
      </w:r>
    </w:p>
    <w:p w14:paraId="1FF1841C">
      <w:pPr>
        <w:pStyle w:val="39"/>
        <w:numPr>
          <w:ilvl w:val="0"/>
          <w:numId w:val="13"/>
        </w:numPr>
        <w:rPr>
          <w:shd w:val="clear" w:color="auto" w:fill="FFFFFF"/>
        </w:rPr>
      </w:pPr>
      <w:r>
        <w:rPr>
          <w:shd w:val="clear" w:color="auto" w:fill="FFFFFF"/>
        </w:rPr>
        <w:t>Ball, K. (2021). Electronic monitoring and surveillance in the workplace. </w:t>
      </w:r>
      <w:r>
        <w:rPr>
          <w:i/>
          <w:iCs/>
          <w:shd w:val="clear" w:color="auto" w:fill="FFFFFF"/>
        </w:rPr>
        <w:t>European Commission Joint Research Centre</w:t>
      </w:r>
      <w:r>
        <w:rPr>
          <w:shd w:val="clear" w:color="auto" w:fill="FFFFFF"/>
        </w:rPr>
        <w:t>.</w:t>
      </w:r>
    </w:p>
    <w:p w14:paraId="0F65F693">
      <w:pPr>
        <w:pStyle w:val="39"/>
        <w:numPr>
          <w:ilvl w:val="0"/>
          <w:numId w:val="13"/>
        </w:numPr>
        <w:rPr>
          <w:shd w:val="clear" w:color="auto" w:fill="FFFFFF"/>
        </w:rPr>
      </w:pPr>
      <w:r>
        <w:rPr>
          <w:shd w:val="clear" w:color="auto" w:fill="FFFFFF"/>
        </w:rPr>
        <w:t>Basias, N., and Pollalis, Y. (2018). Quantitative and qualitative research in business &amp; technology: Justifying a suitable research methodology. </w:t>
      </w:r>
      <w:r>
        <w:rPr>
          <w:i/>
          <w:iCs/>
          <w:shd w:val="clear" w:color="auto" w:fill="FFFFFF"/>
        </w:rPr>
        <w:t>Review of Integrative Business and Economics Research</w:t>
      </w:r>
      <w:r>
        <w:rPr>
          <w:shd w:val="clear" w:color="auto" w:fill="FFFFFF"/>
        </w:rPr>
        <w:t>, </w:t>
      </w:r>
      <w:r>
        <w:rPr>
          <w:i/>
          <w:iCs/>
          <w:shd w:val="clear" w:color="auto" w:fill="FFFFFF"/>
        </w:rPr>
        <w:t>7</w:t>
      </w:r>
      <w:r>
        <w:rPr>
          <w:shd w:val="clear" w:color="auto" w:fill="FFFFFF"/>
        </w:rPr>
        <w:t>, 91-105.</w:t>
      </w:r>
    </w:p>
    <w:p w14:paraId="55B1150E">
      <w:pPr>
        <w:pStyle w:val="39"/>
        <w:numPr>
          <w:ilvl w:val="0"/>
          <w:numId w:val="13"/>
        </w:numPr>
        <w:rPr>
          <w:shd w:val="clear" w:color="auto" w:fill="FFFFFF"/>
        </w:rPr>
      </w:pPr>
      <w:r>
        <w:rPr>
          <w:shd w:val="clear" w:color="auto" w:fill="FFFFFF"/>
        </w:rPr>
        <w:t>Bergmann, J. (2023). Research philosophy, methodological implications, and research design. In </w:t>
      </w:r>
      <w:r>
        <w:rPr>
          <w:i/>
          <w:iCs/>
          <w:shd w:val="clear" w:color="auto" w:fill="FFFFFF"/>
        </w:rPr>
        <w:t>At Risk of Deprivation: The Multidimensional Well-Being Impacts of Climate Migration and Immobility in Peru</w:t>
      </w:r>
      <w:r>
        <w:rPr>
          <w:shd w:val="clear" w:color="auto" w:fill="FFFFFF"/>
        </w:rPr>
        <w:t> (pp. 57-89). Wiesbaden: Springer Fachmedien Wiesbaden.</w:t>
      </w:r>
    </w:p>
    <w:p w14:paraId="0581A802">
      <w:pPr>
        <w:pStyle w:val="39"/>
        <w:numPr>
          <w:ilvl w:val="0"/>
          <w:numId w:val="13"/>
        </w:numPr>
        <w:rPr>
          <w:shd w:val="clear" w:color="auto" w:fill="FFFFFF"/>
        </w:rPr>
      </w:pPr>
      <w:r>
        <w:rPr>
          <w:shd w:val="clear" w:color="auto" w:fill="FFFFFF"/>
        </w:rPr>
        <w:t>Ciuk, S., and Latusek, D. (2018). </w:t>
      </w:r>
      <w:r>
        <w:rPr>
          <w:i/>
          <w:iCs/>
          <w:shd w:val="clear" w:color="auto" w:fill="FFFFFF"/>
        </w:rPr>
        <w:t>Ethics in qualitative research</w:t>
      </w:r>
      <w:r>
        <w:rPr>
          <w:shd w:val="clear" w:color="auto" w:fill="FFFFFF"/>
        </w:rPr>
        <w:t> (pp. 195-213). Springer International Publishing.</w:t>
      </w:r>
    </w:p>
    <w:p w14:paraId="5A171A1C">
      <w:pPr>
        <w:pStyle w:val="39"/>
        <w:numPr>
          <w:ilvl w:val="0"/>
          <w:numId w:val="13"/>
        </w:numPr>
        <w:rPr>
          <w:shd w:val="clear" w:color="auto" w:fill="FFFFFF"/>
        </w:rPr>
      </w:pPr>
      <w:r>
        <w:rPr>
          <w:shd w:val="clear" w:color="auto" w:fill="FFFFFF"/>
        </w:rPr>
        <w:t>Daneshjou, R., Smith, M. P., Sun, M. D., Rotemberg, V., and Zou, J. (2021). Lack of transparency and potential bias in artificial intelligence data sets and algorithms: a scoping review. </w:t>
      </w:r>
      <w:r>
        <w:rPr>
          <w:i/>
          <w:iCs/>
          <w:shd w:val="clear" w:color="auto" w:fill="FFFFFF"/>
        </w:rPr>
        <w:t>JAMA dermatology</w:t>
      </w:r>
      <w:r>
        <w:rPr>
          <w:shd w:val="clear" w:color="auto" w:fill="FFFFFF"/>
        </w:rPr>
        <w:t>, </w:t>
      </w:r>
      <w:r>
        <w:rPr>
          <w:i/>
          <w:iCs/>
          <w:shd w:val="clear" w:color="auto" w:fill="FFFFFF"/>
        </w:rPr>
        <w:t>157</w:t>
      </w:r>
      <w:r>
        <w:rPr>
          <w:shd w:val="clear" w:color="auto" w:fill="FFFFFF"/>
        </w:rPr>
        <w:t>(11), 1362-1369.</w:t>
      </w:r>
    </w:p>
    <w:p w14:paraId="435185A7">
      <w:pPr>
        <w:pStyle w:val="39"/>
        <w:numPr>
          <w:ilvl w:val="0"/>
          <w:numId w:val="13"/>
        </w:numPr>
        <w:rPr>
          <w:shd w:val="clear" w:color="auto" w:fill="FFFFFF"/>
        </w:rPr>
      </w:pPr>
      <w:r>
        <w:rPr>
          <w:shd w:val="clear" w:color="auto" w:fill="FFFFFF"/>
        </w:rPr>
        <w:t>Davenport, T., Guha, A., Grewal, D., and Bressgott, T. (2020). How artificial intelligence will change the future of marketing. </w:t>
      </w:r>
      <w:r>
        <w:rPr>
          <w:i/>
          <w:iCs/>
          <w:shd w:val="clear" w:color="auto" w:fill="FFFFFF"/>
        </w:rPr>
        <w:t>Journal of the Academy of Marketing Science</w:t>
      </w:r>
      <w:r>
        <w:rPr>
          <w:shd w:val="clear" w:color="auto" w:fill="FFFFFF"/>
        </w:rPr>
        <w:t>, </w:t>
      </w:r>
      <w:r>
        <w:rPr>
          <w:i/>
          <w:iCs/>
          <w:shd w:val="clear" w:color="auto" w:fill="FFFFFF"/>
        </w:rPr>
        <w:t>48</w:t>
      </w:r>
      <w:r>
        <w:rPr>
          <w:shd w:val="clear" w:color="auto" w:fill="FFFFFF"/>
        </w:rPr>
        <w:t>, 24-42.</w:t>
      </w:r>
    </w:p>
    <w:p w14:paraId="29813D92">
      <w:pPr>
        <w:pStyle w:val="39"/>
        <w:numPr>
          <w:ilvl w:val="0"/>
          <w:numId w:val="13"/>
        </w:numPr>
        <w:rPr>
          <w:shd w:val="clear" w:color="auto" w:fill="FFFFFF"/>
        </w:rPr>
      </w:pPr>
      <w:r>
        <w:rPr>
          <w:shd w:val="clear" w:color="auto" w:fill="FFFFFF"/>
        </w:rPr>
        <w:t>Ducato, R. (2020). Data protection, scientific research, and the role of information. </w:t>
      </w:r>
      <w:r>
        <w:rPr>
          <w:i/>
          <w:iCs/>
          <w:shd w:val="clear" w:color="auto" w:fill="FFFFFF"/>
        </w:rPr>
        <w:t>Computer Law &amp; Security Review</w:t>
      </w:r>
      <w:r>
        <w:rPr>
          <w:shd w:val="clear" w:color="auto" w:fill="FFFFFF"/>
        </w:rPr>
        <w:t>, </w:t>
      </w:r>
      <w:r>
        <w:rPr>
          <w:i/>
          <w:iCs/>
          <w:shd w:val="clear" w:color="auto" w:fill="FFFFFF"/>
        </w:rPr>
        <w:t>37</w:t>
      </w:r>
      <w:r>
        <w:rPr>
          <w:shd w:val="clear" w:color="auto" w:fill="FFFFFF"/>
        </w:rPr>
        <w:t>, 105412.</w:t>
      </w:r>
    </w:p>
    <w:p w14:paraId="5E23E513">
      <w:pPr>
        <w:pStyle w:val="39"/>
        <w:numPr>
          <w:ilvl w:val="0"/>
          <w:numId w:val="13"/>
        </w:numPr>
        <w:rPr>
          <w:shd w:val="clear" w:color="auto" w:fill="FFFFFF"/>
        </w:rPr>
      </w:pPr>
      <w:r>
        <w:rPr>
          <w:shd w:val="clear" w:color="auto" w:fill="FFFFFF"/>
        </w:rPr>
        <w:t>El-Ghoul, M., Almassri, M. M., El-Habibi, M. F., Al-Qadi, M. H., Abou Eloun, A., Abu-Nasser, B. S., and Abu-Naser, S. S. (2024). AI in HRM: Revolutionizing Recruitment, Performance Management, and Employee Engagement.</w:t>
      </w:r>
    </w:p>
    <w:p w14:paraId="2217FE58">
      <w:pPr>
        <w:pStyle w:val="39"/>
        <w:numPr>
          <w:ilvl w:val="0"/>
          <w:numId w:val="13"/>
        </w:numPr>
        <w:rPr>
          <w:shd w:val="clear" w:color="auto" w:fill="FFFFFF"/>
        </w:rPr>
      </w:pPr>
      <w:r>
        <w:rPr>
          <w:shd w:val="clear" w:color="auto" w:fill="FFFFFF"/>
        </w:rPr>
        <w:t>Eungoo, K. A. N. G., and Hwang, H. J. (2023). The importance of anonymity and confidentiality for conducting survey research. </w:t>
      </w:r>
      <w:r>
        <w:rPr>
          <w:i/>
          <w:iCs/>
          <w:shd w:val="clear" w:color="auto" w:fill="FFFFFF"/>
        </w:rPr>
        <w:t>Journal of Research and Publication Ethics</w:t>
      </w:r>
      <w:r>
        <w:rPr>
          <w:shd w:val="clear" w:color="auto" w:fill="FFFFFF"/>
        </w:rPr>
        <w:t>, </w:t>
      </w:r>
      <w:r>
        <w:rPr>
          <w:i/>
          <w:iCs/>
          <w:shd w:val="clear" w:color="auto" w:fill="FFFFFF"/>
        </w:rPr>
        <w:t>4</w:t>
      </w:r>
      <w:r>
        <w:rPr>
          <w:shd w:val="clear" w:color="auto" w:fill="FFFFFF"/>
        </w:rPr>
        <w:t>(1), 1-7.</w:t>
      </w:r>
    </w:p>
    <w:p w14:paraId="0D8533CA">
      <w:pPr>
        <w:pStyle w:val="39"/>
        <w:numPr>
          <w:ilvl w:val="0"/>
          <w:numId w:val="13"/>
        </w:numPr>
        <w:rPr>
          <w:shd w:val="clear" w:color="auto" w:fill="FFFFFF"/>
        </w:rPr>
      </w:pPr>
      <w:r>
        <w:rPr>
          <w:shd w:val="clear" w:color="auto" w:fill="FFFFFF"/>
        </w:rPr>
        <w:t>George, G., and Thomas, M. R. (2019). Integration of artificial intelligence in human resource. </w:t>
      </w:r>
      <w:r>
        <w:rPr>
          <w:i/>
          <w:iCs/>
          <w:shd w:val="clear" w:color="auto" w:fill="FFFFFF"/>
        </w:rPr>
        <w:t>International Journal of Innovative Technology and Exploring Engineering</w:t>
      </w:r>
      <w:r>
        <w:rPr>
          <w:shd w:val="clear" w:color="auto" w:fill="FFFFFF"/>
        </w:rPr>
        <w:t>, </w:t>
      </w:r>
      <w:r>
        <w:rPr>
          <w:i/>
          <w:iCs/>
          <w:shd w:val="clear" w:color="auto" w:fill="FFFFFF"/>
        </w:rPr>
        <w:t>9</w:t>
      </w:r>
      <w:r>
        <w:rPr>
          <w:shd w:val="clear" w:color="auto" w:fill="FFFFFF"/>
        </w:rPr>
        <w:t>(2), 5069-5073.</w:t>
      </w:r>
    </w:p>
    <w:p w14:paraId="4A207A3D">
      <w:pPr>
        <w:pStyle w:val="39"/>
        <w:numPr>
          <w:ilvl w:val="0"/>
          <w:numId w:val="13"/>
        </w:numPr>
        <w:rPr>
          <w:shd w:val="clear" w:color="auto" w:fill="FFFFFF"/>
        </w:rPr>
      </w:pPr>
      <w:r>
        <w:rPr>
          <w:shd w:val="clear" w:color="auto" w:fill="FFFFFF"/>
          <w:lang w:val="sv-SE"/>
        </w:rPr>
        <w:t xml:space="preserve">Hartmann, S., and Briskorn, D. (2022). </w:t>
      </w:r>
      <w:r>
        <w:rPr>
          <w:shd w:val="clear" w:color="auto" w:fill="FFFFFF"/>
        </w:rPr>
        <w:t>An updated survey of variants and extensions of the resource-constrained project scheduling problem. </w:t>
      </w:r>
      <w:r>
        <w:rPr>
          <w:i/>
          <w:iCs/>
          <w:shd w:val="clear" w:color="auto" w:fill="FFFFFF"/>
        </w:rPr>
        <w:t>European Journal of operational research</w:t>
      </w:r>
      <w:r>
        <w:rPr>
          <w:shd w:val="clear" w:color="auto" w:fill="FFFFFF"/>
        </w:rPr>
        <w:t>, </w:t>
      </w:r>
      <w:r>
        <w:rPr>
          <w:i/>
          <w:iCs/>
          <w:shd w:val="clear" w:color="auto" w:fill="FFFFFF"/>
        </w:rPr>
        <w:t>297</w:t>
      </w:r>
      <w:r>
        <w:rPr>
          <w:shd w:val="clear" w:color="auto" w:fill="FFFFFF"/>
        </w:rPr>
        <w:t>(1), 1-14.</w:t>
      </w:r>
    </w:p>
    <w:p w14:paraId="5AFE564B">
      <w:pPr>
        <w:pStyle w:val="39"/>
        <w:numPr>
          <w:ilvl w:val="0"/>
          <w:numId w:val="13"/>
        </w:numPr>
        <w:rPr>
          <w:shd w:val="clear" w:color="auto" w:fill="FFFFFF"/>
        </w:rPr>
      </w:pPr>
      <w:r>
        <w:rPr>
          <w:shd w:val="clear" w:color="auto" w:fill="FFFFFF"/>
        </w:rPr>
        <w:t>Heide-Jørgensen, U., Adelborg, K., Kahlert, J., Sørensen, H. T., and Pedersen, L. (2018). Sampling strategies for selecting general population comparison cohorts. </w:t>
      </w:r>
      <w:r>
        <w:rPr>
          <w:i/>
          <w:iCs/>
          <w:shd w:val="clear" w:color="auto" w:fill="FFFFFF"/>
        </w:rPr>
        <w:t>Clinical Epidemiology</w:t>
      </w:r>
      <w:r>
        <w:rPr>
          <w:shd w:val="clear" w:color="auto" w:fill="FFFFFF"/>
        </w:rPr>
        <w:t xml:space="preserve">, 1325-1337. </w:t>
      </w:r>
    </w:p>
    <w:p w14:paraId="6A4156CE">
      <w:pPr>
        <w:pStyle w:val="39"/>
        <w:numPr>
          <w:ilvl w:val="0"/>
          <w:numId w:val="13"/>
        </w:numPr>
        <w:rPr>
          <w:shd w:val="clear" w:color="auto" w:fill="FFFFFF"/>
        </w:rPr>
      </w:pPr>
      <w:r>
        <w:rPr>
          <w:shd w:val="clear" w:color="auto" w:fill="FFFFFF"/>
        </w:rPr>
        <w:t>Hmoud, B. (2021). The adoption of artificial intelligence in human resource management and the role of human resources. In </w:t>
      </w:r>
      <w:r>
        <w:rPr>
          <w:i/>
          <w:iCs/>
          <w:shd w:val="clear" w:color="auto" w:fill="FFFFFF"/>
        </w:rPr>
        <w:t>Forum Scientiae Oeconomia</w:t>
      </w:r>
      <w:r>
        <w:rPr>
          <w:shd w:val="clear" w:color="auto" w:fill="FFFFFF"/>
        </w:rPr>
        <w:t> (Vol. 9, No. 1, pp. 105-118). Wydawnictwo Naukowe Akademii WSB.</w:t>
      </w:r>
    </w:p>
    <w:p w14:paraId="67AC1BB0">
      <w:pPr>
        <w:pStyle w:val="39"/>
        <w:numPr>
          <w:ilvl w:val="0"/>
          <w:numId w:val="13"/>
        </w:numPr>
        <w:rPr>
          <w:shd w:val="clear" w:color="auto" w:fill="FFFFFF"/>
        </w:rPr>
      </w:pPr>
      <w:r>
        <w:rPr>
          <w:shd w:val="clear" w:color="auto" w:fill="FFFFFF"/>
        </w:rPr>
        <w:t>HWANG, H. J. (2023). The importance of anonymity and confidentiality for conducting survey research. </w:t>
      </w:r>
      <w:r>
        <w:rPr>
          <w:i/>
          <w:iCs/>
          <w:shd w:val="clear" w:color="auto" w:fill="FFFFFF"/>
        </w:rPr>
        <w:t>Journal of Research and Publication Ethics</w:t>
      </w:r>
      <w:r>
        <w:rPr>
          <w:shd w:val="clear" w:color="auto" w:fill="FFFFFF"/>
        </w:rPr>
        <w:t>, </w:t>
      </w:r>
      <w:r>
        <w:rPr>
          <w:i/>
          <w:iCs/>
          <w:shd w:val="clear" w:color="auto" w:fill="FFFFFF"/>
        </w:rPr>
        <w:t>4</w:t>
      </w:r>
      <w:r>
        <w:rPr>
          <w:shd w:val="clear" w:color="auto" w:fill="FFFFFF"/>
        </w:rPr>
        <w:t>(1), 1-7.</w:t>
      </w:r>
    </w:p>
    <w:p w14:paraId="50AF1CA2">
      <w:pPr>
        <w:pStyle w:val="39"/>
        <w:numPr>
          <w:ilvl w:val="0"/>
          <w:numId w:val="13"/>
        </w:numPr>
        <w:rPr>
          <w:shd w:val="clear" w:color="auto" w:fill="FFFFFF"/>
        </w:rPr>
      </w:pPr>
      <w:r>
        <w:rPr>
          <w:shd w:val="clear" w:color="auto" w:fill="FFFFFF"/>
        </w:rPr>
        <w:t>Ikegwu, A. C., Nweke, H. F., Anikwe, C. V., Alo, U. R., and Okonkwo, O. R. (2022). Big data analytics for data-driven industry: a review of data sources, tools, challenges, solutions, and research directions. </w:t>
      </w:r>
      <w:r>
        <w:rPr>
          <w:i/>
          <w:iCs/>
          <w:shd w:val="clear" w:color="auto" w:fill="FFFFFF"/>
        </w:rPr>
        <w:t>Cluster Computing</w:t>
      </w:r>
      <w:r>
        <w:rPr>
          <w:shd w:val="clear" w:color="auto" w:fill="FFFFFF"/>
        </w:rPr>
        <w:t>, </w:t>
      </w:r>
      <w:r>
        <w:rPr>
          <w:i/>
          <w:iCs/>
          <w:shd w:val="clear" w:color="auto" w:fill="FFFFFF"/>
        </w:rPr>
        <w:t>25</w:t>
      </w:r>
      <w:r>
        <w:rPr>
          <w:shd w:val="clear" w:color="auto" w:fill="FFFFFF"/>
        </w:rPr>
        <w:t>(5), 3343-3387.</w:t>
      </w:r>
    </w:p>
    <w:p w14:paraId="68EA49B1">
      <w:pPr>
        <w:pStyle w:val="39"/>
        <w:numPr>
          <w:ilvl w:val="0"/>
          <w:numId w:val="13"/>
        </w:numPr>
        <w:rPr>
          <w:shd w:val="clear" w:color="auto" w:fill="FFFFFF"/>
        </w:rPr>
      </w:pPr>
      <w:r>
        <w:rPr>
          <w:shd w:val="clear" w:color="auto" w:fill="FFFFFF"/>
        </w:rPr>
        <w:t>Islam, M. A., and Aldaihani, F. M. F. (2022). Justification for adopting qualitative research method, research approaches, sampling strategy, sample size, interview method, saturation, and data analysis. </w:t>
      </w:r>
      <w:r>
        <w:rPr>
          <w:i/>
          <w:iCs/>
          <w:shd w:val="clear" w:color="auto" w:fill="FFFFFF"/>
        </w:rPr>
        <w:t>Journal of International Business and Management</w:t>
      </w:r>
      <w:r>
        <w:rPr>
          <w:shd w:val="clear" w:color="auto" w:fill="FFFFFF"/>
        </w:rPr>
        <w:t>, </w:t>
      </w:r>
      <w:r>
        <w:rPr>
          <w:i/>
          <w:iCs/>
          <w:shd w:val="clear" w:color="auto" w:fill="FFFFFF"/>
        </w:rPr>
        <w:t>5</w:t>
      </w:r>
      <w:r>
        <w:rPr>
          <w:shd w:val="clear" w:color="auto" w:fill="FFFFFF"/>
        </w:rPr>
        <w:t>(1), 01-11.</w:t>
      </w:r>
    </w:p>
    <w:p w14:paraId="7F19F924">
      <w:pPr>
        <w:pStyle w:val="39"/>
        <w:numPr>
          <w:ilvl w:val="0"/>
          <w:numId w:val="13"/>
        </w:numPr>
        <w:rPr>
          <w:shd w:val="clear" w:color="auto" w:fill="FFFFFF"/>
        </w:rPr>
      </w:pPr>
      <w:r>
        <w:rPr>
          <w:shd w:val="clear" w:color="auto" w:fill="FFFFFF"/>
        </w:rPr>
        <w:t>Jarrahi, M. H. (2018). Artificial intelligence and the future of work: Human-AI symbiosis in organizational decision making. </w:t>
      </w:r>
      <w:r>
        <w:rPr>
          <w:i/>
          <w:iCs/>
          <w:shd w:val="clear" w:color="auto" w:fill="FFFFFF"/>
        </w:rPr>
        <w:t>Business horizons</w:t>
      </w:r>
      <w:r>
        <w:rPr>
          <w:shd w:val="clear" w:color="auto" w:fill="FFFFFF"/>
        </w:rPr>
        <w:t>, </w:t>
      </w:r>
      <w:r>
        <w:rPr>
          <w:i/>
          <w:iCs/>
          <w:shd w:val="clear" w:color="auto" w:fill="FFFFFF"/>
        </w:rPr>
        <w:t>61</w:t>
      </w:r>
      <w:r>
        <w:rPr>
          <w:shd w:val="clear" w:color="auto" w:fill="FFFFFF"/>
        </w:rPr>
        <w:t>(4), 577-586.</w:t>
      </w:r>
    </w:p>
    <w:p w14:paraId="2277E539">
      <w:pPr>
        <w:pStyle w:val="39"/>
        <w:numPr>
          <w:ilvl w:val="0"/>
          <w:numId w:val="13"/>
        </w:numPr>
        <w:rPr>
          <w:b/>
        </w:rPr>
      </w:pPr>
      <w:r>
        <w:rPr>
          <w:shd w:val="clear" w:color="auto" w:fill="FFFFFF"/>
        </w:rPr>
        <w:t>Karcher, K., McCuaig, J., and King-Hill, S. (2024). (Self-) Reflection/Reflexivity in Sensitive, Qualitative Research: A Scoping Review. </w:t>
      </w:r>
      <w:r>
        <w:rPr>
          <w:i/>
          <w:iCs/>
          <w:shd w:val="clear" w:color="auto" w:fill="FFFFFF"/>
        </w:rPr>
        <w:t>International Journal of Qualitative Methods</w:t>
      </w:r>
      <w:r>
        <w:rPr>
          <w:shd w:val="clear" w:color="auto" w:fill="FFFFFF"/>
        </w:rPr>
        <w:t>, </w:t>
      </w:r>
      <w:r>
        <w:rPr>
          <w:i/>
          <w:iCs/>
          <w:shd w:val="clear" w:color="auto" w:fill="FFFFFF"/>
        </w:rPr>
        <w:t>23</w:t>
      </w:r>
      <w:r>
        <w:rPr>
          <w:shd w:val="clear" w:color="auto" w:fill="FFFFFF"/>
        </w:rPr>
        <w:t>, 16094069241261860.</w:t>
      </w:r>
    </w:p>
    <w:p w14:paraId="6CA17B05">
      <w:pPr>
        <w:pStyle w:val="39"/>
        <w:numPr>
          <w:ilvl w:val="0"/>
          <w:numId w:val="13"/>
        </w:numPr>
        <w:rPr>
          <w:shd w:val="clear" w:color="auto" w:fill="FFFFFF"/>
        </w:rPr>
      </w:pPr>
      <w:r>
        <w:rPr>
          <w:shd w:val="clear" w:color="auto" w:fill="FFFFFF"/>
        </w:rPr>
        <w:t>Karunarathna, I., Gunasena, P., Hapuarachchi, T., and Gunathilake, S. (2024). Data collection fundamentals: A guide to effective research methodologies and ethical practices. </w:t>
      </w:r>
      <w:r>
        <w:rPr>
          <w:i/>
          <w:iCs/>
          <w:shd w:val="clear" w:color="auto" w:fill="FFFFFF"/>
        </w:rPr>
        <w:t xml:space="preserve">ResearchGate. </w:t>
      </w:r>
    </w:p>
    <w:p w14:paraId="09F95B51">
      <w:pPr>
        <w:pStyle w:val="39"/>
        <w:numPr>
          <w:ilvl w:val="0"/>
          <w:numId w:val="13"/>
        </w:numPr>
        <w:rPr>
          <w:shd w:val="clear" w:color="auto" w:fill="FFFFFF"/>
        </w:rPr>
      </w:pPr>
      <w:r>
        <w:rPr>
          <w:shd w:val="clear" w:color="auto" w:fill="FFFFFF"/>
        </w:rPr>
        <w:t>Kessi, A. M. P., Pananrang, A. D., Muchsidin, F. F., Rizal, M., and Ramlah, R. (2025). The role of leadership in effective and efficient human resource management decision making. </w:t>
      </w:r>
      <w:r>
        <w:rPr>
          <w:i/>
          <w:iCs/>
          <w:shd w:val="clear" w:color="auto" w:fill="FFFFFF"/>
        </w:rPr>
        <w:t>Paradoks: Jurnal Ilmu Ekonomi</w:t>
      </w:r>
      <w:r>
        <w:rPr>
          <w:shd w:val="clear" w:color="auto" w:fill="FFFFFF"/>
        </w:rPr>
        <w:t>, </w:t>
      </w:r>
      <w:r>
        <w:rPr>
          <w:i/>
          <w:iCs/>
          <w:shd w:val="clear" w:color="auto" w:fill="FFFFFF"/>
        </w:rPr>
        <w:t>8</w:t>
      </w:r>
      <w:r>
        <w:rPr>
          <w:shd w:val="clear" w:color="auto" w:fill="FFFFFF"/>
        </w:rPr>
        <w:t>(2), 509-524.</w:t>
      </w:r>
    </w:p>
    <w:p w14:paraId="3E30E680">
      <w:pPr>
        <w:pStyle w:val="39"/>
        <w:numPr>
          <w:ilvl w:val="0"/>
          <w:numId w:val="13"/>
        </w:numPr>
        <w:rPr>
          <w:shd w:val="clear" w:color="auto" w:fill="FFFFFF"/>
        </w:rPr>
      </w:pPr>
      <w:r>
        <w:rPr>
          <w:shd w:val="clear" w:color="auto" w:fill="FFFFFF"/>
        </w:rPr>
        <w:t>Khan, F. A., Khan, N. A., and Aslam, A. (2024). Adoption of artificial intelligence in human resource management: an application of TOE-TAM model. </w:t>
      </w:r>
      <w:r>
        <w:rPr>
          <w:i/>
          <w:iCs/>
          <w:shd w:val="clear" w:color="auto" w:fill="FFFFFF"/>
        </w:rPr>
        <w:t>Research and review: human resource and labour management</w:t>
      </w:r>
      <w:r>
        <w:rPr>
          <w:shd w:val="clear" w:color="auto" w:fill="FFFFFF"/>
        </w:rPr>
        <w:t>, </w:t>
      </w:r>
      <w:r>
        <w:rPr>
          <w:i/>
          <w:iCs/>
          <w:shd w:val="clear" w:color="auto" w:fill="FFFFFF"/>
        </w:rPr>
        <w:t>5</w:t>
      </w:r>
      <w:r>
        <w:rPr>
          <w:shd w:val="clear" w:color="auto" w:fill="FFFFFF"/>
        </w:rPr>
        <w:t>, 22-36.</w:t>
      </w:r>
    </w:p>
    <w:p w14:paraId="75079F8D">
      <w:pPr>
        <w:pStyle w:val="39"/>
        <w:numPr>
          <w:ilvl w:val="0"/>
          <w:numId w:val="13"/>
        </w:numPr>
        <w:rPr>
          <w:shd w:val="clear" w:color="auto" w:fill="FFFFFF"/>
        </w:rPr>
      </w:pPr>
      <w:r>
        <w:rPr>
          <w:shd w:val="clear" w:color="auto" w:fill="FFFFFF"/>
        </w:rPr>
        <w:t>Khawar, M. W., Salman, W., Shaheen, S., Shakil, A., Iftikhar, F., and Faisal, K. M. I. (2024). Investigating the most effective AI/ML-based strategies for predictive network maintenance to minimize downtime and enhance service reliability. </w:t>
      </w:r>
      <w:r>
        <w:rPr>
          <w:i/>
          <w:iCs/>
          <w:shd w:val="clear" w:color="auto" w:fill="FFFFFF"/>
        </w:rPr>
        <w:t>Spectrum of Engineering Sciences</w:t>
      </w:r>
      <w:r>
        <w:rPr>
          <w:shd w:val="clear" w:color="auto" w:fill="FFFFFF"/>
        </w:rPr>
        <w:t>, </w:t>
      </w:r>
      <w:r>
        <w:rPr>
          <w:i/>
          <w:iCs/>
          <w:shd w:val="clear" w:color="auto" w:fill="FFFFFF"/>
        </w:rPr>
        <w:t>2</w:t>
      </w:r>
      <w:r>
        <w:rPr>
          <w:shd w:val="clear" w:color="auto" w:fill="FFFFFF"/>
        </w:rPr>
        <w:t>(4), 115-132.</w:t>
      </w:r>
    </w:p>
    <w:p w14:paraId="4080E95F">
      <w:pPr>
        <w:pStyle w:val="39"/>
        <w:numPr>
          <w:ilvl w:val="0"/>
          <w:numId w:val="13"/>
        </w:numPr>
        <w:rPr>
          <w:shd w:val="clear" w:color="auto" w:fill="FFFFFF"/>
        </w:rPr>
      </w:pPr>
      <w:r>
        <w:rPr>
          <w:shd w:val="clear" w:color="auto" w:fill="FFFFFF"/>
        </w:rPr>
        <w:t>Kim, S., Wang, Y., and Boon, C. (2021). Sixty years of research on technology and human resource management: Looking back and looking forward. </w:t>
      </w:r>
      <w:r>
        <w:rPr>
          <w:i/>
          <w:iCs/>
          <w:shd w:val="clear" w:color="auto" w:fill="FFFFFF"/>
        </w:rPr>
        <w:t>Human Resource Management</w:t>
      </w:r>
      <w:r>
        <w:rPr>
          <w:shd w:val="clear" w:color="auto" w:fill="FFFFFF"/>
        </w:rPr>
        <w:t>, </w:t>
      </w:r>
      <w:r>
        <w:rPr>
          <w:i/>
          <w:iCs/>
          <w:shd w:val="clear" w:color="auto" w:fill="FFFFFF"/>
        </w:rPr>
        <w:t>60</w:t>
      </w:r>
      <w:r>
        <w:rPr>
          <w:shd w:val="clear" w:color="auto" w:fill="FFFFFF"/>
        </w:rPr>
        <w:t>(1), 229-247.</w:t>
      </w:r>
    </w:p>
    <w:p w14:paraId="2C85B2CF">
      <w:pPr>
        <w:pStyle w:val="39"/>
        <w:numPr>
          <w:ilvl w:val="0"/>
          <w:numId w:val="13"/>
        </w:numPr>
        <w:rPr>
          <w:shd w:val="clear" w:color="auto" w:fill="FFFFFF"/>
        </w:rPr>
      </w:pPr>
      <w:r>
        <w:rPr>
          <w:shd w:val="clear" w:color="auto" w:fill="FFFFFF"/>
        </w:rPr>
        <w:t>Kubanek, M., and Szymoniak, S. (2024). Ethical challenges in AI integration: a comprehensive review of bias, privacy, and accountability issues. </w:t>
      </w:r>
      <w:r>
        <w:rPr>
          <w:i/>
          <w:iCs/>
          <w:shd w:val="clear" w:color="auto" w:fill="FFFFFF"/>
        </w:rPr>
        <w:t>The Leading Role of Smart Ethics in the Digital World</w:t>
      </w:r>
      <w:r>
        <w:rPr>
          <w:shd w:val="clear" w:color="auto" w:fill="FFFFFF"/>
        </w:rPr>
        <w:t>, 75-85.</w:t>
      </w:r>
    </w:p>
    <w:p w14:paraId="20298C1D">
      <w:pPr>
        <w:pStyle w:val="39"/>
        <w:numPr>
          <w:ilvl w:val="0"/>
          <w:numId w:val="13"/>
        </w:numPr>
        <w:rPr>
          <w:shd w:val="clear" w:color="auto" w:fill="FFFFFF"/>
        </w:rPr>
      </w:pPr>
      <w:r>
        <w:rPr>
          <w:shd w:val="clear" w:color="auto" w:fill="FFFFFF"/>
          <w:lang w:val="pt-BR"/>
        </w:rPr>
        <w:t xml:space="preserve">Leitão, M. E., Amaral, M., and Carvalho, A. (2024). </w:t>
      </w:r>
      <w:r>
        <w:rPr>
          <w:shd w:val="clear" w:color="auto" w:fill="FFFFFF"/>
        </w:rPr>
        <w:t>Reconceptualizing socio-tech entrepreneurship: a systematic literature review and research agenda. </w:t>
      </w:r>
      <w:r>
        <w:rPr>
          <w:i/>
          <w:iCs/>
          <w:shd w:val="clear" w:color="auto" w:fill="FFFFFF"/>
        </w:rPr>
        <w:t>Technovation</w:t>
      </w:r>
      <w:r>
        <w:rPr>
          <w:shd w:val="clear" w:color="auto" w:fill="FFFFFF"/>
        </w:rPr>
        <w:t>, </w:t>
      </w:r>
      <w:r>
        <w:rPr>
          <w:i/>
          <w:iCs/>
          <w:shd w:val="clear" w:color="auto" w:fill="FFFFFF"/>
        </w:rPr>
        <w:t>134</w:t>
      </w:r>
      <w:r>
        <w:rPr>
          <w:shd w:val="clear" w:color="auto" w:fill="FFFFFF"/>
        </w:rPr>
        <w:t>, 103018.</w:t>
      </w:r>
    </w:p>
    <w:p w14:paraId="74F0F100">
      <w:pPr>
        <w:pStyle w:val="39"/>
        <w:numPr>
          <w:ilvl w:val="0"/>
          <w:numId w:val="13"/>
        </w:numPr>
        <w:rPr>
          <w:shd w:val="clear" w:color="auto" w:fill="FFFFFF"/>
        </w:rPr>
      </w:pPr>
      <w:r>
        <w:rPr>
          <w:shd w:val="clear" w:color="auto" w:fill="FFFFFF"/>
        </w:rPr>
        <w:t>Li, S. C. (2024). AI assistants in workplaces: implementation, workers, agency, and organizational policies a qualitative study (Doctoral dissertation).</w:t>
      </w:r>
    </w:p>
    <w:p w14:paraId="5A5A7D3E">
      <w:pPr>
        <w:pStyle w:val="39"/>
        <w:numPr>
          <w:ilvl w:val="0"/>
          <w:numId w:val="13"/>
        </w:numPr>
        <w:rPr>
          <w:shd w:val="clear" w:color="auto" w:fill="FFFFFF"/>
        </w:rPr>
      </w:pPr>
      <w:r>
        <w:rPr>
          <w:shd w:val="clear" w:color="auto" w:fill="FFFFFF"/>
        </w:rPr>
        <w:t>Lim, W. M. (2024). What is qualitative research? An overview and guidelines. </w:t>
      </w:r>
      <w:r>
        <w:rPr>
          <w:i/>
          <w:iCs/>
          <w:shd w:val="clear" w:color="auto" w:fill="FFFFFF"/>
        </w:rPr>
        <w:t>Australasian Marketing Journal</w:t>
      </w:r>
      <w:r>
        <w:rPr>
          <w:shd w:val="clear" w:color="auto" w:fill="FFFFFF"/>
        </w:rPr>
        <w:t>, 14413582241264619.</w:t>
      </w:r>
    </w:p>
    <w:p w14:paraId="5C839142">
      <w:pPr>
        <w:pStyle w:val="39"/>
        <w:numPr>
          <w:ilvl w:val="0"/>
          <w:numId w:val="13"/>
        </w:numPr>
        <w:rPr>
          <w:shd w:val="clear" w:color="auto" w:fill="FFFFFF"/>
        </w:rPr>
      </w:pPr>
      <w:r>
        <w:rPr>
          <w:shd w:val="clear" w:color="auto" w:fill="FFFFFF"/>
        </w:rPr>
        <w:t>Maarouf, H. (2019). Pragmatism as a supportive paradigm for the mixed research approach: Conceptualizing the ontological, epistemological, and axiological stances of pragmatism. </w:t>
      </w:r>
      <w:r>
        <w:rPr>
          <w:i/>
          <w:iCs/>
          <w:shd w:val="clear" w:color="auto" w:fill="FFFFFF"/>
        </w:rPr>
        <w:t>International Business Research</w:t>
      </w:r>
      <w:r>
        <w:rPr>
          <w:shd w:val="clear" w:color="auto" w:fill="FFFFFF"/>
        </w:rPr>
        <w:t>, </w:t>
      </w:r>
      <w:r>
        <w:rPr>
          <w:i/>
          <w:iCs/>
          <w:shd w:val="clear" w:color="auto" w:fill="FFFFFF"/>
        </w:rPr>
        <w:t>12</w:t>
      </w:r>
      <w:r>
        <w:rPr>
          <w:shd w:val="clear" w:color="auto" w:fill="FFFFFF"/>
        </w:rPr>
        <w:t>(9), 1-12.</w:t>
      </w:r>
    </w:p>
    <w:p w14:paraId="3E6873BC">
      <w:pPr>
        <w:pStyle w:val="39"/>
        <w:numPr>
          <w:ilvl w:val="0"/>
          <w:numId w:val="13"/>
        </w:numPr>
        <w:rPr>
          <w:shd w:val="clear" w:color="auto" w:fill="FFFFFF"/>
        </w:rPr>
      </w:pPr>
      <w:r>
        <w:rPr>
          <w:shd w:val="clear" w:color="auto" w:fill="FFFFFF"/>
        </w:rPr>
        <w:t>Majumdar, A. (2022). Thematic analysis in qualitative research. In </w:t>
      </w:r>
      <w:r>
        <w:rPr>
          <w:i/>
          <w:iCs/>
          <w:shd w:val="clear" w:color="auto" w:fill="FFFFFF"/>
        </w:rPr>
        <w:t>Research anthology on innovative research methodologies and utilization across multiple disciplines</w:t>
      </w:r>
      <w:r>
        <w:rPr>
          <w:shd w:val="clear" w:color="auto" w:fill="FFFFFF"/>
        </w:rPr>
        <w:t> (pp. 604-622). IGI Global Scientific Publishing.</w:t>
      </w:r>
    </w:p>
    <w:p w14:paraId="482CB635">
      <w:pPr>
        <w:pStyle w:val="39"/>
        <w:numPr>
          <w:ilvl w:val="0"/>
          <w:numId w:val="13"/>
        </w:numPr>
        <w:rPr>
          <w:shd w:val="clear" w:color="auto" w:fill="FFFFFF"/>
        </w:rPr>
      </w:pPr>
      <w:r>
        <w:rPr>
          <w:shd w:val="clear" w:color="auto" w:fill="FFFFFF"/>
        </w:rPr>
        <w:t>Mazhar, S. A., Anjum, R., Anwar, A. I., and Khan, A. A. (2021). Methods of data collection: A fundamental tool of research. </w:t>
      </w:r>
      <w:r>
        <w:rPr>
          <w:i/>
          <w:iCs/>
          <w:shd w:val="clear" w:color="auto" w:fill="FFFFFF"/>
        </w:rPr>
        <w:t>Journal of Integrated Community Health</w:t>
      </w:r>
      <w:r>
        <w:rPr>
          <w:shd w:val="clear" w:color="auto" w:fill="FFFFFF"/>
        </w:rPr>
        <w:t>, </w:t>
      </w:r>
      <w:r>
        <w:rPr>
          <w:i/>
          <w:iCs/>
          <w:shd w:val="clear" w:color="auto" w:fill="FFFFFF"/>
        </w:rPr>
        <w:t>10</w:t>
      </w:r>
      <w:r>
        <w:rPr>
          <w:shd w:val="clear" w:color="auto" w:fill="FFFFFF"/>
        </w:rPr>
        <w:t>(1), 6-10.</w:t>
      </w:r>
    </w:p>
    <w:p w14:paraId="7656F0F5">
      <w:pPr>
        <w:pStyle w:val="39"/>
        <w:numPr>
          <w:ilvl w:val="0"/>
          <w:numId w:val="13"/>
        </w:numPr>
        <w:rPr>
          <w:shd w:val="clear" w:color="auto" w:fill="FFFFFF"/>
        </w:rPr>
      </w:pPr>
      <w:r>
        <w:rPr>
          <w:shd w:val="clear" w:color="auto" w:fill="FFFFFF"/>
          <w:lang w:val="it-IT"/>
        </w:rPr>
        <w:t xml:space="preserve">Morandini, S., Fraboni, F., De Angelis, M., Puzzo, G., Giusino, D., and Pietrantoni, L. (2023). </w:t>
      </w:r>
      <w:r>
        <w:rPr>
          <w:shd w:val="clear" w:color="auto" w:fill="FFFFFF"/>
        </w:rPr>
        <w:t>The impact of artificial intelligence on workers’ skills: Upskilling and reskilling in organisations. </w:t>
      </w:r>
      <w:r>
        <w:rPr>
          <w:i/>
          <w:iCs/>
          <w:shd w:val="clear" w:color="auto" w:fill="FFFFFF"/>
        </w:rPr>
        <w:t>Informing Science</w:t>
      </w:r>
      <w:r>
        <w:rPr>
          <w:shd w:val="clear" w:color="auto" w:fill="FFFFFF"/>
        </w:rPr>
        <w:t>, </w:t>
      </w:r>
      <w:r>
        <w:rPr>
          <w:i/>
          <w:iCs/>
          <w:shd w:val="clear" w:color="auto" w:fill="FFFFFF"/>
        </w:rPr>
        <w:t>26</w:t>
      </w:r>
      <w:r>
        <w:rPr>
          <w:shd w:val="clear" w:color="auto" w:fill="FFFFFF"/>
        </w:rPr>
        <w:t>, 39-68.</w:t>
      </w:r>
    </w:p>
    <w:p w14:paraId="0066E1D1">
      <w:pPr>
        <w:pStyle w:val="39"/>
        <w:numPr>
          <w:ilvl w:val="0"/>
          <w:numId w:val="13"/>
        </w:numPr>
        <w:rPr>
          <w:shd w:val="clear" w:color="auto" w:fill="FFFFFF"/>
        </w:rPr>
      </w:pPr>
      <w:r>
        <w:rPr>
          <w:shd w:val="clear" w:color="auto" w:fill="FFFFFF"/>
          <w:lang w:val="fi-FI"/>
        </w:rPr>
        <w:t xml:space="preserve">Natarajan, D. S., Subbaiah, B., Dhinakaran, D. P., Kumar, J. R., and Rajalakshmi, M. (2024). </w:t>
      </w:r>
      <w:r>
        <w:rPr>
          <w:shd w:val="clear" w:color="auto" w:fill="FFFFFF"/>
        </w:rPr>
        <w:t>AI-powered strategies for talent management optimization. </w:t>
      </w:r>
      <w:r>
        <w:rPr>
          <w:i/>
          <w:iCs/>
          <w:shd w:val="clear" w:color="auto" w:fill="FFFFFF"/>
        </w:rPr>
        <w:t>Journal of Informatics Education and Research</w:t>
      </w:r>
      <w:r>
        <w:rPr>
          <w:shd w:val="clear" w:color="auto" w:fill="FFFFFF"/>
        </w:rPr>
        <w:t>, </w:t>
      </w:r>
      <w:r>
        <w:rPr>
          <w:i/>
          <w:iCs/>
          <w:shd w:val="clear" w:color="auto" w:fill="FFFFFF"/>
        </w:rPr>
        <w:t>4</w:t>
      </w:r>
      <w:r>
        <w:rPr>
          <w:shd w:val="clear" w:color="auto" w:fill="FFFFFF"/>
        </w:rPr>
        <w:t>(2), 1526-4726.</w:t>
      </w:r>
    </w:p>
    <w:p w14:paraId="05F1B751">
      <w:pPr>
        <w:pStyle w:val="39"/>
        <w:numPr>
          <w:ilvl w:val="0"/>
          <w:numId w:val="13"/>
        </w:numPr>
        <w:rPr>
          <w:shd w:val="clear" w:color="auto" w:fill="FFFFFF"/>
        </w:rPr>
      </w:pPr>
      <w:r>
        <w:rPr>
          <w:shd w:val="clear" w:color="auto" w:fill="FFFFFF"/>
        </w:rPr>
        <w:t>Nicholas, J. M., and Steyn, H. (2020). Project management for engineering, business and technology. Routledge.</w:t>
      </w:r>
    </w:p>
    <w:p w14:paraId="25124E3C">
      <w:pPr>
        <w:pStyle w:val="39"/>
        <w:numPr>
          <w:ilvl w:val="0"/>
          <w:numId w:val="13"/>
        </w:numPr>
        <w:rPr>
          <w:shd w:val="clear" w:color="auto" w:fill="FFFFFF"/>
        </w:rPr>
      </w:pPr>
      <w:r>
        <w:rPr>
          <w:shd w:val="clear" w:color="auto" w:fill="FFFFFF"/>
        </w:rPr>
        <w:t>Nyathani, R. (2023). AI in performance management: Redefining performance appraisals in the digital age. </w:t>
      </w:r>
      <w:r>
        <w:rPr>
          <w:i/>
          <w:iCs/>
          <w:shd w:val="clear" w:color="auto" w:fill="FFFFFF"/>
        </w:rPr>
        <w:t>J. Artif. In tell. Cloud Comput. SRCIJAICC-146</w:t>
      </w:r>
      <w:r>
        <w:rPr>
          <w:shd w:val="clear" w:color="auto" w:fill="FFFFFF"/>
        </w:rPr>
        <w:t>, </w:t>
      </w:r>
      <w:r>
        <w:rPr>
          <w:i/>
          <w:iCs/>
          <w:shd w:val="clear" w:color="auto" w:fill="FFFFFF"/>
        </w:rPr>
        <w:t>134</w:t>
      </w:r>
      <w:r>
        <w:rPr>
          <w:shd w:val="clear" w:color="auto" w:fill="FFFFFF"/>
        </w:rPr>
        <w:t>, 2-5.</w:t>
      </w:r>
    </w:p>
    <w:p w14:paraId="4A50114C">
      <w:pPr>
        <w:pStyle w:val="39"/>
        <w:numPr>
          <w:ilvl w:val="0"/>
          <w:numId w:val="13"/>
        </w:numPr>
        <w:rPr>
          <w:shd w:val="clear" w:color="auto" w:fill="FFFFFF"/>
        </w:rPr>
      </w:pPr>
      <w:r>
        <w:rPr>
          <w:shd w:val="clear" w:color="auto" w:fill="FFFFFF"/>
        </w:rPr>
        <w:t>Oosthuizen, R. M. (2019). Smart technology, artificial intelligence, robotics and algorithms (STARA): Employees’ perceptions and wellbeing in future workplaces. </w:t>
      </w:r>
      <w:r>
        <w:rPr>
          <w:i/>
          <w:iCs/>
          <w:shd w:val="clear" w:color="auto" w:fill="FFFFFF"/>
        </w:rPr>
        <w:t>Theory, research and dynamics of career wellbeing: Becoming fit for the future</w:t>
      </w:r>
      <w:r>
        <w:rPr>
          <w:shd w:val="clear" w:color="auto" w:fill="FFFFFF"/>
        </w:rPr>
        <w:t>, 17-40.</w:t>
      </w:r>
    </w:p>
    <w:p w14:paraId="7CB47ECA">
      <w:pPr>
        <w:pStyle w:val="39"/>
        <w:numPr>
          <w:ilvl w:val="0"/>
          <w:numId w:val="13"/>
        </w:numPr>
        <w:rPr>
          <w:shd w:val="clear" w:color="auto" w:fill="FFFFFF"/>
        </w:rPr>
      </w:pPr>
      <w:r>
        <w:rPr>
          <w:shd w:val="clear" w:color="auto" w:fill="FFFFFF"/>
        </w:rPr>
        <w:t>Park, H., Ahn, D., Hosanagar, K., and Lee, J. (2021, May). Human-AI interaction in human resource management: Understanding why employees resist algorithmic evaluation at workplaces and how to mitigate burdens. In </w:t>
      </w:r>
      <w:r>
        <w:rPr>
          <w:i/>
          <w:iCs/>
          <w:shd w:val="clear" w:color="auto" w:fill="FFFFFF"/>
        </w:rPr>
        <w:t>Proceedings of the 2021 CHI conference on human factors in computing systems</w:t>
      </w:r>
      <w:r>
        <w:rPr>
          <w:shd w:val="clear" w:color="auto" w:fill="FFFFFF"/>
        </w:rPr>
        <w:t> (pp. 1-15).</w:t>
      </w:r>
    </w:p>
    <w:p w14:paraId="3370FC60">
      <w:pPr>
        <w:pStyle w:val="39"/>
        <w:numPr>
          <w:ilvl w:val="0"/>
          <w:numId w:val="13"/>
        </w:numPr>
        <w:rPr>
          <w:b/>
        </w:rPr>
      </w:pPr>
      <w:r>
        <w:rPr>
          <w:shd w:val="clear" w:color="auto" w:fill="FFFFFF"/>
        </w:rPr>
        <w:t>Patil, D. (2024). Artificial Intelligence-Driven Predictive Maintenance in Manufacturing: Enhancing Operational Efficiency, Minimizing Downtime, And Optimizing Resource Utilization. </w:t>
      </w:r>
      <w:r>
        <w:rPr>
          <w:i/>
          <w:iCs/>
          <w:shd w:val="clear" w:color="auto" w:fill="FFFFFF"/>
        </w:rPr>
        <w:t>Minimizing Downtime and Optimizing Resource Utilization (December 11, 2024)</w:t>
      </w:r>
      <w:r>
        <w:rPr>
          <w:shd w:val="clear" w:color="auto" w:fill="FFFFFF"/>
        </w:rPr>
        <w:t>.</w:t>
      </w:r>
    </w:p>
    <w:p w14:paraId="108EC56C">
      <w:pPr>
        <w:pStyle w:val="39"/>
        <w:numPr>
          <w:ilvl w:val="0"/>
          <w:numId w:val="13"/>
        </w:numPr>
        <w:rPr>
          <w:shd w:val="clear" w:color="auto" w:fill="FFFFFF"/>
        </w:rPr>
      </w:pPr>
      <w:r>
        <w:rPr>
          <w:shd w:val="clear" w:color="auto" w:fill="FFFFFF"/>
        </w:rPr>
        <w:t>Qin, C., Zhang, L., Cheng, Y., Zha, R., Shen, D., Zhang, Q., ... and Xiong, H. (2023). A comprehensive survey of artificial intelligence techniques for talent analytics. </w:t>
      </w:r>
      <w:r>
        <w:rPr>
          <w:i/>
          <w:iCs/>
          <w:shd w:val="clear" w:color="auto" w:fill="FFFFFF"/>
        </w:rPr>
        <w:t>arXiv preprint arXiv:2307.03195</w:t>
      </w:r>
      <w:r>
        <w:rPr>
          <w:shd w:val="clear" w:color="auto" w:fill="FFFFFF"/>
        </w:rPr>
        <w:t>.</w:t>
      </w:r>
    </w:p>
    <w:p w14:paraId="50386BD8">
      <w:pPr>
        <w:pStyle w:val="39"/>
        <w:numPr>
          <w:ilvl w:val="0"/>
          <w:numId w:val="13"/>
        </w:numPr>
        <w:rPr>
          <w:shd w:val="clear" w:color="auto" w:fill="FFFFFF"/>
        </w:rPr>
      </w:pPr>
      <w:r>
        <w:rPr>
          <w:shd w:val="clear" w:color="auto" w:fill="FFFFFF"/>
        </w:rPr>
        <w:t>Raut, R. D., Gardas, B., Luthra, S., Narkhede, B., and Kumar Mangla, S. (2020). Analysing green human resource management indicators of automotive service sector. </w:t>
      </w:r>
      <w:r>
        <w:rPr>
          <w:i/>
          <w:iCs/>
          <w:shd w:val="clear" w:color="auto" w:fill="FFFFFF"/>
        </w:rPr>
        <w:t>International Journal of Manpower</w:t>
      </w:r>
      <w:r>
        <w:rPr>
          <w:shd w:val="clear" w:color="auto" w:fill="FFFFFF"/>
        </w:rPr>
        <w:t>, </w:t>
      </w:r>
      <w:r>
        <w:rPr>
          <w:i/>
          <w:iCs/>
          <w:shd w:val="clear" w:color="auto" w:fill="FFFFFF"/>
        </w:rPr>
        <w:t>41</w:t>
      </w:r>
      <w:r>
        <w:rPr>
          <w:shd w:val="clear" w:color="auto" w:fill="FFFFFF"/>
        </w:rPr>
        <w:t>(7), 925-944.</w:t>
      </w:r>
    </w:p>
    <w:p w14:paraId="1F8E0C5F">
      <w:pPr>
        <w:pStyle w:val="39"/>
        <w:numPr>
          <w:ilvl w:val="0"/>
          <w:numId w:val="13"/>
        </w:numPr>
        <w:rPr>
          <w:shd w:val="clear" w:color="auto" w:fill="FFFFFF"/>
        </w:rPr>
      </w:pPr>
      <w:r>
        <w:rPr>
          <w:shd w:val="clear" w:color="auto" w:fill="FFFFFF"/>
        </w:rPr>
        <w:t>Roy, R., and Uekusa, S. (2020). Collaborative autoethnography:“Self-reflection” as a timely alternative research approach during the global pandemic. </w:t>
      </w:r>
      <w:r>
        <w:rPr>
          <w:i/>
          <w:iCs/>
          <w:shd w:val="clear" w:color="auto" w:fill="FFFFFF"/>
        </w:rPr>
        <w:t>Qualitative Research Journal</w:t>
      </w:r>
      <w:r>
        <w:rPr>
          <w:shd w:val="clear" w:color="auto" w:fill="FFFFFF"/>
        </w:rPr>
        <w:t>, </w:t>
      </w:r>
      <w:r>
        <w:rPr>
          <w:i/>
          <w:iCs/>
          <w:shd w:val="clear" w:color="auto" w:fill="FFFFFF"/>
        </w:rPr>
        <w:t>20</w:t>
      </w:r>
      <w:r>
        <w:rPr>
          <w:shd w:val="clear" w:color="auto" w:fill="FFFFFF"/>
        </w:rPr>
        <w:t>(4), 383-392.</w:t>
      </w:r>
    </w:p>
    <w:p w14:paraId="277D5641">
      <w:pPr>
        <w:pStyle w:val="39"/>
        <w:numPr>
          <w:ilvl w:val="0"/>
          <w:numId w:val="13"/>
        </w:numPr>
        <w:rPr>
          <w:shd w:val="clear" w:color="auto" w:fill="FFFFFF"/>
        </w:rPr>
      </w:pPr>
      <w:r>
        <w:rPr>
          <w:shd w:val="clear" w:color="auto" w:fill="FFFFFF"/>
        </w:rPr>
        <w:t>Saeed, M., Jalil, M. S., Dahwal, F. M., Mehedy, M. T. J., and Snigdha, E. Z. (2025). The Impact of AI on Healthcare Workforce Management: Business Strategies for Talent Optimization and IT Integration. </w:t>
      </w:r>
      <w:r>
        <w:rPr>
          <w:i/>
          <w:iCs/>
          <w:shd w:val="clear" w:color="auto" w:fill="FFFFFF"/>
        </w:rPr>
        <w:t>The American Journal of Medical Sciences and Pharmaceutical Research</w:t>
      </w:r>
      <w:r>
        <w:rPr>
          <w:shd w:val="clear" w:color="auto" w:fill="FFFFFF"/>
        </w:rPr>
        <w:t>, </w:t>
      </w:r>
      <w:r>
        <w:rPr>
          <w:i/>
          <w:iCs/>
          <w:shd w:val="clear" w:color="auto" w:fill="FFFFFF"/>
        </w:rPr>
        <w:t>7</w:t>
      </w:r>
      <w:r>
        <w:rPr>
          <w:shd w:val="clear" w:color="auto" w:fill="FFFFFF"/>
        </w:rPr>
        <w:t>(03), 136-156.</w:t>
      </w:r>
    </w:p>
    <w:p w14:paraId="0E62C8DE">
      <w:pPr>
        <w:pStyle w:val="39"/>
        <w:numPr>
          <w:ilvl w:val="0"/>
          <w:numId w:val="13"/>
        </w:numPr>
        <w:rPr>
          <w:shd w:val="clear" w:color="auto" w:fill="FFFFFF"/>
        </w:rPr>
      </w:pPr>
      <w:r>
        <w:rPr>
          <w:shd w:val="clear" w:color="auto" w:fill="FFFFFF"/>
        </w:rPr>
        <w:t>Sargiotis, D. (2024). Ethical AI in Information Technology: Navigating Bias, privacy, transparency, and accountability. </w:t>
      </w:r>
      <w:r>
        <w:rPr>
          <w:i/>
          <w:iCs/>
          <w:shd w:val="clear" w:color="auto" w:fill="FFFFFF"/>
        </w:rPr>
        <w:t>Adv Mach Lear Art Inte</w:t>
      </w:r>
      <w:r>
        <w:rPr>
          <w:shd w:val="clear" w:color="auto" w:fill="FFFFFF"/>
        </w:rPr>
        <w:t>, </w:t>
      </w:r>
      <w:r>
        <w:rPr>
          <w:i/>
          <w:iCs/>
          <w:shd w:val="clear" w:color="auto" w:fill="FFFFFF"/>
        </w:rPr>
        <w:t>5</w:t>
      </w:r>
      <w:r>
        <w:rPr>
          <w:shd w:val="clear" w:color="auto" w:fill="FFFFFF"/>
        </w:rPr>
        <w:t>(3), 01-14.</w:t>
      </w:r>
    </w:p>
    <w:p w14:paraId="7EC0AA89">
      <w:pPr>
        <w:pStyle w:val="39"/>
        <w:numPr>
          <w:ilvl w:val="0"/>
          <w:numId w:val="13"/>
        </w:numPr>
        <w:rPr>
          <w:shd w:val="clear" w:color="auto" w:fill="FFFFFF"/>
        </w:rPr>
      </w:pPr>
      <w:r>
        <w:rPr>
          <w:shd w:val="clear" w:color="auto" w:fill="FFFFFF"/>
        </w:rPr>
        <w:t>Stahl, N. A., and King, J. R. (2020). Expanding approaches for research: Understanding and using trustworthiness in qualitative research. </w:t>
      </w:r>
      <w:r>
        <w:rPr>
          <w:i/>
          <w:iCs/>
          <w:shd w:val="clear" w:color="auto" w:fill="FFFFFF"/>
        </w:rPr>
        <w:t>Journal of developmental education</w:t>
      </w:r>
      <w:r>
        <w:rPr>
          <w:shd w:val="clear" w:color="auto" w:fill="FFFFFF"/>
        </w:rPr>
        <w:t>, </w:t>
      </w:r>
      <w:r>
        <w:rPr>
          <w:i/>
          <w:iCs/>
          <w:shd w:val="clear" w:color="auto" w:fill="FFFFFF"/>
        </w:rPr>
        <w:t>44</w:t>
      </w:r>
      <w:r>
        <w:rPr>
          <w:shd w:val="clear" w:color="auto" w:fill="FFFFFF"/>
        </w:rPr>
        <w:t>(1), 26-28.</w:t>
      </w:r>
    </w:p>
    <w:p w14:paraId="405B4B52">
      <w:pPr>
        <w:pStyle w:val="39"/>
        <w:numPr>
          <w:ilvl w:val="0"/>
          <w:numId w:val="13"/>
        </w:numPr>
        <w:rPr>
          <w:shd w:val="clear" w:color="auto" w:fill="FFFFFF"/>
        </w:rPr>
      </w:pPr>
      <w:r>
        <w:rPr>
          <w:shd w:val="clear" w:color="auto" w:fill="FFFFFF"/>
        </w:rPr>
        <w:t>Sukmawati, S. (2023). Development of quality instruments and data collection techniques. </w:t>
      </w:r>
      <w:r>
        <w:rPr>
          <w:i/>
          <w:iCs/>
          <w:shd w:val="clear" w:color="auto" w:fill="FFFFFF"/>
        </w:rPr>
        <w:t>Jurnal Pendidikan Dan Pengajaran Guru Sekolah Dasar (JPPGuseda)</w:t>
      </w:r>
      <w:r>
        <w:rPr>
          <w:shd w:val="clear" w:color="auto" w:fill="FFFFFF"/>
        </w:rPr>
        <w:t>, </w:t>
      </w:r>
      <w:r>
        <w:rPr>
          <w:i/>
          <w:iCs/>
          <w:shd w:val="clear" w:color="auto" w:fill="FFFFFF"/>
        </w:rPr>
        <w:t>6</w:t>
      </w:r>
      <w:r>
        <w:rPr>
          <w:shd w:val="clear" w:color="auto" w:fill="FFFFFF"/>
        </w:rPr>
        <w:t>(1), 119-124.</w:t>
      </w:r>
    </w:p>
    <w:p w14:paraId="096564E1">
      <w:pPr>
        <w:pStyle w:val="39"/>
        <w:numPr>
          <w:ilvl w:val="0"/>
          <w:numId w:val="13"/>
        </w:numPr>
        <w:rPr>
          <w:shd w:val="clear" w:color="auto" w:fill="FFFFFF"/>
        </w:rPr>
      </w:pPr>
      <w:r>
        <w:rPr>
          <w:shd w:val="clear" w:color="auto" w:fill="FFFFFF"/>
        </w:rPr>
        <w:t>Tracy, S. J. (2024). Qualitative research methods: Collecting evidence, crafting analysis, communicating impact. John Wiley &amp; Sons.</w:t>
      </w:r>
    </w:p>
    <w:p w14:paraId="11DBC849">
      <w:pPr>
        <w:pStyle w:val="39"/>
        <w:numPr>
          <w:ilvl w:val="0"/>
          <w:numId w:val="13"/>
        </w:numPr>
        <w:rPr>
          <w:shd w:val="clear" w:color="auto" w:fill="FFFFFF"/>
        </w:rPr>
      </w:pPr>
      <w:r>
        <w:rPr>
          <w:shd w:val="clear" w:color="auto" w:fill="FFFFFF"/>
        </w:rPr>
        <w:t>Tschang, F. T., and Almirall, E. (2021). Artificial intelligence as augmenting automation: Implications for employment. </w:t>
      </w:r>
      <w:r>
        <w:rPr>
          <w:i/>
          <w:iCs/>
          <w:shd w:val="clear" w:color="auto" w:fill="FFFFFF"/>
        </w:rPr>
        <w:t>Academy of Management Perspectives</w:t>
      </w:r>
      <w:r>
        <w:rPr>
          <w:shd w:val="clear" w:color="auto" w:fill="FFFFFF"/>
        </w:rPr>
        <w:t>, </w:t>
      </w:r>
      <w:r>
        <w:rPr>
          <w:i/>
          <w:iCs/>
          <w:shd w:val="clear" w:color="auto" w:fill="FFFFFF"/>
        </w:rPr>
        <w:t>35</w:t>
      </w:r>
      <w:r>
        <w:rPr>
          <w:shd w:val="clear" w:color="auto" w:fill="FFFFFF"/>
        </w:rPr>
        <w:t>(4), 642-659.</w:t>
      </w:r>
    </w:p>
    <w:p w14:paraId="379F4301">
      <w:pPr>
        <w:pStyle w:val="39"/>
        <w:numPr>
          <w:ilvl w:val="0"/>
          <w:numId w:val="13"/>
        </w:numPr>
        <w:rPr>
          <w:shd w:val="clear" w:color="auto" w:fill="FFFFFF"/>
        </w:rPr>
      </w:pPr>
      <w:r>
        <w:rPr>
          <w:shd w:val="clear" w:color="auto" w:fill="FFFFFF"/>
        </w:rPr>
        <w:t>Vaismoradi, M., Jones, J., Turunen, H., and Snelgrove, S. (2016). Theme development in qualitative content analysis and thematic analysis.</w:t>
      </w:r>
    </w:p>
    <w:p w14:paraId="73DA56D3">
      <w:pPr>
        <w:pStyle w:val="39"/>
        <w:numPr>
          <w:ilvl w:val="0"/>
          <w:numId w:val="13"/>
        </w:numPr>
        <w:rPr>
          <w:shd w:val="clear" w:color="auto" w:fill="FFFFFF"/>
        </w:rPr>
      </w:pPr>
      <w:r>
        <w:rPr>
          <w:shd w:val="clear" w:color="auto" w:fill="FFFFFF"/>
        </w:rPr>
        <w:t>Vazquez, M., Hallack, M., and Perez, Y. (2018). The dynamics of institutional and organisational change in emergent industries: the case of electric vehicles. </w:t>
      </w:r>
      <w:r>
        <w:rPr>
          <w:i/>
          <w:iCs/>
          <w:shd w:val="clear" w:color="auto" w:fill="FFFFFF"/>
        </w:rPr>
        <w:t>International Journal of Automotive Technology and Management</w:t>
      </w:r>
      <w:r>
        <w:rPr>
          <w:shd w:val="clear" w:color="auto" w:fill="FFFFFF"/>
        </w:rPr>
        <w:t>, </w:t>
      </w:r>
      <w:r>
        <w:rPr>
          <w:i/>
          <w:iCs/>
          <w:shd w:val="clear" w:color="auto" w:fill="FFFFFF"/>
        </w:rPr>
        <w:t>18</w:t>
      </w:r>
      <w:r>
        <w:rPr>
          <w:shd w:val="clear" w:color="auto" w:fill="FFFFFF"/>
        </w:rPr>
        <w:t>(3), 187-208.</w:t>
      </w:r>
    </w:p>
    <w:p w14:paraId="1A41D836">
      <w:pPr>
        <w:pStyle w:val="39"/>
        <w:numPr>
          <w:ilvl w:val="0"/>
          <w:numId w:val="13"/>
        </w:numPr>
        <w:rPr>
          <w:shd w:val="clear" w:color="auto" w:fill="FFFFFF"/>
        </w:rPr>
      </w:pPr>
      <w:r>
        <w:rPr>
          <w:shd w:val="clear" w:color="auto" w:fill="FFFFFF"/>
        </w:rPr>
        <w:t>Votto, A. M., Valecha, R., Najafirad, P., and Rao, H. R. (2021). Artificial intelligence in tactical human resource management: A systematic literature review. </w:t>
      </w:r>
      <w:r>
        <w:rPr>
          <w:i/>
          <w:iCs/>
          <w:shd w:val="clear" w:color="auto" w:fill="FFFFFF"/>
        </w:rPr>
        <w:t>International Journal of Information Management Data Insights</w:t>
      </w:r>
      <w:r>
        <w:rPr>
          <w:shd w:val="clear" w:color="auto" w:fill="FFFFFF"/>
        </w:rPr>
        <w:t>, </w:t>
      </w:r>
      <w:r>
        <w:rPr>
          <w:i/>
          <w:iCs/>
          <w:shd w:val="clear" w:color="auto" w:fill="FFFFFF"/>
        </w:rPr>
        <w:t>1</w:t>
      </w:r>
      <w:r>
        <w:rPr>
          <w:shd w:val="clear" w:color="auto" w:fill="FFFFFF"/>
        </w:rPr>
        <w:t>(2), 100047.</w:t>
      </w:r>
    </w:p>
    <w:p w14:paraId="6B105752">
      <w:pPr>
        <w:pStyle w:val="39"/>
        <w:numPr>
          <w:ilvl w:val="0"/>
          <w:numId w:val="13"/>
        </w:numPr>
        <w:rPr>
          <w:shd w:val="clear" w:color="auto" w:fill="FFFFFF"/>
        </w:rPr>
      </w:pPr>
      <w:r>
        <w:rPr>
          <w:shd w:val="clear" w:color="auto" w:fill="FFFFFF"/>
        </w:rPr>
        <w:t>Vrontis, D., Christofi, M., Pereira, V., Tarba, S., Makrides, A., and Trichina, E. (2023). Artificial intelligence, robotics, advanced technologies and human resource management: a systematic review. </w:t>
      </w:r>
      <w:r>
        <w:rPr>
          <w:i/>
          <w:iCs/>
          <w:shd w:val="clear" w:color="auto" w:fill="FFFFFF"/>
        </w:rPr>
        <w:t>Artificial intelligence and international HRM</w:t>
      </w:r>
      <w:r>
        <w:rPr>
          <w:shd w:val="clear" w:color="auto" w:fill="FFFFFF"/>
        </w:rPr>
        <w:t>, 172-201.</w:t>
      </w:r>
    </w:p>
    <w:p w14:paraId="6CF2DE78">
      <w:pPr>
        <w:pStyle w:val="39"/>
        <w:numPr>
          <w:ilvl w:val="0"/>
          <w:numId w:val="13"/>
        </w:numPr>
        <w:rPr>
          <w:shd w:val="clear" w:color="auto" w:fill="FFFFFF"/>
        </w:rPr>
      </w:pPr>
      <w:r>
        <w:rPr>
          <w:shd w:val="clear" w:color="auto" w:fill="FFFFFF"/>
        </w:rPr>
        <w:t>Wa-Mbaleka, S. (2019, December). Ethics in qualitative research: A practical guide. In </w:t>
      </w:r>
      <w:r>
        <w:rPr>
          <w:i/>
          <w:iCs/>
          <w:shd w:val="clear" w:color="auto" w:fill="FFFFFF"/>
        </w:rPr>
        <w:t>International Forum Journal</w:t>
      </w:r>
      <w:r>
        <w:rPr>
          <w:shd w:val="clear" w:color="auto" w:fill="FFFFFF"/>
        </w:rPr>
        <w:t> (Vol. 22, No. 2, pp. 116-132).</w:t>
      </w:r>
    </w:p>
    <w:p w14:paraId="3C4DA132">
      <w:pPr>
        <w:pStyle w:val="39"/>
        <w:numPr>
          <w:ilvl w:val="0"/>
          <w:numId w:val="13"/>
        </w:numPr>
        <w:rPr>
          <w:shd w:val="clear" w:color="auto" w:fill="FFFFFF"/>
        </w:rPr>
      </w:pPr>
      <w:r>
        <w:rPr>
          <w:shd w:val="clear" w:color="auto" w:fill="FFFFFF"/>
        </w:rPr>
        <w:t>Wang, Y. (2021). Artificial intelligence in educational leadership: a symbiotic role of human-artificial intelligence decision-making. </w:t>
      </w:r>
      <w:r>
        <w:rPr>
          <w:i/>
          <w:iCs/>
          <w:shd w:val="clear" w:color="auto" w:fill="FFFFFF"/>
        </w:rPr>
        <w:t>Journal of Educational Administration</w:t>
      </w:r>
      <w:r>
        <w:rPr>
          <w:shd w:val="clear" w:color="auto" w:fill="FFFFFF"/>
        </w:rPr>
        <w:t>, </w:t>
      </w:r>
      <w:r>
        <w:rPr>
          <w:i/>
          <w:iCs/>
          <w:shd w:val="clear" w:color="auto" w:fill="FFFFFF"/>
        </w:rPr>
        <w:t>59</w:t>
      </w:r>
      <w:r>
        <w:rPr>
          <w:shd w:val="clear" w:color="auto" w:fill="FFFFFF"/>
        </w:rPr>
        <w:t>(3), 256-270.</w:t>
      </w:r>
    </w:p>
    <w:p w14:paraId="092DE1E5">
      <w:pPr>
        <w:pStyle w:val="39"/>
        <w:numPr>
          <w:ilvl w:val="0"/>
          <w:numId w:val="13"/>
        </w:numPr>
        <w:rPr>
          <w:shd w:val="clear" w:color="auto" w:fill="FFFFFF"/>
        </w:rPr>
      </w:pPr>
      <w:r>
        <w:rPr>
          <w:shd w:val="clear" w:color="auto" w:fill="FFFFFF"/>
        </w:rPr>
        <w:t>Williams, M., and Moser, T. (2019). The art of coding and thematic exploration in qualitative research. </w:t>
      </w:r>
      <w:r>
        <w:rPr>
          <w:i/>
          <w:iCs/>
          <w:shd w:val="clear" w:color="auto" w:fill="FFFFFF"/>
        </w:rPr>
        <w:t>International management review</w:t>
      </w:r>
      <w:r>
        <w:rPr>
          <w:shd w:val="clear" w:color="auto" w:fill="FFFFFF"/>
        </w:rPr>
        <w:t>, </w:t>
      </w:r>
      <w:r>
        <w:rPr>
          <w:i/>
          <w:iCs/>
          <w:shd w:val="clear" w:color="auto" w:fill="FFFFFF"/>
        </w:rPr>
        <w:t>15</w:t>
      </w:r>
      <w:r>
        <w:rPr>
          <w:shd w:val="clear" w:color="auto" w:fill="FFFFFF"/>
        </w:rPr>
        <w:t>(1), 45-55.</w:t>
      </w:r>
    </w:p>
    <w:p w14:paraId="403FC2CB">
      <w:pPr>
        <w:pStyle w:val="39"/>
        <w:numPr>
          <w:ilvl w:val="0"/>
          <w:numId w:val="13"/>
        </w:numPr>
        <w:rPr>
          <w:shd w:val="clear" w:color="auto" w:fill="FFFFFF"/>
        </w:rPr>
      </w:pPr>
      <w:r>
        <w:rPr>
          <w:shd w:val="clear" w:color="auto" w:fill="FFFFFF"/>
        </w:rPr>
        <w:t>Woolf, N. H., and Silver, C. (2017). Qualitative analysis using NVivo: The five-level QDA® method. Routledge.</w:t>
      </w:r>
    </w:p>
    <w:sectPr>
      <w:footerReference r:id="rId5" w:type="default"/>
      <w:footerReference r:id="rId6" w:type="even"/>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DengXian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2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Aptos">
    <w:altName w:val="Segoe Print"/>
    <w:panose1 w:val="00000000000000000000"/>
    <w:charset w:val="00"/>
    <w:family w:val="swiss"/>
    <w:pitch w:val="default"/>
    <w:sig w:usb0="00000000" w:usb1="00000000" w:usb2="00000000" w:usb3="00000000" w:csb0="0000019F" w:csb1="00000000"/>
  </w:font>
  <w:font w:name="DengXian">
    <w:panose1 w:val="02010600030101010101"/>
    <w:charset w:val="86"/>
    <w:family w:val="auto"/>
    <w:pitch w:val="default"/>
    <w:sig w:usb0="A00002BF" w:usb1="38CF7CFA" w:usb2="00000016" w:usb3="00000000" w:csb0="0004000F" w:csb1="00000000"/>
  </w:font>
  <w:font w:name="Symbol">
    <w:panose1 w:val="05050102010706020507"/>
    <w:charset w:val="02"/>
    <w:family w:val="roman"/>
    <w:pitch w:val="default"/>
    <w:sig w:usb0="00000000" w:usb1="00000000" w:usb2="00000000" w:usb3="00000000" w:csb0="80000000" w:csb1="00000000"/>
  </w:font>
  <w:font w:name="-webkit-standard">
    <w:altName w:val="Cambria"/>
    <w:panose1 w:val="00000000000000000000"/>
    <w:charset w:val="00"/>
    <w:family w:val="roman"/>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20"/>
      </w:rPr>
      <w:id w:val="-1777406025"/>
      <w:docPartObj>
        <w:docPartGallery w:val="AutoText"/>
      </w:docPartObj>
    </w:sdtPr>
    <w:sdtEndPr>
      <w:rPr>
        <w:rStyle w:val="20"/>
      </w:rPr>
    </w:sdtEndPr>
    <w:sdtContent>
      <w:p w14:paraId="302AA823">
        <w:pPr>
          <w:pStyle w:val="17"/>
          <w:framePr w:wrap="auto" w:vAnchor="text" w:hAnchor="margin" w:xAlign="right" w:y="1"/>
          <w:rPr>
            <w:rStyle w:val="20"/>
          </w:rPr>
        </w:pPr>
        <w:r>
          <w:rPr>
            <w:rStyle w:val="20"/>
          </w:rPr>
          <w:fldChar w:fldCharType="begin"/>
        </w:r>
        <w:r>
          <w:rPr>
            <w:rStyle w:val="20"/>
          </w:rPr>
          <w:instrText xml:space="preserve"> PAGE </w:instrText>
        </w:r>
        <w:r>
          <w:rPr>
            <w:rStyle w:val="20"/>
          </w:rPr>
          <w:fldChar w:fldCharType="separate"/>
        </w:r>
        <w:r>
          <w:rPr>
            <w:rStyle w:val="20"/>
          </w:rPr>
          <w:t>1</w:t>
        </w:r>
        <w:r>
          <w:rPr>
            <w:rStyle w:val="20"/>
          </w:rPr>
          <w:fldChar w:fldCharType="end"/>
        </w:r>
      </w:p>
    </w:sdtContent>
  </w:sdt>
  <w:p w14:paraId="6F811DF7">
    <w:pPr>
      <w:pStyle w:val="17"/>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20"/>
      </w:rPr>
      <w:id w:val="-63575778"/>
      <w:docPartObj>
        <w:docPartGallery w:val="AutoText"/>
      </w:docPartObj>
    </w:sdtPr>
    <w:sdtEndPr>
      <w:rPr>
        <w:rStyle w:val="20"/>
      </w:rPr>
    </w:sdtEndPr>
    <w:sdtContent>
      <w:p w14:paraId="0E748E2B">
        <w:pPr>
          <w:pStyle w:val="17"/>
          <w:framePr w:wrap="auto" w:vAnchor="text" w:hAnchor="margin" w:xAlign="right" w:y="1"/>
          <w:rPr>
            <w:rStyle w:val="20"/>
          </w:rPr>
        </w:pPr>
        <w:r>
          <w:rPr>
            <w:rStyle w:val="20"/>
          </w:rPr>
          <w:fldChar w:fldCharType="begin"/>
        </w:r>
        <w:r>
          <w:rPr>
            <w:rStyle w:val="20"/>
          </w:rPr>
          <w:instrText xml:space="preserve"> PAGE </w:instrText>
        </w:r>
        <w:r>
          <w:rPr>
            <w:rStyle w:val="20"/>
          </w:rPr>
          <w:fldChar w:fldCharType="end"/>
        </w:r>
      </w:p>
    </w:sdtContent>
  </w:sdt>
  <w:p w14:paraId="287EBCD3">
    <w:pPr>
      <w:pStyle w:val="17"/>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B604EB"/>
    <w:multiLevelType w:val="multilevel"/>
    <w:tmpl w:val="03B604EB"/>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
    <w:nsid w:val="064833CA"/>
    <w:multiLevelType w:val="multilevel"/>
    <w:tmpl w:val="064833CA"/>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2">
    <w:nsid w:val="153128DB"/>
    <w:multiLevelType w:val="multilevel"/>
    <w:tmpl w:val="153128DB"/>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3">
    <w:nsid w:val="1DAA45CE"/>
    <w:multiLevelType w:val="multilevel"/>
    <w:tmpl w:val="1DAA45CE"/>
    <w:lvl w:ilvl="0" w:tentative="0">
      <w:start w:val="1"/>
      <w:numFmt w:val="decimal"/>
      <w:lvlText w:val="%1."/>
      <w:lvlJc w:val="left"/>
      <w:pPr>
        <w:ind w:left="720" w:hanging="360"/>
      </w:pPr>
      <w:rPr>
        <w:b w:val="0"/>
        <w:bCs/>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24662302"/>
    <w:multiLevelType w:val="multilevel"/>
    <w:tmpl w:val="24662302"/>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5">
    <w:nsid w:val="2E6B714F"/>
    <w:multiLevelType w:val="multilevel"/>
    <w:tmpl w:val="2E6B714F"/>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6">
    <w:nsid w:val="355E1C9C"/>
    <w:multiLevelType w:val="multilevel"/>
    <w:tmpl w:val="355E1C9C"/>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7">
    <w:nsid w:val="3BAB3F81"/>
    <w:multiLevelType w:val="multilevel"/>
    <w:tmpl w:val="3BAB3F81"/>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8">
    <w:nsid w:val="3F817E8F"/>
    <w:multiLevelType w:val="multilevel"/>
    <w:tmpl w:val="3F817E8F"/>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9">
    <w:nsid w:val="45465E00"/>
    <w:multiLevelType w:val="multilevel"/>
    <w:tmpl w:val="45465E00"/>
    <w:lvl w:ilvl="0" w:tentative="0">
      <w:start w:val="1"/>
      <w:numFmt w:val="decimal"/>
      <w:lvlText w:val="%1."/>
      <w:lvlJc w:val="left"/>
      <w:pPr>
        <w:ind w:left="360" w:hanging="360"/>
      </w:pPr>
      <w:rPr>
        <w:rFonts w:hint="default"/>
        <w:b/>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10">
    <w:nsid w:val="5BE06583"/>
    <w:multiLevelType w:val="multilevel"/>
    <w:tmpl w:val="5BE06583"/>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1">
    <w:nsid w:val="76697472"/>
    <w:multiLevelType w:val="multilevel"/>
    <w:tmpl w:val="76697472"/>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12">
    <w:nsid w:val="7AAE49DA"/>
    <w:multiLevelType w:val="multilevel"/>
    <w:tmpl w:val="7AAE49DA"/>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num w:numId="1">
    <w:abstractNumId w:val="6"/>
  </w:num>
  <w:num w:numId="2">
    <w:abstractNumId w:val="10"/>
  </w:num>
  <w:num w:numId="3">
    <w:abstractNumId w:val="9"/>
  </w:num>
  <w:num w:numId="4">
    <w:abstractNumId w:val="1"/>
  </w:num>
  <w:num w:numId="5">
    <w:abstractNumId w:val="2"/>
  </w:num>
  <w:num w:numId="6">
    <w:abstractNumId w:val="8"/>
  </w:num>
  <w:num w:numId="7">
    <w:abstractNumId w:val="5"/>
  </w:num>
  <w:num w:numId="8">
    <w:abstractNumId w:val="0"/>
  </w:num>
  <w:num w:numId="9">
    <w:abstractNumId w:val="12"/>
  </w:num>
  <w:num w:numId="10">
    <w:abstractNumId w:val="7"/>
  </w:num>
  <w:num w:numId="11">
    <w:abstractNumId w:val="4"/>
  </w:num>
  <w:num w:numId="12">
    <w:abstractNumId w:val="11"/>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2844"/>
    <w:rsid w:val="0000724A"/>
    <w:rsid w:val="00024A8B"/>
    <w:rsid w:val="0004325E"/>
    <w:rsid w:val="000447A0"/>
    <w:rsid w:val="000533F5"/>
    <w:rsid w:val="00083FB8"/>
    <w:rsid w:val="000B2B08"/>
    <w:rsid w:val="000C27EC"/>
    <w:rsid w:val="000C5ECD"/>
    <w:rsid w:val="00100DC3"/>
    <w:rsid w:val="00126AD5"/>
    <w:rsid w:val="001601C2"/>
    <w:rsid w:val="001760BD"/>
    <w:rsid w:val="001B0CB9"/>
    <w:rsid w:val="001C03FB"/>
    <w:rsid w:val="001C2C05"/>
    <w:rsid w:val="001C4910"/>
    <w:rsid w:val="002156EE"/>
    <w:rsid w:val="00222CBB"/>
    <w:rsid w:val="002241F4"/>
    <w:rsid w:val="0022640C"/>
    <w:rsid w:val="0025796F"/>
    <w:rsid w:val="00280971"/>
    <w:rsid w:val="002826CE"/>
    <w:rsid w:val="00296EB4"/>
    <w:rsid w:val="002B06B7"/>
    <w:rsid w:val="002C3A42"/>
    <w:rsid w:val="002F0F92"/>
    <w:rsid w:val="00301E3D"/>
    <w:rsid w:val="00302844"/>
    <w:rsid w:val="00312A69"/>
    <w:rsid w:val="00326473"/>
    <w:rsid w:val="00344468"/>
    <w:rsid w:val="00346607"/>
    <w:rsid w:val="003B0F20"/>
    <w:rsid w:val="003D50BE"/>
    <w:rsid w:val="00401F98"/>
    <w:rsid w:val="00412DC6"/>
    <w:rsid w:val="00423684"/>
    <w:rsid w:val="004261DA"/>
    <w:rsid w:val="00442B5D"/>
    <w:rsid w:val="00452F53"/>
    <w:rsid w:val="00473A39"/>
    <w:rsid w:val="004823E2"/>
    <w:rsid w:val="004A7525"/>
    <w:rsid w:val="004D17EB"/>
    <w:rsid w:val="00505E79"/>
    <w:rsid w:val="00517601"/>
    <w:rsid w:val="005176BC"/>
    <w:rsid w:val="00543D35"/>
    <w:rsid w:val="005602D6"/>
    <w:rsid w:val="00565F71"/>
    <w:rsid w:val="00581AA1"/>
    <w:rsid w:val="00584453"/>
    <w:rsid w:val="00590973"/>
    <w:rsid w:val="005E2377"/>
    <w:rsid w:val="00623DF9"/>
    <w:rsid w:val="00631427"/>
    <w:rsid w:val="00661EB2"/>
    <w:rsid w:val="006634C2"/>
    <w:rsid w:val="00695A8F"/>
    <w:rsid w:val="006A0A86"/>
    <w:rsid w:val="006A7365"/>
    <w:rsid w:val="006B4333"/>
    <w:rsid w:val="006B45A9"/>
    <w:rsid w:val="006C5B2C"/>
    <w:rsid w:val="006C7F4F"/>
    <w:rsid w:val="006D0A6B"/>
    <w:rsid w:val="006E18E1"/>
    <w:rsid w:val="00716BC8"/>
    <w:rsid w:val="007457D2"/>
    <w:rsid w:val="007A0B3B"/>
    <w:rsid w:val="007A0D16"/>
    <w:rsid w:val="007E1859"/>
    <w:rsid w:val="007E4371"/>
    <w:rsid w:val="00817702"/>
    <w:rsid w:val="00820817"/>
    <w:rsid w:val="008221CE"/>
    <w:rsid w:val="00831859"/>
    <w:rsid w:val="00852F1A"/>
    <w:rsid w:val="00870E01"/>
    <w:rsid w:val="00890153"/>
    <w:rsid w:val="008926FE"/>
    <w:rsid w:val="008C50A9"/>
    <w:rsid w:val="00912E9B"/>
    <w:rsid w:val="009316F4"/>
    <w:rsid w:val="00934C61"/>
    <w:rsid w:val="00967342"/>
    <w:rsid w:val="00972A09"/>
    <w:rsid w:val="00977075"/>
    <w:rsid w:val="00994D27"/>
    <w:rsid w:val="00995F22"/>
    <w:rsid w:val="009D0319"/>
    <w:rsid w:val="009D0740"/>
    <w:rsid w:val="009D09FF"/>
    <w:rsid w:val="009E489F"/>
    <w:rsid w:val="009E5B2C"/>
    <w:rsid w:val="009F4364"/>
    <w:rsid w:val="00A16FE8"/>
    <w:rsid w:val="00A25B22"/>
    <w:rsid w:val="00A35D6A"/>
    <w:rsid w:val="00A4038A"/>
    <w:rsid w:val="00A46B4A"/>
    <w:rsid w:val="00A53280"/>
    <w:rsid w:val="00A757E2"/>
    <w:rsid w:val="00AA1F54"/>
    <w:rsid w:val="00AC3407"/>
    <w:rsid w:val="00AE373A"/>
    <w:rsid w:val="00AF3326"/>
    <w:rsid w:val="00B26A4A"/>
    <w:rsid w:val="00B26BFC"/>
    <w:rsid w:val="00B33205"/>
    <w:rsid w:val="00B34D1A"/>
    <w:rsid w:val="00B548CB"/>
    <w:rsid w:val="00B7441F"/>
    <w:rsid w:val="00B802D0"/>
    <w:rsid w:val="00B9105E"/>
    <w:rsid w:val="00B96E13"/>
    <w:rsid w:val="00BB4668"/>
    <w:rsid w:val="00BB7E04"/>
    <w:rsid w:val="00BD032D"/>
    <w:rsid w:val="00BD2711"/>
    <w:rsid w:val="00BD72F6"/>
    <w:rsid w:val="00BE0C80"/>
    <w:rsid w:val="00C01EA2"/>
    <w:rsid w:val="00C049E9"/>
    <w:rsid w:val="00C25982"/>
    <w:rsid w:val="00C61B30"/>
    <w:rsid w:val="00CC5F59"/>
    <w:rsid w:val="00CD68C2"/>
    <w:rsid w:val="00CE17D7"/>
    <w:rsid w:val="00CE60D4"/>
    <w:rsid w:val="00D2493B"/>
    <w:rsid w:val="00D31F56"/>
    <w:rsid w:val="00D333E4"/>
    <w:rsid w:val="00D5455E"/>
    <w:rsid w:val="00D63E17"/>
    <w:rsid w:val="00D91C0C"/>
    <w:rsid w:val="00D95EDD"/>
    <w:rsid w:val="00DB1D7D"/>
    <w:rsid w:val="00DD2165"/>
    <w:rsid w:val="00DE2706"/>
    <w:rsid w:val="00DF31EE"/>
    <w:rsid w:val="00DF3497"/>
    <w:rsid w:val="00E25971"/>
    <w:rsid w:val="00E27ED8"/>
    <w:rsid w:val="00E61942"/>
    <w:rsid w:val="00E75789"/>
    <w:rsid w:val="00E87046"/>
    <w:rsid w:val="00EF58E4"/>
    <w:rsid w:val="00F07903"/>
    <w:rsid w:val="00F347F3"/>
    <w:rsid w:val="00F65684"/>
    <w:rsid w:val="00F7298E"/>
    <w:rsid w:val="00FD4DAA"/>
    <w:rsid w:val="00FE5E3A"/>
    <w:rsid w:val="4D404AC6"/>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heme="minorHAnsi" w:cstheme="minorBidi"/>
      <w:kern w:val="2"/>
      <w:sz w:val="24"/>
      <w:szCs w:val="24"/>
      <w:lang w:val="en-IN" w:eastAsia="en-US" w:bidi="ar-SA"/>
      <w14:ligatures w14:val="standardContextual"/>
    </w:rPr>
  </w:style>
  <w:style w:type="paragraph" w:styleId="2">
    <w:name w:val="heading 1"/>
    <w:basedOn w:val="1"/>
    <w:next w:val="1"/>
    <w:link w:val="26"/>
    <w:qFormat/>
    <w:uiPriority w:val="9"/>
    <w:pPr>
      <w:keepNext/>
      <w:keepLines/>
      <w:spacing w:before="360" w:after="80"/>
      <w:outlineLvl w:val="0"/>
    </w:pPr>
    <w:rPr>
      <w:rFonts w:eastAsiaTheme="majorEastAsia" w:cstheme="majorBidi"/>
      <w:b/>
      <w:color w:val="000000" w:themeColor="text1"/>
      <w:sz w:val="32"/>
      <w:szCs w:val="40"/>
      <w14:textFill>
        <w14:solidFill>
          <w14:schemeClr w14:val="tx1"/>
        </w14:solidFill>
      </w14:textFill>
    </w:rPr>
  </w:style>
  <w:style w:type="paragraph" w:styleId="3">
    <w:name w:val="heading 2"/>
    <w:basedOn w:val="1"/>
    <w:next w:val="1"/>
    <w:link w:val="27"/>
    <w:semiHidden/>
    <w:unhideWhenUsed/>
    <w:qFormat/>
    <w:uiPriority w:val="9"/>
    <w:pPr>
      <w:keepNext/>
      <w:keepLines/>
      <w:spacing w:before="160" w:after="80"/>
      <w:outlineLvl w:val="1"/>
    </w:pPr>
    <w:rPr>
      <w:rFonts w:eastAsiaTheme="majorEastAsia" w:cstheme="majorBidi"/>
      <w:b/>
      <w:color w:val="000000" w:themeColor="text1"/>
      <w:sz w:val="28"/>
      <w:szCs w:val="32"/>
      <w14:textFill>
        <w14:solidFill>
          <w14:schemeClr w14:val="tx1"/>
        </w14:solidFill>
      </w14:textFill>
    </w:rPr>
  </w:style>
  <w:style w:type="paragraph" w:styleId="4">
    <w:name w:val="heading 3"/>
    <w:basedOn w:val="1"/>
    <w:next w:val="1"/>
    <w:link w:val="28"/>
    <w:semiHidden/>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9"/>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30"/>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31"/>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2"/>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3"/>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4"/>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Balloon Text"/>
    <w:basedOn w:val="1"/>
    <w:link w:val="50"/>
    <w:semiHidden/>
    <w:unhideWhenUsed/>
    <w:qFormat/>
    <w:uiPriority w:val="99"/>
    <w:pPr>
      <w:spacing w:line="240" w:lineRule="auto"/>
    </w:pPr>
    <w:rPr>
      <w:rFonts w:ascii="Segoe UI" w:hAnsi="Segoe UI" w:cs="Segoe UI"/>
      <w:sz w:val="18"/>
      <w:szCs w:val="18"/>
    </w:rPr>
  </w:style>
  <w:style w:type="character" w:styleId="14">
    <w:name w:val="annotation reference"/>
    <w:basedOn w:val="11"/>
    <w:semiHidden/>
    <w:unhideWhenUsed/>
    <w:uiPriority w:val="99"/>
    <w:rPr>
      <w:sz w:val="16"/>
      <w:szCs w:val="16"/>
    </w:rPr>
  </w:style>
  <w:style w:type="paragraph" w:styleId="15">
    <w:name w:val="annotation text"/>
    <w:basedOn w:val="1"/>
    <w:link w:val="48"/>
    <w:semiHidden/>
    <w:unhideWhenUsed/>
    <w:uiPriority w:val="99"/>
    <w:pPr>
      <w:spacing w:line="240" w:lineRule="auto"/>
    </w:pPr>
    <w:rPr>
      <w:sz w:val="20"/>
      <w:szCs w:val="20"/>
    </w:rPr>
  </w:style>
  <w:style w:type="paragraph" w:styleId="16">
    <w:name w:val="annotation subject"/>
    <w:basedOn w:val="15"/>
    <w:next w:val="15"/>
    <w:link w:val="49"/>
    <w:semiHidden/>
    <w:unhideWhenUsed/>
    <w:uiPriority w:val="99"/>
    <w:rPr>
      <w:b/>
      <w:bCs/>
    </w:rPr>
  </w:style>
  <w:style w:type="paragraph" w:styleId="17">
    <w:name w:val="footer"/>
    <w:basedOn w:val="1"/>
    <w:link w:val="44"/>
    <w:unhideWhenUsed/>
    <w:uiPriority w:val="99"/>
    <w:pPr>
      <w:tabs>
        <w:tab w:val="center" w:pos="4513"/>
        <w:tab w:val="right" w:pos="9026"/>
      </w:tabs>
      <w:spacing w:line="240" w:lineRule="auto"/>
    </w:pPr>
  </w:style>
  <w:style w:type="paragraph" w:styleId="18">
    <w:name w:val="header"/>
    <w:basedOn w:val="1"/>
    <w:link w:val="46"/>
    <w:unhideWhenUsed/>
    <w:uiPriority w:val="99"/>
    <w:pPr>
      <w:tabs>
        <w:tab w:val="center" w:pos="4513"/>
        <w:tab w:val="right" w:pos="9026"/>
      </w:tabs>
      <w:spacing w:line="240" w:lineRule="auto"/>
    </w:pPr>
  </w:style>
  <w:style w:type="character" w:styleId="19">
    <w:name w:val="Hyperlink"/>
    <w:basedOn w:val="11"/>
    <w:unhideWhenUsed/>
    <w:qFormat/>
    <w:uiPriority w:val="99"/>
    <w:rPr>
      <w:color w:val="0563C1" w:themeColor="hyperlink"/>
      <w:u w:val="single"/>
      <w14:textFill>
        <w14:solidFill>
          <w14:schemeClr w14:val="hlink"/>
        </w14:solidFill>
      </w14:textFill>
    </w:rPr>
  </w:style>
  <w:style w:type="character" w:styleId="20">
    <w:name w:val="page number"/>
    <w:basedOn w:val="11"/>
    <w:semiHidden/>
    <w:unhideWhenUsed/>
    <w:uiPriority w:val="99"/>
  </w:style>
  <w:style w:type="character" w:styleId="21">
    <w:name w:val="Strong"/>
    <w:basedOn w:val="11"/>
    <w:qFormat/>
    <w:uiPriority w:val="22"/>
    <w:rPr>
      <w:b/>
      <w:bCs/>
    </w:rPr>
  </w:style>
  <w:style w:type="paragraph" w:styleId="22">
    <w:name w:val="Subtitle"/>
    <w:basedOn w:val="1"/>
    <w:next w:val="1"/>
    <w:link w:val="36"/>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3">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4">
    <w:name w:val="Title"/>
    <w:basedOn w:val="1"/>
    <w:next w:val="1"/>
    <w:link w:val="35"/>
    <w:qFormat/>
    <w:uiPriority w:val="10"/>
    <w:pPr>
      <w:spacing w:after="80"/>
      <w:contextualSpacing/>
    </w:pPr>
    <w:rPr>
      <w:rFonts w:eastAsiaTheme="majorEastAsia" w:cstheme="majorBidi"/>
      <w:b/>
      <w:spacing w:val="-10"/>
      <w:kern w:val="28"/>
      <w:sz w:val="52"/>
      <w:szCs w:val="56"/>
    </w:rPr>
  </w:style>
  <w:style w:type="paragraph" w:styleId="25">
    <w:name w:val="toc 1"/>
    <w:basedOn w:val="1"/>
    <w:next w:val="1"/>
    <w:autoRedefine/>
    <w:unhideWhenUsed/>
    <w:uiPriority w:val="39"/>
    <w:pPr>
      <w:spacing w:after="100"/>
    </w:pPr>
  </w:style>
  <w:style w:type="character" w:customStyle="1" w:styleId="26">
    <w:name w:val="Heading 1 Char"/>
    <w:basedOn w:val="11"/>
    <w:link w:val="2"/>
    <w:qFormat/>
    <w:uiPriority w:val="9"/>
    <w:rPr>
      <w:rFonts w:ascii="Times New Roman" w:hAnsi="Times New Roman" w:eastAsiaTheme="majorEastAsia" w:cstheme="majorBidi"/>
      <w:b/>
      <w:color w:val="000000" w:themeColor="text1"/>
      <w:sz w:val="32"/>
      <w:szCs w:val="40"/>
      <w14:textFill>
        <w14:solidFill>
          <w14:schemeClr w14:val="tx1"/>
        </w14:solidFill>
      </w14:textFill>
    </w:rPr>
  </w:style>
  <w:style w:type="character" w:customStyle="1" w:styleId="27">
    <w:name w:val="Heading 2 Char"/>
    <w:basedOn w:val="11"/>
    <w:link w:val="3"/>
    <w:semiHidden/>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customStyle="1" w:styleId="28">
    <w:name w:val="Heading 3 Char"/>
    <w:basedOn w:val="11"/>
    <w:link w:val="4"/>
    <w:semiHidden/>
    <w:uiPriority w:val="9"/>
    <w:rPr>
      <w:rFonts w:eastAsiaTheme="majorEastAsia" w:cstheme="majorBidi"/>
      <w:color w:val="2F5597" w:themeColor="accent1" w:themeShade="BF"/>
      <w:sz w:val="28"/>
      <w:szCs w:val="28"/>
    </w:rPr>
  </w:style>
  <w:style w:type="character" w:customStyle="1" w:styleId="29">
    <w:name w:val="Heading 4 Char"/>
    <w:basedOn w:val="11"/>
    <w:link w:val="5"/>
    <w:semiHidden/>
    <w:uiPriority w:val="9"/>
    <w:rPr>
      <w:rFonts w:eastAsiaTheme="majorEastAsia" w:cstheme="majorBidi"/>
      <w:i/>
      <w:iCs/>
      <w:color w:val="2F5597" w:themeColor="accent1" w:themeShade="BF"/>
    </w:rPr>
  </w:style>
  <w:style w:type="character" w:customStyle="1" w:styleId="30">
    <w:name w:val="Heading 5 Char"/>
    <w:basedOn w:val="11"/>
    <w:link w:val="6"/>
    <w:semiHidden/>
    <w:qFormat/>
    <w:uiPriority w:val="9"/>
    <w:rPr>
      <w:rFonts w:eastAsiaTheme="majorEastAsia" w:cstheme="majorBidi"/>
      <w:color w:val="2F5597" w:themeColor="accent1" w:themeShade="BF"/>
    </w:rPr>
  </w:style>
  <w:style w:type="character" w:customStyle="1" w:styleId="31">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2">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3">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4">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5">
    <w:name w:val="Title Char"/>
    <w:basedOn w:val="11"/>
    <w:link w:val="24"/>
    <w:uiPriority w:val="10"/>
    <w:rPr>
      <w:rFonts w:ascii="Times New Roman" w:hAnsi="Times New Roman" w:eastAsiaTheme="majorEastAsia" w:cstheme="majorBidi"/>
      <w:b/>
      <w:spacing w:val="-10"/>
      <w:kern w:val="28"/>
      <w:sz w:val="52"/>
      <w:szCs w:val="56"/>
    </w:rPr>
  </w:style>
  <w:style w:type="character" w:customStyle="1" w:styleId="36">
    <w:name w:val="Subtitle Char"/>
    <w:basedOn w:val="11"/>
    <w:link w:val="22"/>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7">
    <w:name w:val="Quote"/>
    <w:basedOn w:val="1"/>
    <w:next w:val="1"/>
    <w:link w:val="38"/>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8">
    <w:name w:val="Quote Char"/>
    <w:basedOn w:val="11"/>
    <w:link w:val="37"/>
    <w:uiPriority w:val="29"/>
    <w:rPr>
      <w:i/>
      <w:iCs/>
      <w:color w:val="404040" w:themeColor="text1" w:themeTint="BF"/>
      <w14:textFill>
        <w14:solidFill>
          <w14:schemeClr w14:val="tx1">
            <w14:lumMod w14:val="75000"/>
            <w14:lumOff w14:val="25000"/>
          </w14:schemeClr>
        </w14:solidFill>
      </w14:textFill>
    </w:rPr>
  </w:style>
  <w:style w:type="paragraph" w:styleId="39">
    <w:name w:val="List Paragraph"/>
    <w:basedOn w:val="1"/>
    <w:qFormat/>
    <w:uiPriority w:val="34"/>
    <w:pPr>
      <w:ind w:left="720"/>
      <w:contextualSpacing/>
    </w:pPr>
  </w:style>
  <w:style w:type="character" w:customStyle="1" w:styleId="40">
    <w:name w:val="Intense Emphasis"/>
    <w:basedOn w:val="11"/>
    <w:qFormat/>
    <w:uiPriority w:val="21"/>
    <w:rPr>
      <w:i/>
      <w:iCs/>
      <w:color w:val="2F5597" w:themeColor="accent1" w:themeShade="BF"/>
    </w:rPr>
  </w:style>
  <w:style w:type="paragraph" w:styleId="41">
    <w:name w:val="Intense Quote"/>
    <w:basedOn w:val="1"/>
    <w:next w:val="1"/>
    <w:link w:val="42"/>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2">
    <w:name w:val="Intense Quote Char"/>
    <w:basedOn w:val="11"/>
    <w:link w:val="41"/>
    <w:uiPriority w:val="30"/>
    <w:rPr>
      <w:i/>
      <w:iCs/>
      <w:color w:val="2F5597" w:themeColor="accent1" w:themeShade="BF"/>
    </w:rPr>
  </w:style>
  <w:style w:type="character" w:customStyle="1" w:styleId="43">
    <w:name w:val="Intense Reference"/>
    <w:basedOn w:val="11"/>
    <w:qFormat/>
    <w:uiPriority w:val="32"/>
    <w:rPr>
      <w:b/>
      <w:bCs/>
      <w:smallCaps/>
      <w:color w:val="2F5597" w:themeColor="accent1" w:themeShade="BF"/>
      <w:spacing w:val="5"/>
    </w:rPr>
  </w:style>
  <w:style w:type="character" w:customStyle="1" w:styleId="44">
    <w:name w:val="Footer Char"/>
    <w:basedOn w:val="11"/>
    <w:link w:val="17"/>
    <w:uiPriority w:val="99"/>
    <w:rPr>
      <w:rFonts w:ascii="Times New Roman" w:hAnsi="Times New Roman"/>
    </w:rPr>
  </w:style>
  <w:style w:type="character" w:customStyle="1" w:styleId="45">
    <w:name w:val="apple-converted-space"/>
    <w:basedOn w:val="11"/>
    <w:uiPriority w:val="0"/>
  </w:style>
  <w:style w:type="character" w:customStyle="1" w:styleId="46">
    <w:name w:val="Header Char"/>
    <w:basedOn w:val="11"/>
    <w:link w:val="18"/>
    <w:qFormat/>
    <w:uiPriority w:val="99"/>
    <w:rPr>
      <w:rFonts w:ascii="Times New Roman" w:hAnsi="Times New Roman"/>
    </w:rPr>
  </w:style>
  <w:style w:type="paragraph" w:customStyle="1" w:styleId="47">
    <w:name w:val="TOC Heading"/>
    <w:basedOn w:val="2"/>
    <w:next w:val="1"/>
    <w:unhideWhenUsed/>
    <w:qFormat/>
    <w:uiPriority w:val="39"/>
    <w:pPr>
      <w:spacing w:before="240" w:after="0" w:line="259" w:lineRule="auto"/>
      <w:jc w:val="left"/>
      <w:outlineLvl w:val="9"/>
    </w:pPr>
    <w:rPr>
      <w:rFonts w:asciiTheme="majorHAnsi" w:hAnsiTheme="majorHAnsi"/>
      <w:b w:val="0"/>
      <w:color w:val="2F5597" w:themeColor="accent1" w:themeShade="BF"/>
      <w:kern w:val="0"/>
      <w:szCs w:val="32"/>
      <w:lang w:val="en-US"/>
      <w14:ligatures w14:val="none"/>
    </w:rPr>
  </w:style>
  <w:style w:type="character" w:customStyle="1" w:styleId="48">
    <w:name w:val="Comment Text Char"/>
    <w:basedOn w:val="11"/>
    <w:link w:val="15"/>
    <w:semiHidden/>
    <w:uiPriority w:val="99"/>
    <w:rPr>
      <w:rFonts w:ascii="Times New Roman" w:hAnsi="Times New Roman"/>
      <w:sz w:val="20"/>
      <w:szCs w:val="20"/>
    </w:rPr>
  </w:style>
  <w:style w:type="character" w:customStyle="1" w:styleId="49">
    <w:name w:val="Comment Subject Char"/>
    <w:basedOn w:val="48"/>
    <w:link w:val="16"/>
    <w:semiHidden/>
    <w:uiPriority w:val="99"/>
    <w:rPr>
      <w:rFonts w:ascii="Times New Roman" w:hAnsi="Times New Roman"/>
      <w:b/>
      <w:bCs/>
      <w:sz w:val="20"/>
      <w:szCs w:val="20"/>
    </w:rPr>
  </w:style>
  <w:style w:type="character" w:customStyle="1" w:styleId="50">
    <w:name w:val="Balloon Text Char"/>
    <w:basedOn w:val="11"/>
    <w:link w:val="13"/>
    <w:semiHidden/>
    <w:qFormat/>
    <w:uiPriority w:val="99"/>
    <w:rPr>
      <w:rFonts w:ascii="Segoe UI" w:hAnsi="Segoe UI" w:cs="Segoe UI"/>
      <w:sz w:val="18"/>
      <w:szCs w:val="18"/>
    </w:rPr>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GB"/>
              <a:t>Project Implementation Plan</a:t>
            </a:r>
            <a:endParaRPr lang="en-GB"/>
          </a:p>
        </c:rich>
      </c:tx>
      <c:layout/>
      <c:overlay val="0"/>
      <c:spPr>
        <a:noFill/>
        <a:ln>
          <a:noFill/>
        </a:ln>
        <a:effectLst/>
      </c:spPr>
    </c:title>
    <c:autoTitleDeleted val="0"/>
    <c:plotArea>
      <c:layout/>
      <c:barChart>
        <c:barDir val="bar"/>
        <c:grouping val="stacked"/>
        <c:varyColors val="0"/>
        <c:ser>
          <c:idx val="0"/>
          <c:order val="0"/>
          <c:tx>
            <c:strRef>
              <c:f>Sheet1!$B$1</c:f>
              <c:strCache>
                <c:ptCount val="1"/>
                <c:pt idx="0">
                  <c:v>Start Week</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Sheet1!$A$2:$A$8</c:f>
              <c:strCache>
                <c:ptCount val="7"/>
                <c:pt idx="0">
                  <c:v>Finalisation of proposal, background reading, refining research questions</c:v>
                </c:pt>
                <c:pt idx="1">
                  <c:v>Submission and approval of ethical clearance; identification and contact with target organisations and participants</c:v>
                </c:pt>
                <c:pt idx="2">
                  <c:v>Development of interview guide; scheduling and preparing for interviews</c:v>
                </c:pt>
                <c:pt idx="3">
                  <c:v>Primary data collection through semi-structured interviews</c:v>
                </c:pt>
                <c:pt idx="4">
                  <c:v>Transcription and initial familiarisation with interview data</c:v>
                </c:pt>
                <c:pt idx="5">
                  <c:v>Thematic coding and analysis using NVivo</c:v>
                </c:pt>
                <c:pt idx="6">
                  <c:v>Interpretation of findings, formulation of discussion and conclusions</c:v>
                </c:pt>
              </c:strCache>
            </c:strRef>
          </c:cat>
          <c:val>
            <c:numRef>
              <c:f>Sheet1!$B$2:$B$8</c:f>
              <c:numCache>
                <c:formatCode>General</c:formatCode>
                <c:ptCount val="7"/>
                <c:pt idx="0">
                  <c:v>1</c:v>
                </c:pt>
                <c:pt idx="1">
                  <c:v>3</c:v>
                </c:pt>
                <c:pt idx="2">
                  <c:v>5</c:v>
                </c:pt>
                <c:pt idx="3">
                  <c:v>7</c:v>
                </c:pt>
                <c:pt idx="4">
                  <c:v>10</c:v>
                </c:pt>
                <c:pt idx="5">
                  <c:v>11</c:v>
                </c:pt>
                <c:pt idx="6">
                  <c:v>13</c:v>
                </c:pt>
              </c:numCache>
            </c:numRef>
          </c:val>
        </c:ser>
        <c:ser>
          <c:idx val="1"/>
          <c:order val="1"/>
          <c:tx>
            <c:strRef>
              <c:f>Sheet1!$C$1</c:f>
              <c:strCache>
                <c:ptCount val="1"/>
                <c:pt idx="0">
                  <c:v>End Week</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Sheet1!$A$2:$A$8</c:f>
              <c:strCache>
                <c:ptCount val="7"/>
                <c:pt idx="0">
                  <c:v>Finalisation of proposal, background reading, refining research questions</c:v>
                </c:pt>
                <c:pt idx="1">
                  <c:v>Submission and approval of ethical clearance; identification and contact with target organisations and participants</c:v>
                </c:pt>
                <c:pt idx="2">
                  <c:v>Development of interview guide; scheduling and preparing for interviews</c:v>
                </c:pt>
                <c:pt idx="3">
                  <c:v>Primary data collection through semi-structured interviews</c:v>
                </c:pt>
                <c:pt idx="4">
                  <c:v>Transcription and initial familiarisation with interview data</c:v>
                </c:pt>
                <c:pt idx="5">
                  <c:v>Thematic coding and analysis using NVivo</c:v>
                </c:pt>
                <c:pt idx="6">
                  <c:v>Interpretation of findings, formulation of discussion and conclusions</c:v>
                </c:pt>
              </c:strCache>
            </c:strRef>
          </c:cat>
          <c:val>
            <c:numRef>
              <c:f>Sheet1!$C$2:$C$8</c:f>
              <c:numCache>
                <c:formatCode>General</c:formatCode>
                <c:ptCount val="7"/>
                <c:pt idx="0">
                  <c:v>2</c:v>
                </c:pt>
                <c:pt idx="1">
                  <c:v>4</c:v>
                </c:pt>
                <c:pt idx="2">
                  <c:v>6</c:v>
                </c:pt>
                <c:pt idx="3">
                  <c:v>9</c:v>
                </c:pt>
                <c:pt idx="4">
                  <c:v>10</c:v>
                </c:pt>
                <c:pt idx="5">
                  <c:v>12</c:v>
                </c:pt>
                <c:pt idx="6">
                  <c:v>13</c:v>
                </c:pt>
              </c:numCache>
            </c:numRef>
          </c:val>
        </c:ser>
        <c:ser>
          <c:idx val="2"/>
          <c:order val="2"/>
          <c:tx>
            <c:strRef>
              <c:f>Sheet1!$D$1</c:f>
              <c:strCache>
                <c:ptCount val="1"/>
                <c:pt idx="0">
                  <c:v>Duration (Weeks)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Sheet1!$A$2:$A$8</c:f>
              <c:strCache>
                <c:ptCount val="7"/>
                <c:pt idx="0">
                  <c:v>Finalisation of proposal, background reading, refining research questions</c:v>
                </c:pt>
                <c:pt idx="1">
                  <c:v>Submission and approval of ethical clearance; identification and contact with target organisations and participants</c:v>
                </c:pt>
                <c:pt idx="2">
                  <c:v>Development of interview guide; scheduling and preparing for interviews</c:v>
                </c:pt>
                <c:pt idx="3">
                  <c:v>Primary data collection through semi-structured interviews</c:v>
                </c:pt>
                <c:pt idx="4">
                  <c:v>Transcription and initial familiarisation with interview data</c:v>
                </c:pt>
                <c:pt idx="5">
                  <c:v>Thematic coding and analysis using NVivo</c:v>
                </c:pt>
                <c:pt idx="6">
                  <c:v>Interpretation of findings, formulation of discussion and conclusions</c:v>
                </c:pt>
              </c:strCache>
            </c:strRef>
          </c:cat>
          <c:val>
            <c:numRef>
              <c:f>Sheet1!$D$2:$D$8</c:f>
              <c:numCache>
                <c:formatCode>General</c:formatCode>
                <c:ptCount val="7"/>
                <c:pt idx="0">
                  <c:v>2</c:v>
                </c:pt>
                <c:pt idx="1">
                  <c:v>2</c:v>
                </c:pt>
                <c:pt idx="2">
                  <c:v>2</c:v>
                </c:pt>
                <c:pt idx="3">
                  <c:v>3</c:v>
                </c:pt>
                <c:pt idx="4">
                  <c:v>1</c:v>
                </c:pt>
                <c:pt idx="5">
                  <c:v>2</c:v>
                </c:pt>
                <c:pt idx="6">
                  <c:v>1</c:v>
                </c:pt>
              </c:numCache>
            </c:numRef>
          </c:val>
        </c:ser>
        <c:dLbls>
          <c:showLegendKey val="0"/>
          <c:showVal val="1"/>
          <c:showCatName val="0"/>
          <c:showSerName val="0"/>
          <c:showPercent val="0"/>
          <c:showBubbleSize val="0"/>
        </c:dLbls>
        <c:gapWidth val="150"/>
        <c:overlap val="100"/>
        <c:axId val="486226176"/>
        <c:axId val="486227888"/>
      </c:barChart>
      <c:catAx>
        <c:axId val="48622617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p>
        </c:txPr>
        <c:crossAx val="486227888"/>
        <c:crosses val="autoZero"/>
        <c:auto val="1"/>
        <c:lblAlgn val="ctr"/>
        <c:lblOffset val="100"/>
        <c:noMultiLvlLbl val="0"/>
      </c:catAx>
      <c:valAx>
        <c:axId val="486227888"/>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txPr>
          <a:bodyPr rot="-60000000" spcFirstLastPara="0"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crossAx val="486226176"/>
        <c:crosses val="autoZero"/>
        <c:crossBetween val="between"/>
      </c:valAx>
      <c:spPr>
        <a:noFill/>
        <a:ln>
          <a:noFill/>
        </a:ln>
        <a:effectLst/>
      </c:spPr>
    </c:plotArea>
    <c:legend>
      <c:legendPos val="b"/>
      <c:layout/>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legend>
    <c:plotVisOnly val="1"/>
    <c:dispBlanksAs val="gap"/>
    <c:showDLblsOverMax val="0"/>
    <c:extLst>
      <c:ext uri="{0b15fc19-7d7d-44ad-8c2d-2c3a37ce22c3}">
        <chartProps xmlns="https://web.wps.cn/et/2018/main" chartId="{e405a3cd-0bd5-45c2-9cd2-eaa93e3e62f0}"/>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16C09-3033-4A73-A989-45AAC0226668}">
  <ds:schemaRefs/>
</ds:datastoreItem>
</file>

<file path=docProps/app.xml><?xml version="1.0" encoding="utf-8"?>
<Properties xmlns="http://schemas.openxmlformats.org/officeDocument/2006/extended-properties" xmlns:vt="http://schemas.openxmlformats.org/officeDocument/2006/docPropsVTypes">
  <Template>Normal</Template>
  <Pages>26</Pages>
  <Words>6880</Words>
  <Characters>44328</Characters>
  <Lines>369</Lines>
  <Paragraphs>102</Paragraphs>
  <TotalTime>1</TotalTime>
  <ScaleCrop>false</ScaleCrop>
  <LinksUpToDate>false</LinksUpToDate>
  <CharactersWithSpaces>51106</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2025-04-28T09:58:00Z</dcterms:created>
  <dcterms:modified xsi:type="dcterms:W3CDTF">2026-03-10T09:16:35Z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ee69f2de330a331d65775f5777c97becb63c79e17acfd0da7b732c86da1c173b</vt:lpwstr>
  </property>
  <property fmtid="{D5CDD505-2E9C-101B-9397-08002B2CF9AE}" pid="3" name="KSOProductBuildVer">
    <vt:lpwstr>1033-12.2.0.23196</vt:lpwstr>
  </property>
  <property fmtid="{D5CDD505-2E9C-101B-9397-08002B2CF9AE}" pid="4" name="ICV">
    <vt:lpwstr>0D7A6C5235A84AC69ED9904717FD5C24_12</vt:lpwstr>
  </property>
</Properties>
</file>