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74F2F" w14:textId="39C7F316" w:rsidR="004403EA" w:rsidRPr="0066462A" w:rsidRDefault="003B3671">
      <w:pPr>
        <w:rPr>
          <w:b/>
          <w:sz w:val="32"/>
          <w:szCs w:val="32"/>
          <w:u w:val="single"/>
        </w:rPr>
      </w:pPr>
      <w:r>
        <w:rPr>
          <w:sz w:val="32"/>
          <w:szCs w:val="32"/>
        </w:rPr>
        <w:t xml:space="preserve">                             </w:t>
      </w:r>
      <w:r w:rsidR="005B5024" w:rsidRPr="005B5024">
        <w:rPr>
          <w:b/>
          <w:bCs/>
          <w:sz w:val="32"/>
          <w:szCs w:val="32"/>
        </w:rPr>
        <w:t xml:space="preserve">             </w:t>
      </w:r>
      <w:r w:rsidR="0066462A" w:rsidRPr="0066462A">
        <w:rPr>
          <w:b/>
          <w:bCs/>
          <w:sz w:val="32"/>
          <w:szCs w:val="32"/>
          <w:u w:val="single"/>
        </w:rPr>
        <w:t>PCDA</w:t>
      </w:r>
      <w:r w:rsidR="0066462A">
        <w:rPr>
          <w:sz w:val="32"/>
          <w:szCs w:val="32"/>
          <w:u w:val="single"/>
        </w:rPr>
        <w:t xml:space="preserve">: </w:t>
      </w:r>
      <w:r w:rsidR="005751D5" w:rsidRPr="0066462A">
        <w:rPr>
          <w:b/>
          <w:sz w:val="32"/>
          <w:szCs w:val="32"/>
          <w:u w:val="single"/>
        </w:rPr>
        <w:t xml:space="preserve">Assignment 1 </w:t>
      </w:r>
    </w:p>
    <w:p w14:paraId="1CF5AD92" w14:textId="77777777" w:rsidR="005751D5" w:rsidRPr="00CD1AE0" w:rsidRDefault="005751D5">
      <w:pPr>
        <w:rPr>
          <w:sz w:val="24"/>
          <w:szCs w:val="24"/>
        </w:rPr>
      </w:pPr>
    </w:p>
    <w:p w14:paraId="1810784F" w14:textId="77777777" w:rsidR="005751D5" w:rsidRPr="00CD1AE0" w:rsidRDefault="005751D5">
      <w:pPr>
        <w:rPr>
          <w:sz w:val="24"/>
          <w:szCs w:val="24"/>
        </w:rPr>
      </w:pPr>
      <w:r w:rsidRPr="00CD1AE0">
        <w:rPr>
          <w:sz w:val="24"/>
          <w:szCs w:val="24"/>
        </w:rPr>
        <w:t>Name – Gareth Thomas</w:t>
      </w:r>
    </w:p>
    <w:p w14:paraId="4AE42000" w14:textId="77777777" w:rsidR="005751D5" w:rsidRPr="00CD1AE0" w:rsidRDefault="005751D5">
      <w:pPr>
        <w:rPr>
          <w:sz w:val="24"/>
          <w:szCs w:val="24"/>
        </w:rPr>
      </w:pPr>
      <w:r w:rsidRPr="00CD1AE0">
        <w:rPr>
          <w:sz w:val="24"/>
          <w:szCs w:val="24"/>
        </w:rPr>
        <w:t>Student Number – 2031242</w:t>
      </w:r>
    </w:p>
    <w:p w14:paraId="2CAC8DC5" w14:textId="77777777" w:rsidR="005751D5" w:rsidRPr="00CD1AE0" w:rsidRDefault="005751D5">
      <w:pPr>
        <w:rPr>
          <w:sz w:val="24"/>
          <w:szCs w:val="24"/>
        </w:rPr>
      </w:pPr>
    </w:p>
    <w:p w14:paraId="72C79C60" w14:textId="77777777" w:rsidR="005751D5" w:rsidRPr="00CD1AE0" w:rsidRDefault="005751D5" w:rsidP="005751D5">
      <w:pPr>
        <w:spacing w:after="0" w:line="276" w:lineRule="auto"/>
        <w:ind w:left="567" w:right="531"/>
        <w:rPr>
          <w:rFonts w:ascii="Arial" w:eastAsia="Times New Roman" w:hAnsi="Arial" w:cs="Arial"/>
          <w:sz w:val="24"/>
          <w:szCs w:val="24"/>
          <w:lang w:eastAsia="en-GB"/>
        </w:rPr>
      </w:pPr>
      <w:r w:rsidRPr="00CD1AE0">
        <w:rPr>
          <w:rFonts w:ascii="Arial" w:eastAsia="Times New Roman" w:hAnsi="Arial" w:cs="Arial"/>
          <w:b/>
          <w:bCs/>
          <w:sz w:val="24"/>
          <w:szCs w:val="24"/>
          <w:lang w:eastAsia="en-GB"/>
        </w:rPr>
        <w:t>Essay one:</w:t>
      </w:r>
    </w:p>
    <w:p w14:paraId="6EC6F899" w14:textId="77777777" w:rsidR="005751D5" w:rsidRPr="00CD1AE0" w:rsidRDefault="005751D5" w:rsidP="005751D5">
      <w:pPr>
        <w:spacing w:after="0" w:line="276" w:lineRule="auto"/>
        <w:ind w:left="567" w:right="531"/>
        <w:rPr>
          <w:rFonts w:ascii="Arial" w:eastAsia="Times New Roman" w:hAnsi="Arial" w:cs="Arial"/>
          <w:sz w:val="24"/>
          <w:szCs w:val="24"/>
          <w:lang w:eastAsia="en-GB"/>
        </w:rPr>
      </w:pPr>
      <w:r w:rsidRPr="00CD1AE0">
        <w:rPr>
          <w:rFonts w:ascii="Arial" w:eastAsia="Times New Roman" w:hAnsi="Arial" w:cs="Arial"/>
          <w:sz w:val="24"/>
          <w:szCs w:val="24"/>
          <w:u w:val="single"/>
          <w:lang w:eastAsia="en-GB"/>
        </w:rPr>
        <w:t>Examine</w:t>
      </w:r>
      <w:r w:rsidRPr="00CD1AE0">
        <w:rPr>
          <w:rFonts w:ascii="Arial" w:eastAsia="Times New Roman" w:hAnsi="Arial" w:cs="Arial"/>
          <w:sz w:val="24"/>
          <w:szCs w:val="24"/>
          <w:lang w:eastAsia="en-GB"/>
        </w:rPr>
        <w:t xml:space="preserve"> how prominent cases of police misconduct or malpractice have influenced current professional policing policies. </w:t>
      </w:r>
      <w:r w:rsidRPr="00CD1AE0">
        <w:rPr>
          <w:rFonts w:ascii="Arial" w:eastAsia="Times New Roman" w:hAnsi="Arial" w:cs="Arial"/>
          <w:sz w:val="24"/>
          <w:szCs w:val="24"/>
          <w:u w:val="single"/>
          <w:lang w:eastAsia="en-GB"/>
        </w:rPr>
        <w:t>Evaluate</w:t>
      </w:r>
      <w:r w:rsidRPr="00CD1AE0">
        <w:rPr>
          <w:rFonts w:ascii="Arial" w:eastAsia="Times New Roman" w:hAnsi="Arial" w:cs="Arial"/>
          <w:sz w:val="24"/>
          <w:szCs w:val="24"/>
          <w:lang w:eastAsia="en-GB"/>
        </w:rPr>
        <w:t xml:space="preserve"> how these policies have increased community confidence in the police, with reference to the Code of Ethics. </w:t>
      </w:r>
    </w:p>
    <w:p w14:paraId="623BEACF" w14:textId="77777777" w:rsidR="005751D5" w:rsidRPr="00CD1AE0" w:rsidRDefault="005751D5" w:rsidP="005751D5">
      <w:pPr>
        <w:spacing w:after="0" w:line="276" w:lineRule="auto"/>
        <w:ind w:left="567" w:right="531"/>
        <w:rPr>
          <w:rFonts w:ascii="Arial" w:eastAsia="Times New Roman" w:hAnsi="Arial" w:cs="Arial"/>
          <w:sz w:val="24"/>
          <w:szCs w:val="24"/>
          <w:lang w:eastAsia="en-GB"/>
        </w:rPr>
      </w:pPr>
      <w:r w:rsidRPr="00CD1AE0">
        <w:rPr>
          <w:rFonts w:ascii="Arial" w:eastAsia="Times New Roman" w:hAnsi="Arial" w:cs="Arial"/>
          <w:sz w:val="24"/>
          <w:szCs w:val="24"/>
          <w:lang w:eastAsia="en-GB"/>
        </w:rPr>
        <w:t xml:space="preserve">Your answer should be based on academic research rather than personal experience, but you may </w:t>
      </w:r>
      <w:proofErr w:type="gramStart"/>
      <w:r w:rsidRPr="00CD1AE0">
        <w:rPr>
          <w:rFonts w:ascii="Arial" w:eastAsia="Times New Roman" w:hAnsi="Arial" w:cs="Arial"/>
          <w:sz w:val="24"/>
          <w:szCs w:val="24"/>
          <w:lang w:eastAsia="en-GB"/>
        </w:rPr>
        <w:t>make reference</w:t>
      </w:r>
      <w:proofErr w:type="gramEnd"/>
      <w:r w:rsidRPr="00CD1AE0">
        <w:rPr>
          <w:rFonts w:ascii="Arial" w:eastAsia="Times New Roman" w:hAnsi="Arial" w:cs="Arial"/>
          <w:sz w:val="24"/>
          <w:szCs w:val="24"/>
          <w:lang w:eastAsia="en-GB"/>
        </w:rPr>
        <w:t xml:space="preserve"> to relevant case studies.</w:t>
      </w:r>
    </w:p>
    <w:p w14:paraId="2FABF053" w14:textId="77777777" w:rsidR="005751D5" w:rsidRPr="00CD1AE0" w:rsidRDefault="005751D5" w:rsidP="005751D5">
      <w:pPr>
        <w:spacing w:after="0" w:line="276" w:lineRule="auto"/>
        <w:ind w:left="567" w:right="531"/>
        <w:rPr>
          <w:rFonts w:ascii="Arial" w:eastAsia="Times New Roman" w:hAnsi="Arial" w:cs="Arial"/>
          <w:sz w:val="24"/>
          <w:szCs w:val="24"/>
          <w:lang w:eastAsia="en-GB"/>
        </w:rPr>
      </w:pPr>
      <w:r w:rsidRPr="00CD1AE0">
        <w:rPr>
          <w:rFonts w:ascii="Arial" w:eastAsia="Times New Roman" w:hAnsi="Arial" w:cs="Arial"/>
          <w:b/>
          <w:bCs/>
          <w:sz w:val="24"/>
          <w:szCs w:val="24"/>
          <w:lang w:eastAsia="en-GB"/>
        </w:rPr>
        <w:t>Word limit:</w:t>
      </w:r>
      <w:r w:rsidRPr="00CD1AE0">
        <w:rPr>
          <w:rFonts w:ascii="Arial" w:eastAsia="Times New Roman" w:hAnsi="Arial" w:cs="Arial"/>
          <w:sz w:val="24"/>
          <w:szCs w:val="24"/>
          <w:lang w:eastAsia="en-GB"/>
        </w:rPr>
        <w:t xml:space="preserve"> 1000 words.</w:t>
      </w:r>
    </w:p>
    <w:p w14:paraId="722F73EB" w14:textId="77777777" w:rsidR="005751D5" w:rsidRPr="00CD1AE0" w:rsidRDefault="005751D5">
      <w:pPr>
        <w:rPr>
          <w:sz w:val="24"/>
          <w:szCs w:val="24"/>
        </w:rPr>
      </w:pPr>
    </w:p>
    <w:p w14:paraId="217F016C" w14:textId="77777777" w:rsidR="005751D5" w:rsidRPr="00CD1AE0" w:rsidRDefault="005751D5">
      <w:pPr>
        <w:rPr>
          <w:sz w:val="24"/>
          <w:szCs w:val="24"/>
        </w:rPr>
      </w:pPr>
    </w:p>
    <w:p w14:paraId="20665A3D" w14:textId="77777777" w:rsidR="009A2269" w:rsidRPr="00CD1AE0" w:rsidRDefault="009A2269" w:rsidP="009A2269">
      <w:pPr>
        <w:rPr>
          <w:sz w:val="24"/>
          <w:szCs w:val="24"/>
        </w:rPr>
      </w:pPr>
      <w:r w:rsidRPr="00CD1AE0">
        <w:rPr>
          <w:sz w:val="24"/>
          <w:szCs w:val="24"/>
        </w:rPr>
        <w:t xml:space="preserve">The importance of maintaining a high level of community confidence is essential in policing in order to safeguard the public. Community trust will aid in obtaining information in order to assist the police in law enforcement ensuring safer communities (WBS Research Projects, 2015). By demonstrating their trustworthiness, this will ensure a strong relationship between the police and the public (Jackson and Bradford, 2010). This follows the philosophy of “Policing by consent”, in which Sir Robert Peel </w:t>
      </w:r>
      <w:proofErr w:type="gramStart"/>
      <w:r w:rsidRPr="00CD1AE0">
        <w:rPr>
          <w:sz w:val="24"/>
          <w:szCs w:val="24"/>
        </w:rPr>
        <w:t>stated</w:t>
      </w:r>
      <w:proofErr w:type="gramEnd"/>
      <w:r w:rsidRPr="00CD1AE0">
        <w:rPr>
          <w:sz w:val="24"/>
          <w:szCs w:val="24"/>
        </w:rPr>
        <w:t xml:space="preserve"> “The police are the public, and the public are the police” (South Yorkshire Police, 2016). In the year ending March 2020, 74% of the public aged 16 years or over in England and Wales said that they had confidence in the police. However, this percentage is lower each year amongst Black Caribbean people than any other ethnic groups in England and Wales (Gov.UK, 2021).</w:t>
      </w:r>
    </w:p>
    <w:p w14:paraId="11A08D03" w14:textId="77777777" w:rsidR="009A2269" w:rsidRPr="00CD1AE0" w:rsidRDefault="009A2269" w:rsidP="009A2269">
      <w:pPr>
        <w:rPr>
          <w:sz w:val="24"/>
          <w:szCs w:val="24"/>
        </w:rPr>
      </w:pPr>
    </w:p>
    <w:p w14:paraId="574E5E11" w14:textId="77777777" w:rsidR="009A2269" w:rsidRPr="00CD1AE0" w:rsidRDefault="009A2269" w:rsidP="009A2269">
      <w:pPr>
        <w:rPr>
          <w:sz w:val="24"/>
          <w:szCs w:val="24"/>
        </w:rPr>
      </w:pPr>
      <w:r w:rsidRPr="00CD1AE0">
        <w:rPr>
          <w:sz w:val="24"/>
          <w:szCs w:val="24"/>
        </w:rPr>
        <w:t>The Police Code of Ethics are a set of standards that are adhered to by all members of the police to ensure that professional behaviour and ethical decision making is at the forefront of every action conducted by a police officer (Wood et al. 2021). These standards of professional behaviour include Honesty and Integrity, Equality and Diversity, Confidentiality and Discreditable Conduct. Each of these professional behaviours are essential in police decision making, ensuring that decisions made are for the correct reasons with honest intentions, which then aid in maintaining a high level of community confidence.</w:t>
      </w:r>
    </w:p>
    <w:p w14:paraId="747B91EE" w14:textId="77777777" w:rsidR="009A2269" w:rsidRPr="00CD1AE0" w:rsidRDefault="009A2269" w:rsidP="009A2269">
      <w:pPr>
        <w:rPr>
          <w:sz w:val="24"/>
          <w:szCs w:val="24"/>
        </w:rPr>
      </w:pPr>
    </w:p>
    <w:p w14:paraId="439A5CE9" w14:textId="77777777" w:rsidR="009A2269" w:rsidRPr="00CD1AE0" w:rsidRDefault="009A2269" w:rsidP="009A2269">
      <w:pPr>
        <w:rPr>
          <w:sz w:val="24"/>
          <w:szCs w:val="24"/>
        </w:rPr>
      </w:pPr>
      <w:r w:rsidRPr="00CD1AE0">
        <w:rPr>
          <w:sz w:val="24"/>
          <w:szCs w:val="24"/>
        </w:rPr>
        <w:t xml:space="preserve">In 1984, the Police and Criminal Evidence Act (PACE) was introduced. This act was introduced following a report by Lord Scarman into the Brixton Riots which had taken place in 1981, which proposed a more regulated structure to policing procedures and the use of </w:t>
      </w:r>
      <w:r w:rsidRPr="00CD1AE0">
        <w:rPr>
          <w:sz w:val="24"/>
          <w:szCs w:val="24"/>
        </w:rPr>
        <w:lastRenderedPageBreak/>
        <w:t>police powers, as the report had found that the procedures and methods used by the police had been both discriminatory and disproportionate (Lawteacher.Net 2022).</w:t>
      </w:r>
    </w:p>
    <w:p w14:paraId="13EB1D74" w14:textId="77777777" w:rsidR="009A2269" w:rsidRPr="00CD1AE0" w:rsidRDefault="009A2269" w:rsidP="009A2269">
      <w:pPr>
        <w:rPr>
          <w:sz w:val="24"/>
          <w:szCs w:val="24"/>
        </w:rPr>
      </w:pPr>
    </w:p>
    <w:p w14:paraId="3DD5B791" w14:textId="77777777" w:rsidR="009A2269" w:rsidRPr="00CD1AE0" w:rsidRDefault="009A2269" w:rsidP="009A2269">
      <w:pPr>
        <w:rPr>
          <w:sz w:val="24"/>
          <w:szCs w:val="24"/>
        </w:rPr>
      </w:pPr>
      <w:r w:rsidRPr="00CD1AE0">
        <w:rPr>
          <w:sz w:val="24"/>
          <w:szCs w:val="24"/>
        </w:rPr>
        <w:t xml:space="preserve">The Brixton Riots occurred in April 1981, and saw three days of rioting, with mainly young black men battling with police on the streets of Brixton. The area contained high unemployment and poverty, with the community continually experiencing racism which created tension. It was felt that the community was targeted and over-policed, in particularly with the excessive use of the oppressive Stop and Search procedures, with the breaking point being the introduction of “Operation Swamp 81”. This was aimed at targeting street crime and gave the police powers to Stop and Search any person and subsequently jail any individual </w:t>
      </w:r>
      <w:proofErr w:type="gramStart"/>
      <w:r w:rsidRPr="00CD1AE0">
        <w:rPr>
          <w:sz w:val="24"/>
          <w:szCs w:val="24"/>
        </w:rPr>
        <w:t>on the basis of</w:t>
      </w:r>
      <w:proofErr w:type="gramEnd"/>
      <w:r w:rsidRPr="00CD1AE0">
        <w:rPr>
          <w:sz w:val="24"/>
          <w:szCs w:val="24"/>
        </w:rPr>
        <w:t xml:space="preserve"> a ‘suspicion’ of wrongdoing. Within 6 days, the police carried out 943 Stop Searches and arrested 11814 people in the area, raising concerns on racial profiling rather than criminal intent (Lea and </w:t>
      </w:r>
      <w:proofErr w:type="spellStart"/>
      <w:r w:rsidRPr="00CD1AE0">
        <w:rPr>
          <w:sz w:val="24"/>
          <w:szCs w:val="24"/>
        </w:rPr>
        <w:t>Hallsworth</w:t>
      </w:r>
      <w:proofErr w:type="spellEnd"/>
      <w:r w:rsidRPr="00CD1AE0">
        <w:rPr>
          <w:sz w:val="24"/>
          <w:szCs w:val="24"/>
        </w:rPr>
        <w:t>, 2011). The community fought back against these oppressive methods and police behaviour, which resulted in three days of rioting.</w:t>
      </w:r>
    </w:p>
    <w:p w14:paraId="4AF01A01" w14:textId="77777777" w:rsidR="009A2269" w:rsidRPr="00CD1AE0" w:rsidRDefault="009A2269" w:rsidP="009A2269">
      <w:pPr>
        <w:rPr>
          <w:sz w:val="24"/>
          <w:szCs w:val="24"/>
        </w:rPr>
      </w:pPr>
    </w:p>
    <w:p w14:paraId="78227A84" w14:textId="77777777" w:rsidR="009A2269" w:rsidRPr="00CD1AE0" w:rsidRDefault="009A2269" w:rsidP="009A2269">
      <w:pPr>
        <w:rPr>
          <w:sz w:val="24"/>
          <w:szCs w:val="24"/>
        </w:rPr>
      </w:pPr>
      <w:r w:rsidRPr="00CD1AE0">
        <w:rPr>
          <w:sz w:val="24"/>
          <w:szCs w:val="24"/>
        </w:rPr>
        <w:t xml:space="preserve">The Police and Criminal Evidence Act 1984 was introduced to create an ethical and regulated structure introducing codes of practice with the purpose of creating the correct balance between police powers and the freedom and rights of the public. These codes of practice created an ethical structure around the use of Stop and Search, the initial arrest of an individual, the detention of an individual, the subsequent investigation and identification, </w:t>
      </w:r>
      <w:proofErr w:type="gramStart"/>
      <w:r w:rsidRPr="00CD1AE0">
        <w:rPr>
          <w:sz w:val="24"/>
          <w:szCs w:val="24"/>
        </w:rPr>
        <w:t>and also</w:t>
      </w:r>
      <w:proofErr w:type="gramEnd"/>
      <w:r w:rsidRPr="00CD1AE0">
        <w:rPr>
          <w:sz w:val="24"/>
          <w:szCs w:val="24"/>
        </w:rPr>
        <w:t xml:space="preserve"> interviewing detainees. </w:t>
      </w:r>
    </w:p>
    <w:p w14:paraId="5DC31835" w14:textId="77777777" w:rsidR="009A2269" w:rsidRPr="00CD1AE0" w:rsidRDefault="009A2269" w:rsidP="009A2269">
      <w:pPr>
        <w:rPr>
          <w:sz w:val="24"/>
          <w:szCs w:val="24"/>
        </w:rPr>
      </w:pPr>
    </w:p>
    <w:p w14:paraId="208485A5" w14:textId="77777777" w:rsidR="009A2269" w:rsidRPr="00CD1AE0" w:rsidRDefault="009A2269" w:rsidP="009A2269">
      <w:pPr>
        <w:rPr>
          <w:sz w:val="24"/>
          <w:szCs w:val="24"/>
        </w:rPr>
      </w:pPr>
      <w:r w:rsidRPr="00CD1AE0">
        <w:rPr>
          <w:sz w:val="24"/>
          <w:szCs w:val="24"/>
        </w:rPr>
        <w:t>The use of Stop and</w:t>
      </w:r>
      <w:r w:rsidR="001F1B3F">
        <w:rPr>
          <w:sz w:val="24"/>
          <w:szCs w:val="24"/>
        </w:rPr>
        <w:t xml:space="preserve"> Search powers has</w:t>
      </w:r>
      <w:r w:rsidRPr="00CD1AE0">
        <w:rPr>
          <w:sz w:val="24"/>
          <w:szCs w:val="24"/>
        </w:rPr>
        <w:t xml:space="preserve"> decreased over the past few years (Gov.uk, 2021), however the procedure </w:t>
      </w:r>
      <w:proofErr w:type="gramStart"/>
      <w:r w:rsidRPr="00CD1AE0">
        <w:rPr>
          <w:sz w:val="24"/>
          <w:szCs w:val="24"/>
        </w:rPr>
        <w:t>still remains</w:t>
      </w:r>
      <w:proofErr w:type="gramEnd"/>
      <w:r w:rsidRPr="00CD1AE0">
        <w:rPr>
          <w:sz w:val="24"/>
          <w:szCs w:val="24"/>
        </w:rPr>
        <w:t xml:space="preserve"> controversial, with many arguing that the carrying out of the procedure does not evidence a decline in crime, or a reduction in ethnic disproportionality in its use. Gov.com (2022) states that there were 697,405 Stop and Search procedures carried out in England and Wales between April 2020 and March 2021. This shows a decrease for the use of Stop and Search of 22% compared to the year ending March 2014 (Gov.uk, 2021). The year ending March 2011, saw the highest recorded use of Stop and Search, with 1,179,746 carried out. Code A of PACE states that “Stop and Search can play an important role in the detection and prevention of crime and using the powers fairly makes them more effective” (College of Policing, 2022). However, the figures go on to show that there were 7.5 Stop and Searches carried out for every 1000 white people as opposed to 52.6 carried out for every 1000 black people. Glaser (2015) reported that in 2014/2015, a person identifying as black or black British was four times more likely to be searched than their white counterparts, which corroborates the government’s findings. </w:t>
      </w:r>
    </w:p>
    <w:p w14:paraId="1707BCFF" w14:textId="77777777" w:rsidR="009A2269" w:rsidRPr="00CD1AE0" w:rsidRDefault="009A2269" w:rsidP="009A2269">
      <w:pPr>
        <w:rPr>
          <w:sz w:val="24"/>
          <w:szCs w:val="24"/>
        </w:rPr>
      </w:pPr>
    </w:p>
    <w:p w14:paraId="1EEA4301" w14:textId="77777777" w:rsidR="009A2269" w:rsidRPr="00CD1AE0" w:rsidRDefault="009A2269" w:rsidP="009A2269">
      <w:pPr>
        <w:rPr>
          <w:sz w:val="24"/>
          <w:szCs w:val="24"/>
        </w:rPr>
      </w:pPr>
      <w:r w:rsidRPr="00CD1AE0">
        <w:rPr>
          <w:sz w:val="24"/>
          <w:szCs w:val="24"/>
        </w:rPr>
        <w:t xml:space="preserve">The Criminal Procedure and Investigations Act 1996 provides an ethical structure to police investigations, ensuring that investigators search for evidence that not only point to guilt, </w:t>
      </w:r>
      <w:r w:rsidRPr="00CD1AE0">
        <w:rPr>
          <w:sz w:val="24"/>
          <w:szCs w:val="24"/>
        </w:rPr>
        <w:lastRenderedPageBreak/>
        <w:t>but also</w:t>
      </w:r>
      <w:r w:rsidR="00E143F1" w:rsidRPr="00CD1AE0">
        <w:rPr>
          <w:sz w:val="24"/>
          <w:szCs w:val="24"/>
        </w:rPr>
        <w:t xml:space="preserve"> to innocence (Wood et al.</w:t>
      </w:r>
      <w:r w:rsidRPr="00CD1AE0">
        <w:rPr>
          <w:sz w:val="24"/>
          <w:szCs w:val="24"/>
        </w:rPr>
        <w:t xml:space="preserve"> 2021). The Act ensures that all material of evidential value is made available, recorded and retained, and that all lines of enquiries that may lead to a person’s innocence are explored. Further case examples of </w:t>
      </w:r>
      <w:proofErr w:type="gramStart"/>
      <w:r w:rsidRPr="00CD1AE0">
        <w:rPr>
          <w:sz w:val="24"/>
          <w:szCs w:val="24"/>
        </w:rPr>
        <w:t>high profile</w:t>
      </w:r>
      <w:proofErr w:type="gramEnd"/>
      <w:r w:rsidRPr="00CD1AE0">
        <w:rPr>
          <w:sz w:val="24"/>
          <w:szCs w:val="24"/>
        </w:rPr>
        <w:t xml:space="preserve"> wrongful convictions relating to police malpractices around disclosure of evidential material are ‘The Guildford Four’ (</w:t>
      </w:r>
      <w:proofErr w:type="spellStart"/>
      <w:r w:rsidRPr="00CD1AE0">
        <w:rPr>
          <w:sz w:val="24"/>
          <w:szCs w:val="24"/>
        </w:rPr>
        <w:t>Ulmshneider</w:t>
      </w:r>
      <w:proofErr w:type="spellEnd"/>
      <w:r w:rsidRPr="00CD1AE0">
        <w:rPr>
          <w:sz w:val="24"/>
          <w:szCs w:val="24"/>
        </w:rPr>
        <w:t xml:space="preserve"> and Lutz, 2002), and the ‘Birmingham Six’ (The Independent, 2016).</w:t>
      </w:r>
    </w:p>
    <w:p w14:paraId="1C1931F7" w14:textId="77777777" w:rsidR="009A2269" w:rsidRPr="00CD1AE0" w:rsidRDefault="009A2269" w:rsidP="009A2269">
      <w:pPr>
        <w:rPr>
          <w:sz w:val="24"/>
          <w:szCs w:val="24"/>
        </w:rPr>
      </w:pPr>
    </w:p>
    <w:p w14:paraId="0D9E97D7" w14:textId="77777777" w:rsidR="009A2269" w:rsidRPr="00CD1AE0" w:rsidRDefault="009A2269" w:rsidP="009A2269">
      <w:pPr>
        <w:rPr>
          <w:sz w:val="24"/>
          <w:szCs w:val="24"/>
        </w:rPr>
      </w:pPr>
      <w:r w:rsidRPr="00CD1AE0">
        <w:rPr>
          <w:sz w:val="24"/>
          <w:szCs w:val="24"/>
        </w:rPr>
        <w:t>In 2018, The Independent Office for Police Conduct was established as a non-departmental public body in England and Wales to initiate investigations into reported police misconduct a</w:t>
      </w:r>
      <w:r w:rsidR="00CD1AE0">
        <w:rPr>
          <w:sz w:val="24"/>
          <w:szCs w:val="24"/>
        </w:rPr>
        <w:t>nd complaints (Wood et al.</w:t>
      </w:r>
      <w:r w:rsidRPr="00CD1AE0">
        <w:rPr>
          <w:sz w:val="24"/>
          <w:szCs w:val="24"/>
        </w:rPr>
        <w:t xml:space="preserve"> 2021). Through an independent channel, this allows the public to be confident that their complaints with regards to police misconduct and behaviours are being dealt with in a professional and ethical manner.</w:t>
      </w:r>
    </w:p>
    <w:p w14:paraId="1833D50C" w14:textId="77777777" w:rsidR="009A2269" w:rsidRPr="00CD1AE0" w:rsidRDefault="009A2269" w:rsidP="009A2269">
      <w:pPr>
        <w:rPr>
          <w:sz w:val="24"/>
          <w:szCs w:val="24"/>
        </w:rPr>
      </w:pPr>
    </w:p>
    <w:p w14:paraId="1780DAD8" w14:textId="77777777" w:rsidR="009A2269" w:rsidRPr="00CD1AE0" w:rsidRDefault="009A2269" w:rsidP="009A2269">
      <w:pPr>
        <w:rPr>
          <w:sz w:val="24"/>
          <w:szCs w:val="24"/>
        </w:rPr>
      </w:pPr>
      <w:r w:rsidRPr="00CD1AE0">
        <w:rPr>
          <w:sz w:val="24"/>
          <w:szCs w:val="24"/>
        </w:rPr>
        <w:t xml:space="preserve">These cases of Police misconduct and malpractices that have influenced current policing practices, demonstrate that change is essential in order to increase community confidence where practices do not meet the standards of the Police Code of Ethics. The Police and Criminal Evidence Act 1984 ensures that the public are treated fairly </w:t>
      </w:r>
      <w:r w:rsidR="006550E9">
        <w:rPr>
          <w:sz w:val="24"/>
          <w:szCs w:val="24"/>
        </w:rPr>
        <w:t xml:space="preserve">and </w:t>
      </w:r>
      <w:r w:rsidRPr="00CD1AE0">
        <w:rPr>
          <w:sz w:val="24"/>
          <w:szCs w:val="24"/>
        </w:rPr>
        <w:t>respectfully at initial point of contact and through the detention and interview process. The Criminal Procedure and Investigations Act ensures that all investigations are carried out in order to equally prove innocence as well as guilt. However, the findings around Stop and Search for example demonstrate that racial profiling may still be prevalent which continue</w:t>
      </w:r>
      <w:r w:rsidR="006550E9">
        <w:rPr>
          <w:sz w:val="24"/>
          <w:szCs w:val="24"/>
        </w:rPr>
        <w:t>s</w:t>
      </w:r>
      <w:r w:rsidRPr="00CD1AE0">
        <w:rPr>
          <w:sz w:val="24"/>
          <w:szCs w:val="24"/>
        </w:rPr>
        <w:t xml:space="preserve"> to effect community confidence.</w:t>
      </w:r>
    </w:p>
    <w:p w14:paraId="45584DC3" w14:textId="77777777" w:rsidR="005751D5" w:rsidRPr="00CD1AE0" w:rsidRDefault="005751D5">
      <w:pPr>
        <w:rPr>
          <w:sz w:val="24"/>
          <w:szCs w:val="24"/>
        </w:rPr>
      </w:pPr>
    </w:p>
    <w:p w14:paraId="67ABFBA4" w14:textId="77777777" w:rsidR="009A2269" w:rsidRPr="00CD1AE0" w:rsidRDefault="009A2269">
      <w:pPr>
        <w:rPr>
          <w:sz w:val="24"/>
          <w:szCs w:val="24"/>
        </w:rPr>
      </w:pPr>
      <w:r w:rsidRPr="00CD1AE0">
        <w:rPr>
          <w:sz w:val="24"/>
          <w:szCs w:val="24"/>
        </w:rPr>
        <w:t>Word count –</w:t>
      </w:r>
      <w:r w:rsidR="006550E9">
        <w:rPr>
          <w:sz w:val="24"/>
          <w:szCs w:val="24"/>
        </w:rPr>
        <w:t xml:space="preserve"> 1011</w:t>
      </w:r>
    </w:p>
    <w:p w14:paraId="4BE1BF8F" w14:textId="77777777" w:rsidR="009A2269" w:rsidRPr="00CD1AE0" w:rsidRDefault="009A2269">
      <w:pPr>
        <w:rPr>
          <w:sz w:val="24"/>
          <w:szCs w:val="24"/>
        </w:rPr>
      </w:pPr>
    </w:p>
    <w:p w14:paraId="2E7EA9E4" w14:textId="77777777" w:rsidR="009A2269" w:rsidRPr="00CD1AE0" w:rsidRDefault="009A2269">
      <w:pPr>
        <w:rPr>
          <w:sz w:val="24"/>
          <w:szCs w:val="24"/>
        </w:rPr>
      </w:pPr>
    </w:p>
    <w:p w14:paraId="4C485A9B" w14:textId="77777777" w:rsidR="00E22574" w:rsidRPr="00E22574" w:rsidRDefault="00E22574" w:rsidP="00E22574">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r w:rsidRPr="00E22574">
        <w:rPr>
          <w:rFonts w:ascii="Arial" w:eastAsia="Times New Roman" w:hAnsi="Arial" w:cs="Arial"/>
          <w:b/>
          <w:bCs/>
          <w:sz w:val="24"/>
          <w:szCs w:val="24"/>
          <w:lang w:eastAsia="en-GB"/>
        </w:rPr>
        <w:t>Essay two:</w:t>
      </w:r>
      <w:r w:rsidRPr="00E22574">
        <w:rPr>
          <w:rFonts w:ascii="Arial" w:eastAsia="Times New Roman" w:hAnsi="Arial" w:cs="Arial"/>
          <w:sz w:val="24"/>
          <w:szCs w:val="24"/>
          <w:lang w:eastAsia="en-GB"/>
        </w:rPr>
        <w:t xml:space="preserve"> </w:t>
      </w:r>
    </w:p>
    <w:p w14:paraId="0EC8D0CA" w14:textId="77777777" w:rsidR="00E22574" w:rsidRPr="00E22574" w:rsidRDefault="00E22574" w:rsidP="00E22574">
      <w:pPr>
        <w:overflowPunct w:val="0"/>
        <w:autoSpaceDE w:val="0"/>
        <w:autoSpaceDN w:val="0"/>
        <w:adjustRightInd w:val="0"/>
        <w:spacing w:after="0" w:line="276" w:lineRule="auto"/>
        <w:ind w:left="567" w:right="531"/>
        <w:textAlignment w:val="baseline"/>
        <w:rPr>
          <w:rFonts w:ascii="Arial" w:eastAsia="Times New Roman" w:hAnsi="Arial" w:cs="Arial"/>
          <w:sz w:val="24"/>
          <w:szCs w:val="24"/>
          <w:u w:val="single"/>
          <w:lang w:eastAsia="en-GB"/>
        </w:rPr>
      </w:pPr>
      <w:r w:rsidRPr="00E22574">
        <w:rPr>
          <w:rFonts w:ascii="Arial" w:eastAsia="Times New Roman" w:hAnsi="Arial" w:cs="Arial"/>
          <w:sz w:val="24"/>
          <w:szCs w:val="24"/>
          <w:u w:val="single"/>
          <w:lang w:eastAsia="en-GB"/>
        </w:rPr>
        <w:t>Examine</w:t>
      </w:r>
      <w:r w:rsidRPr="00E22574">
        <w:rPr>
          <w:rFonts w:ascii="Arial" w:eastAsia="Times New Roman" w:hAnsi="Arial" w:cs="Arial"/>
          <w:sz w:val="24"/>
          <w:szCs w:val="24"/>
          <w:lang w:eastAsia="en-GB"/>
        </w:rPr>
        <w:t xml:space="preserve"> why certain groups might be vulnerable to being targeted by Serious and Organised Crime </w:t>
      </w:r>
      <w:proofErr w:type="gramStart"/>
      <w:r w:rsidRPr="00E22574">
        <w:rPr>
          <w:rFonts w:ascii="Arial" w:eastAsia="Times New Roman" w:hAnsi="Arial" w:cs="Arial"/>
          <w:sz w:val="24"/>
          <w:szCs w:val="24"/>
          <w:lang w:eastAsia="en-GB"/>
        </w:rPr>
        <w:t>Groups, and</w:t>
      </w:r>
      <w:proofErr w:type="gramEnd"/>
      <w:r w:rsidRPr="00E22574">
        <w:rPr>
          <w:rFonts w:ascii="Arial" w:eastAsia="Times New Roman" w:hAnsi="Arial" w:cs="Arial"/>
          <w:sz w:val="24"/>
          <w:szCs w:val="24"/>
          <w:lang w:eastAsia="en-GB"/>
        </w:rPr>
        <w:t xml:space="preserve"> </w:t>
      </w:r>
      <w:r w:rsidRPr="00E22574">
        <w:rPr>
          <w:rFonts w:ascii="Arial" w:eastAsia="Times New Roman" w:hAnsi="Arial" w:cs="Arial"/>
          <w:sz w:val="24"/>
          <w:szCs w:val="24"/>
          <w:u w:val="single"/>
          <w:lang w:eastAsia="en-GB"/>
        </w:rPr>
        <w:t>analyse</w:t>
      </w:r>
      <w:r w:rsidRPr="00E22574">
        <w:rPr>
          <w:rFonts w:ascii="Arial" w:eastAsia="Times New Roman" w:hAnsi="Arial" w:cs="Arial"/>
          <w:sz w:val="24"/>
          <w:szCs w:val="24"/>
          <w:lang w:eastAsia="en-GB"/>
        </w:rPr>
        <w:t xml:space="preserve"> the effectiveness of police practices to investigate such issues.</w:t>
      </w:r>
    </w:p>
    <w:p w14:paraId="48FE9F1D" w14:textId="77777777" w:rsidR="00E22574" w:rsidRPr="00E22574" w:rsidRDefault="00E22574" w:rsidP="00E22574">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r w:rsidRPr="00E22574">
        <w:rPr>
          <w:rFonts w:ascii="Arial" w:eastAsia="Times New Roman" w:hAnsi="Arial" w:cs="Arial"/>
          <w:sz w:val="24"/>
          <w:szCs w:val="24"/>
          <w:lang w:eastAsia="en-GB"/>
        </w:rPr>
        <w:t>Your answer should be based on academic research rather than personal experience.</w:t>
      </w:r>
    </w:p>
    <w:p w14:paraId="6B2AEB2E" w14:textId="77777777" w:rsidR="00E22574" w:rsidRPr="00E22574" w:rsidRDefault="00E22574" w:rsidP="00E22574">
      <w:pPr>
        <w:spacing w:after="0" w:line="276" w:lineRule="auto"/>
        <w:ind w:left="567" w:right="531"/>
        <w:rPr>
          <w:rFonts w:ascii="Arial" w:eastAsia="Times New Roman" w:hAnsi="Arial" w:cs="Arial"/>
          <w:sz w:val="24"/>
          <w:szCs w:val="24"/>
          <w:lang w:eastAsia="en-GB"/>
        </w:rPr>
      </w:pPr>
      <w:r w:rsidRPr="00E22574">
        <w:rPr>
          <w:rFonts w:ascii="Arial" w:eastAsia="Times New Roman" w:hAnsi="Arial" w:cs="Arial"/>
          <w:b/>
          <w:bCs/>
          <w:sz w:val="24"/>
          <w:szCs w:val="24"/>
          <w:lang w:eastAsia="en-GB"/>
        </w:rPr>
        <w:t xml:space="preserve">Word limit: </w:t>
      </w:r>
      <w:r w:rsidRPr="00E22574">
        <w:rPr>
          <w:rFonts w:ascii="Arial" w:eastAsia="Times New Roman" w:hAnsi="Arial" w:cs="Arial"/>
          <w:sz w:val="24"/>
          <w:szCs w:val="24"/>
          <w:lang w:eastAsia="en-GB"/>
        </w:rPr>
        <w:t>1000 words.</w:t>
      </w:r>
    </w:p>
    <w:p w14:paraId="688D4722" w14:textId="77777777" w:rsidR="009A2269" w:rsidRPr="00CD1AE0" w:rsidRDefault="009A2269">
      <w:pPr>
        <w:rPr>
          <w:sz w:val="24"/>
          <w:szCs w:val="24"/>
        </w:rPr>
      </w:pPr>
    </w:p>
    <w:p w14:paraId="0EEED446" w14:textId="77777777" w:rsidR="00E22574" w:rsidRPr="00CD1AE0" w:rsidRDefault="00E22574">
      <w:pPr>
        <w:rPr>
          <w:sz w:val="24"/>
          <w:szCs w:val="24"/>
        </w:rPr>
      </w:pPr>
    </w:p>
    <w:p w14:paraId="7B522AA3" w14:textId="77777777" w:rsidR="00E22574" w:rsidRPr="00CD1AE0" w:rsidRDefault="00E22574" w:rsidP="00E22574">
      <w:pPr>
        <w:rPr>
          <w:sz w:val="24"/>
          <w:szCs w:val="24"/>
        </w:rPr>
      </w:pPr>
      <w:r w:rsidRPr="00CD1AE0">
        <w:rPr>
          <w:sz w:val="24"/>
          <w:szCs w:val="24"/>
        </w:rPr>
        <w:t xml:space="preserve">This essay will examine why certain groups might be vulnerable to being targeted by Serious and Organised Crime Groups. It will cover the definition of vulnerability, the people who may be seen as vulnerable, and will explain what is meant by Serious and Organised Crime </w:t>
      </w:r>
      <w:r w:rsidRPr="00CD1AE0">
        <w:rPr>
          <w:sz w:val="24"/>
          <w:szCs w:val="24"/>
        </w:rPr>
        <w:lastRenderedPageBreak/>
        <w:t>Groups. It will then review police practices used to investigate such issues and will analyse their effectiveness.</w:t>
      </w:r>
    </w:p>
    <w:p w14:paraId="1A3AABAC" w14:textId="77777777" w:rsidR="00E22574" w:rsidRPr="00CD1AE0" w:rsidRDefault="00E22574" w:rsidP="00E22574">
      <w:pPr>
        <w:rPr>
          <w:sz w:val="24"/>
          <w:szCs w:val="24"/>
        </w:rPr>
      </w:pPr>
    </w:p>
    <w:p w14:paraId="57D8B415" w14:textId="77777777" w:rsidR="00E22574" w:rsidRPr="00CD1AE0" w:rsidRDefault="00E22574" w:rsidP="00E22574">
      <w:pPr>
        <w:rPr>
          <w:sz w:val="24"/>
          <w:szCs w:val="24"/>
        </w:rPr>
      </w:pPr>
      <w:r w:rsidRPr="00CD1AE0">
        <w:rPr>
          <w:sz w:val="24"/>
          <w:szCs w:val="24"/>
        </w:rPr>
        <w:t xml:space="preserve">Police officers often </w:t>
      </w:r>
      <w:proofErr w:type="gramStart"/>
      <w:r w:rsidRPr="00CD1AE0">
        <w:rPr>
          <w:sz w:val="24"/>
          <w:szCs w:val="24"/>
        </w:rPr>
        <w:t>come into contact with</w:t>
      </w:r>
      <w:proofErr w:type="gramEnd"/>
      <w:r w:rsidRPr="00CD1AE0">
        <w:rPr>
          <w:sz w:val="24"/>
          <w:szCs w:val="24"/>
        </w:rPr>
        <w:t xml:space="preserve"> people who are deemed vulnerable. College of Policing (2022) explains that a person is defined as vulnerable if due to their situation or circumstances, they are in a position where they are unable to care or protect themselves or others from any harm or exploitation. Asquith et al (2017) stated that those acknowledged as ‘Vulnerable’ are at a disadvantage due to individual or social characteristics. These characteristics can include age, race / ethnicity, sexual orientation, addiction, mental illness, disability, and homelessness. As an example of just one of these categories, being age, it has been found that there are over 2 million children in England living in families with severe complex needs, with 1.6 million having no recognised form of support (Children’s Commissioner, 2020). The National Vulnerability Action Plan was developed by the National Police Chiefs Council in 20118 which provides early intervention in order to protect and safeguard those identified as being vulnerable and at risk of exploitation (NPCC, 2018).</w:t>
      </w:r>
    </w:p>
    <w:p w14:paraId="2F817839" w14:textId="77777777" w:rsidR="00E22574" w:rsidRPr="00CD1AE0" w:rsidRDefault="00E22574" w:rsidP="00E22574">
      <w:pPr>
        <w:rPr>
          <w:sz w:val="24"/>
          <w:szCs w:val="24"/>
        </w:rPr>
      </w:pPr>
    </w:p>
    <w:p w14:paraId="14EE0072" w14:textId="77777777" w:rsidR="00E22574" w:rsidRPr="00CD1AE0" w:rsidRDefault="00E22574" w:rsidP="00E22574">
      <w:pPr>
        <w:rPr>
          <w:sz w:val="24"/>
          <w:szCs w:val="24"/>
        </w:rPr>
      </w:pPr>
      <w:r w:rsidRPr="00CD1AE0">
        <w:rPr>
          <w:sz w:val="24"/>
          <w:szCs w:val="24"/>
        </w:rPr>
        <w:t xml:space="preserve">Serious and Organised Crime Groups are defined by Gov.Uk (2022) as groups </w:t>
      </w:r>
      <w:proofErr w:type="gramStart"/>
      <w:r w:rsidRPr="00CD1AE0">
        <w:rPr>
          <w:sz w:val="24"/>
          <w:szCs w:val="24"/>
        </w:rPr>
        <w:t>who’s</w:t>
      </w:r>
      <w:proofErr w:type="gramEnd"/>
      <w:r w:rsidRPr="00CD1AE0">
        <w:rPr>
          <w:sz w:val="24"/>
          <w:szCs w:val="24"/>
        </w:rPr>
        <w:t xml:space="preserve"> crimes are planned and committed by people working individually, as part of a group, or as part of transnational networks. These groups very often work in a multitude of different crimes including drugs, human trafficking, illegal firearms, child sexual exploitation, fraud and bribery and corruption. It is estim</w:t>
      </w:r>
      <w:r w:rsidR="006E6196">
        <w:rPr>
          <w:sz w:val="24"/>
          <w:szCs w:val="24"/>
        </w:rPr>
        <w:t>ated that in 2015, the social</w:t>
      </w:r>
      <w:r w:rsidRPr="00CD1AE0">
        <w:rPr>
          <w:sz w:val="24"/>
          <w:szCs w:val="24"/>
        </w:rPr>
        <w:t xml:space="preserve"> and economic cost to the UK was 37 billion as a result of Serious and Organised Crime Groups (National Audit Office, 2015). It is unclear exactly how many of these crime groups exist in the UK, however a study by Kirby et al (2013) found that an estimated 6000 Organised Crime Groups existed within the UK, with 38,000 offenders operating within them. </w:t>
      </w:r>
    </w:p>
    <w:p w14:paraId="0993D1CF" w14:textId="77777777" w:rsidR="00E22574" w:rsidRPr="00CD1AE0" w:rsidRDefault="00E22574" w:rsidP="00E22574">
      <w:pPr>
        <w:rPr>
          <w:sz w:val="24"/>
          <w:szCs w:val="24"/>
        </w:rPr>
      </w:pPr>
    </w:p>
    <w:p w14:paraId="06E4B51D" w14:textId="77777777" w:rsidR="00E22574" w:rsidRPr="00CD1AE0" w:rsidRDefault="00E22574" w:rsidP="00E22574">
      <w:pPr>
        <w:rPr>
          <w:sz w:val="24"/>
          <w:szCs w:val="24"/>
        </w:rPr>
      </w:pPr>
      <w:r w:rsidRPr="00CD1AE0">
        <w:rPr>
          <w:sz w:val="24"/>
          <w:szCs w:val="24"/>
        </w:rPr>
        <w:t xml:space="preserve">The targeting of vulnerable adults and children by these gangs are common practice in order to carry out their offences. This is often done through an imbalance of power to exploit those that are vulnerable. An example of those targeted may include individuals with mental health issues, children in care, the homeless, people with economic vulnerabilities, individuals with drug or alcohol issues and people from unstable home environments. (Gov.uk 2022). </w:t>
      </w:r>
    </w:p>
    <w:p w14:paraId="0F04D4E2" w14:textId="77777777" w:rsidR="00E22574" w:rsidRPr="00CD1AE0" w:rsidRDefault="00E22574" w:rsidP="00E22574">
      <w:pPr>
        <w:rPr>
          <w:sz w:val="24"/>
          <w:szCs w:val="24"/>
        </w:rPr>
      </w:pPr>
    </w:p>
    <w:p w14:paraId="4767902F" w14:textId="77777777" w:rsidR="00E22574" w:rsidRPr="00CD1AE0" w:rsidRDefault="00E22574" w:rsidP="00E22574">
      <w:pPr>
        <w:rPr>
          <w:sz w:val="24"/>
          <w:szCs w:val="24"/>
        </w:rPr>
      </w:pPr>
      <w:r w:rsidRPr="00CD1AE0">
        <w:rPr>
          <w:sz w:val="24"/>
          <w:szCs w:val="24"/>
        </w:rPr>
        <w:t xml:space="preserve">County Line gangs operate through the exploitation of vulnerable people. County Lines is a term used for criminal gangs that operate a drug distribution network, usually away from their own territory across county borders in order to profit from lucrative drug markets. These gangs are often based in major cities such as London, Liverpool and Birmingham, targeting county towns across the UK, often bringing violence in their attempts of exploitation. </w:t>
      </w:r>
      <w:proofErr w:type="spellStart"/>
      <w:r w:rsidRPr="00CD1AE0">
        <w:rPr>
          <w:sz w:val="24"/>
          <w:szCs w:val="24"/>
        </w:rPr>
        <w:t>Hallworth</w:t>
      </w:r>
      <w:proofErr w:type="spellEnd"/>
      <w:r w:rsidRPr="00CD1AE0">
        <w:rPr>
          <w:sz w:val="24"/>
          <w:szCs w:val="24"/>
        </w:rPr>
        <w:t xml:space="preserve"> J. (2016) found that County Line offenders are more violent than </w:t>
      </w:r>
      <w:r w:rsidRPr="00CD1AE0">
        <w:rPr>
          <w:sz w:val="24"/>
          <w:szCs w:val="24"/>
        </w:rPr>
        <w:lastRenderedPageBreak/>
        <w:t>their Non-County Line counterparts, have a larger criminal network, are arrested and convicted at a younger age, and commit less total, but significantly more harmful offences.</w:t>
      </w:r>
    </w:p>
    <w:p w14:paraId="6B1329BF" w14:textId="77777777" w:rsidR="00E22574" w:rsidRPr="00CD1AE0" w:rsidRDefault="00E22574" w:rsidP="00E22574">
      <w:pPr>
        <w:rPr>
          <w:sz w:val="24"/>
          <w:szCs w:val="24"/>
        </w:rPr>
      </w:pPr>
    </w:p>
    <w:p w14:paraId="593579F3" w14:textId="77777777" w:rsidR="00E22574" w:rsidRPr="00CD1AE0" w:rsidRDefault="00E22574" w:rsidP="00E22574">
      <w:pPr>
        <w:rPr>
          <w:sz w:val="24"/>
          <w:szCs w:val="24"/>
        </w:rPr>
      </w:pPr>
      <w:r w:rsidRPr="00CD1AE0">
        <w:rPr>
          <w:sz w:val="24"/>
          <w:szCs w:val="24"/>
        </w:rPr>
        <w:t xml:space="preserve">Howell J. (2018) stated that County Line gangs are involved in the grooming and exploitation of children, particularly 15 – </w:t>
      </w:r>
      <w:proofErr w:type="gramStart"/>
      <w:r w:rsidRPr="00CD1AE0">
        <w:rPr>
          <w:sz w:val="24"/>
          <w:szCs w:val="24"/>
        </w:rPr>
        <w:t>17 year old</w:t>
      </w:r>
      <w:proofErr w:type="gramEnd"/>
      <w:r w:rsidRPr="00CD1AE0">
        <w:rPr>
          <w:sz w:val="24"/>
          <w:szCs w:val="24"/>
        </w:rPr>
        <w:t xml:space="preserve"> boys, and vulnerable adults. They are often used to courier drugs. Gangs often target white British children as they feel that they are more likely to avoid police detection, however all ethnicities can be targeted. In 2018, a landmark case in Birmingham saw a </w:t>
      </w:r>
      <w:proofErr w:type="gramStart"/>
      <w:r w:rsidRPr="00CD1AE0">
        <w:rPr>
          <w:sz w:val="24"/>
          <w:szCs w:val="24"/>
        </w:rPr>
        <w:t>21 year old</w:t>
      </w:r>
      <w:proofErr w:type="gramEnd"/>
      <w:r w:rsidRPr="00CD1AE0">
        <w:rPr>
          <w:sz w:val="24"/>
          <w:szCs w:val="24"/>
        </w:rPr>
        <w:t xml:space="preserve"> drug dealer convicted for not only conspiring to supply Class A drugs, but for five allegations of human trafficking under the Modern Slavery Act 2015, the first of its kind under the act where the trafficker has targeted children (Stone N. 2018).</w:t>
      </w:r>
    </w:p>
    <w:p w14:paraId="739438F7" w14:textId="77777777" w:rsidR="00E22574" w:rsidRPr="00CD1AE0" w:rsidRDefault="00E22574" w:rsidP="00E22574">
      <w:pPr>
        <w:rPr>
          <w:sz w:val="24"/>
          <w:szCs w:val="24"/>
        </w:rPr>
      </w:pPr>
    </w:p>
    <w:p w14:paraId="185A45D5" w14:textId="77777777" w:rsidR="00E22574" w:rsidRPr="00CD1AE0" w:rsidRDefault="00E22574" w:rsidP="00E22574">
      <w:pPr>
        <w:rPr>
          <w:sz w:val="24"/>
          <w:szCs w:val="24"/>
        </w:rPr>
      </w:pPr>
      <w:r w:rsidRPr="00CD1AE0">
        <w:rPr>
          <w:sz w:val="24"/>
          <w:szCs w:val="24"/>
        </w:rPr>
        <w:t>The targeting of vulnerable adults, suffering with mental health or drug addiction, where the gangs will move into the home address of the person in order to set up a base for drug dealing is also common practice. This is often done through threats of violence or by indebting the individual through providing drugs to which the person is then in debt to the dealer. This form of exploitation and manipulation is referred to as ‘Cuckooing’ (Gov.UK, 2022).</w:t>
      </w:r>
    </w:p>
    <w:p w14:paraId="5A35B7A5" w14:textId="77777777" w:rsidR="00E22574" w:rsidRPr="00CD1AE0" w:rsidRDefault="00E22574" w:rsidP="00E22574">
      <w:pPr>
        <w:rPr>
          <w:sz w:val="24"/>
          <w:szCs w:val="24"/>
        </w:rPr>
      </w:pPr>
    </w:p>
    <w:p w14:paraId="59D328C7" w14:textId="77777777" w:rsidR="00E22574" w:rsidRPr="00CD1AE0" w:rsidRDefault="00E22574" w:rsidP="00E22574">
      <w:pPr>
        <w:rPr>
          <w:sz w:val="24"/>
          <w:szCs w:val="24"/>
        </w:rPr>
      </w:pPr>
      <w:r w:rsidRPr="00CD1AE0">
        <w:rPr>
          <w:sz w:val="24"/>
          <w:szCs w:val="24"/>
        </w:rPr>
        <w:t>In order to investigate and deal with organised crime gangs, each police force in the UK is responsible for policing their local area. Each force will also consist of a Regional Organised Crime Unit, which spec</w:t>
      </w:r>
      <w:r w:rsidR="006E6196">
        <w:rPr>
          <w:sz w:val="24"/>
          <w:szCs w:val="24"/>
        </w:rPr>
        <w:t>ifically focuses on major crime</w:t>
      </w:r>
      <w:r w:rsidRPr="00CD1AE0">
        <w:rPr>
          <w:sz w:val="24"/>
          <w:szCs w:val="24"/>
        </w:rPr>
        <w:t>, with shared intelligence with partner forces being key in the policing due to the cross-county nature of many of these gangs (HMICFRS, 2020). On a national and international level, the National Crime Agency has been developed in order to tackle Serious and Organised Crime. They act as an intelligence hub, and work in partnership with the police, law enforcement agencies, businesses and the public (Gov.UK, 2022).</w:t>
      </w:r>
    </w:p>
    <w:p w14:paraId="14D05374" w14:textId="77777777" w:rsidR="00E22574" w:rsidRPr="00CD1AE0" w:rsidRDefault="00E22574" w:rsidP="00E22574">
      <w:pPr>
        <w:rPr>
          <w:sz w:val="24"/>
          <w:szCs w:val="24"/>
        </w:rPr>
      </w:pPr>
    </w:p>
    <w:p w14:paraId="171E57F8" w14:textId="77777777" w:rsidR="00E22574" w:rsidRPr="00CD1AE0" w:rsidRDefault="00E22574" w:rsidP="00E22574">
      <w:pPr>
        <w:rPr>
          <w:sz w:val="24"/>
          <w:szCs w:val="24"/>
        </w:rPr>
      </w:pPr>
      <w:proofErr w:type="gramStart"/>
      <w:r w:rsidRPr="00CD1AE0">
        <w:rPr>
          <w:sz w:val="24"/>
          <w:szCs w:val="24"/>
        </w:rPr>
        <w:t>The creation of the National County Lines Co-ordination Centre (NCLCC),</w:t>
      </w:r>
      <w:proofErr w:type="gramEnd"/>
      <w:r w:rsidRPr="00CD1AE0">
        <w:rPr>
          <w:sz w:val="24"/>
          <w:szCs w:val="24"/>
        </w:rPr>
        <w:t xml:space="preserve"> has helped to identify and police County Lines operations in the UK. Often, those arrested for the supply of drugs through these lines must be seen as not only offenders, but also victims exploited by these gangs (HMICFRS, 2020). The early intervention of partner agencies to identify and deter this exploitation is vital and a Problem Orientated Policing (Goldstein, 1979) model is used in order to solve problems at the root cause, which can be a long process, </w:t>
      </w:r>
      <w:proofErr w:type="gramStart"/>
      <w:r w:rsidRPr="00CD1AE0">
        <w:rPr>
          <w:sz w:val="24"/>
          <w:szCs w:val="24"/>
        </w:rPr>
        <w:t>however</w:t>
      </w:r>
      <w:proofErr w:type="gramEnd"/>
      <w:r w:rsidRPr="00CD1AE0">
        <w:rPr>
          <w:sz w:val="24"/>
          <w:szCs w:val="24"/>
        </w:rPr>
        <w:t xml:space="preserve"> has greater effect in the longer term. As Kirby et al (2013) state “Enforcement alone is insufficient”. </w:t>
      </w:r>
    </w:p>
    <w:p w14:paraId="02217BDF" w14:textId="77777777" w:rsidR="00E22574" w:rsidRPr="00CD1AE0" w:rsidRDefault="00E22574" w:rsidP="00E22574">
      <w:pPr>
        <w:rPr>
          <w:sz w:val="24"/>
          <w:szCs w:val="24"/>
        </w:rPr>
      </w:pPr>
    </w:p>
    <w:p w14:paraId="5999C505" w14:textId="77777777" w:rsidR="00E22574" w:rsidRPr="00CD1AE0" w:rsidRDefault="00E22574" w:rsidP="00E22574">
      <w:pPr>
        <w:rPr>
          <w:sz w:val="24"/>
          <w:szCs w:val="24"/>
        </w:rPr>
      </w:pPr>
      <w:r w:rsidRPr="00CD1AE0">
        <w:rPr>
          <w:sz w:val="24"/>
          <w:szCs w:val="24"/>
        </w:rPr>
        <w:t xml:space="preserve">However, a report published by Her Majesty’s Inspectorate of Constabulary and Fire and Rescue Services found that due to the nature of the national and international operations of </w:t>
      </w:r>
      <w:r w:rsidRPr="00CD1AE0">
        <w:rPr>
          <w:sz w:val="24"/>
          <w:szCs w:val="24"/>
        </w:rPr>
        <w:lastRenderedPageBreak/>
        <w:t>these gangs, the identification of vulnerable individuals was inconsistent, although getting better. They also found that forces do not prioritise county line drug gangs, and that most regional drug investigations do not involve County Lines.</w:t>
      </w:r>
    </w:p>
    <w:p w14:paraId="7B2834B2" w14:textId="77777777" w:rsidR="00E22574" w:rsidRPr="00CD1AE0" w:rsidRDefault="00E22574" w:rsidP="00E22574">
      <w:pPr>
        <w:rPr>
          <w:sz w:val="24"/>
          <w:szCs w:val="24"/>
        </w:rPr>
      </w:pPr>
    </w:p>
    <w:p w14:paraId="507A8660" w14:textId="77777777" w:rsidR="00E22574" w:rsidRPr="00CD1AE0" w:rsidRDefault="00E22574" w:rsidP="00E22574">
      <w:pPr>
        <w:rPr>
          <w:sz w:val="24"/>
          <w:szCs w:val="24"/>
        </w:rPr>
      </w:pPr>
      <w:r w:rsidRPr="00CD1AE0">
        <w:rPr>
          <w:sz w:val="24"/>
          <w:szCs w:val="24"/>
        </w:rPr>
        <w:t xml:space="preserve">The policing practices used in order to police Serious and Organised Crime Gangs and to identify and protect vulnerable people targeted by the gangs demonstrates that there </w:t>
      </w:r>
      <w:proofErr w:type="gramStart"/>
      <w:r w:rsidRPr="00CD1AE0">
        <w:rPr>
          <w:sz w:val="24"/>
          <w:szCs w:val="24"/>
        </w:rPr>
        <w:t>has</w:t>
      </w:r>
      <w:proofErr w:type="gramEnd"/>
      <w:r w:rsidRPr="00CD1AE0">
        <w:rPr>
          <w:sz w:val="24"/>
          <w:szCs w:val="24"/>
        </w:rPr>
        <w:t xml:space="preserve"> been considerable improvements over the years in dealing with the issue, such as the development of the NPCC and the NCLCC. However due to the scale of these gangs and how they work, further improved methods are required</w:t>
      </w:r>
      <w:r w:rsidR="006E6196">
        <w:rPr>
          <w:sz w:val="24"/>
          <w:szCs w:val="24"/>
        </w:rPr>
        <w:t xml:space="preserve"> from not only a regional but also</w:t>
      </w:r>
      <w:r w:rsidRPr="00CD1AE0">
        <w:rPr>
          <w:sz w:val="24"/>
          <w:szCs w:val="24"/>
        </w:rPr>
        <w:t xml:space="preserve"> a national level in order to keep up with the Major Crime Gangs who are constantly evolving.</w:t>
      </w:r>
    </w:p>
    <w:p w14:paraId="0781F881" w14:textId="77777777" w:rsidR="00E22574" w:rsidRPr="00CD1AE0" w:rsidRDefault="00E22574" w:rsidP="00E22574">
      <w:pPr>
        <w:rPr>
          <w:sz w:val="24"/>
          <w:szCs w:val="24"/>
        </w:rPr>
      </w:pPr>
    </w:p>
    <w:p w14:paraId="2027285C" w14:textId="77777777" w:rsidR="00E22574" w:rsidRPr="00CD1AE0" w:rsidRDefault="006E6196" w:rsidP="00E22574">
      <w:pPr>
        <w:rPr>
          <w:sz w:val="24"/>
          <w:szCs w:val="24"/>
        </w:rPr>
      </w:pPr>
      <w:r>
        <w:rPr>
          <w:sz w:val="24"/>
          <w:szCs w:val="24"/>
        </w:rPr>
        <w:t>Word Count – 1090</w:t>
      </w:r>
    </w:p>
    <w:p w14:paraId="19440D71" w14:textId="77777777" w:rsidR="00E22574" w:rsidRPr="00CD1AE0" w:rsidRDefault="00E22574">
      <w:pPr>
        <w:rPr>
          <w:sz w:val="24"/>
          <w:szCs w:val="24"/>
        </w:rPr>
      </w:pPr>
    </w:p>
    <w:p w14:paraId="62C46E7B" w14:textId="77777777" w:rsidR="00E22574" w:rsidRPr="00CD1AE0" w:rsidRDefault="00E22574">
      <w:pPr>
        <w:rPr>
          <w:sz w:val="24"/>
          <w:szCs w:val="24"/>
        </w:rPr>
      </w:pPr>
    </w:p>
    <w:p w14:paraId="24CF5AFF" w14:textId="77777777" w:rsidR="00E22574" w:rsidRPr="00E22574" w:rsidRDefault="00E22574" w:rsidP="00E22574">
      <w:pPr>
        <w:spacing w:after="0" w:line="276" w:lineRule="auto"/>
        <w:ind w:left="567" w:right="531"/>
        <w:rPr>
          <w:rFonts w:ascii="Arial" w:eastAsia="Times New Roman" w:hAnsi="Arial" w:cs="Arial"/>
          <w:b/>
          <w:bCs/>
          <w:sz w:val="24"/>
          <w:szCs w:val="24"/>
          <w:lang w:eastAsia="en-GB"/>
        </w:rPr>
      </w:pPr>
      <w:r w:rsidRPr="00E22574">
        <w:rPr>
          <w:rFonts w:ascii="Arial" w:eastAsia="Times New Roman" w:hAnsi="Arial" w:cs="Arial"/>
          <w:b/>
          <w:bCs/>
          <w:sz w:val="24"/>
          <w:szCs w:val="24"/>
          <w:lang w:eastAsia="en-GB"/>
        </w:rPr>
        <w:t xml:space="preserve">Essay three: </w:t>
      </w:r>
    </w:p>
    <w:p w14:paraId="41E2BB35" w14:textId="77777777" w:rsidR="00E22574" w:rsidRPr="00E22574" w:rsidRDefault="00E22574" w:rsidP="00E22574">
      <w:pPr>
        <w:spacing w:after="0" w:line="276" w:lineRule="auto"/>
        <w:ind w:left="567" w:right="531"/>
        <w:rPr>
          <w:rFonts w:ascii="Arial" w:eastAsia="Times New Roman" w:hAnsi="Arial" w:cs="Arial"/>
          <w:sz w:val="24"/>
          <w:szCs w:val="24"/>
          <w:lang w:eastAsia="en-GB"/>
        </w:rPr>
      </w:pPr>
      <w:r w:rsidRPr="00E22574">
        <w:rPr>
          <w:rFonts w:ascii="Arial" w:eastAsia="Times New Roman" w:hAnsi="Arial" w:cs="Arial"/>
          <w:sz w:val="24"/>
          <w:szCs w:val="24"/>
          <w:u w:val="single"/>
          <w:lang w:eastAsia="en-GB"/>
        </w:rPr>
        <w:t>Assess</w:t>
      </w:r>
      <w:r w:rsidRPr="00E22574">
        <w:rPr>
          <w:rFonts w:ascii="Arial" w:eastAsia="Times New Roman" w:hAnsi="Arial" w:cs="Arial"/>
          <w:sz w:val="24"/>
          <w:szCs w:val="24"/>
          <w:lang w:eastAsia="en-GB"/>
        </w:rPr>
        <w:t xml:space="preserve"> the role of MAPPA in managing </w:t>
      </w:r>
      <w:proofErr w:type="gramStart"/>
      <w:r w:rsidRPr="00E22574">
        <w:rPr>
          <w:rFonts w:ascii="Arial" w:eastAsia="Times New Roman" w:hAnsi="Arial" w:cs="Arial"/>
          <w:sz w:val="24"/>
          <w:szCs w:val="24"/>
          <w:lang w:eastAsia="en-GB"/>
        </w:rPr>
        <w:t>offenders, and</w:t>
      </w:r>
      <w:proofErr w:type="gramEnd"/>
      <w:r w:rsidRPr="00E22574">
        <w:rPr>
          <w:rFonts w:ascii="Arial" w:eastAsia="Times New Roman" w:hAnsi="Arial" w:cs="Arial"/>
          <w:sz w:val="24"/>
          <w:szCs w:val="24"/>
          <w:lang w:eastAsia="en-GB"/>
        </w:rPr>
        <w:t xml:space="preserve"> </w:t>
      </w:r>
      <w:r w:rsidRPr="00E22574">
        <w:rPr>
          <w:rFonts w:ascii="Arial" w:eastAsia="Times New Roman" w:hAnsi="Arial" w:cs="Arial"/>
          <w:sz w:val="24"/>
          <w:szCs w:val="24"/>
          <w:u w:val="single"/>
          <w:lang w:eastAsia="en-GB"/>
        </w:rPr>
        <w:t>evaluate</w:t>
      </w:r>
      <w:r w:rsidRPr="00E22574">
        <w:rPr>
          <w:rFonts w:ascii="Arial" w:eastAsia="Times New Roman" w:hAnsi="Arial" w:cs="Arial"/>
          <w:sz w:val="24"/>
          <w:szCs w:val="24"/>
          <w:lang w:eastAsia="en-GB"/>
        </w:rPr>
        <w:t xml:space="preserve"> the effectiveness of current police practices to investigate public protection incidents involving violent and sexual offences.</w:t>
      </w:r>
    </w:p>
    <w:p w14:paraId="3234C08A" w14:textId="77777777" w:rsidR="00E22574" w:rsidRPr="00E22574" w:rsidRDefault="00E22574" w:rsidP="00E22574">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r w:rsidRPr="00E22574">
        <w:rPr>
          <w:rFonts w:ascii="Arial" w:eastAsia="Times New Roman" w:hAnsi="Arial" w:cs="Arial"/>
          <w:sz w:val="24"/>
          <w:szCs w:val="24"/>
          <w:lang w:eastAsia="en-GB"/>
        </w:rPr>
        <w:t>You must use academic research to support your answer.</w:t>
      </w:r>
    </w:p>
    <w:p w14:paraId="2CCB3145" w14:textId="77777777" w:rsidR="00E22574" w:rsidRPr="00E22574" w:rsidRDefault="00E22574" w:rsidP="00E22574">
      <w:pPr>
        <w:spacing w:after="0" w:line="276" w:lineRule="auto"/>
        <w:ind w:left="567" w:right="531"/>
        <w:rPr>
          <w:rFonts w:ascii="Arial" w:eastAsia="Times New Roman" w:hAnsi="Arial" w:cs="Arial"/>
          <w:sz w:val="24"/>
          <w:szCs w:val="24"/>
          <w:lang w:eastAsia="en-GB"/>
        </w:rPr>
      </w:pPr>
      <w:r w:rsidRPr="00E22574">
        <w:rPr>
          <w:rFonts w:ascii="Arial" w:eastAsia="Times New Roman" w:hAnsi="Arial" w:cs="Arial"/>
          <w:b/>
          <w:bCs/>
          <w:sz w:val="24"/>
          <w:szCs w:val="24"/>
          <w:lang w:eastAsia="en-GB"/>
        </w:rPr>
        <w:t xml:space="preserve">Word limit: </w:t>
      </w:r>
      <w:r w:rsidRPr="00E22574">
        <w:rPr>
          <w:rFonts w:ascii="Arial" w:eastAsia="Times New Roman" w:hAnsi="Arial" w:cs="Arial"/>
          <w:sz w:val="24"/>
          <w:szCs w:val="24"/>
          <w:lang w:eastAsia="en-GB"/>
        </w:rPr>
        <w:t>1000 words.</w:t>
      </w:r>
    </w:p>
    <w:p w14:paraId="0A2DF451" w14:textId="77777777" w:rsidR="00E22574" w:rsidRPr="00CD1AE0" w:rsidRDefault="00E22574">
      <w:pPr>
        <w:rPr>
          <w:sz w:val="24"/>
          <w:szCs w:val="24"/>
        </w:rPr>
      </w:pPr>
    </w:p>
    <w:p w14:paraId="20028F82" w14:textId="77777777" w:rsidR="00E22574" w:rsidRPr="00CD1AE0" w:rsidRDefault="00E22574">
      <w:pPr>
        <w:rPr>
          <w:sz w:val="24"/>
          <w:szCs w:val="24"/>
        </w:rPr>
      </w:pPr>
    </w:p>
    <w:p w14:paraId="1D483E07" w14:textId="77777777" w:rsidR="00E22574" w:rsidRPr="00CD1AE0" w:rsidRDefault="00E22574" w:rsidP="00E22574">
      <w:pPr>
        <w:rPr>
          <w:sz w:val="24"/>
          <w:szCs w:val="24"/>
        </w:rPr>
      </w:pPr>
      <w:r w:rsidRPr="00CD1AE0">
        <w:rPr>
          <w:sz w:val="24"/>
          <w:szCs w:val="24"/>
        </w:rPr>
        <w:t>This essay will assess the role of Multi-Agency Public Protection Arrangements (MAPPA) in managing offenders. It will examine the effectiveness of police practices to investigate public protection incidents involving violent and sexual offences. It will also explain the different types of violent and sexual offences and will demonstrate statistics in order to highlight recent conviction rates for these offences in England and Wales.</w:t>
      </w:r>
    </w:p>
    <w:p w14:paraId="7780572D" w14:textId="77777777" w:rsidR="00E22574" w:rsidRPr="00CD1AE0" w:rsidRDefault="00E22574" w:rsidP="00E22574">
      <w:pPr>
        <w:rPr>
          <w:sz w:val="24"/>
          <w:szCs w:val="24"/>
        </w:rPr>
      </w:pPr>
    </w:p>
    <w:p w14:paraId="119D41E0" w14:textId="77777777" w:rsidR="00E22574" w:rsidRPr="00CD1AE0" w:rsidRDefault="00E22574" w:rsidP="00E22574">
      <w:pPr>
        <w:rPr>
          <w:sz w:val="24"/>
          <w:szCs w:val="24"/>
        </w:rPr>
      </w:pPr>
      <w:r w:rsidRPr="00CD1AE0">
        <w:rPr>
          <w:sz w:val="24"/>
          <w:szCs w:val="24"/>
        </w:rPr>
        <w:t xml:space="preserve">Violent and Sexual Offences are a range of crimes that can include offences such as Domestic Violence, Sexual Assault, Child Sexual Assaults and Rape. In the year ending March 2020, The Crime Survey for England and Wales reported that there were 773,000 adults between the age of 16 and 74, who were the victims of Sexual Assaults highlighting the scale of the offence. It was also reported that there were four times as many female victims of sexual assaults than male (Office for National Statistics, 2021). A report on Sexual Assaults by the BBC (2021) stated that the year ending September 2021 showed a 13% increase on the number of Sexual Assaults being recorded in England and Wales. However, The Office for National Statistics (2021) report also estimated that only 16% of females and 19% of </w:t>
      </w:r>
      <w:r w:rsidRPr="00CD1AE0">
        <w:rPr>
          <w:sz w:val="24"/>
          <w:szCs w:val="24"/>
        </w:rPr>
        <w:lastRenderedPageBreak/>
        <w:t xml:space="preserve">male victims between the ages of 16 and 59 have reported a sexual offence committed upon them since the age of 16 years old. </w:t>
      </w:r>
    </w:p>
    <w:p w14:paraId="58F4F0D6" w14:textId="77777777" w:rsidR="00E22574" w:rsidRPr="00CD1AE0" w:rsidRDefault="00E22574" w:rsidP="00E22574">
      <w:pPr>
        <w:rPr>
          <w:sz w:val="24"/>
          <w:szCs w:val="24"/>
        </w:rPr>
      </w:pPr>
    </w:p>
    <w:p w14:paraId="47C82000" w14:textId="77777777" w:rsidR="00E22574" w:rsidRPr="00CD1AE0" w:rsidRDefault="00E22574" w:rsidP="00E22574">
      <w:pPr>
        <w:rPr>
          <w:sz w:val="24"/>
          <w:szCs w:val="24"/>
        </w:rPr>
      </w:pPr>
      <w:r w:rsidRPr="00CD1AE0">
        <w:rPr>
          <w:sz w:val="24"/>
          <w:szCs w:val="24"/>
        </w:rPr>
        <w:t xml:space="preserve">In order to improve the prosecutions of these crimes and to support victims, the Crime Prosecution Service has developed a strategy entitles Violence Against Women and Girls (VAWG), which is a cross-government narrative with partner UN countries. The strategy is a commitment to making violence against women a key priority (CPS, 2018). In the </w:t>
      </w:r>
      <w:proofErr w:type="gramStart"/>
      <w:r w:rsidRPr="00CD1AE0">
        <w:rPr>
          <w:sz w:val="24"/>
          <w:szCs w:val="24"/>
        </w:rPr>
        <w:t>ten year</w:t>
      </w:r>
      <w:proofErr w:type="gramEnd"/>
      <w:r w:rsidRPr="00CD1AE0">
        <w:rPr>
          <w:sz w:val="24"/>
          <w:szCs w:val="24"/>
        </w:rPr>
        <w:t xml:space="preserve"> period since the introduction of VAWG in 2007, there has been a 79% increase in the number of convictions for Sexual Offences (CPS, 2017).</w:t>
      </w:r>
    </w:p>
    <w:p w14:paraId="63808D2B" w14:textId="77777777" w:rsidR="00E22574" w:rsidRPr="00CD1AE0" w:rsidRDefault="00E22574" w:rsidP="00E22574">
      <w:pPr>
        <w:rPr>
          <w:sz w:val="24"/>
          <w:szCs w:val="24"/>
        </w:rPr>
      </w:pPr>
    </w:p>
    <w:p w14:paraId="55B49D69" w14:textId="77777777" w:rsidR="00E22574" w:rsidRPr="00CD1AE0" w:rsidRDefault="00E22574" w:rsidP="00E22574">
      <w:pPr>
        <w:rPr>
          <w:sz w:val="24"/>
          <w:szCs w:val="24"/>
        </w:rPr>
      </w:pPr>
      <w:r w:rsidRPr="00CD1AE0">
        <w:rPr>
          <w:sz w:val="24"/>
          <w:szCs w:val="24"/>
        </w:rPr>
        <w:t xml:space="preserve">Multi-Agency Public Protection Arrangements (MAPPA) was introduced in 2001.It was developed with the key purpose of protecting the victims of serious crime, </w:t>
      </w:r>
      <w:proofErr w:type="gramStart"/>
      <w:r w:rsidRPr="00CD1AE0">
        <w:rPr>
          <w:sz w:val="24"/>
          <w:szCs w:val="24"/>
        </w:rPr>
        <w:t>and also</w:t>
      </w:r>
      <w:proofErr w:type="gramEnd"/>
      <w:r w:rsidRPr="00CD1AE0">
        <w:rPr>
          <w:sz w:val="24"/>
          <w:szCs w:val="24"/>
        </w:rPr>
        <w:t xml:space="preserve"> the public from the harm of convicted offenders of sexual, violent and dangerous offences. MAPPA involves a multi-agency approach in order to manage and work with these offenders, to prevent further offending. These meetings develop safeguarding and management plans around the offender in question. Involved MAPPA agencies have originally included the police, probation service and the prison service as the responsible authorities, however further agencies such as housing, education, health and social services have been included as agencies that have a duty to co-operate with MAPPA (Reeves, 2013). Each agency is committed to share information with their partners on offenders to create a framework of rehabilitation and to prevent re-offending, subsequently safeguarding both the victim and the public. Nash and Walker (2009) found that during research conducted around the effectiveness of information sharing between MAPPA partner agencies, 18 of the 21 police respondents asked stated that </w:t>
      </w:r>
      <w:proofErr w:type="gramStart"/>
      <w:r w:rsidRPr="00CD1AE0">
        <w:rPr>
          <w:sz w:val="24"/>
          <w:szCs w:val="24"/>
        </w:rPr>
        <w:t>is</w:t>
      </w:r>
      <w:proofErr w:type="gramEnd"/>
      <w:r w:rsidRPr="00CD1AE0">
        <w:rPr>
          <w:sz w:val="24"/>
          <w:szCs w:val="24"/>
        </w:rPr>
        <w:t xml:space="preserve"> was extremely or very beneficial.</w:t>
      </w:r>
    </w:p>
    <w:p w14:paraId="0D07A97A" w14:textId="77777777" w:rsidR="00E22574" w:rsidRPr="00CD1AE0" w:rsidRDefault="00E22574" w:rsidP="00E22574">
      <w:pPr>
        <w:rPr>
          <w:sz w:val="24"/>
          <w:szCs w:val="24"/>
        </w:rPr>
      </w:pPr>
    </w:p>
    <w:p w14:paraId="79FD691C" w14:textId="77777777" w:rsidR="00E22574" w:rsidRPr="00CD1AE0" w:rsidRDefault="00E22574" w:rsidP="00E22574">
      <w:pPr>
        <w:rPr>
          <w:sz w:val="24"/>
          <w:szCs w:val="24"/>
        </w:rPr>
      </w:pPr>
      <w:r w:rsidRPr="00CD1AE0">
        <w:rPr>
          <w:sz w:val="24"/>
          <w:szCs w:val="24"/>
        </w:rPr>
        <w:t xml:space="preserve">MAPPA meetings involving partner agencies will identify the level of risk that an offender has of re-offending, with the assessment identifying if they are of low, medium or high risk. Offenders are then categorized into levels which will establish the intervention required from MAPPA agencies. Level 1 offenders, being of low risk, will require a single agency management, and will not be discussed at MAPPA meetings. The probation service will usually manage level 1 offenders. Level 2 offenders, being of medium risk, will require 2 or more agencies involved in their management. Level 3 offenders, being of high risk, will require multi-agency management with an overview from senior management due to the level of risk that these offenders possess (HM Inspectorate of Probation, 2022). </w:t>
      </w:r>
    </w:p>
    <w:p w14:paraId="09B6556E" w14:textId="77777777" w:rsidR="00E22574" w:rsidRPr="00CD1AE0" w:rsidRDefault="00E22574" w:rsidP="00E22574">
      <w:pPr>
        <w:rPr>
          <w:sz w:val="24"/>
          <w:szCs w:val="24"/>
        </w:rPr>
      </w:pPr>
    </w:p>
    <w:p w14:paraId="32F812FC" w14:textId="77777777" w:rsidR="00E22574" w:rsidRPr="00CD1AE0" w:rsidRDefault="00E22574" w:rsidP="00E22574">
      <w:pPr>
        <w:rPr>
          <w:sz w:val="24"/>
          <w:szCs w:val="24"/>
        </w:rPr>
      </w:pPr>
      <w:r w:rsidRPr="00CD1AE0">
        <w:rPr>
          <w:sz w:val="24"/>
          <w:szCs w:val="24"/>
        </w:rPr>
        <w:t>The management of offenders by MAPPA show</w:t>
      </w:r>
      <w:r w:rsidR="006C68D7">
        <w:rPr>
          <w:sz w:val="24"/>
          <w:szCs w:val="24"/>
        </w:rPr>
        <w:t>s</w:t>
      </w:r>
      <w:r w:rsidRPr="00CD1AE0">
        <w:rPr>
          <w:sz w:val="24"/>
          <w:szCs w:val="24"/>
        </w:rPr>
        <w:t xml:space="preserve"> that the decrease in re-offending is significant. Between 2000 and 2010, those at Level 3, being the highest risk offenders, re-offending fell from 29% to 16% during this period (HM Inspectorate of Probation, 2022). However, Nash and Walker (2009) argue that not all partner services are listened to equally, with the police and probation being the dominant agencies in the decision making, and </w:t>
      </w:r>
      <w:r w:rsidRPr="00CD1AE0">
        <w:rPr>
          <w:sz w:val="24"/>
          <w:szCs w:val="24"/>
        </w:rPr>
        <w:lastRenderedPageBreak/>
        <w:t>services such as Social Services often being under valued in their contribution. They state that with a valued contribution from all agencies, MAPPA would have further success.</w:t>
      </w:r>
    </w:p>
    <w:p w14:paraId="71FD25F6" w14:textId="77777777" w:rsidR="00E22574" w:rsidRPr="00CD1AE0" w:rsidRDefault="00E22574" w:rsidP="00E22574">
      <w:pPr>
        <w:rPr>
          <w:sz w:val="24"/>
          <w:szCs w:val="24"/>
        </w:rPr>
      </w:pPr>
    </w:p>
    <w:p w14:paraId="17A63519" w14:textId="77777777" w:rsidR="00E22574" w:rsidRPr="00CD1AE0" w:rsidRDefault="00E22574" w:rsidP="00E22574">
      <w:pPr>
        <w:rPr>
          <w:sz w:val="24"/>
          <w:szCs w:val="24"/>
        </w:rPr>
      </w:pPr>
      <w:r w:rsidRPr="00CD1AE0">
        <w:rPr>
          <w:sz w:val="24"/>
          <w:szCs w:val="24"/>
        </w:rPr>
        <w:t xml:space="preserve">Current police practices in investigating sexual and violent offences seek to ensure that the safeguarding of victims </w:t>
      </w:r>
      <w:proofErr w:type="gramStart"/>
      <w:r w:rsidRPr="00CD1AE0">
        <w:rPr>
          <w:sz w:val="24"/>
          <w:szCs w:val="24"/>
        </w:rPr>
        <w:t>is the priority at all times</w:t>
      </w:r>
      <w:proofErr w:type="gramEnd"/>
      <w:r w:rsidRPr="00CD1AE0">
        <w:rPr>
          <w:sz w:val="24"/>
          <w:szCs w:val="24"/>
        </w:rPr>
        <w:t>. In order to protect victims of domestic violence, Domestic Violence Protection Notices (DVPN’s) and Domestic Violence Protection Orders (DVPO’s) are short term mechanisms which prevent perpetrators from returning to their residence shar</w:t>
      </w:r>
      <w:r w:rsidR="006C68D7">
        <w:rPr>
          <w:sz w:val="24"/>
          <w:szCs w:val="24"/>
        </w:rPr>
        <w:t>ed with the victim or having any</w:t>
      </w:r>
      <w:r w:rsidRPr="00CD1AE0">
        <w:rPr>
          <w:sz w:val="24"/>
          <w:szCs w:val="24"/>
        </w:rPr>
        <w:t xml:space="preserve"> contact with the victim for up to 28 days (Blackburn &amp; </w:t>
      </w:r>
      <w:proofErr w:type="spellStart"/>
      <w:r w:rsidRPr="00CD1AE0">
        <w:rPr>
          <w:sz w:val="24"/>
          <w:szCs w:val="24"/>
        </w:rPr>
        <w:t>Graca</w:t>
      </w:r>
      <w:proofErr w:type="spellEnd"/>
      <w:r w:rsidRPr="00CD1AE0">
        <w:rPr>
          <w:sz w:val="24"/>
          <w:szCs w:val="24"/>
        </w:rPr>
        <w:t xml:space="preserve">, 2021). These orders provide the victim with an element of breathing space and time in order to work with partner agencies and to consider their options going forward. Kelly et al (2013) measured the success of DVPN’s and DVPO’s based on police “call out’s”, comparing those issued with the measures, to the re-offending of those who faced no further action and no measurements imposed. It was found that there was a reduction in domestic abuse and re-victimisation when the DVPN’s and DVPO’s were issued. </w:t>
      </w:r>
      <w:proofErr w:type="gramStart"/>
      <w:r w:rsidRPr="00CD1AE0">
        <w:rPr>
          <w:sz w:val="24"/>
          <w:szCs w:val="24"/>
        </w:rPr>
        <w:t>However</w:t>
      </w:r>
      <w:proofErr w:type="gramEnd"/>
      <w:r w:rsidRPr="00CD1AE0">
        <w:rPr>
          <w:sz w:val="24"/>
          <w:szCs w:val="24"/>
        </w:rPr>
        <w:t xml:space="preserve"> they also stated that measuring the effectiveness of the orders based on “call out’s” may be misleading due to various reasons for victims declining to report breaches of the orders to the police.</w:t>
      </w:r>
    </w:p>
    <w:p w14:paraId="5E4FB4C1" w14:textId="77777777" w:rsidR="00E22574" w:rsidRPr="00CD1AE0" w:rsidRDefault="00E22574" w:rsidP="00E22574">
      <w:pPr>
        <w:rPr>
          <w:sz w:val="24"/>
          <w:szCs w:val="24"/>
        </w:rPr>
      </w:pPr>
    </w:p>
    <w:p w14:paraId="32D6448E" w14:textId="77777777" w:rsidR="00E22574" w:rsidRPr="00CD1AE0" w:rsidRDefault="00E22574" w:rsidP="00E22574">
      <w:pPr>
        <w:rPr>
          <w:sz w:val="24"/>
          <w:szCs w:val="24"/>
        </w:rPr>
      </w:pPr>
      <w:r w:rsidRPr="00CD1AE0">
        <w:rPr>
          <w:sz w:val="24"/>
          <w:szCs w:val="24"/>
        </w:rPr>
        <w:t xml:space="preserve">The investigation of serious sexual offence cases </w:t>
      </w:r>
      <w:proofErr w:type="gramStart"/>
      <w:r w:rsidRPr="00CD1AE0">
        <w:rPr>
          <w:sz w:val="24"/>
          <w:szCs w:val="24"/>
        </w:rPr>
        <w:t>are</w:t>
      </w:r>
      <w:proofErr w:type="gramEnd"/>
      <w:r w:rsidRPr="00CD1AE0">
        <w:rPr>
          <w:sz w:val="24"/>
          <w:szCs w:val="24"/>
        </w:rPr>
        <w:t xml:space="preserve"> conducted by Specially Trained Officers (STO), in order to progress cases and to provide direct service to victims. They also liaise with SARC’s (Sexual Assault Referral Centres) which are dedicated medical centres</w:t>
      </w:r>
      <w:r w:rsidR="006C68D7">
        <w:rPr>
          <w:sz w:val="24"/>
          <w:szCs w:val="24"/>
        </w:rPr>
        <w:t xml:space="preserve"> that provide forensic services</w:t>
      </w:r>
      <w:r w:rsidRPr="00CD1AE0">
        <w:rPr>
          <w:sz w:val="24"/>
          <w:szCs w:val="24"/>
        </w:rPr>
        <w:t xml:space="preserve"> and victim support (The Survivor’s Trust, 2022). STO’s are vital in case progression and </w:t>
      </w:r>
      <w:r w:rsidR="006C68D7">
        <w:rPr>
          <w:sz w:val="24"/>
          <w:szCs w:val="24"/>
        </w:rPr>
        <w:t xml:space="preserve">providing </w:t>
      </w:r>
      <w:r w:rsidRPr="00CD1AE0">
        <w:rPr>
          <w:sz w:val="24"/>
          <w:szCs w:val="24"/>
        </w:rPr>
        <w:t xml:space="preserve">support to victims, however McMillan (2015) found that even though individual officers recognised their importance in the role, a lack of support from immediate supervisors often prolong cases which leads to tensions in the process. </w:t>
      </w:r>
    </w:p>
    <w:p w14:paraId="6110B966" w14:textId="77777777" w:rsidR="00E22574" w:rsidRPr="00CD1AE0" w:rsidRDefault="00E22574" w:rsidP="00E22574">
      <w:pPr>
        <w:rPr>
          <w:sz w:val="24"/>
          <w:szCs w:val="24"/>
        </w:rPr>
      </w:pPr>
    </w:p>
    <w:p w14:paraId="59A578A3" w14:textId="77777777" w:rsidR="00E22574" w:rsidRPr="00CD1AE0" w:rsidRDefault="00E22574" w:rsidP="00E22574">
      <w:pPr>
        <w:rPr>
          <w:sz w:val="24"/>
          <w:szCs w:val="24"/>
        </w:rPr>
      </w:pPr>
      <w:r w:rsidRPr="00CD1AE0">
        <w:rPr>
          <w:sz w:val="24"/>
          <w:szCs w:val="24"/>
        </w:rPr>
        <w:t xml:space="preserve">Further reasons that support for victims may not be of an expected standard may be that officers are not always aware of powers available to them, </w:t>
      </w:r>
      <w:proofErr w:type="gramStart"/>
      <w:r w:rsidRPr="00CD1AE0">
        <w:rPr>
          <w:sz w:val="24"/>
          <w:szCs w:val="24"/>
        </w:rPr>
        <w:t>and also</w:t>
      </w:r>
      <w:proofErr w:type="gramEnd"/>
      <w:r w:rsidRPr="00CD1AE0">
        <w:rPr>
          <w:sz w:val="24"/>
          <w:szCs w:val="24"/>
        </w:rPr>
        <w:t xml:space="preserve"> may not take the safeguarding of victims as seriously as they should (Gov.uk, 2022).</w:t>
      </w:r>
    </w:p>
    <w:p w14:paraId="3C11E559" w14:textId="77777777" w:rsidR="00E22574" w:rsidRPr="00CD1AE0" w:rsidRDefault="00E22574" w:rsidP="00E22574">
      <w:pPr>
        <w:rPr>
          <w:sz w:val="24"/>
          <w:szCs w:val="24"/>
        </w:rPr>
      </w:pPr>
    </w:p>
    <w:p w14:paraId="159862E6" w14:textId="77777777" w:rsidR="00E22574" w:rsidRPr="00CD1AE0" w:rsidRDefault="006C68D7" w:rsidP="00E22574">
      <w:pPr>
        <w:rPr>
          <w:sz w:val="24"/>
          <w:szCs w:val="24"/>
        </w:rPr>
      </w:pPr>
      <w:r>
        <w:rPr>
          <w:sz w:val="24"/>
          <w:szCs w:val="24"/>
        </w:rPr>
        <w:t>T</w:t>
      </w:r>
      <w:r w:rsidR="00E22574" w:rsidRPr="00CD1AE0">
        <w:rPr>
          <w:sz w:val="24"/>
          <w:szCs w:val="24"/>
        </w:rPr>
        <w:t>he management of offenders through MAPPA is vital in order to reduce re-offending, although this could be improved through greater partner</w:t>
      </w:r>
      <w:r>
        <w:rPr>
          <w:sz w:val="24"/>
          <w:szCs w:val="24"/>
        </w:rPr>
        <w:t>ship</w:t>
      </w:r>
      <w:r w:rsidR="00E22574" w:rsidRPr="00CD1AE0">
        <w:rPr>
          <w:sz w:val="24"/>
          <w:szCs w:val="24"/>
        </w:rPr>
        <w:t xml:space="preserve"> engagement. The police practices discussed provide strong investigatory processes, and victim safeguarding, however, once again, processes are often delayed due to multi-person and multi-partnership involvement. Improved communication between partner agencies is required to progress further in the reduction of re-offending.</w:t>
      </w:r>
    </w:p>
    <w:p w14:paraId="1216C3AF" w14:textId="77777777" w:rsidR="00E22574" w:rsidRPr="00CD1AE0" w:rsidRDefault="00E22574" w:rsidP="00E22574">
      <w:pPr>
        <w:rPr>
          <w:sz w:val="24"/>
          <w:szCs w:val="24"/>
        </w:rPr>
      </w:pPr>
    </w:p>
    <w:p w14:paraId="0E5DD7E9" w14:textId="77777777" w:rsidR="00E22574" w:rsidRPr="00CD1AE0" w:rsidRDefault="006C68D7" w:rsidP="00E22574">
      <w:pPr>
        <w:rPr>
          <w:sz w:val="24"/>
          <w:szCs w:val="24"/>
        </w:rPr>
      </w:pPr>
      <w:r>
        <w:rPr>
          <w:sz w:val="24"/>
          <w:szCs w:val="24"/>
        </w:rPr>
        <w:t>Word Count – 1088</w:t>
      </w:r>
    </w:p>
    <w:p w14:paraId="4130B620" w14:textId="77777777" w:rsidR="00E22574" w:rsidRPr="00E22574" w:rsidRDefault="00E22574" w:rsidP="00E22574">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r w:rsidRPr="00E22574">
        <w:rPr>
          <w:rFonts w:ascii="Arial" w:eastAsia="Times New Roman" w:hAnsi="Arial" w:cs="Arial"/>
          <w:b/>
          <w:bCs/>
          <w:sz w:val="24"/>
          <w:szCs w:val="24"/>
          <w:lang w:eastAsia="en-GB"/>
        </w:rPr>
        <w:lastRenderedPageBreak/>
        <w:t>Essay four:</w:t>
      </w:r>
      <w:r w:rsidRPr="00E22574">
        <w:rPr>
          <w:rFonts w:ascii="Arial" w:eastAsia="Times New Roman" w:hAnsi="Arial" w:cs="Arial"/>
          <w:sz w:val="24"/>
          <w:szCs w:val="24"/>
          <w:lang w:eastAsia="en-GB"/>
        </w:rPr>
        <w:t xml:space="preserve"> </w:t>
      </w:r>
    </w:p>
    <w:p w14:paraId="04C7B11C" w14:textId="77777777" w:rsidR="00E22574" w:rsidRPr="00E22574" w:rsidRDefault="00E22574" w:rsidP="00E22574">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r w:rsidRPr="00E22574">
        <w:rPr>
          <w:rFonts w:ascii="Arial" w:eastAsia="Times New Roman" w:hAnsi="Arial" w:cs="Arial"/>
          <w:sz w:val="24"/>
          <w:szCs w:val="24"/>
          <w:u w:val="single"/>
          <w:lang w:eastAsia="en-GB"/>
        </w:rPr>
        <w:t>Critically evaluate</w:t>
      </w:r>
      <w:r w:rsidRPr="00E22574">
        <w:rPr>
          <w:rFonts w:ascii="Arial" w:eastAsia="Times New Roman" w:hAnsi="Arial" w:cs="Arial"/>
          <w:sz w:val="24"/>
          <w:szCs w:val="24"/>
          <w:lang w:eastAsia="en-GB"/>
        </w:rPr>
        <w:t xml:space="preserve"> the impact of early intervention on young offenders, and young people at risk of becoming involved in gangs. </w:t>
      </w:r>
      <w:r w:rsidRPr="00E22574">
        <w:rPr>
          <w:rFonts w:ascii="Arial" w:eastAsia="Times New Roman" w:hAnsi="Arial" w:cs="Arial"/>
          <w:sz w:val="24"/>
          <w:szCs w:val="24"/>
          <w:u w:val="single"/>
          <w:lang w:eastAsia="en-GB"/>
        </w:rPr>
        <w:t>Assess</w:t>
      </w:r>
      <w:r w:rsidRPr="00E22574">
        <w:rPr>
          <w:rFonts w:ascii="Arial" w:eastAsia="Times New Roman" w:hAnsi="Arial" w:cs="Arial"/>
          <w:sz w:val="24"/>
          <w:szCs w:val="24"/>
          <w:lang w:eastAsia="en-GB"/>
        </w:rPr>
        <w:t xml:space="preserve"> the effectiveness of partnership approaches to prevent or deter involvement in gang-related activity.</w:t>
      </w:r>
    </w:p>
    <w:p w14:paraId="7BE23D95" w14:textId="77777777" w:rsidR="00E22574" w:rsidRPr="00E22574" w:rsidRDefault="00E22574" w:rsidP="00E22574">
      <w:pPr>
        <w:overflowPunct w:val="0"/>
        <w:autoSpaceDE w:val="0"/>
        <w:autoSpaceDN w:val="0"/>
        <w:adjustRightInd w:val="0"/>
        <w:spacing w:after="0" w:line="276" w:lineRule="auto"/>
        <w:ind w:left="567" w:right="531"/>
        <w:textAlignment w:val="baseline"/>
        <w:rPr>
          <w:rFonts w:ascii="Arial" w:eastAsia="Times New Roman" w:hAnsi="Arial" w:cs="Arial"/>
          <w:i/>
          <w:iCs/>
          <w:sz w:val="24"/>
          <w:szCs w:val="24"/>
          <w:lang w:eastAsia="en-GB"/>
        </w:rPr>
      </w:pPr>
      <w:r w:rsidRPr="00E22574">
        <w:rPr>
          <w:rFonts w:ascii="Arial" w:eastAsia="Times New Roman" w:hAnsi="Arial" w:cs="Arial"/>
          <w:sz w:val="24"/>
          <w:szCs w:val="24"/>
          <w:lang w:eastAsia="en-GB"/>
        </w:rPr>
        <w:t>Rather than relying on personal experience, support your answer with relevant evidence drawn from academic sources.</w:t>
      </w:r>
    </w:p>
    <w:p w14:paraId="31618919" w14:textId="77777777" w:rsidR="00E22574" w:rsidRPr="00E22574" w:rsidRDefault="00E22574" w:rsidP="00E22574">
      <w:pPr>
        <w:spacing w:after="0" w:line="276" w:lineRule="auto"/>
        <w:ind w:left="567" w:right="531"/>
        <w:rPr>
          <w:rFonts w:ascii="Arial" w:eastAsia="Times New Roman" w:hAnsi="Arial" w:cs="Arial"/>
          <w:sz w:val="24"/>
          <w:szCs w:val="24"/>
          <w:lang w:eastAsia="en-GB"/>
        </w:rPr>
      </w:pPr>
      <w:r w:rsidRPr="00E22574">
        <w:rPr>
          <w:rFonts w:ascii="Arial" w:eastAsia="Times New Roman" w:hAnsi="Arial" w:cs="Arial"/>
          <w:b/>
          <w:bCs/>
          <w:sz w:val="24"/>
          <w:szCs w:val="24"/>
          <w:lang w:eastAsia="en-GB"/>
        </w:rPr>
        <w:t xml:space="preserve">Word limit: </w:t>
      </w:r>
      <w:r w:rsidRPr="00E22574">
        <w:rPr>
          <w:rFonts w:ascii="Arial" w:eastAsia="Times New Roman" w:hAnsi="Arial" w:cs="Arial"/>
          <w:sz w:val="24"/>
          <w:szCs w:val="24"/>
          <w:lang w:eastAsia="en-GB"/>
        </w:rPr>
        <w:t>1000 words.</w:t>
      </w:r>
    </w:p>
    <w:p w14:paraId="05D54340" w14:textId="77777777" w:rsidR="00E22574" w:rsidRPr="00CD1AE0" w:rsidRDefault="00E22574">
      <w:pPr>
        <w:rPr>
          <w:sz w:val="24"/>
          <w:szCs w:val="24"/>
        </w:rPr>
      </w:pPr>
    </w:p>
    <w:p w14:paraId="6181A672" w14:textId="77777777" w:rsidR="00E22574" w:rsidRPr="00CD1AE0" w:rsidRDefault="00E22574">
      <w:pPr>
        <w:rPr>
          <w:sz w:val="24"/>
          <w:szCs w:val="24"/>
        </w:rPr>
      </w:pPr>
    </w:p>
    <w:p w14:paraId="45DB4618" w14:textId="77777777" w:rsidR="00E22574" w:rsidRPr="00CD1AE0" w:rsidRDefault="00E22574" w:rsidP="00E22574">
      <w:pPr>
        <w:rPr>
          <w:sz w:val="24"/>
          <w:szCs w:val="24"/>
        </w:rPr>
      </w:pPr>
      <w:r w:rsidRPr="00CD1AE0">
        <w:rPr>
          <w:sz w:val="24"/>
          <w:szCs w:val="24"/>
        </w:rPr>
        <w:t xml:space="preserve">This essay will discuss the impact of early interventions on young offenders, and young people at risk of being involved in gangs, with a critical evaluation of these impacts. It will discuss what is meant by the term “Gang” and will look at why young people become a part of them. It will then assess the effectiveness of partnership approaches to prevent involvement in gang-related activity. </w:t>
      </w:r>
    </w:p>
    <w:p w14:paraId="081CE907" w14:textId="77777777" w:rsidR="00E22574" w:rsidRPr="00CD1AE0" w:rsidRDefault="00E22574" w:rsidP="00E22574">
      <w:pPr>
        <w:rPr>
          <w:sz w:val="24"/>
          <w:szCs w:val="24"/>
        </w:rPr>
      </w:pPr>
    </w:p>
    <w:p w14:paraId="58247102" w14:textId="77777777" w:rsidR="00E22574" w:rsidRPr="00CD1AE0" w:rsidRDefault="00E22574" w:rsidP="00E22574">
      <w:pPr>
        <w:rPr>
          <w:sz w:val="24"/>
          <w:szCs w:val="24"/>
        </w:rPr>
      </w:pPr>
      <w:r w:rsidRPr="00CD1AE0">
        <w:rPr>
          <w:sz w:val="24"/>
          <w:szCs w:val="24"/>
        </w:rPr>
        <w:t xml:space="preserve">In the year ending March 2019, over 60,200 children between the ages of 10 – 17 years of age were arrested in England and Wales. 11,900 of these children were first time offenders as entrants to the Youth Justice System. These figures show a decrease of 77% over a </w:t>
      </w:r>
      <w:proofErr w:type="gramStart"/>
      <w:r w:rsidRPr="00CD1AE0">
        <w:rPr>
          <w:sz w:val="24"/>
          <w:szCs w:val="24"/>
        </w:rPr>
        <w:t>10 year</w:t>
      </w:r>
      <w:proofErr w:type="gramEnd"/>
      <w:r w:rsidRPr="00CD1AE0">
        <w:rPr>
          <w:sz w:val="24"/>
          <w:szCs w:val="24"/>
        </w:rPr>
        <w:t xml:space="preserve"> period of the number of children arrested and entering the Youth Justice System (Youth Justice Board, 2019).</w:t>
      </w:r>
    </w:p>
    <w:p w14:paraId="09102DCD" w14:textId="77777777" w:rsidR="00E22574" w:rsidRPr="00CD1AE0" w:rsidRDefault="00E22574" w:rsidP="00E22574">
      <w:pPr>
        <w:rPr>
          <w:sz w:val="24"/>
          <w:szCs w:val="24"/>
        </w:rPr>
      </w:pPr>
    </w:p>
    <w:p w14:paraId="4CB9BD4E" w14:textId="77777777" w:rsidR="00E22574" w:rsidRPr="00CD1AE0" w:rsidRDefault="00E22574" w:rsidP="00E22574">
      <w:pPr>
        <w:rPr>
          <w:sz w:val="24"/>
          <w:szCs w:val="24"/>
        </w:rPr>
      </w:pPr>
      <w:r w:rsidRPr="00CD1AE0">
        <w:rPr>
          <w:sz w:val="24"/>
          <w:szCs w:val="24"/>
        </w:rPr>
        <w:t>The BBC (2019) reported that there were an estimated 27,000 children in gangs in the UK. Street gangs are defined by the Home Office as young people who are street-based, engaged in criminal activity and violence and are often in conflict with other similar gangs. This conflict may also concern territorial ownership of which gangs lay claim to (HM Government, 2011). In their study, Annan et al. (2016) found that young London street gang members were heavily involved in knife crime, serious youth violence and offences against children, often exploiting them in order to engage in criminal behaviour. They found that music, social media and TV often exposed these youngsters to gang violence, with 90% stating that they were exposed to serious violence through these channels at least once a week.</w:t>
      </w:r>
    </w:p>
    <w:p w14:paraId="0CA03D25" w14:textId="77777777" w:rsidR="00E22574" w:rsidRPr="00CD1AE0" w:rsidRDefault="00E22574" w:rsidP="00E22574">
      <w:pPr>
        <w:rPr>
          <w:sz w:val="24"/>
          <w:szCs w:val="24"/>
        </w:rPr>
      </w:pPr>
    </w:p>
    <w:p w14:paraId="7A5665D1" w14:textId="77777777" w:rsidR="00E22574" w:rsidRPr="00CD1AE0" w:rsidRDefault="00E22574" w:rsidP="00E22574">
      <w:pPr>
        <w:rPr>
          <w:sz w:val="24"/>
          <w:szCs w:val="24"/>
        </w:rPr>
      </w:pPr>
      <w:r w:rsidRPr="00CD1AE0">
        <w:rPr>
          <w:sz w:val="24"/>
          <w:szCs w:val="24"/>
        </w:rPr>
        <w:t xml:space="preserve">Research into why youngsters join gangs and offend has found that ‘Sense of belonging’ is often described by gang members. Difficult family situations at home, often consisting of one parent families can have an impact. Coinciding with this is poverty, possibly due to family structure, making the membership of a gang more appealing, with the belief that material rewards will come with membership. Peer pressure from friends that are members can influence decisions, with the want to ‘fit in’ and to ‘gain respect’. A lack of social </w:t>
      </w:r>
      <w:r w:rsidRPr="00CD1AE0">
        <w:rPr>
          <w:sz w:val="24"/>
          <w:szCs w:val="24"/>
        </w:rPr>
        <w:lastRenderedPageBreak/>
        <w:t>structures and support for youngsters in deprived areas was found to be an influence on gang membership (Strand, 2014).</w:t>
      </w:r>
    </w:p>
    <w:p w14:paraId="5F8CF7AA" w14:textId="77777777" w:rsidR="00E22574" w:rsidRPr="00CD1AE0" w:rsidRDefault="00E22574" w:rsidP="00E22574">
      <w:pPr>
        <w:rPr>
          <w:sz w:val="24"/>
          <w:szCs w:val="24"/>
        </w:rPr>
      </w:pPr>
    </w:p>
    <w:p w14:paraId="3E060E99" w14:textId="77777777" w:rsidR="00E22574" w:rsidRPr="00CD1AE0" w:rsidRDefault="00E22574" w:rsidP="00E22574">
      <w:pPr>
        <w:rPr>
          <w:sz w:val="24"/>
          <w:szCs w:val="24"/>
        </w:rPr>
      </w:pPr>
      <w:r w:rsidRPr="00CD1AE0">
        <w:rPr>
          <w:sz w:val="24"/>
          <w:szCs w:val="24"/>
        </w:rPr>
        <w:t>Early intervention in the lives of youngsters identified as being vulnerable to a possible future of criminality, through promoting positive youth development, has been identified as the best time to prevent delinquent behaviour (</w:t>
      </w:r>
      <w:proofErr w:type="spellStart"/>
      <w:r w:rsidRPr="00CD1AE0">
        <w:rPr>
          <w:sz w:val="24"/>
          <w:szCs w:val="24"/>
        </w:rPr>
        <w:t>Osher</w:t>
      </w:r>
      <w:proofErr w:type="spellEnd"/>
      <w:r w:rsidRPr="00CD1AE0">
        <w:rPr>
          <w:sz w:val="24"/>
          <w:szCs w:val="24"/>
        </w:rPr>
        <w:t xml:space="preserve"> et al. 2003). During Early intervention, children who are identified as being ‘at risk’ from an early age, are provided with services that encourage good behaviour, supported educationally in order to increase performance, provided with opportunities, and are encouraged to develop skills that will aid them personally and academically in the future (Youth Crime Commission, 2022). Early Intervention programmes include focus on class</w:t>
      </w:r>
      <w:r w:rsidR="00D24B55">
        <w:rPr>
          <w:sz w:val="24"/>
          <w:szCs w:val="24"/>
        </w:rPr>
        <w:t>room and behaviour management, s</w:t>
      </w:r>
      <w:r w:rsidRPr="00CD1AE0">
        <w:rPr>
          <w:sz w:val="24"/>
          <w:szCs w:val="24"/>
        </w:rPr>
        <w:t xml:space="preserve">ocial competence, conflict and violence prevention, bullying prevention, community interventions and mentoring programmes. Such is </w:t>
      </w:r>
      <w:r w:rsidR="00D24B55">
        <w:rPr>
          <w:sz w:val="24"/>
          <w:szCs w:val="24"/>
        </w:rPr>
        <w:t>the belief that Early I</w:t>
      </w:r>
      <w:r w:rsidRPr="00CD1AE0">
        <w:rPr>
          <w:sz w:val="24"/>
          <w:szCs w:val="24"/>
        </w:rPr>
        <w:t xml:space="preserve">ntervention aids in preventing future offending, the UK government in 2007 stated that unborn babies of </w:t>
      </w:r>
      <w:proofErr w:type="gramStart"/>
      <w:r w:rsidRPr="00CD1AE0">
        <w:rPr>
          <w:sz w:val="24"/>
          <w:szCs w:val="24"/>
        </w:rPr>
        <w:t>high risk</w:t>
      </w:r>
      <w:proofErr w:type="gramEnd"/>
      <w:r w:rsidRPr="00CD1AE0">
        <w:rPr>
          <w:sz w:val="24"/>
          <w:szCs w:val="24"/>
        </w:rPr>
        <w:t xml:space="preserve"> families would be identified</w:t>
      </w:r>
      <w:r w:rsidR="00D24B55">
        <w:rPr>
          <w:sz w:val="24"/>
          <w:szCs w:val="24"/>
        </w:rPr>
        <w:t xml:space="preserve"> in order to ensure that Early I</w:t>
      </w:r>
      <w:r w:rsidRPr="00CD1AE0">
        <w:rPr>
          <w:sz w:val="24"/>
          <w:szCs w:val="24"/>
        </w:rPr>
        <w:t>ntervention would be applied from the beginning in an attempt to prevent future anti-social and offending behaviour from the child (</w:t>
      </w:r>
      <w:proofErr w:type="spellStart"/>
      <w:r w:rsidRPr="00CD1AE0">
        <w:rPr>
          <w:sz w:val="24"/>
          <w:szCs w:val="24"/>
        </w:rPr>
        <w:t>Shafi</w:t>
      </w:r>
      <w:proofErr w:type="spellEnd"/>
      <w:r w:rsidRPr="00CD1AE0">
        <w:rPr>
          <w:sz w:val="24"/>
          <w:szCs w:val="24"/>
        </w:rPr>
        <w:t xml:space="preserve">, 2007). </w:t>
      </w:r>
    </w:p>
    <w:p w14:paraId="096AD542" w14:textId="77777777" w:rsidR="00E22574" w:rsidRPr="00CD1AE0" w:rsidRDefault="00E22574" w:rsidP="00E22574">
      <w:pPr>
        <w:rPr>
          <w:sz w:val="24"/>
          <w:szCs w:val="24"/>
        </w:rPr>
      </w:pPr>
    </w:p>
    <w:p w14:paraId="6283F800" w14:textId="77777777" w:rsidR="00E22574" w:rsidRPr="00CD1AE0" w:rsidRDefault="00E22574" w:rsidP="00E22574">
      <w:pPr>
        <w:rPr>
          <w:sz w:val="24"/>
          <w:szCs w:val="24"/>
        </w:rPr>
      </w:pPr>
      <w:r w:rsidRPr="00CD1AE0">
        <w:rPr>
          <w:sz w:val="24"/>
          <w:szCs w:val="24"/>
        </w:rPr>
        <w:t xml:space="preserve">A study by the Office of Juvenile Justice and Delinquency Prevention based on chronic juvenile offending was conducted over a </w:t>
      </w:r>
      <w:proofErr w:type="gramStart"/>
      <w:r w:rsidRPr="00CD1AE0">
        <w:rPr>
          <w:sz w:val="24"/>
          <w:szCs w:val="24"/>
        </w:rPr>
        <w:t>2 year</w:t>
      </w:r>
      <w:proofErr w:type="gramEnd"/>
      <w:r w:rsidRPr="00CD1AE0">
        <w:rPr>
          <w:sz w:val="24"/>
          <w:szCs w:val="24"/>
        </w:rPr>
        <w:t xml:space="preserve"> period, consisting of 16 primary study group members and 23 co-authors made up of academic experts, viewing hundreds of studies, and conducting a survey with 100 expert practitioners in the field. The study was focused on the delinquent behaviour of children between the ages of 7 – 12 years old, </w:t>
      </w:r>
      <w:proofErr w:type="gramStart"/>
      <w:r w:rsidRPr="00CD1AE0">
        <w:rPr>
          <w:sz w:val="24"/>
          <w:szCs w:val="24"/>
        </w:rPr>
        <w:t>and also</w:t>
      </w:r>
      <w:proofErr w:type="gramEnd"/>
      <w:r w:rsidRPr="00CD1AE0">
        <w:rPr>
          <w:sz w:val="24"/>
          <w:szCs w:val="24"/>
        </w:rPr>
        <w:t xml:space="preserve"> the disruptive behaviour of toddlers up to adolescent. The study found that there was evidence that child delinquency was influenced from an early age and that this may lead to future offending. The study found that minor problem behaviours identified at an early age would often lead to future disruptive and delinquent behaviour. The study group concluded that prevention is a better approach, and that early interventions in an identified child’s life will prevent future behaviours and may prevent future </w:t>
      </w:r>
      <w:proofErr w:type="gramStart"/>
      <w:r w:rsidRPr="00CD1AE0">
        <w:rPr>
          <w:sz w:val="24"/>
          <w:szCs w:val="24"/>
        </w:rPr>
        <w:t>offending, and</w:t>
      </w:r>
      <w:proofErr w:type="gramEnd"/>
      <w:r w:rsidRPr="00CD1AE0">
        <w:rPr>
          <w:sz w:val="24"/>
          <w:szCs w:val="24"/>
        </w:rPr>
        <w:t xml:space="preserve"> is far more beneficial than attempting to remedy delinquent behaviour in an older child. The study group found that 71% of practitioners that completed the study survey believed that effective methods were available to deal with children to reduce future offending (</w:t>
      </w:r>
      <w:proofErr w:type="spellStart"/>
      <w:r w:rsidRPr="00CD1AE0">
        <w:rPr>
          <w:sz w:val="24"/>
          <w:szCs w:val="24"/>
        </w:rPr>
        <w:t>Loeber</w:t>
      </w:r>
      <w:proofErr w:type="spellEnd"/>
      <w:r w:rsidRPr="00CD1AE0">
        <w:rPr>
          <w:sz w:val="24"/>
          <w:szCs w:val="24"/>
        </w:rPr>
        <w:t xml:space="preserve"> et al, 2003).</w:t>
      </w:r>
    </w:p>
    <w:p w14:paraId="7BCE0C96" w14:textId="77777777" w:rsidR="00E22574" w:rsidRPr="00CD1AE0" w:rsidRDefault="00E22574" w:rsidP="00E22574">
      <w:pPr>
        <w:rPr>
          <w:sz w:val="24"/>
          <w:szCs w:val="24"/>
        </w:rPr>
      </w:pPr>
    </w:p>
    <w:p w14:paraId="2AC5C89C" w14:textId="77777777" w:rsidR="00E22574" w:rsidRPr="00CD1AE0" w:rsidRDefault="00E22574" w:rsidP="00E22574">
      <w:pPr>
        <w:rPr>
          <w:sz w:val="24"/>
          <w:szCs w:val="24"/>
        </w:rPr>
      </w:pPr>
      <w:r w:rsidRPr="00CD1AE0">
        <w:rPr>
          <w:sz w:val="24"/>
          <w:szCs w:val="24"/>
        </w:rPr>
        <w:t xml:space="preserve">The study highlights the importance of Early Interventions in children from toddler age to adolescence, however it does not give any evidence of the benefits of Early Interventions in pre-school children with regards to disrupting future offending. It also does not indicate the </w:t>
      </w:r>
      <w:proofErr w:type="gramStart"/>
      <w:r w:rsidRPr="00CD1AE0">
        <w:rPr>
          <w:sz w:val="24"/>
          <w:szCs w:val="24"/>
        </w:rPr>
        <w:t>amount</w:t>
      </w:r>
      <w:proofErr w:type="gramEnd"/>
      <w:r w:rsidRPr="00CD1AE0">
        <w:rPr>
          <w:sz w:val="24"/>
          <w:szCs w:val="24"/>
        </w:rPr>
        <w:t xml:space="preserve"> of children studied, or the geographical location of the children studied which may have an impact on the findings of the study. Further research would be required for these.</w:t>
      </w:r>
    </w:p>
    <w:p w14:paraId="00ADD4BA" w14:textId="77777777" w:rsidR="00E22574" w:rsidRPr="00CD1AE0" w:rsidRDefault="00E22574" w:rsidP="00E22574">
      <w:pPr>
        <w:rPr>
          <w:sz w:val="24"/>
          <w:szCs w:val="24"/>
        </w:rPr>
      </w:pPr>
    </w:p>
    <w:p w14:paraId="27C6A50F" w14:textId="77777777" w:rsidR="00E22574" w:rsidRPr="00CD1AE0" w:rsidRDefault="00E22574" w:rsidP="00E22574">
      <w:pPr>
        <w:rPr>
          <w:sz w:val="24"/>
          <w:szCs w:val="24"/>
        </w:rPr>
      </w:pPr>
      <w:r w:rsidRPr="00CD1AE0">
        <w:rPr>
          <w:sz w:val="24"/>
          <w:szCs w:val="24"/>
        </w:rPr>
        <w:lastRenderedPageBreak/>
        <w:t xml:space="preserve">Prevention programmes through a Partner-Orientated Policing strategy, where the police will work with partner agencies such as probation, education, social services and youth services, aim to prevent those identified as vulnerable to future offending, and youths at risk of gang involvement. This approach aims to target the root cause of the issue, and can take longer to implement, however the </w:t>
      </w:r>
      <w:proofErr w:type="gramStart"/>
      <w:r w:rsidRPr="00CD1AE0">
        <w:rPr>
          <w:sz w:val="24"/>
          <w:szCs w:val="24"/>
        </w:rPr>
        <w:t>long term</w:t>
      </w:r>
      <w:proofErr w:type="gramEnd"/>
      <w:r w:rsidRPr="00CD1AE0">
        <w:rPr>
          <w:sz w:val="24"/>
          <w:szCs w:val="24"/>
        </w:rPr>
        <w:t xml:space="preserve"> results are significantly more effective. This follows Herman Goldstein’s ‘Problem Orientated Approach’ which argued that the police should focus on a preventative approach to the root cause of crime, rather than reacting to crime on a </w:t>
      </w:r>
      <w:proofErr w:type="gramStart"/>
      <w:r w:rsidRPr="00CD1AE0">
        <w:rPr>
          <w:sz w:val="24"/>
          <w:szCs w:val="24"/>
        </w:rPr>
        <w:t>case by case</w:t>
      </w:r>
      <w:proofErr w:type="gramEnd"/>
      <w:r w:rsidRPr="00CD1AE0">
        <w:rPr>
          <w:sz w:val="24"/>
          <w:szCs w:val="24"/>
        </w:rPr>
        <w:t xml:space="preserve"> basis (Goldstein, 1979).</w:t>
      </w:r>
    </w:p>
    <w:p w14:paraId="0AB700DA" w14:textId="77777777" w:rsidR="00E22574" w:rsidRPr="00CD1AE0" w:rsidRDefault="00E22574" w:rsidP="00E22574">
      <w:pPr>
        <w:rPr>
          <w:sz w:val="24"/>
          <w:szCs w:val="24"/>
        </w:rPr>
      </w:pPr>
    </w:p>
    <w:p w14:paraId="29A8665A" w14:textId="77777777" w:rsidR="00E22574" w:rsidRPr="00CD1AE0" w:rsidRDefault="00E22574" w:rsidP="00E22574">
      <w:pPr>
        <w:rPr>
          <w:sz w:val="24"/>
          <w:szCs w:val="24"/>
        </w:rPr>
      </w:pPr>
      <w:r w:rsidRPr="00CD1AE0">
        <w:rPr>
          <w:sz w:val="24"/>
          <w:szCs w:val="24"/>
        </w:rPr>
        <w:t xml:space="preserve">There are </w:t>
      </w:r>
      <w:proofErr w:type="gramStart"/>
      <w:r w:rsidRPr="00CD1AE0">
        <w:rPr>
          <w:sz w:val="24"/>
          <w:szCs w:val="24"/>
        </w:rPr>
        <w:t>a number of</w:t>
      </w:r>
      <w:proofErr w:type="gramEnd"/>
      <w:r w:rsidRPr="00CD1AE0">
        <w:rPr>
          <w:sz w:val="24"/>
          <w:szCs w:val="24"/>
        </w:rPr>
        <w:t xml:space="preserve"> gang prevention programmes working to protect youths from gang involvement such as Gang Resistance Education and Training (G.R.E.A.T). This programme’s curriculum focused on social skills and delivering negative view</w:t>
      </w:r>
      <w:r w:rsidR="00D24B55">
        <w:rPr>
          <w:sz w:val="24"/>
          <w:szCs w:val="24"/>
        </w:rPr>
        <w:t>s</w:t>
      </w:r>
      <w:r w:rsidRPr="00CD1AE0">
        <w:rPr>
          <w:sz w:val="24"/>
          <w:szCs w:val="24"/>
        </w:rPr>
        <w:t xml:space="preserve"> on gangs, and during a 4 year follow up on its effects, it found that it reduced the odd</w:t>
      </w:r>
      <w:r w:rsidR="00D24B55">
        <w:rPr>
          <w:sz w:val="24"/>
          <w:szCs w:val="24"/>
        </w:rPr>
        <w:t>s</w:t>
      </w:r>
      <w:r w:rsidRPr="00CD1AE0">
        <w:rPr>
          <w:sz w:val="24"/>
          <w:szCs w:val="24"/>
        </w:rPr>
        <w:t xml:space="preserve"> of youths from racially diverse groups from joining gangs by 39% in the first year, and 24% over the next 3 years (Howell, 2018), demonstrating the positive effect that these programmes have.</w:t>
      </w:r>
    </w:p>
    <w:p w14:paraId="3C6B60E7" w14:textId="77777777" w:rsidR="00E22574" w:rsidRPr="00CD1AE0" w:rsidRDefault="00E22574" w:rsidP="00E22574">
      <w:pPr>
        <w:rPr>
          <w:sz w:val="24"/>
          <w:szCs w:val="24"/>
        </w:rPr>
      </w:pPr>
    </w:p>
    <w:p w14:paraId="7E7143B6" w14:textId="77777777" w:rsidR="00E22574" w:rsidRPr="00CD1AE0" w:rsidRDefault="00E22574" w:rsidP="00E22574">
      <w:pPr>
        <w:rPr>
          <w:sz w:val="24"/>
          <w:szCs w:val="24"/>
        </w:rPr>
      </w:pPr>
      <w:r w:rsidRPr="00CD1AE0">
        <w:rPr>
          <w:sz w:val="24"/>
          <w:szCs w:val="24"/>
        </w:rPr>
        <w:t xml:space="preserve">However, due to the decline in public expenditure, many </w:t>
      </w:r>
      <w:proofErr w:type="gramStart"/>
      <w:r w:rsidRPr="00CD1AE0">
        <w:rPr>
          <w:sz w:val="24"/>
          <w:szCs w:val="24"/>
        </w:rPr>
        <w:t>gang</w:t>
      </w:r>
      <w:proofErr w:type="gramEnd"/>
      <w:r w:rsidRPr="00CD1AE0">
        <w:rPr>
          <w:sz w:val="24"/>
          <w:szCs w:val="24"/>
        </w:rPr>
        <w:t xml:space="preserve"> intervention programmes have closed and many others are in competition for survival. Co-operation between these partner agencies can be difficult with the communication of ‘best practice’ becoming less and less, ultimately affecting the youths (</w:t>
      </w:r>
      <w:proofErr w:type="spellStart"/>
      <w:r w:rsidRPr="00CD1AE0">
        <w:rPr>
          <w:sz w:val="24"/>
          <w:szCs w:val="24"/>
        </w:rPr>
        <w:t>Densley</w:t>
      </w:r>
      <w:proofErr w:type="spellEnd"/>
      <w:r w:rsidRPr="00CD1AE0">
        <w:rPr>
          <w:sz w:val="24"/>
          <w:szCs w:val="24"/>
        </w:rPr>
        <w:t>, 2011).</w:t>
      </w:r>
    </w:p>
    <w:p w14:paraId="5A3F91B4" w14:textId="77777777" w:rsidR="00E22574" w:rsidRPr="00CD1AE0" w:rsidRDefault="00E22574" w:rsidP="00E22574">
      <w:pPr>
        <w:rPr>
          <w:sz w:val="24"/>
          <w:szCs w:val="24"/>
        </w:rPr>
      </w:pPr>
    </w:p>
    <w:p w14:paraId="53C59881" w14:textId="77777777" w:rsidR="00E22574" w:rsidRPr="00CD1AE0" w:rsidRDefault="00E22574" w:rsidP="00E22574">
      <w:pPr>
        <w:rPr>
          <w:sz w:val="24"/>
          <w:szCs w:val="24"/>
        </w:rPr>
      </w:pPr>
      <w:r w:rsidRPr="00CD1AE0">
        <w:rPr>
          <w:sz w:val="24"/>
          <w:szCs w:val="24"/>
        </w:rPr>
        <w:t>Early interventions and a partnership approach in aiding potential youth offenders from an early age has been proven to work in effectively targeting issues at the root cause. However, due to funding reductions, and the requirement for a closer working partnership between agencies, there are opportunities to greatly improve current practices.</w:t>
      </w:r>
    </w:p>
    <w:p w14:paraId="5E787F34" w14:textId="77777777" w:rsidR="00E22574" w:rsidRPr="00CD1AE0" w:rsidRDefault="00E22574" w:rsidP="00E22574">
      <w:pPr>
        <w:rPr>
          <w:sz w:val="24"/>
          <w:szCs w:val="24"/>
        </w:rPr>
      </w:pPr>
    </w:p>
    <w:p w14:paraId="4FB4CEC6" w14:textId="77777777" w:rsidR="00E22574" w:rsidRPr="00CD1AE0" w:rsidRDefault="00E22574" w:rsidP="00E22574">
      <w:pPr>
        <w:rPr>
          <w:sz w:val="24"/>
          <w:szCs w:val="24"/>
        </w:rPr>
      </w:pPr>
      <w:r w:rsidRPr="00CD1AE0">
        <w:rPr>
          <w:sz w:val="24"/>
          <w:szCs w:val="24"/>
        </w:rPr>
        <w:t>Word Count - 1098</w:t>
      </w:r>
    </w:p>
    <w:p w14:paraId="666D5672" w14:textId="77777777" w:rsidR="00E22574" w:rsidRPr="00CD1AE0" w:rsidRDefault="00E22574">
      <w:pPr>
        <w:rPr>
          <w:sz w:val="24"/>
          <w:szCs w:val="24"/>
        </w:rPr>
      </w:pPr>
    </w:p>
    <w:p w14:paraId="0B9A4F6D" w14:textId="77777777" w:rsidR="00E22574" w:rsidRPr="00CD1AE0" w:rsidRDefault="00E22574">
      <w:pPr>
        <w:rPr>
          <w:sz w:val="24"/>
          <w:szCs w:val="24"/>
        </w:rPr>
      </w:pPr>
    </w:p>
    <w:p w14:paraId="39E5AD50" w14:textId="77777777" w:rsidR="00E22574" w:rsidRPr="00CD1AE0" w:rsidRDefault="00B1404B">
      <w:pPr>
        <w:rPr>
          <w:sz w:val="24"/>
          <w:szCs w:val="24"/>
          <w:u w:val="single"/>
        </w:rPr>
      </w:pPr>
      <w:r w:rsidRPr="00CD1AE0">
        <w:rPr>
          <w:sz w:val="24"/>
          <w:szCs w:val="24"/>
          <w:u w:val="single"/>
        </w:rPr>
        <w:t>Bibliography</w:t>
      </w:r>
    </w:p>
    <w:p w14:paraId="3B36B00D" w14:textId="77777777" w:rsidR="00B1404B" w:rsidRPr="00CD1AE0" w:rsidRDefault="00B1404B">
      <w:pPr>
        <w:rPr>
          <w:sz w:val="24"/>
          <w:szCs w:val="24"/>
          <w:u w:val="single"/>
        </w:rPr>
      </w:pPr>
    </w:p>
    <w:p w14:paraId="3C0CC255" w14:textId="77777777" w:rsidR="00B1404B" w:rsidRPr="00CD1AE0" w:rsidRDefault="00B1404B" w:rsidP="00B1404B">
      <w:pPr>
        <w:rPr>
          <w:sz w:val="24"/>
          <w:szCs w:val="24"/>
        </w:rPr>
      </w:pPr>
      <w:r w:rsidRPr="00CD1AE0">
        <w:rPr>
          <w:sz w:val="24"/>
          <w:szCs w:val="24"/>
        </w:rPr>
        <w:t>A duty to protect: Police use of protective measures in cases involving violence against women and girls (2022) GOV.UK. Available at: https://www.gov.uk/government/publications/police-use-of-protective-measures-in-cases-of-violence-against-women-and-girls/a-duty-to-protect-police-use-of-protective-measures-in-cases-involving-violence-against-women-and-girls (Accessed: September 27, 2022).</w:t>
      </w:r>
    </w:p>
    <w:p w14:paraId="50880807" w14:textId="77777777" w:rsidR="00B1404B" w:rsidRPr="00CD1AE0" w:rsidRDefault="00B1404B" w:rsidP="00B1404B">
      <w:pPr>
        <w:rPr>
          <w:sz w:val="24"/>
          <w:szCs w:val="24"/>
        </w:rPr>
      </w:pPr>
    </w:p>
    <w:p w14:paraId="0DA8C385" w14:textId="77777777" w:rsidR="00B1404B" w:rsidRPr="00CD1AE0" w:rsidRDefault="00B1404B" w:rsidP="00B1404B">
      <w:pPr>
        <w:rPr>
          <w:sz w:val="24"/>
          <w:szCs w:val="24"/>
        </w:rPr>
      </w:pPr>
      <w:r w:rsidRPr="00CD1AE0">
        <w:rPr>
          <w:sz w:val="24"/>
          <w:szCs w:val="24"/>
        </w:rPr>
        <w:lastRenderedPageBreak/>
        <w:t>Annan, L.G. et al. (2021) “What makes young people get involved with street gangs in London? A study of the perceived risk factors,” Journal of Community Psychology, 50(5), pp. 2198–2213. Available at: https://doi.org/10.1002/jcop.22767.</w:t>
      </w:r>
    </w:p>
    <w:p w14:paraId="1E618A07" w14:textId="77777777" w:rsidR="00B1404B" w:rsidRPr="00CD1AE0" w:rsidRDefault="00B1404B" w:rsidP="00B1404B">
      <w:pPr>
        <w:rPr>
          <w:sz w:val="24"/>
          <w:szCs w:val="24"/>
        </w:rPr>
      </w:pPr>
    </w:p>
    <w:p w14:paraId="1EF8F7AD" w14:textId="77777777" w:rsidR="00B1404B" w:rsidRPr="00CD1AE0" w:rsidRDefault="00B1404B" w:rsidP="00B1404B">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CD1AE0">
        <w:rPr>
          <w:rFonts w:eastAsia="Times New Roman" w:cstheme="minorHAnsi"/>
          <w:sz w:val="24"/>
          <w:szCs w:val="24"/>
          <w:lang w:eastAsia="en-GB"/>
        </w:rPr>
        <w:t xml:space="preserve">Asquith, </w:t>
      </w:r>
      <w:proofErr w:type="spellStart"/>
      <w:r w:rsidRPr="00CD1AE0">
        <w:rPr>
          <w:rFonts w:eastAsia="Times New Roman" w:cstheme="minorHAnsi"/>
          <w:sz w:val="24"/>
          <w:szCs w:val="24"/>
          <w:lang w:eastAsia="en-GB"/>
        </w:rPr>
        <w:t>Bartkowiak-Théron</w:t>
      </w:r>
      <w:proofErr w:type="spellEnd"/>
      <w:r w:rsidRPr="00CD1AE0">
        <w:rPr>
          <w:rFonts w:eastAsia="Times New Roman" w:cstheme="minorHAnsi"/>
          <w:sz w:val="24"/>
          <w:szCs w:val="24"/>
          <w:lang w:eastAsia="en-GB"/>
        </w:rPr>
        <w:t xml:space="preserve">, I., &amp; Roberts, K. A. (2017). Policing encounters with vulnerability (Asquith, I. </w:t>
      </w:r>
      <w:proofErr w:type="spellStart"/>
      <w:r w:rsidRPr="00CD1AE0">
        <w:rPr>
          <w:rFonts w:eastAsia="Times New Roman" w:cstheme="minorHAnsi"/>
          <w:sz w:val="24"/>
          <w:szCs w:val="24"/>
          <w:lang w:eastAsia="en-GB"/>
        </w:rPr>
        <w:t>Bartkowiak-Théron</w:t>
      </w:r>
      <w:proofErr w:type="spellEnd"/>
      <w:r w:rsidRPr="00CD1AE0">
        <w:rPr>
          <w:rFonts w:eastAsia="Times New Roman" w:cstheme="minorHAnsi"/>
          <w:sz w:val="24"/>
          <w:szCs w:val="24"/>
          <w:lang w:eastAsia="en-GB"/>
        </w:rPr>
        <w:t xml:space="preserve">, &amp; K. A. Roberts, Eds.; 1st ed. 2017.). Springer International Publishing. </w:t>
      </w:r>
      <w:hyperlink r:id="rId6" w:history="1">
        <w:r w:rsidRPr="00CD1AE0">
          <w:rPr>
            <w:rStyle w:val="Hyperlink"/>
            <w:rFonts w:eastAsia="Times New Roman" w:cstheme="minorHAnsi"/>
            <w:sz w:val="24"/>
            <w:szCs w:val="24"/>
            <w:lang w:eastAsia="en-GB"/>
          </w:rPr>
          <w:t>https://doi.org/10.1007/978-3-319-51228-0</w:t>
        </w:r>
      </w:hyperlink>
    </w:p>
    <w:p w14:paraId="5042661D" w14:textId="77777777" w:rsidR="00B1404B" w:rsidRPr="00CD1AE0" w:rsidRDefault="00B1404B" w:rsidP="00B1404B">
      <w:pPr>
        <w:rPr>
          <w:sz w:val="24"/>
          <w:szCs w:val="24"/>
        </w:rPr>
      </w:pPr>
    </w:p>
    <w:p w14:paraId="1E543E34" w14:textId="77777777" w:rsidR="00B1404B" w:rsidRPr="00CD1AE0" w:rsidRDefault="00B1404B" w:rsidP="00B1404B">
      <w:pPr>
        <w:rPr>
          <w:sz w:val="24"/>
          <w:szCs w:val="24"/>
        </w:rPr>
      </w:pPr>
      <w:r w:rsidRPr="00CD1AE0">
        <w:rPr>
          <w:sz w:val="24"/>
          <w:szCs w:val="24"/>
        </w:rPr>
        <w:t xml:space="preserve">Blackburn, K. and </w:t>
      </w:r>
      <w:proofErr w:type="spellStart"/>
      <w:r w:rsidRPr="00CD1AE0">
        <w:rPr>
          <w:sz w:val="24"/>
          <w:szCs w:val="24"/>
        </w:rPr>
        <w:t>Graca</w:t>
      </w:r>
      <w:proofErr w:type="spellEnd"/>
      <w:r w:rsidRPr="00CD1AE0">
        <w:rPr>
          <w:sz w:val="24"/>
          <w:szCs w:val="24"/>
        </w:rPr>
        <w:t xml:space="preserve">, S. (2020) “A critical reflection on the use and effectiveness of </w:t>
      </w:r>
      <w:proofErr w:type="spellStart"/>
      <w:r w:rsidRPr="00CD1AE0">
        <w:rPr>
          <w:sz w:val="24"/>
          <w:szCs w:val="24"/>
        </w:rPr>
        <w:t>dvpns</w:t>
      </w:r>
      <w:proofErr w:type="spellEnd"/>
      <w:r w:rsidRPr="00CD1AE0">
        <w:rPr>
          <w:sz w:val="24"/>
          <w:szCs w:val="24"/>
        </w:rPr>
        <w:t xml:space="preserve"> and </w:t>
      </w:r>
      <w:proofErr w:type="spellStart"/>
      <w:r w:rsidRPr="00CD1AE0">
        <w:rPr>
          <w:sz w:val="24"/>
          <w:szCs w:val="24"/>
        </w:rPr>
        <w:t>dvpos</w:t>
      </w:r>
      <w:proofErr w:type="spellEnd"/>
      <w:r w:rsidRPr="00CD1AE0">
        <w:rPr>
          <w:sz w:val="24"/>
          <w:szCs w:val="24"/>
        </w:rPr>
        <w:t xml:space="preserve">,” Police Practice and Research, 22(1), pp. 23–39. Available at: </w:t>
      </w:r>
      <w:hyperlink r:id="rId7" w:history="1">
        <w:r w:rsidRPr="00CD1AE0">
          <w:rPr>
            <w:rStyle w:val="Hyperlink"/>
            <w:sz w:val="24"/>
            <w:szCs w:val="24"/>
          </w:rPr>
          <w:t>https://doi.org/10.1080/15614263.2020.1759059</w:t>
        </w:r>
      </w:hyperlink>
      <w:r w:rsidRPr="00CD1AE0">
        <w:rPr>
          <w:sz w:val="24"/>
          <w:szCs w:val="24"/>
        </w:rPr>
        <w:t>.</w:t>
      </w:r>
    </w:p>
    <w:p w14:paraId="20E3184D" w14:textId="77777777" w:rsidR="00B1404B" w:rsidRPr="00CD1AE0" w:rsidRDefault="00B1404B" w:rsidP="00B1404B">
      <w:pPr>
        <w:rPr>
          <w:sz w:val="24"/>
          <w:szCs w:val="24"/>
        </w:rPr>
      </w:pPr>
    </w:p>
    <w:p w14:paraId="4327F96B" w14:textId="77777777" w:rsidR="00B1404B" w:rsidRPr="00CD1AE0" w:rsidRDefault="00B1404B" w:rsidP="00B1404B">
      <w:pPr>
        <w:rPr>
          <w:sz w:val="24"/>
          <w:szCs w:val="24"/>
        </w:rPr>
      </w:pPr>
      <w:r w:rsidRPr="00CD1AE0">
        <w:rPr>
          <w:sz w:val="24"/>
          <w:szCs w:val="24"/>
        </w:rPr>
        <w:t>Both sides of the coin: An inspection of how the police and National Crime Agency consider vulnerable people who are both victims and offenders in 'county lines' drug offending (2020) HMICFRS. Available at: https://www.justiceinspectorates.gov.uk/hmicfrs/publications/both-sides-of-the-coin-county-lines/ (Accessed: October 3, 2022).</w:t>
      </w:r>
    </w:p>
    <w:p w14:paraId="6F986798" w14:textId="77777777" w:rsidR="00B1404B" w:rsidRPr="00CD1AE0" w:rsidRDefault="00B1404B" w:rsidP="00B1404B">
      <w:pPr>
        <w:rPr>
          <w:sz w:val="24"/>
          <w:szCs w:val="24"/>
        </w:rPr>
      </w:pPr>
    </w:p>
    <w:p w14:paraId="44CB175F" w14:textId="77777777" w:rsidR="00B1404B" w:rsidRPr="00CD1AE0" w:rsidRDefault="00B1404B" w:rsidP="00B1404B">
      <w:pPr>
        <w:rPr>
          <w:sz w:val="24"/>
          <w:szCs w:val="24"/>
        </w:rPr>
      </w:pPr>
      <w:r w:rsidRPr="00CD1AE0">
        <w:rPr>
          <w:sz w:val="24"/>
          <w:szCs w:val="24"/>
        </w:rPr>
        <w:t xml:space="preserve">Clarke, </w:t>
      </w:r>
      <w:proofErr w:type="spellStart"/>
      <w:r w:rsidRPr="00CD1AE0">
        <w:rPr>
          <w:sz w:val="24"/>
          <w:szCs w:val="24"/>
        </w:rPr>
        <w:t>L.G.&amp;amp</w:t>
      </w:r>
      <w:proofErr w:type="spellEnd"/>
      <w:r w:rsidRPr="00CD1AE0">
        <w:rPr>
          <w:sz w:val="24"/>
          <w:szCs w:val="24"/>
        </w:rPr>
        <w:t xml:space="preserve">; J. (2022) How many violent attacks and sexual assaults on women are </w:t>
      </w:r>
      <w:proofErr w:type="gramStart"/>
      <w:r w:rsidRPr="00CD1AE0">
        <w:rPr>
          <w:sz w:val="24"/>
          <w:szCs w:val="24"/>
        </w:rPr>
        <w:t>there?,</w:t>
      </w:r>
      <w:proofErr w:type="gramEnd"/>
      <w:r w:rsidRPr="00CD1AE0">
        <w:rPr>
          <w:sz w:val="24"/>
          <w:szCs w:val="24"/>
        </w:rPr>
        <w:t xml:space="preserve"> BBC News. BBC. Available at: https://www.bbc.co.uk/news/explainers-56365412 (Accessed: September 23, 2022).</w:t>
      </w:r>
    </w:p>
    <w:p w14:paraId="3E4C79BE" w14:textId="77777777" w:rsidR="00B1404B" w:rsidRPr="00CD1AE0" w:rsidRDefault="00B1404B" w:rsidP="00B1404B">
      <w:pPr>
        <w:rPr>
          <w:sz w:val="24"/>
          <w:szCs w:val="24"/>
        </w:rPr>
      </w:pPr>
    </w:p>
    <w:p w14:paraId="16E74CE3" w14:textId="77777777" w:rsidR="00B1404B" w:rsidRPr="00CD1AE0" w:rsidRDefault="00B1404B" w:rsidP="00B1404B">
      <w:pPr>
        <w:rPr>
          <w:sz w:val="24"/>
          <w:szCs w:val="24"/>
        </w:rPr>
      </w:pPr>
      <w:r w:rsidRPr="00CD1AE0">
        <w:rPr>
          <w:sz w:val="24"/>
          <w:szCs w:val="24"/>
        </w:rPr>
        <w:t>Confidence in the local police (2021) GOV.UK Ethnicity facts and figures. Office for National Statistics. Available at: https://www.ethnicity-facts-figures.service.gov.uk/crime-justice-and-the-law/policing/confidence-in-the-local-police/latest (Accessed: October 5, 2022).</w:t>
      </w:r>
    </w:p>
    <w:p w14:paraId="427D524B" w14:textId="77777777" w:rsidR="00B1404B" w:rsidRPr="00CD1AE0" w:rsidRDefault="00B1404B" w:rsidP="00B1404B">
      <w:pPr>
        <w:rPr>
          <w:sz w:val="24"/>
          <w:szCs w:val="24"/>
        </w:rPr>
      </w:pPr>
    </w:p>
    <w:p w14:paraId="5CCAD911" w14:textId="77777777" w:rsidR="00B1404B" w:rsidRPr="00CD1AE0" w:rsidRDefault="00B1404B" w:rsidP="00B1404B">
      <w:pPr>
        <w:spacing w:line="256" w:lineRule="auto"/>
        <w:rPr>
          <w:sz w:val="24"/>
          <w:szCs w:val="24"/>
        </w:rPr>
      </w:pPr>
      <w:proofErr w:type="spellStart"/>
      <w:r w:rsidRPr="00CD1AE0">
        <w:rPr>
          <w:sz w:val="24"/>
          <w:szCs w:val="24"/>
        </w:rPr>
        <w:t>Densley</w:t>
      </w:r>
      <w:proofErr w:type="spellEnd"/>
      <w:r w:rsidRPr="00CD1AE0">
        <w:rPr>
          <w:sz w:val="24"/>
          <w:szCs w:val="24"/>
        </w:rPr>
        <w:t xml:space="preserve">, J. (2011), "Ganging up on gangs: why the gang intervention industry needs an intervention", The British Journal of Forensic Practice, Vol. 13 No. 1, pp. 12-23. </w:t>
      </w:r>
      <w:hyperlink r:id="rId8" w:history="1">
        <w:r w:rsidRPr="00CD1AE0">
          <w:rPr>
            <w:rStyle w:val="Hyperlink"/>
            <w:sz w:val="24"/>
            <w:szCs w:val="24"/>
          </w:rPr>
          <w:t>https://doi.org/10.5042/bjfp.2011.0046</w:t>
        </w:r>
      </w:hyperlink>
    </w:p>
    <w:p w14:paraId="6CF64880" w14:textId="77777777" w:rsidR="00B1404B" w:rsidRPr="00CD1AE0" w:rsidRDefault="00B1404B" w:rsidP="00B1404B">
      <w:pPr>
        <w:spacing w:line="256" w:lineRule="auto"/>
        <w:rPr>
          <w:sz w:val="24"/>
          <w:szCs w:val="24"/>
        </w:rPr>
      </w:pPr>
    </w:p>
    <w:p w14:paraId="3F4842D9" w14:textId="77777777" w:rsidR="00B1404B" w:rsidRPr="00CD1AE0" w:rsidRDefault="00B1404B" w:rsidP="00B1404B">
      <w:pPr>
        <w:rPr>
          <w:sz w:val="24"/>
          <w:szCs w:val="24"/>
        </w:rPr>
      </w:pPr>
      <w:r w:rsidRPr="00CD1AE0">
        <w:rPr>
          <w:sz w:val="24"/>
          <w:szCs w:val="24"/>
        </w:rPr>
        <w:t>Early intervention (2018) Independent Commission on Youth Crime and Antisocial Behaviour |. Available at: https://www.youthcrimecommission.org.uk/early-intervention/ (Accessed: September 15, 2022).</w:t>
      </w:r>
    </w:p>
    <w:p w14:paraId="52394B7C" w14:textId="77777777" w:rsidR="00B1404B" w:rsidRPr="00CD1AE0" w:rsidRDefault="00B1404B" w:rsidP="00B1404B">
      <w:pPr>
        <w:rPr>
          <w:sz w:val="24"/>
          <w:szCs w:val="24"/>
        </w:rPr>
      </w:pPr>
    </w:p>
    <w:p w14:paraId="7B11A6EA" w14:textId="77777777" w:rsidR="00B1404B" w:rsidRPr="00CD1AE0" w:rsidRDefault="00B1404B" w:rsidP="00B1404B">
      <w:pPr>
        <w:rPr>
          <w:sz w:val="24"/>
          <w:szCs w:val="24"/>
        </w:rPr>
      </w:pPr>
      <w:r w:rsidRPr="00CD1AE0">
        <w:rPr>
          <w:sz w:val="24"/>
          <w:szCs w:val="24"/>
        </w:rPr>
        <w:t>Glaser, J. (2015) Suspect race: Causes and consequences of racial profiling. New York, NY: Oxford University Press.</w:t>
      </w:r>
    </w:p>
    <w:p w14:paraId="6F3D5B29" w14:textId="77777777" w:rsidR="00B1404B" w:rsidRPr="00CD1AE0" w:rsidRDefault="00B1404B" w:rsidP="00B1404B">
      <w:pPr>
        <w:rPr>
          <w:sz w:val="24"/>
          <w:szCs w:val="24"/>
        </w:rPr>
      </w:pPr>
    </w:p>
    <w:p w14:paraId="1FDF335A" w14:textId="77777777" w:rsidR="00B1404B" w:rsidRPr="00CD1AE0" w:rsidRDefault="00B1404B" w:rsidP="00B1404B">
      <w:pPr>
        <w:rPr>
          <w:sz w:val="24"/>
          <w:szCs w:val="24"/>
        </w:rPr>
      </w:pPr>
      <w:r w:rsidRPr="00CD1AE0">
        <w:rPr>
          <w:sz w:val="24"/>
          <w:szCs w:val="24"/>
        </w:rPr>
        <w:t xml:space="preserve">Goldstein, H. (1979) “Improving policing: A problem-oriented approach,” Crime &amp;amp; Delinquency, 25(2), pp. 236–258. Available at: </w:t>
      </w:r>
      <w:hyperlink r:id="rId9" w:history="1">
        <w:r w:rsidRPr="00CD1AE0">
          <w:rPr>
            <w:rStyle w:val="Hyperlink"/>
            <w:sz w:val="24"/>
            <w:szCs w:val="24"/>
          </w:rPr>
          <w:t>https://doi.org/10.1177/001112877902500207</w:t>
        </w:r>
      </w:hyperlink>
      <w:r w:rsidRPr="00CD1AE0">
        <w:rPr>
          <w:sz w:val="24"/>
          <w:szCs w:val="24"/>
        </w:rPr>
        <w:t>.</w:t>
      </w:r>
    </w:p>
    <w:p w14:paraId="50C1B61F" w14:textId="77777777" w:rsidR="00B1404B" w:rsidRPr="00CD1AE0" w:rsidRDefault="00B1404B" w:rsidP="00B1404B">
      <w:pPr>
        <w:rPr>
          <w:sz w:val="24"/>
          <w:szCs w:val="24"/>
        </w:rPr>
      </w:pPr>
    </w:p>
    <w:p w14:paraId="3274A678" w14:textId="77777777" w:rsidR="00B1404B" w:rsidRPr="00CD1AE0" w:rsidRDefault="00B1404B" w:rsidP="00B1404B">
      <w:pPr>
        <w:rPr>
          <w:sz w:val="24"/>
          <w:szCs w:val="24"/>
        </w:rPr>
      </w:pPr>
      <w:r w:rsidRPr="00CD1AE0">
        <w:rPr>
          <w:sz w:val="24"/>
          <w:szCs w:val="24"/>
        </w:rPr>
        <w:t>Greater collaboration and consistency needed to tackle 'county lines' drug offending, finds inspectorate (2020) HMICFRS. Available at: https://www.justiceinspectorates.gov.uk/hmicfrs/news/news-feed/greater-collaboration-and-consistency-needed-to-tackle-county-lines-drug-offending/#:~:text=Her%20Majesty%E2%80%99s%20Inspectorate%20of%20Constabulary%20and%20Fire%20and,dealt%20with%20at%20local%2C%20regional%20and%20national%20levels. (Accessed: October 02, 2022).</w:t>
      </w:r>
    </w:p>
    <w:p w14:paraId="40230FF4" w14:textId="77777777" w:rsidR="00B1404B" w:rsidRPr="00CD1AE0" w:rsidRDefault="00B1404B" w:rsidP="00B1404B">
      <w:pPr>
        <w:rPr>
          <w:sz w:val="24"/>
          <w:szCs w:val="24"/>
        </w:rPr>
      </w:pPr>
    </w:p>
    <w:p w14:paraId="1C27CCA0" w14:textId="77777777" w:rsidR="00B1404B" w:rsidRPr="00CD1AE0" w:rsidRDefault="00B1404B" w:rsidP="00B1404B">
      <w:pPr>
        <w:rPr>
          <w:sz w:val="24"/>
          <w:szCs w:val="24"/>
        </w:rPr>
      </w:pPr>
      <w:proofErr w:type="spellStart"/>
      <w:r w:rsidRPr="00CD1AE0">
        <w:rPr>
          <w:sz w:val="24"/>
          <w:szCs w:val="24"/>
        </w:rPr>
        <w:t>Hallworth</w:t>
      </w:r>
      <w:proofErr w:type="spellEnd"/>
      <w:r w:rsidRPr="00CD1AE0">
        <w:rPr>
          <w:sz w:val="24"/>
          <w:szCs w:val="24"/>
        </w:rPr>
        <w:t xml:space="preserve">, J. (2016) County Lines’: An exploratory analysis of migrating drug gang offenders </w:t>
      </w:r>
      <w:proofErr w:type="gramStart"/>
      <w:r w:rsidRPr="00CD1AE0">
        <w:rPr>
          <w:sz w:val="24"/>
          <w:szCs w:val="24"/>
        </w:rPr>
        <w:t>in  North</w:t>
      </w:r>
      <w:proofErr w:type="gramEnd"/>
      <w:r w:rsidRPr="00CD1AE0">
        <w:rPr>
          <w:sz w:val="24"/>
          <w:szCs w:val="24"/>
        </w:rPr>
        <w:t xml:space="preserve"> Essex. . dissertation.</w:t>
      </w:r>
    </w:p>
    <w:p w14:paraId="3DE1C674" w14:textId="77777777" w:rsidR="00B1404B" w:rsidRPr="00CD1AE0" w:rsidRDefault="00B1404B" w:rsidP="00B1404B">
      <w:pPr>
        <w:rPr>
          <w:sz w:val="24"/>
          <w:szCs w:val="24"/>
        </w:rPr>
      </w:pPr>
    </w:p>
    <w:p w14:paraId="1987300D" w14:textId="77777777" w:rsidR="00B1404B" w:rsidRPr="00CD1AE0" w:rsidRDefault="00B1404B" w:rsidP="00B1404B">
      <w:pPr>
        <w:rPr>
          <w:sz w:val="24"/>
          <w:szCs w:val="24"/>
        </w:rPr>
      </w:pPr>
      <w:r w:rsidRPr="00CD1AE0">
        <w:rPr>
          <w:sz w:val="24"/>
          <w:szCs w:val="24"/>
        </w:rPr>
        <w:t>Howell, J.C. (2018) “What works with gangs,” Criminology &amp;amp; Public Policy, 17(4), pp. 991–999. Available at: https://doi.org/10.1111/1745-9133.12398.</w:t>
      </w:r>
    </w:p>
    <w:p w14:paraId="724B2961" w14:textId="77777777" w:rsidR="00B1404B" w:rsidRPr="00CD1AE0" w:rsidRDefault="00B1404B" w:rsidP="00B1404B">
      <w:pPr>
        <w:rPr>
          <w:sz w:val="24"/>
          <w:szCs w:val="24"/>
        </w:rPr>
      </w:pPr>
    </w:p>
    <w:p w14:paraId="487F5317" w14:textId="77777777" w:rsidR="00B1404B" w:rsidRPr="00CD1AE0" w:rsidRDefault="00B1404B" w:rsidP="00B1404B">
      <w:pPr>
        <w:rPr>
          <w:sz w:val="24"/>
          <w:szCs w:val="24"/>
        </w:rPr>
      </w:pPr>
      <w:r w:rsidRPr="00CD1AE0">
        <w:rPr>
          <w:sz w:val="24"/>
          <w:szCs w:val="24"/>
        </w:rPr>
        <w:t xml:space="preserve">Jonathan Jackson, Ben Bradford, What is Trust and Confidence in the </w:t>
      </w:r>
      <w:proofErr w:type="gramStart"/>
      <w:r w:rsidRPr="00CD1AE0">
        <w:rPr>
          <w:sz w:val="24"/>
          <w:szCs w:val="24"/>
        </w:rPr>
        <w:t>Police?,</w:t>
      </w:r>
      <w:proofErr w:type="gramEnd"/>
      <w:r w:rsidRPr="00CD1AE0">
        <w:rPr>
          <w:sz w:val="24"/>
          <w:szCs w:val="24"/>
        </w:rPr>
        <w:t xml:space="preserve"> Policing: A Journal of Policy and Practice, Volume 4, Issue 3, August 2010, Pages 241–248, </w:t>
      </w:r>
      <w:hyperlink r:id="rId10" w:history="1">
        <w:r w:rsidRPr="00CD1AE0">
          <w:rPr>
            <w:rStyle w:val="Hyperlink"/>
            <w:sz w:val="24"/>
            <w:szCs w:val="24"/>
          </w:rPr>
          <w:t>https://doi.org/10.1093/police/paq020</w:t>
        </w:r>
      </w:hyperlink>
    </w:p>
    <w:p w14:paraId="57A38613" w14:textId="77777777" w:rsidR="00B1404B" w:rsidRPr="00CD1AE0" w:rsidRDefault="00B1404B" w:rsidP="00B1404B">
      <w:pPr>
        <w:rPr>
          <w:sz w:val="24"/>
          <w:szCs w:val="24"/>
        </w:rPr>
      </w:pPr>
    </w:p>
    <w:p w14:paraId="375B763F" w14:textId="77777777" w:rsidR="00B1404B" w:rsidRPr="00CD1AE0" w:rsidRDefault="00B1404B" w:rsidP="00B1404B">
      <w:pPr>
        <w:rPr>
          <w:sz w:val="24"/>
          <w:szCs w:val="24"/>
        </w:rPr>
      </w:pPr>
      <w:r w:rsidRPr="00CD1AE0">
        <w:rPr>
          <w:sz w:val="24"/>
          <w:szCs w:val="24"/>
        </w:rPr>
        <w:t xml:space="preserve">Kelly, L., Adler, J. R., Horvath, M. A., Lovett, J., Coulson, M., </w:t>
      </w:r>
      <w:proofErr w:type="spellStart"/>
      <w:r w:rsidRPr="00CD1AE0">
        <w:rPr>
          <w:sz w:val="24"/>
          <w:szCs w:val="24"/>
        </w:rPr>
        <w:t>Kernohan</w:t>
      </w:r>
      <w:proofErr w:type="spellEnd"/>
      <w:r w:rsidRPr="00CD1AE0">
        <w:rPr>
          <w:sz w:val="24"/>
          <w:szCs w:val="24"/>
        </w:rPr>
        <w:t xml:space="preserve">, D., &amp; Gray, M. (2013). Evaluation of the pilot of domestic violence protection orders (Home Office Science Research Paper 76). </w:t>
      </w:r>
      <w:hyperlink r:id="rId11" w:history="1">
        <w:r w:rsidRPr="00CD1AE0">
          <w:rPr>
            <w:rStyle w:val="Hyperlink"/>
            <w:sz w:val="24"/>
            <w:szCs w:val="24"/>
          </w:rPr>
          <w:t>https://www.gov.uk/government/uploads/system/uploads/attachment_data/file/260897/horr76.pdf</w:t>
        </w:r>
      </w:hyperlink>
    </w:p>
    <w:p w14:paraId="4AD42594" w14:textId="77777777" w:rsidR="00B1404B" w:rsidRPr="00CD1AE0" w:rsidRDefault="00B1404B" w:rsidP="00B1404B">
      <w:pPr>
        <w:rPr>
          <w:sz w:val="24"/>
          <w:szCs w:val="24"/>
        </w:rPr>
      </w:pPr>
    </w:p>
    <w:p w14:paraId="47B27EAC" w14:textId="77777777" w:rsidR="00B1404B" w:rsidRPr="00CD1AE0" w:rsidRDefault="00B1404B" w:rsidP="00B1404B">
      <w:pPr>
        <w:rPr>
          <w:sz w:val="24"/>
          <w:szCs w:val="24"/>
        </w:rPr>
      </w:pPr>
      <w:r w:rsidRPr="00CD1AE0">
        <w:rPr>
          <w:sz w:val="24"/>
          <w:szCs w:val="24"/>
        </w:rPr>
        <w:t xml:space="preserve">Kirby, S. and </w:t>
      </w:r>
      <w:proofErr w:type="spellStart"/>
      <w:r w:rsidRPr="00CD1AE0">
        <w:rPr>
          <w:sz w:val="24"/>
          <w:szCs w:val="24"/>
        </w:rPr>
        <w:t>Nailer</w:t>
      </w:r>
      <w:proofErr w:type="spellEnd"/>
      <w:r w:rsidRPr="00CD1AE0">
        <w:rPr>
          <w:sz w:val="24"/>
          <w:szCs w:val="24"/>
        </w:rPr>
        <w:t xml:space="preserve">, L. (2013) “Reducing the offending of a UK organized crime group using an opportunity-reducing framework—a </w:t>
      </w:r>
      <w:proofErr w:type="gramStart"/>
      <w:r w:rsidRPr="00CD1AE0">
        <w:rPr>
          <w:sz w:val="24"/>
          <w:szCs w:val="24"/>
        </w:rPr>
        <w:t>three year</w:t>
      </w:r>
      <w:proofErr w:type="gramEnd"/>
      <w:r w:rsidRPr="00CD1AE0">
        <w:rPr>
          <w:sz w:val="24"/>
          <w:szCs w:val="24"/>
        </w:rPr>
        <w:t xml:space="preserve"> case study,” Trends in Organized Crime, 16(4), pp. 397–412. Available at: </w:t>
      </w:r>
      <w:hyperlink r:id="rId12" w:history="1">
        <w:r w:rsidRPr="00CD1AE0">
          <w:rPr>
            <w:rStyle w:val="Hyperlink"/>
            <w:sz w:val="24"/>
            <w:szCs w:val="24"/>
          </w:rPr>
          <w:t>https://doi.org/10.1007/s12117-013-9195-3</w:t>
        </w:r>
      </w:hyperlink>
      <w:r w:rsidRPr="00CD1AE0">
        <w:rPr>
          <w:sz w:val="24"/>
          <w:szCs w:val="24"/>
        </w:rPr>
        <w:t>.</w:t>
      </w:r>
    </w:p>
    <w:p w14:paraId="25B27982" w14:textId="77777777" w:rsidR="00B1404B" w:rsidRPr="00CD1AE0" w:rsidRDefault="00B1404B" w:rsidP="00B1404B">
      <w:pPr>
        <w:rPr>
          <w:sz w:val="24"/>
          <w:szCs w:val="24"/>
        </w:rPr>
      </w:pPr>
    </w:p>
    <w:p w14:paraId="4AEC2EB7" w14:textId="77777777" w:rsidR="00B1404B" w:rsidRPr="00CD1AE0" w:rsidRDefault="00B1404B" w:rsidP="00B1404B">
      <w:pPr>
        <w:rPr>
          <w:sz w:val="24"/>
          <w:szCs w:val="24"/>
        </w:rPr>
      </w:pPr>
      <w:r w:rsidRPr="00CD1AE0">
        <w:rPr>
          <w:sz w:val="24"/>
          <w:szCs w:val="24"/>
        </w:rPr>
        <w:t xml:space="preserve">Lea, J. and </w:t>
      </w:r>
      <w:proofErr w:type="spellStart"/>
      <w:r w:rsidRPr="00CD1AE0">
        <w:rPr>
          <w:sz w:val="24"/>
          <w:szCs w:val="24"/>
        </w:rPr>
        <w:t>Hallsworth</w:t>
      </w:r>
      <w:proofErr w:type="spellEnd"/>
      <w:r w:rsidRPr="00CD1AE0">
        <w:rPr>
          <w:sz w:val="24"/>
          <w:szCs w:val="24"/>
        </w:rPr>
        <w:t xml:space="preserve">, S. (2011) Understanding the riots, Understanding the riots | Centre for Crime and Justice Studies. Available at: </w:t>
      </w:r>
      <w:r w:rsidRPr="00CD1AE0">
        <w:rPr>
          <w:sz w:val="24"/>
          <w:szCs w:val="24"/>
        </w:rPr>
        <w:lastRenderedPageBreak/>
        <w:t>https://www.crimeandjustice.org.uk/publications/cjm/article/understanding-riots (Accessed: October 20, 2022).</w:t>
      </w:r>
    </w:p>
    <w:p w14:paraId="61C90F0D" w14:textId="77777777" w:rsidR="00B1404B" w:rsidRPr="00CD1AE0" w:rsidRDefault="00B1404B" w:rsidP="00B1404B">
      <w:pPr>
        <w:rPr>
          <w:sz w:val="24"/>
          <w:szCs w:val="24"/>
        </w:rPr>
      </w:pPr>
    </w:p>
    <w:p w14:paraId="79534720" w14:textId="77777777" w:rsidR="00B1404B" w:rsidRPr="00CD1AE0" w:rsidRDefault="00B1404B" w:rsidP="00B1404B">
      <w:pPr>
        <w:rPr>
          <w:sz w:val="24"/>
          <w:szCs w:val="24"/>
        </w:rPr>
      </w:pPr>
      <w:proofErr w:type="spellStart"/>
      <w:r w:rsidRPr="00CD1AE0">
        <w:rPr>
          <w:sz w:val="24"/>
          <w:szCs w:val="24"/>
        </w:rPr>
        <w:t>Loeber</w:t>
      </w:r>
      <w:proofErr w:type="spellEnd"/>
      <w:r w:rsidRPr="00CD1AE0">
        <w:rPr>
          <w:sz w:val="24"/>
          <w:szCs w:val="24"/>
        </w:rPr>
        <w:t xml:space="preserve">, R., Farrington, D.P. and </w:t>
      </w:r>
      <w:proofErr w:type="spellStart"/>
      <w:r w:rsidRPr="00CD1AE0">
        <w:rPr>
          <w:sz w:val="24"/>
          <w:szCs w:val="24"/>
        </w:rPr>
        <w:t>Petechuk</w:t>
      </w:r>
      <w:proofErr w:type="spellEnd"/>
      <w:r w:rsidRPr="00CD1AE0">
        <w:rPr>
          <w:sz w:val="24"/>
          <w:szCs w:val="24"/>
        </w:rPr>
        <w:t xml:space="preserve">, D. (2003) “Child delinquency: Early intervention and prevention,” </w:t>
      </w:r>
      <w:proofErr w:type="spellStart"/>
      <w:r w:rsidRPr="00CD1AE0">
        <w:rPr>
          <w:sz w:val="24"/>
          <w:szCs w:val="24"/>
        </w:rPr>
        <w:t>PsycEXTRA</w:t>
      </w:r>
      <w:proofErr w:type="spellEnd"/>
      <w:r w:rsidRPr="00CD1AE0">
        <w:rPr>
          <w:sz w:val="24"/>
          <w:szCs w:val="24"/>
        </w:rPr>
        <w:t xml:space="preserve"> Dataset [Preprint]. Available at: https://doi.org/10.1037/e510482006-001.</w:t>
      </w:r>
    </w:p>
    <w:p w14:paraId="0ADC9BED" w14:textId="77777777" w:rsidR="00B1404B" w:rsidRPr="00CD1AE0" w:rsidRDefault="00B1404B" w:rsidP="00B1404B">
      <w:pPr>
        <w:rPr>
          <w:sz w:val="24"/>
          <w:szCs w:val="24"/>
        </w:rPr>
      </w:pPr>
    </w:p>
    <w:p w14:paraId="4C568BF8" w14:textId="77777777" w:rsidR="00B1404B" w:rsidRPr="00CD1AE0" w:rsidRDefault="00B1404B" w:rsidP="00B1404B">
      <w:pPr>
        <w:rPr>
          <w:sz w:val="24"/>
          <w:szCs w:val="24"/>
        </w:rPr>
      </w:pPr>
      <w:r w:rsidRPr="00CD1AE0">
        <w:rPr>
          <w:sz w:val="24"/>
          <w:szCs w:val="24"/>
        </w:rPr>
        <w:t xml:space="preserve">Ltd, A.A. (2022) Analysis of the police and criminal evidence act, Law Teacher. </w:t>
      </w:r>
      <w:proofErr w:type="spellStart"/>
      <w:r w:rsidRPr="00CD1AE0">
        <w:rPr>
          <w:sz w:val="24"/>
          <w:szCs w:val="24"/>
        </w:rPr>
        <w:t>LawTeacher</w:t>
      </w:r>
      <w:proofErr w:type="spellEnd"/>
      <w:r w:rsidRPr="00CD1AE0">
        <w:rPr>
          <w:sz w:val="24"/>
          <w:szCs w:val="24"/>
        </w:rPr>
        <w:t>. Available at: https://www.lawteacher.net/free-law-essays/criminal-law/analysis-police-and-criminal-evidence-act-5371.php (Accessed: September 26, 2022).</w:t>
      </w:r>
    </w:p>
    <w:p w14:paraId="2F447DC4" w14:textId="77777777" w:rsidR="00B1404B" w:rsidRPr="00CD1AE0" w:rsidRDefault="00B1404B" w:rsidP="00B1404B">
      <w:pPr>
        <w:rPr>
          <w:sz w:val="24"/>
          <w:szCs w:val="24"/>
        </w:rPr>
      </w:pPr>
    </w:p>
    <w:p w14:paraId="7199856B" w14:textId="77777777" w:rsidR="00B1404B" w:rsidRPr="00CD1AE0" w:rsidRDefault="00B1404B" w:rsidP="00B1404B">
      <w:pPr>
        <w:rPr>
          <w:sz w:val="24"/>
          <w:szCs w:val="24"/>
        </w:rPr>
      </w:pPr>
      <w:r w:rsidRPr="00CD1AE0">
        <w:rPr>
          <w:sz w:val="24"/>
          <w:szCs w:val="24"/>
        </w:rPr>
        <w:t xml:space="preserve">Lutz, </w:t>
      </w:r>
      <w:proofErr w:type="spellStart"/>
      <w:r w:rsidRPr="00CD1AE0">
        <w:rPr>
          <w:sz w:val="24"/>
          <w:szCs w:val="24"/>
        </w:rPr>
        <w:t>Ulmschneider</w:t>
      </w:r>
      <w:proofErr w:type="spellEnd"/>
      <w:r w:rsidRPr="00CD1AE0">
        <w:rPr>
          <w:sz w:val="24"/>
          <w:szCs w:val="24"/>
        </w:rPr>
        <w:t xml:space="preserve">, G. W., &amp; Lutz, J. M. (2002). The Trial of the Guildford Four: Government Error or Government Persecution. Terrorism and Political Violence, 14(4), 113–130. </w:t>
      </w:r>
      <w:hyperlink r:id="rId13" w:history="1">
        <w:r w:rsidRPr="00CD1AE0">
          <w:rPr>
            <w:rStyle w:val="Hyperlink"/>
            <w:sz w:val="24"/>
            <w:szCs w:val="24"/>
          </w:rPr>
          <w:t>https://doi.org/10.1080/714005634</w:t>
        </w:r>
      </w:hyperlink>
    </w:p>
    <w:p w14:paraId="29A04312" w14:textId="77777777" w:rsidR="00B1404B" w:rsidRPr="00CD1AE0" w:rsidRDefault="00B1404B" w:rsidP="00B1404B">
      <w:pPr>
        <w:rPr>
          <w:sz w:val="24"/>
          <w:szCs w:val="24"/>
        </w:rPr>
      </w:pPr>
    </w:p>
    <w:p w14:paraId="0439E448" w14:textId="77777777" w:rsidR="00B1404B" w:rsidRPr="00CD1AE0" w:rsidRDefault="00B1404B" w:rsidP="00B1404B">
      <w:pPr>
        <w:rPr>
          <w:sz w:val="24"/>
          <w:szCs w:val="24"/>
        </w:rPr>
      </w:pPr>
      <w:r w:rsidRPr="00CD1AE0">
        <w:rPr>
          <w:sz w:val="24"/>
          <w:szCs w:val="24"/>
        </w:rPr>
        <w:t xml:space="preserve">McMillan, L. (2014) “The role of the specially trained officer in rape and sexual offence cases,” Policing and Society, 25(6), pp. 622–640. Available at: </w:t>
      </w:r>
      <w:hyperlink r:id="rId14" w:history="1">
        <w:r w:rsidRPr="00CD1AE0">
          <w:rPr>
            <w:rStyle w:val="Hyperlink"/>
            <w:sz w:val="24"/>
            <w:szCs w:val="24"/>
          </w:rPr>
          <w:t>https://doi.org/10.1080/10439463.2014.912648</w:t>
        </w:r>
      </w:hyperlink>
      <w:r w:rsidRPr="00CD1AE0">
        <w:rPr>
          <w:sz w:val="24"/>
          <w:szCs w:val="24"/>
        </w:rPr>
        <w:t>.</w:t>
      </w:r>
    </w:p>
    <w:p w14:paraId="3BF7505C" w14:textId="77777777" w:rsidR="00B1404B" w:rsidRPr="00CD1AE0" w:rsidRDefault="00B1404B" w:rsidP="00B1404B">
      <w:pPr>
        <w:rPr>
          <w:sz w:val="24"/>
          <w:szCs w:val="24"/>
        </w:rPr>
      </w:pPr>
    </w:p>
    <w:p w14:paraId="19D2A7B9" w14:textId="77777777" w:rsidR="00B1404B" w:rsidRPr="00CD1AE0" w:rsidRDefault="00B1404B" w:rsidP="00B1404B">
      <w:pPr>
        <w:rPr>
          <w:sz w:val="24"/>
          <w:szCs w:val="24"/>
        </w:rPr>
      </w:pPr>
      <w:r w:rsidRPr="00CD1AE0">
        <w:rPr>
          <w:sz w:val="24"/>
          <w:szCs w:val="24"/>
        </w:rPr>
        <w:t>Multi-agency Public Protection Arrangements. (2022) Available at: https://www.justiceinspectorates.gov.uk/hmiprobation/research/the-evidence-base-probation/specific-types-of-delivery/mappa/ (Accessed: September 27, 2022).</w:t>
      </w:r>
    </w:p>
    <w:p w14:paraId="417936EE" w14:textId="77777777" w:rsidR="00B1404B" w:rsidRPr="00CD1AE0" w:rsidRDefault="00B1404B" w:rsidP="00B1404B">
      <w:pPr>
        <w:rPr>
          <w:sz w:val="24"/>
          <w:szCs w:val="24"/>
        </w:rPr>
      </w:pPr>
    </w:p>
    <w:p w14:paraId="623D1051" w14:textId="77777777" w:rsidR="00B1404B" w:rsidRPr="00CD1AE0" w:rsidRDefault="00B1404B" w:rsidP="00B1404B">
      <w:pPr>
        <w:rPr>
          <w:sz w:val="24"/>
          <w:szCs w:val="24"/>
        </w:rPr>
      </w:pPr>
      <w:r w:rsidRPr="00CD1AE0">
        <w:rPr>
          <w:sz w:val="24"/>
          <w:szCs w:val="24"/>
        </w:rPr>
        <w:t>Nash, M. and Walker, L. (2009) “</w:t>
      </w:r>
      <w:proofErr w:type="spellStart"/>
      <w:r w:rsidRPr="00CD1AE0">
        <w:rPr>
          <w:sz w:val="24"/>
          <w:szCs w:val="24"/>
        </w:rPr>
        <w:t>Mappa</w:t>
      </w:r>
      <w:proofErr w:type="spellEnd"/>
      <w:r w:rsidRPr="00CD1AE0">
        <w:rPr>
          <w:sz w:val="24"/>
          <w:szCs w:val="24"/>
        </w:rPr>
        <w:t xml:space="preserve">--is closer collaboration really the key to </w:t>
      </w:r>
      <w:proofErr w:type="gramStart"/>
      <w:r w:rsidRPr="00CD1AE0">
        <w:rPr>
          <w:sz w:val="24"/>
          <w:szCs w:val="24"/>
        </w:rPr>
        <w:t>effectiveness?,</w:t>
      </w:r>
      <w:proofErr w:type="gramEnd"/>
      <w:r w:rsidRPr="00CD1AE0">
        <w:rPr>
          <w:sz w:val="24"/>
          <w:szCs w:val="24"/>
        </w:rPr>
        <w:t>” Policing, 3(2), pp. 172–180. Available at: https://doi.org/10.1093/police/pap007.</w:t>
      </w:r>
    </w:p>
    <w:p w14:paraId="5BA7D4AE" w14:textId="77777777" w:rsidR="00B1404B" w:rsidRPr="00CD1AE0" w:rsidRDefault="00B1404B" w:rsidP="00B1404B">
      <w:pPr>
        <w:rPr>
          <w:sz w:val="24"/>
          <w:szCs w:val="24"/>
        </w:rPr>
      </w:pPr>
    </w:p>
    <w:p w14:paraId="50970E92" w14:textId="77777777" w:rsidR="00B1404B" w:rsidRPr="00CD1AE0" w:rsidRDefault="00B1404B" w:rsidP="00B1404B">
      <w:pPr>
        <w:rPr>
          <w:sz w:val="24"/>
          <w:szCs w:val="24"/>
        </w:rPr>
      </w:pPr>
      <w:r w:rsidRPr="00CD1AE0">
        <w:rPr>
          <w:sz w:val="24"/>
          <w:szCs w:val="24"/>
        </w:rPr>
        <w:t>Office, H. (2011) New National Crime Agency (NCA) to fight serious and organised crime, GOV.UK. GOV.UK. Available at: https://www.gov.uk/government/news/new-national-crime-agency-nca-to-fight-serious-and-organised-crime (Accessed: October 3, 2022).</w:t>
      </w:r>
    </w:p>
    <w:p w14:paraId="4E16DE71" w14:textId="77777777" w:rsidR="00B1404B" w:rsidRPr="00CD1AE0" w:rsidRDefault="00B1404B" w:rsidP="00B1404B">
      <w:pPr>
        <w:rPr>
          <w:sz w:val="24"/>
          <w:szCs w:val="24"/>
        </w:rPr>
      </w:pPr>
    </w:p>
    <w:p w14:paraId="5E606200" w14:textId="77777777" w:rsidR="00B1404B" w:rsidRPr="00CD1AE0" w:rsidRDefault="00B1404B" w:rsidP="00B1404B">
      <w:pPr>
        <w:rPr>
          <w:sz w:val="24"/>
          <w:szCs w:val="24"/>
        </w:rPr>
      </w:pPr>
      <w:r w:rsidRPr="00CD1AE0">
        <w:rPr>
          <w:sz w:val="24"/>
          <w:szCs w:val="24"/>
        </w:rPr>
        <w:t>Office, H. (2019) Serious and organised crime strategy, GOV.UK. GOV.UK. Available at: https://www.gov.uk/government/collections/serious-and-organised-crime-strategy (Accessed: October 3, 2022).</w:t>
      </w:r>
    </w:p>
    <w:p w14:paraId="329C88BF" w14:textId="77777777" w:rsidR="00B1404B" w:rsidRPr="00CD1AE0" w:rsidRDefault="00B1404B" w:rsidP="00B1404B">
      <w:pPr>
        <w:rPr>
          <w:sz w:val="24"/>
          <w:szCs w:val="24"/>
        </w:rPr>
      </w:pPr>
    </w:p>
    <w:p w14:paraId="3A36CCB2" w14:textId="77777777" w:rsidR="00B1404B" w:rsidRPr="00CD1AE0" w:rsidRDefault="00B1404B" w:rsidP="00B1404B">
      <w:pPr>
        <w:rPr>
          <w:sz w:val="24"/>
          <w:szCs w:val="24"/>
        </w:rPr>
      </w:pPr>
      <w:proofErr w:type="spellStart"/>
      <w:r w:rsidRPr="00CD1AE0">
        <w:rPr>
          <w:sz w:val="24"/>
          <w:szCs w:val="24"/>
        </w:rPr>
        <w:lastRenderedPageBreak/>
        <w:t>Osher</w:t>
      </w:r>
      <w:proofErr w:type="spellEnd"/>
      <w:r w:rsidRPr="00CD1AE0">
        <w:rPr>
          <w:sz w:val="24"/>
          <w:szCs w:val="24"/>
        </w:rPr>
        <w:t>, D.M. et al. (2003) “Deconstructing the pipeline: Using efficacy, effectiveness, and cost-benefit data to reduce minority youth incarceration,” New Directions for Youth Development, 2003(99), pp. 91–120. Available at: https://doi.org/10.1002/yd.56.</w:t>
      </w:r>
    </w:p>
    <w:p w14:paraId="6357A32D" w14:textId="77777777" w:rsidR="00B1404B" w:rsidRPr="00CD1AE0" w:rsidRDefault="00B1404B" w:rsidP="00B1404B">
      <w:pPr>
        <w:rPr>
          <w:sz w:val="24"/>
          <w:szCs w:val="24"/>
        </w:rPr>
      </w:pPr>
    </w:p>
    <w:p w14:paraId="341BDF5F" w14:textId="77777777" w:rsidR="00B1404B" w:rsidRPr="00CD1AE0" w:rsidRDefault="00B1404B" w:rsidP="00B1404B">
      <w:pPr>
        <w:rPr>
          <w:sz w:val="24"/>
          <w:szCs w:val="24"/>
        </w:rPr>
      </w:pPr>
      <w:r w:rsidRPr="00CD1AE0">
        <w:rPr>
          <w:sz w:val="24"/>
          <w:szCs w:val="24"/>
        </w:rPr>
        <w:t>Police powers and procedures: Stop and search and arrests, England and Wales, year ending 31 March 2021 Second edition (2021) GOV.UK. Available at: https://www.gov.uk/government/statistics/police-powers-and-procedures-stop-and-search-and-arrests-england-and-wales-year-ending-31-march-2021/police-powers-and-procedures-stop-and-search-and-arrests-england-and-wales-year-ending-31-march-2021 (Accessed: September 26, 2022).</w:t>
      </w:r>
    </w:p>
    <w:p w14:paraId="2C551A2D" w14:textId="77777777" w:rsidR="00B1404B" w:rsidRPr="00CD1AE0" w:rsidRDefault="00B1404B" w:rsidP="00B1404B">
      <w:pPr>
        <w:rPr>
          <w:sz w:val="24"/>
          <w:szCs w:val="24"/>
        </w:rPr>
      </w:pPr>
    </w:p>
    <w:p w14:paraId="57DA01F2" w14:textId="77777777" w:rsidR="00B1404B" w:rsidRPr="00CD1AE0" w:rsidRDefault="00B1404B" w:rsidP="00B1404B">
      <w:pPr>
        <w:rPr>
          <w:sz w:val="24"/>
          <w:szCs w:val="24"/>
        </w:rPr>
      </w:pPr>
      <w:r w:rsidRPr="00CD1AE0">
        <w:rPr>
          <w:sz w:val="24"/>
          <w:szCs w:val="24"/>
        </w:rPr>
        <w:t>Policing violence against women and girls - national police chiefs' council (2018) College of policing. Available at: https://www.npcc.police.uk/documents/VAWG/Policing%20VAWG%20national%20framework%20for%20delivery.pdf (Accessed: October 05, 2022).</w:t>
      </w:r>
    </w:p>
    <w:p w14:paraId="61897355" w14:textId="77777777" w:rsidR="00B1404B" w:rsidRPr="00CD1AE0" w:rsidRDefault="00B1404B" w:rsidP="00B1404B">
      <w:pPr>
        <w:rPr>
          <w:sz w:val="24"/>
          <w:szCs w:val="24"/>
        </w:rPr>
      </w:pPr>
    </w:p>
    <w:p w14:paraId="711A7C96" w14:textId="77777777" w:rsidR="00B1404B" w:rsidRPr="00CD1AE0" w:rsidRDefault="00B1404B" w:rsidP="00B1404B">
      <w:pPr>
        <w:rPr>
          <w:sz w:val="24"/>
          <w:szCs w:val="24"/>
        </w:rPr>
      </w:pPr>
      <w:r w:rsidRPr="00CD1AE0">
        <w:rPr>
          <w:sz w:val="24"/>
          <w:szCs w:val="24"/>
        </w:rPr>
        <w:t>Preventing adolescent gang involvement - office of justice programs (2011) HM Government. Available at: https://www.ojp.gov/pdffiles1/ojjdp/182210.pdf (Accessed: October 01, 2022).</w:t>
      </w:r>
      <w:r w:rsidRPr="00CD1AE0">
        <w:rPr>
          <w:sz w:val="24"/>
          <w:szCs w:val="24"/>
        </w:rPr>
        <w:tab/>
      </w:r>
    </w:p>
    <w:p w14:paraId="202A783C" w14:textId="77777777" w:rsidR="00B1404B" w:rsidRPr="00CD1AE0" w:rsidRDefault="00B1404B" w:rsidP="00B1404B">
      <w:pPr>
        <w:rPr>
          <w:sz w:val="24"/>
          <w:szCs w:val="24"/>
        </w:rPr>
      </w:pPr>
    </w:p>
    <w:p w14:paraId="18536573" w14:textId="77777777" w:rsidR="00B1404B" w:rsidRPr="00CD1AE0" w:rsidRDefault="00B1404B" w:rsidP="00B1404B">
      <w:pPr>
        <w:rPr>
          <w:sz w:val="24"/>
          <w:szCs w:val="24"/>
        </w:rPr>
      </w:pPr>
      <w:r w:rsidRPr="00CD1AE0">
        <w:rPr>
          <w:sz w:val="24"/>
          <w:szCs w:val="24"/>
        </w:rPr>
        <w:t xml:space="preserve">Recognising and responding to vulnerability related risks guidelines ... (2022) College </w:t>
      </w:r>
      <w:proofErr w:type="gramStart"/>
      <w:r w:rsidRPr="00CD1AE0">
        <w:rPr>
          <w:sz w:val="24"/>
          <w:szCs w:val="24"/>
        </w:rPr>
        <w:t>Of</w:t>
      </w:r>
      <w:proofErr w:type="gramEnd"/>
      <w:r w:rsidRPr="00CD1AE0">
        <w:rPr>
          <w:sz w:val="24"/>
          <w:szCs w:val="24"/>
        </w:rPr>
        <w:t xml:space="preserve"> Policing. Available at: https://assets.college.police.uk/s3fs-public/Recognising-responding-vulnerability-related-risks-guidelines.pdf (Accessed: October 20, 2022).</w:t>
      </w:r>
    </w:p>
    <w:p w14:paraId="5267A379" w14:textId="77777777" w:rsidR="00B1404B" w:rsidRPr="00CD1AE0" w:rsidRDefault="00B1404B" w:rsidP="00B1404B">
      <w:pPr>
        <w:rPr>
          <w:sz w:val="24"/>
          <w:szCs w:val="24"/>
        </w:rPr>
      </w:pPr>
    </w:p>
    <w:p w14:paraId="6CF749B9" w14:textId="77777777" w:rsidR="00B1404B" w:rsidRPr="00CD1AE0" w:rsidRDefault="00B1404B" w:rsidP="00B1404B">
      <w:pPr>
        <w:rPr>
          <w:sz w:val="24"/>
          <w:szCs w:val="24"/>
        </w:rPr>
      </w:pPr>
      <w:r w:rsidRPr="00CD1AE0">
        <w:rPr>
          <w:sz w:val="24"/>
          <w:szCs w:val="24"/>
        </w:rPr>
        <w:t xml:space="preserve">Reeves, C. (2013) “How multi-agency are multi-agency risk assessment </w:t>
      </w:r>
      <w:proofErr w:type="gramStart"/>
      <w:r w:rsidRPr="00CD1AE0">
        <w:rPr>
          <w:sz w:val="24"/>
          <w:szCs w:val="24"/>
        </w:rPr>
        <w:t>committees?,</w:t>
      </w:r>
      <w:proofErr w:type="gramEnd"/>
      <w:r w:rsidRPr="00CD1AE0">
        <w:rPr>
          <w:sz w:val="24"/>
          <w:szCs w:val="24"/>
        </w:rPr>
        <w:t>” Probation Journal, 60(1), pp. 40–55. Available at: https://doi.org/10.1177/0264550512470187.</w:t>
      </w:r>
    </w:p>
    <w:p w14:paraId="65D42635" w14:textId="77777777" w:rsidR="00B1404B" w:rsidRPr="00CD1AE0" w:rsidRDefault="00B1404B" w:rsidP="00B1404B">
      <w:pPr>
        <w:rPr>
          <w:sz w:val="24"/>
          <w:szCs w:val="24"/>
        </w:rPr>
      </w:pPr>
    </w:p>
    <w:p w14:paraId="16CA9D97" w14:textId="77777777" w:rsidR="00B1404B" w:rsidRPr="00CD1AE0" w:rsidRDefault="00B1404B" w:rsidP="00B1404B">
      <w:pPr>
        <w:rPr>
          <w:sz w:val="24"/>
          <w:szCs w:val="24"/>
        </w:rPr>
      </w:pPr>
      <w:r w:rsidRPr="00CD1AE0">
        <w:rPr>
          <w:sz w:val="24"/>
          <w:szCs w:val="24"/>
        </w:rPr>
        <w:t>Report Home Office, National Crime Agency - National Audit Office (2018) National Audit Office. Available at: https://www.nao.org.uk/wp-content/uploads/2019/03/Tackling-serious-and-organised-crime-Summary.pdf (Accessed: October 3, 2022).</w:t>
      </w:r>
    </w:p>
    <w:p w14:paraId="760C77A1" w14:textId="77777777" w:rsidR="00B1404B" w:rsidRPr="00CD1AE0" w:rsidRDefault="00B1404B" w:rsidP="00B1404B">
      <w:pPr>
        <w:rPr>
          <w:sz w:val="24"/>
          <w:szCs w:val="24"/>
        </w:rPr>
      </w:pPr>
    </w:p>
    <w:p w14:paraId="57564A28" w14:textId="77777777" w:rsidR="00B1404B" w:rsidRPr="00CD1AE0" w:rsidRDefault="00B1404B" w:rsidP="00B1404B">
      <w:pPr>
        <w:rPr>
          <w:sz w:val="24"/>
          <w:szCs w:val="24"/>
        </w:rPr>
      </w:pPr>
      <w:proofErr w:type="spellStart"/>
      <w:r w:rsidRPr="00CD1AE0">
        <w:rPr>
          <w:sz w:val="24"/>
          <w:szCs w:val="24"/>
        </w:rPr>
        <w:t>Shafi</w:t>
      </w:r>
      <w:proofErr w:type="spellEnd"/>
      <w:r w:rsidRPr="00CD1AE0">
        <w:rPr>
          <w:sz w:val="24"/>
          <w:szCs w:val="24"/>
        </w:rPr>
        <w:t>, M. (2007) “Social harm and supranational criminology, post-Maastricht 2007,” Social justice and criminal justice [Preprint].</w:t>
      </w:r>
    </w:p>
    <w:p w14:paraId="2467C550" w14:textId="77777777" w:rsidR="00B1404B" w:rsidRPr="00CD1AE0" w:rsidRDefault="00B1404B" w:rsidP="00B1404B">
      <w:pPr>
        <w:rPr>
          <w:sz w:val="24"/>
          <w:szCs w:val="24"/>
        </w:rPr>
      </w:pPr>
    </w:p>
    <w:p w14:paraId="3C094D4D" w14:textId="77777777" w:rsidR="00B1404B" w:rsidRPr="00CD1AE0" w:rsidRDefault="00B1404B" w:rsidP="00B1404B">
      <w:pPr>
        <w:spacing w:line="256" w:lineRule="auto"/>
        <w:rPr>
          <w:sz w:val="24"/>
          <w:szCs w:val="24"/>
        </w:rPr>
      </w:pPr>
      <w:r w:rsidRPr="00CD1AE0">
        <w:rPr>
          <w:sz w:val="24"/>
          <w:szCs w:val="24"/>
        </w:rPr>
        <w:lastRenderedPageBreak/>
        <w:t xml:space="preserve">Strand, </w:t>
      </w:r>
      <w:proofErr w:type="spellStart"/>
      <w:r w:rsidRPr="00CD1AE0">
        <w:rPr>
          <w:sz w:val="24"/>
          <w:szCs w:val="24"/>
        </w:rPr>
        <w:t>Sanna</w:t>
      </w:r>
      <w:proofErr w:type="spellEnd"/>
      <w:r w:rsidRPr="00CD1AE0">
        <w:rPr>
          <w:sz w:val="24"/>
          <w:szCs w:val="24"/>
        </w:rPr>
        <w:t>, "THE STREETS ARE COLD, THE GANGS ARE WARM: AN INTERROGATION OF WHY PEOPLE JOIN GANGS" (2014). Independent Study Project (ISP) Collection. 2029.</w:t>
      </w:r>
      <w:hyperlink r:id="rId15" w:history="1">
        <w:r w:rsidRPr="00CD1AE0">
          <w:rPr>
            <w:color w:val="0563C1" w:themeColor="hyperlink"/>
            <w:sz w:val="24"/>
            <w:szCs w:val="24"/>
            <w:u w:val="single"/>
          </w:rPr>
          <w:t>https://digitalcollections.sit.edu/isp_collection/2029</w:t>
        </w:r>
      </w:hyperlink>
    </w:p>
    <w:p w14:paraId="4BE76880" w14:textId="77777777" w:rsidR="00B1404B" w:rsidRPr="00CD1AE0" w:rsidRDefault="00B1404B" w:rsidP="00B1404B">
      <w:pPr>
        <w:rPr>
          <w:sz w:val="24"/>
          <w:szCs w:val="24"/>
        </w:rPr>
      </w:pPr>
    </w:p>
    <w:p w14:paraId="07A0D510" w14:textId="77777777" w:rsidR="00B1404B" w:rsidRPr="00CD1AE0" w:rsidRDefault="00B1404B" w:rsidP="00B1404B">
      <w:pPr>
        <w:rPr>
          <w:sz w:val="24"/>
          <w:szCs w:val="24"/>
        </w:rPr>
      </w:pPr>
      <w:proofErr w:type="spellStart"/>
      <w:r w:rsidRPr="00CD1AE0">
        <w:rPr>
          <w:sz w:val="24"/>
          <w:szCs w:val="24"/>
        </w:rPr>
        <w:t>Schraer</w:t>
      </w:r>
      <w:proofErr w:type="spellEnd"/>
      <w:r w:rsidRPr="00CD1AE0">
        <w:rPr>
          <w:sz w:val="24"/>
          <w:szCs w:val="24"/>
        </w:rPr>
        <w:t xml:space="preserve">, </w:t>
      </w:r>
      <w:proofErr w:type="spellStart"/>
      <w:r w:rsidRPr="00CD1AE0">
        <w:rPr>
          <w:sz w:val="24"/>
          <w:szCs w:val="24"/>
        </w:rPr>
        <w:t>B.B.&amp;amp</w:t>
      </w:r>
      <w:proofErr w:type="spellEnd"/>
      <w:r w:rsidRPr="00CD1AE0">
        <w:rPr>
          <w:sz w:val="24"/>
          <w:szCs w:val="24"/>
        </w:rPr>
        <w:t xml:space="preserve">; R. (2019) How do we know how many children are in </w:t>
      </w:r>
      <w:proofErr w:type="gramStart"/>
      <w:r w:rsidRPr="00CD1AE0">
        <w:rPr>
          <w:sz w:val="24"/>
          <w:szCs w:val="24"/>
        </w:rPr>
        <w:t>gangs?,</w:t>
      </w:r>
      <w:proofErr w:type="gramEnd"/>
      <w:r w:rsidRPr="00CD1AE0">
        <w:rPr>
          <w:sz w:val="24"/>
          <w:szCs w:val="24"/>
        </w:rPr>
        <w:t xml:space="preserve"> BBC News. BBC. Available at: https://www.bbc.co.uk/news/uk-47388890 (Accessed: September 15, 2022).</w:t>
      </w:r>
    </w:p>
    <w:p w14:paraId="401A8321" w14:textId="77777777" w:rsidR="00B1404B" w:rsidRPr="00CD1AE0" w:rsidRDefault="00B1404B" w:rsidP="00B1404B">
      <w:pPr>
        <w:rPr>
          <w:sz w:val="24"/>
          <w:szCs w:val="24"/>
        </w:rPr>
      </w:pPr>
    </w:p>
    <w:p w14:paraId="54256B4B" w14:textId="77777777" w:rsidR="00B1404B" w:rsidRPr="00CD1AE0" w:rsidRDefault="00B1404B" w:rsidP="00B1404B">
      <w:pPr>
        <w:rPr>
          <w:sz w:val="24"/>
          <w:szCs w:val="24"/>
        </w:rPr>
      </w:pPr>
      <w:r w:rsidRPr="00CD1AE0">
        <w:rPr>
          <w:sz w:val="24"/>
          <w:szCs w:val="24"/>
        </w:rPr>
        <w:t>Sexual assault referral centres (SARC) (2022) The Survivors Trust. Available at: https://www.thesurvivorstrust.org/sarc (Accessed: September 27, 2022).</w:t>
      </w:r>
    </w:p>
    <w:p w14:paraId="3A920213" w14:textId="77777777" w:rsidR="00B1404B" w:rsidRPr="00CD1AE0" w:rsidRDefault="00B1404B" w:rsidP="00B1404B">
      <w:pPr>
        <w:rPr>
          <w:sz w:val="24"/>
          <w:szCs w:val="24"/>
        </w:rPr>
      </w:pPr>
    </w:p>
    <w:p w14:paraId="0E6666FA" w14:textId="77777777" w:rsidR="00B1404B" w:rsidRPr="00CD1AE0" w:rsidRDefault="00B1404B" w:rsidP="00B1404B">
      <w:pPr>
        <w:rPr>
          <w:sz w:val="24"/>
          <w:szCs w:val="24"/>
        </w:rPr>
      </w:pPr>
      <w:r w:rsidRPr="00CD1AE0">
        <w:rPr>
          <w:sz w:val="24"/>
          <w:szCs w:val="24"/>
        </w:rPr>
        <w:t xml:space="preserve">Stone, N. (2018) “Child criminal exploitation: ‘county lines’, trafficking and cuckooing,” Youth Justice, 18(3), pp. 285–293. Available at: </w:t>
      </w:r>
      <w:hyperlink r:id="rId16" w:history="1">
        <w:r w:rsidRPr="00CD1AE0">
          <w:rPr>
            <w:rStyle w:val="Hyperlink"/>
            <w:sz w:val="24"/>
            <w:szCs w:val="24"/>
          </w:rPr>
          <w:t>https://doi.org/10.1177/1473225418810833</w:t>
        </w:r>
      </w:hyperlink>
      <w:r w:rsidRPr="00CD1AE0">
        <w:rPr>
          <w:sz w:val="24"/>
          <w:szCs w:val="24"/>
        </w:rPr>
        <w:t>.</w:t>
      </w:r>
    </w:p>
    <w:p w14:paraId="098930A8" w14:textId="77777777" w:rsidR="00B1404B" w:rsidRPr="00CD1AE0" w:rsidRDefault="00B1404B" w:rsidP="00B1404B">
      <w:pPr>
        <w:rPr>
          <w:sz w:val="24"/>
          <w:szCs w:val="24"/>
        </w:rPr>
      </w:pPr>
    </w:p>
    <w:p w14:paraId="6F1C5A78" w14:textId="77777777" w:rsidR="00B1404B" w:rsidRPr="00CD1AE0" w:rsidRDefault="00B1404B" w:rsidP="00B1404B">
      <w:pPr>
        <w:rPr>
          <w:sz w:val="24"/>
          <w:szCs w:val="24"/>
        </w:rPr>
      </w:pPr>
      <w:r w:rsidRPr="00CD1AE0">
        <w:rPr>
          <w:sz w:val="24"/>
          <w:szCs w:val="24"/>
        </w:rPr>
        <w:t>Stop and search (2022) College of Policing. Available at: https://www.college.police.uk/app/stop-and-search/stop-and-search (Accessed: October 20, 2022).</w:t>
      </w:r>
    </w:p>
    <w:p w14:paraId="2DC7ABB3" w14:textId="77777777" w:rsidR="00B1404B" w:rsidRPr="00CD1AE0" w:rsidRDefault="00B1404B" w:rsidP="00B1404B">
      <w:pPr>
        <w:rPr>
          <w:sz w:val="24"/>
          <w:szCs w:val="24"/>
        </w:rPr>
      </w:pPr>
    </w:p>
    <w:p w14:paraId="6012C07A" w14:textId="77777777" w:rsidR="00B1404B" w:rsidRPr="00CD1AE0" w:rsidRDefault="00B1404B" w:rsidP="00B1404B">
      <w:pPr>
        <w:rPr>
          <w:sz w:val="24"/>
          <w:szCs w:val="24"/>
        </w:rPr>
      </w:pPr>
      <w:r w:rsidRPr="00CD1AE0">
        <w:rPr>
          <w:sz w:val="24"/>
          <w:szCs w:val="24"/>
        </w:rPr>
        <w:t>Stop and search (2022) GOV.UK Ethnicity facts and figures. Home Office. Available at: https://www.ethnicity-facts-figures.service.gov.uk/crime-justice-and-the-law/policing/stop-and-search/latest (Accessed: September 26, 2022).</w:t>
      </w:r>
    </w:p>
    <w:p w14:paraId="4A6EE8FA" w14:textId="77777777" w:rsidR="00B1404B" w:rsidRPr="00CD1AE0" w:rsidRDefault="00B1404B" w:rsidP="00B1404B">
      <w:pPr>
        <w:rPr>
          <w:sz w:val="24"/>
          <w:szCs w:val="24"/>
        </w:rPr>
      </w:pPr>
    </w:p>
    <w:p w14:paraId="1BECA4CD" w14:textId="77777777" w:rsidR="00B1404B" w:rsidRPr="00CD1AE0" w:rsidRDefault="00B1404B" w:rsidP="00B1404B">
      <w:pPr>
        <w:rPr>
          <w:sz w:val="24"/>
          <w:szCs w:val="24"/>
        </w:rPr>
      </w:pPr>
      <w:r w:rsidRPr="00CD1AE0">
        <w:rPr>
          <w:sz w:val="24"/>
          <w:szCs w:val="24"/>
        </w:rPr>
        <w:t>Stripe, N. (2021) Sexual offences in England and Wales Overview: Year Ending March 2020, Sexual offences in England and Wales overview - Office for National Statistics. Office for National Statistics. Available at: https://cy.ons.gov.uk/peoplepopulationandcommunity/crimeandjustice/bulletins/sexualoffencesinenglandandwalesoverview/march2020#:~:text=The%20Crime%20Survey%20for%20England%20and%20Wales%20%28CSEW%29,many%20female%20victims%20%28618%2C000%29%20as%20male%20victims%20%28155%2C000%29. (Accessed: September 20, 2022).</w:t>
      </w:r>
    </w:p>
    <w:p w14:paraId="607B081D" w14:textId="77777777" w:rsidR="00B1404B" w:rsidRPr="00CD1AE0" w:rsidRDefault="00B1404B" w:rsidP="00B1404B">
      <w:pPr>
        <w:rPr>
          <w:sz w:val="24"/>
          <w:szCs w:val="24"/>
        </w:rPr>
      </w:pPr>
    </w:p>
    <w:p w14:paraId="6AF330DA" w14:textId="77777777" w:rsidR="00B1404B" w:rsidRPr="00CD1AE0" w:rsidRDefault="00B1404B" w:rsidP="00B1404B">
      <w:pPr>
        <w:rPr>
          <w:sz w:val="24"/>
          <w:szCs w:val="24"/>
        </w:rPr>
      </w:pPr>
      <w:r w:rsidRPr="00CD1AE0">
        <w:rPr>
          <w:sz w:val="24"/>
          <w:szCs w:val="24"/>
        </w:rPr>
        <w:t>The police are the public, and the public are the police (2018) South Yorkshire Police and Crime Commissioner. Available at: https://southyorkshire-pcc.gov.uk/blogs/the-police-are-the-public-and-the-public-are-the-police/ (Accessed: October 5, 2022).</w:t>
      </w:r>
    </w:p>
    <w:p w14:paraId="0EA5FFC1" w14:textId="77777777" w:rsidR="00B1404B" w:rsidRPr="00CD1AE0" w:rsidRDefault="00B1404B" w:rsidP="00B1404B">
      <w:pPr>
        <w:rPr>
          <w:sz w:val="24"/>
          <w:szCs w:val="24"/>
        </w:rPr>
      </w:pPr>
    </w:p>
    <w:p w14:paraId="1151399A" w14:textId="77777777" w:rsidR="00B1404B" w:rsidRPr="00CD1AE0" w:rsidRDefault="00B1404B" w:rsidP="00B1404B">
      <w:pPr>
        <w:rPr>
          <w:sz w:val="24"/>
          <w:szCs w:val="24"/>
        </w:rPr>
      </w:pPr>
      <w:r w:rsidRPr="00CD1AE0">
        <w:rPr>
          <w:sz w:val="24"/>
          <w:szCs w:val="24"/>
        </w:rPr>
        <w:lastRenderedPageBreak/>
        <w:t>Violence against women and girls - crown prosecution service (2018) Crime Prosecution Service. Available at: https://www.cps.gov.uk/publication/violence-against-women-and-girls (Accessed: October 20, 2022).</w:t>
      </w:r>
    </w:p>
    <w:p w14:paraId="741B7C0B" w14:textId="77777777" w:rsidR="00B1404B" w:rsidRPr="00CD1AE0" w:rsidRDefault="00B1404B" w:rsidP="00B1404B">
      <w:pPr>
        <w:rPr>
          <w:sz w:val="24"/>
          <w:szCs w:val="24"/>
        </w:rPr>
      </w:pPr>
    </w:p>
    <w:p w14:paraId="5D72AD8D" w14:textId="77777777" w:rsidR="00B1404B" w:rsidRPr="00CD1AE0" w:rsidRDefault="00B1404B" w:rsidP="00B1404B">
      <w:pPr>
        <w:rPr>
          <w:sz w:val="24"/>
          <w:szCs w:val="24"/>
        </w:rPr>
      </w:pPr>
      <w:r w:rsidRPr="00CD1AE0">
        <w:rPr>
          <w:sz w:val="24"/>
          <w:szCs w:val="24"/>
        </w:rPr>
        <w:t>Vulnerable children (2020) Children's Commissioner for England. Available at: https://www.childrenscommissioner.gov.uk/vulnerable-children/#:~:text=We%20found%20that%20there%20are%20over%202%20million,multiple%20other%20forms%20of%20vulnerability%2C%20risk%20and%20need. (Accessed: October 05, 2022).</w:t>
      </w:r>
    </w:p>
    <w:p w14:paraId="1378E84C" w14:textId="77777777" w:rsidR="00B1404B" w:rsidRPr="00CD1AE0" w:rsidRDefault="00B1404B" w:rsidP="00B1404B">
      <w:pPr>
        <w:rPr>
          <w:sz w:val="24"/>
          <w:szCs w:val="24"/>
        </w:rPr>
      </w:pPr>
    </w:p>
    <w:p w14:paraId="20745892" w14:textId="77777777" w:rsidR="00B1404B" w:rsidRPr="00CD1AE0" w:rsidRDefault="00B1404B" w:rsidP="00B1404B">
      <w:pPr>
        <w:rPr>
          <w:sz w:val="24"/>
          <w:szCs w:val="24"/>
        </w:rPr>
      </w:pPr>
      <w:r w:rsidRPr="00CD1AE0">
        <w:rPr>
          <w:sz w:val="24"/>
          <w:szCs w:val="24"/>
        </w:rPr>
        <w:t>WBS research projects (2015) What is "Public Confidence". Available at: https://warwick.ac.uk/fac/soc/wbs/projects/public-confidence-in-policing/what-is-confidence/ (Accessed: October 10, 2022).</w:t>
      </w:r>
    </w:p>
    <w:p w14:paraId="2A768BEB" w14:textId="77777777" w:rsidR="00B1404B" w:rsidRPr="00CD1AE0" w:rsidRDefault="00B1404B" w:rsidP="00B1404B">
      <w:pPr>
        <w:rPr>
          <w:sz w:val="24"/>
          <w:szCs w:val="24"/>
        </w:rPr>
      </w:pPr>
    </w:p>
    <w:p w14:paraId="20E276A9" w14:textId="77777777" w:rsidR="00B1404B" w:rsidRPr="00CD1AE0" w:rsidRDefault="00B1404B" w:rsidP="00B1404B">
      <w:pPr>
        <w:rPr>
          <w:sz w:val="24"/>
          <w:szCs w:val="24"/>
        </w:rPr>
      </w:pPr>
      <w:r w:rsidRPr="00CD1AE0">
        <w:rPr>
          <w:sz w:val="24"/>
          <w:szCs w:val="24"/>
        </w:rPr>
        <w:t>Wood, D. et al. (2021) Blackstone's Handbook for Policing Students. Oxford: Oxford University Press.</w:t>
      </w:r>
    </w:p>
    <w:p w14:paraId="2AEF0564" w14:textId="77777777" w:rsidR="00B1404B" w:rsidRPr="00CD1AE0" w:rsidRDefault="00B1404B" w:rsidP="00B1404B">
      <w:pPr>
        <w:rPr>
          <w:sz w:val="24"/>
          <w:szCs w:val="24"/>
        </w:rPr>
      </w:pPr>
    </w:p>
    <w:p w14:paraId="2EAE988F" w14:textId="77777777" w:rsidR="00B1404B" w:rsidRPr="00CD1AE0" w:rsidRDefault="00B1404B" w:rsidP="00B1404B">
      <w:pPr>
        <w:rPr>
          <w:sz w:val="24"/>
          <w:szCs w:val="24"/>
        </w:rPr>
      </w:pPr>
      <w:r w:rsidRPr="00CD1AE0">
        <w:rPr>
          <w:sz w:val="24"/>
          <w:szCs w:val="24"/>
        </w:rPr>
        <w:t>Youth justice statistics - GOV.UK (2019) Youth Justice Board. Available at: https://assets.publishing.service.gov.uk/government/uploads/system/uploads/attachment_data/file/862078/youth-justice-statistics-bulletin-march-2019.pdf (Accessed: October 20, 2022).</w:t>
      </w:r>
    </w:p>
    <w:p w14:paraId="7B1F6782" w14:textId="77777777" w:rsidR="00B1404B" w:rsidRPr="00B1404B" w:rsidRDefault="00B1404B">
      <w:pPr>
        <w:rPr>
          <w:sz w:val="28"/>
          <w:szCs w:val="28"/>
          <w:u w:val="single"/>
        </w:rPr>
      </w:pPr>
    </w:p>
    <w:p w14:paraId="7ED2E3F4" w14:textId="77777777" w:rsidR="00E22574" w:rsidRDefault="00E22574"/>
    <w:sectPr w:rsidR="00E22574" w:rsidSect="005751D5">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91495" w14:textId="77777777" w:rsidR="005751D5" w:rsidRDefault="005751D5" w:rsidP="005751D5">
      <w:pPr>
        <w:spacing w:after="0" w:line="240" w:lineRule="auto"/>
      </w:pPr>
      <w:r>
        <w:separator/>
      </w:r>
    </w:p>
  </w:endnote>
  <w:endnote w:type="continuationSeparator" w:id="0">
    <w:p w14:paraId="50676A53" w14:textId="77777777" w:rsidR="005751D5" w:rsidRDefault="005751D5" w:rsidP="00575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1A86D" w14:textId="77777777" w:rsidR="009A2269" w:rsidRDefault="003B3671" w:rsidP="003B3671">
    <w:pPr>
      <w:pStyle w:val="Footer"/>
      <w:rPr>
        <w:color w:val="000000"/>
        <w:sz w:val="17"/>
      </w:rPr>
    </w:pPr>
    <w:bookmarkStart w:id="2" w:name="TITUS1FooterEvenPages"/>
    <w:r>
      <w:rPr>
        <w:color w:val="000000"/>
        <w:sz w:val="17"/>
      </w:rPr>
      <w:t> </w:t>
    </w:r>
  </w:p>
  <w:bookmarkEnd w:id="2"/>
  <w:p w14:paraId="07972D1A" w14:textId="77777777" w:rsidR="009A2269" w:rsidRDefault="009A2269" w:rsidP="009A2269">
    <w:pPr>
      <w:pStyle w:val="Footer"/>
    </w:pPr>
  </w:p>
  <w:p w14:paraId="4DA9E735" w14:textId="77777777" w:rsidR="005751D5" w:rsidRDefault="005751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D94CE" w14:textId="77777777" w:rsidR="005751D5" w:rsidRDefault="003B3671" w:rsidP="003B3671">
    <w:pPr>
      <w:pStyle w:val="Footer"/>
      <w:rPr>
        <w:color w:val="000000"/>
        <w:sz w:val="17"/>
      </w:rPr>
    </w:pPr>
    <w:bookmarkStart w:id="3" w:name="TITUS1FooterPrimary"/>
    <w:r>
      <w:rPr>
        <w:color w:val="000000"/>
        <w:sz w:val="17"/>
      </w:rPr>
      <w:t> </w:t>
    </w:r>
  </w:p>
  <w:bookmarkEnd w:id="3"/>
  <w:p w14:paraId="3D628837" w14:textId="77777777" w:rsidR="005751D5" w:rsidRDefault="005751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6C80" w14:textId="77777777" w:rsidR="005751D5" w:rsidRDefault="003B3671" w:rsidP="003B3671">
    <w:pPr>
      <w:pStyle w:val="Footer"/>
      <w:rPr>
        <w:color w:val="000000"/>
        <w:sz w:val="17"/>
      </w:rPr>
    </w:pPr>
    <w:bookmarkStart w:id="5" w:name="TITUS1FooterFirstPage"/>
    <w:r>
      <w:rPr>
        <w:color w:val="000000"/>
        <w:sz w:val="17"/>
      </w:rPr>
      <w:t> </w:t>
    </w:r>
  </w:p>
  <w:bookmarkEnd w:id="5"/>
  <w:p w14:paraId="38A730DC" w14:textId="77777777" w:rsidR="005751D5" w:rsidRDefault="00575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A30E8" w14:textId="77777777" w:rsidR="005751D5" w:rsidRDefault="005751D5" w:rsidP="005751D5">
      <w:pPr>
        <w:spacing w:after="0" w:line="240" w:lineRule="auto"/>
      </w:pPr>
      <w:r>
        <w:separator/>
      </w:r>
    </w:p>
  </w:footnote>
  <w:footnote w:type="continuationSeparator" w:id="0">
    <w:p w14:paraId="7F02E49B" w14:textId="77777777" w:rsidR="005751D5" w:rsidRDefault="005751D5" w:rsidP="005751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EC8AA" w14:textId="77777777" w:rsidR="009A2269" w:rsidRDefault="003B3671" w:rsidP="003B3671">
    <w:pPr>
      <w:pStyle w:val="Header"/>
      <w:rPr>
        <w:color w:val="000000"/>
        <w:sz w:val="17"/>
      </w:rPr>
    </w:pPr>
    <w:bookmarkStart w:id="0" w:name="TITUS1HeaderEvenPages"/>
    <w:r>
      <w:rPr>
        <w:color w:val="000000"/>
        <w:sz w:val="17"/>
      </w:rPr>
      <w:t> </w:t>
    </w:r>
  </w:p>
  <w:bookmarkEnd w:id="0"/>
  <w:p w14:paraId="18B508C9" w14:textId="77777777" w:rsidR="009A2269" w:rsidRDefault="009A2269" w:rsidP="009A2269">
    <w:pPr>
      <w:pStyle w:val="Header"/>
    </w:pPr>
  </w:p>
  <w:p w14:paraId="741ED791" w14:textId="77777777" w:rsidR="005751D5" w:rsidRDefault="005751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E3B50" w14:textId="77777777" w:rsidR="005751D5" w:rsidRDefault="003B3671" w:rsidP="003B3671">
    <w:pPr>
      <w:pStyle w:val="Header"/>
      <w:rPr>
        <w:color w:val="000000"/>
        <w:sz w:val="17"/>
      </w:rPr>
    </w:pPr>
    <w:bookmarkStart w:id="1" w:name="TITUS1HeaderPrimary"/>
    <w:r>
      <w:rPr>
        <w:color w:val="000000"/>
        <w:sz w:val="17"/>
      </w:rPr>
      <w:t> </w:t>
    </w:r>
  </w:p>
  <w:bookmarkEnd w:id="1"/>
  <w:p w14:paraId="46D6667F" w14:textId="77777777" w:rsidR="005751D5" w:rsidRDefault="005751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2DCDD" w14:textId="77777777" w:rsidR="005751D5" w:rsidRDefault="003B3671" w:rsidP="003B3671">
    <w:pPr>
      <w:pStyle w:val="Header"/>
      <w:rPr>
        <w:color w:val="000000"/>
        <w:sz w:val="17"/>
      </w:rPr>
    </w:pPr>
    <w:bookmarkStart w:id="4" w:name="TITUS1HeaderFirstPage"/>
    <w:r>
      <w:rPr>
        <w:color w:val="000000"/>
        <w:sz w:val="17"/>
      </w:rPr>
      <w:t> </w:t>
    </w:r>
  </w:p>
  <w:bookmarkEnd w:id="4"/>
  <w:p w14:paraId="55001234" w14:textId="77777777" w:rsidR="005751D5" w:rsidRDefault="005751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1D5"/>
    <w:rsid w:val="001F1B3F"/>
    <w:rsid w:val="003B3671"/>
    <w:rsid w:val="004403EA"/>
    <w:rsid w:val="005751D5"/>
    <w:rsid w:val="005B5024"/>
    <w:rsid w:val="006550E9"/>
    <w:rsid w:val="0066462A"/>
    <w:rsid w:val="006C68D7"/>
    <w:rsid w:val="006E6196"/>
    <w:rsid w:val="009A2269"/>
    <w:rsid w:val="00B1404B"/>
    <w:rsid w:val="00CD1AE0"/>
    <w:rsid w:val="00D24B55"/>
    <w:rsid w:val="00E143F1"/>
    <w:rsid w:val="00E22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901C8"/>
  <w15:chartTrackingRefBased/>
  <w15:docId w15:val="{1D3860E3-23AF-45A6-A2C5-91D779EBF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1D5"/>
  </w:style>
  <w:style w:type="paragraph" w:styleId="Footer">
    <w:name w:val="footer"/>
    <w:basedOn w:val="Normal"/>
    <w:link w:val="FooterChar"/>
    <w:uiPriority w:val="99"/>
    <w:unhideWhenUsed/>
    <w:rsid w:val="00575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1D5"/>
  </w:style>
  <w:style w:type="character" w:styleId="Hyperlink">
    <w:name w:val="Hyperlink"/>
    <w:basedOn w:val="DefaultParagraphFont"/>
    <w:uiPriority w:val="99"/>
    <w:unhideWhenUsed/>
    <w:rsid w:val="00B140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042/bjfp.2011.0046" TargetMode="External"/><Relationship Id="rId13" Type="http://schemas.openxmlformats.org/officeDocument/2006/relationships/hyperlink" Target="https://doi.org/10.1080/714005634"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https://doi.org/10.1080/15614263.2020.1759059" TargetMode="External"/><Relationship Id="rId12" Type="http://schemas.openxmlformats.org/officeDocument/2006/relationships/hyperlink" Target="https://doi.org/10.1007/s12117-013-9195-3"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177/1473225418810833"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doi.org/10.1007/978-3-319-51228-0" TargetMode="External"/><Relationship Id="rId11" Type="http://schemas.openxmlformats.org/officeDocument/2006/relationships/hyperlink" Target="https://www.gov.uk/government/uploads/system/uploads/attachment_data/file/260897/horr76.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igitalcollections.sit.edu/isp_collection/2029" TargetMode="External"/><Relationship Id="rId23" Type="http://schemas.openxmlformats.org/officeDocument/2006/relationships/fontTable" Target="fontTable.xml"/><Relationship Id="rId10" Type="http://schemas.openxmlformats.org/officeDocument/2006/relationships/hyperlink" Target="https://doi.org/10.1093/police/paq020"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177/001112877902500207" TargetMode="External"/><Relationship Id="rId14" Type="http://schemas.openxmlformats.org/officeDocument/2006/relationships/hyperlink" Target="https://doi.org/10.1080/10439463.2014.912648"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17</Pages>
  <Words>6039</Words>
  <Characters>34423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Thomas,Gareth swp8018</dc:creator>
  <cp:keywords/>
  <dc:description/>
  <cp:lastModifiedBy>Thomas,Gareth swp8018</cp:lastModifiedBy>
  <cp:revision>14</cp:revision>
  <dcterms:created xsi:type="dcterms:W3CDTF">2022-10-27T10:44:00Z</dcterms:created>
  <dcterms:modified xsi:type="dcterms:W3CDTF">2022-10-27T12:13:00Z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342c03cb-dcc8-4963-b1b9-56c7dbf34da6</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2022-10-27T12:13:27Z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060d86c0-7e83-43e2-902c-47d7592601fd</vt:lpwstr>
  </property>
  <property fmtid="{D5CDD505-2E9C-101B-9397-08002B2CF9AE}" pid="11" name="MSIP_Label_66cf8fe5-b7b7-4df7-b38d-1c61ac2f6639_ContentBits">
    <vt:lpwstr>0</vt:lpwstr>
  </property>
</Properties>
</file>