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C9C53" w14:textId="1C33064E" w:rsidR="00114199" w:rsidRPr="00CB5134" w:rsidRDefault="00114199" w:rsidP="00CB5134">
      <w:pPr>
        <w:jc w:val="left"/>
        <w:rPr>
          <w:b/>
          <w:bCs/>
          <w:sz w:val="28"/>
          <w:szCs w:val="32"/>
        </w:rPr>
      </w:pPr>
    </w:p>
    <w:p w14:paraId="161E19F8" w14:textId="2418865D" w:rsidR="00D46920" w:rsidRDefault="00D46920" w:rsidP="00D46920"/>
    <w:p w14:paraId="1BD6F6D8" w14:textId="77777777" w:rsidR="00D46920" w:rsidRDefault="00D46920" w:rsidP="00D46920">
      <w:pPr>
        <w:rPr>
          <w:rStyle w:val="Strong"/>
          <w:rFonts w:ascii="Segoe UI" w:hAnsi="Segoe UI" w:cs="Segoe UI"/>
          <w:color w:val="1D2125"/>
        </w:rPr>
      </w:pPr>
    </w:p>
    <w:p w14:paraId="20C87557" w14:textId="38DF424A" w:rsidR="00D46920" w:rsidRDefault="00A36DF1" w:rsidP="00D46920">
      <w:pPr>
        <w:rPr>
          <w:rStyle w:val="Strong"/>
          <w:rFonts w:cs="Arial"/>
          <w:color w:val="1D2125"/>
          <w:sz w:val="36"/>
          <w:szCs w:val="36"/>
        </w:rPr>
      </w:pPr>
      <w:r>
        <w:rPr>
          <w:noProof/>
        </w:rPr>
        <w:drawing>
          <wp:inline distT="0" distB="0" distL="0" distR="0" wp14:anchorId="67FED00C" wp14:editId="35803AEB">
            <wp:extent cx="2588040" cy="1258785"/>
            <wp:effectExtent l="0" t="0" r="3175" b="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748" cy="126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A5F46" w14:textId="77777777" w:rsidR="00D46920" w:rsidRDefault="00D46920" w:rsidP="00AA081A">
      <w:pPr>
        <w:rPr>
          <w:rStyle w:val="Strong"/>
          <w:rFonts w:cs="Arial"/>
          <w:color w:val="1D2125"/>
          <w:sz w:val="36"/>
          <w:szCs w:val="36"/>
        </w:rPr>
      </w:pPr>
      <w:r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  <w:t>Changemakers: Creativity and Value Creation</w:t>
      </w:r>
    </w:p>
    <w:p w14:paraId="5135E402" w14:textId="77777777" w:rsidR="00D46920" w:rsidRDefault="00D46920" w:rsidP="00D46920">
      <w:pPr>
        <w:jc w:val="center"/>
        <w:rPr>
          <w:rStyle w:val="Strong"/>
          <w:rFonts w:cs="Arial"/>
          <w:color w:val="1D2125"/>
          <w:sz w:val="36"/>
          <w:szCs w:val="36"/>
        </w:rPr>
      </w:pPr>
      <w:r w:rsidRPr="008375B5">
        <w:rPr>
          <w:rStyle w:val="Strong"/>
          <w:rFonts w:cs="Arial"/>
          <w:color w:val="1D2125"/>
          <w:sz w:val="36"/>
          <w:szCs w:val="36"/>
        </w:rPr>
        <w:t>Professions (BMHP</w:t>
      </w:r>
      <w:r>
        <w:rPr>
          <w:rStyle w:val="Strong"/>
          <w:rFonts w:cs="Arial"/>
          <w:color w:val="1D2125"/>
          <w:sz w:val="36"/>
          <w:szCs w:val="36"/>
        </w:rPr>
        <w:t>5014)</w:t>
      </w:r>
    </w:p>
    <w:p w14:paraId="0D7EA3D7" w14:textId="77777777" w:rsidR="00D46920" w:rsidRDefault="00D46920" w:rsidP="00D46920">
      <w:pPr>
        <w:jc w:val="center"/>
        <w:rPr>
          <w:rStyle w:val="Strong"/>
          <w:rFonts w:cs="Arial"/>
          <w:color w:val="1D2125"/>
          <w:sz w:val="36"/>
          <w:szCs w:val="36"/>
        </w:rPr>
      </w:pPr>
    </w:p>
    <w:p w14:paraId="4E60214F" w14:textId="77777777" w:rsidR="00D46920" w:rsidRDefault="00D46920" w:rsidP="00D46920">
      <w:pPr>
        <w:rPr>
          <w:rStyle w:val="Strong"/>
          <w:rFonts w:cs="Arial"/>
          <w:b w:val="0"/>
          <w:bCs w:val="0"/>
          <w:color w:val="1D2125"/>
          <w:sz w:val="32"/>
          <w:szCs w:val="32"/>
        </w:rPr>
      </w:pPr>
      <w:r>
        <w:rPr>
          <w:rFonts w:cs="Arial"/>
          <w:b/>
          <w:bCs/>
          <w:color w:val="000000"/>
          <w:sz w:val="32"/>
          <w:szCs w:val="32"/>
        </w:rPr>
        <w:t>Component 1:</w:t>
      </w:r>
      <w:r w:rsidRPr="00871C29">
        <w:t xml:space="preserve"> </w:t>
      </w:r>
      <w:r w:rsidRPr="00871C29">
        <w:rPr>
          <w:rFonts w:cs="Arial"/>
          <w:b/>
          <w:bCs/>
          <w:color w:val="000000"/>
          <w:sz w:val="32"/>
          <w:szCs w:val="32"/>
        </w:rPr>
        <w:t>Online portfolio of set exercises</w:t>
      </w:r>
    </w:p>
    <w:p w14:paraId="58EAA200" w14:textId="77777777" w:rsidR="00D46920" w:rsidRDefault="00D46920" w:rsidP="00D46920">
      <w:pPr>
        <w:rPr>
          <w:rStyle w:val="Strong"/>
          <w:rFonts w:cs="Arial"/>
          <w:color w:val="1D2125"/>
          <w:sz w:val="32"/>
          <w:szCs w:val="32"/>
        </w:rPr>
      </w:pPr>
    </w:p>
    <w:p w14:paraId="3C55ACB9" w14:textId="3F96C537" w:rsidR="00D46920" w:rsidRDefault="00D46920" w:rsidP="00D46920">
      <w:pPr>
        <w:rPr>
          <w:rStyle w:val="Strong"/>
          <w:rFonts w:cs="Arial"/>
          <w:color w:val="1D2125"/>
          <w:sz w:val="32"/>
          <w:szCs w:val="32"/>
        </w:rPr>
      </w:pPr>
      <w:r>
        <w:rPr>
          <w:rStyle w:val="Strong"/>
          <w:rFonts w:cs="Arial"/>
          <w:color w:val="1D2125"/>
          <w:sz w:val="32"/>
          <w:szCs w:val="32"/>
        </w:rPr>
        <w:t>Student name:</w:t>
      </w:r>
      <w:r w:rsidR="00E11E53" w:rsidRPr="00E11E53">
        <w:t xml:space="preserve"> </w:t>
      </w:r>
      <w:r w:rsidR="00E11E53" w:rsidRPr="00E11E53">
        <w:rPr>
          <w:rStyle w:val="Strong"/>
          <w:rFonts w:cs="Arial"/>
          <w:b w:val="0"/>
          <w:bCs w:val="0"/>
          <w:color w:val="1D2125"/>
          <w:sz w:val="32"/>
          <w:szCs w:val="32"/>
        </w:rPr>
        <w:t xml:space="preserve">Gnahore </w:t>
      </w:r>
      <w:r w:rsidR="004E2035" w:rsidRPr="00E11E53">
        <w:rPr>
          <w:rStyle w:val="Strong"/>
          <w:rFonts w:cs="Arial"/>
          <w:b w:val="0"/>
          <w:bCs w:val="0"/>
          <w:color w:val="1D2125"/>
          <w:sz w:val="32"/>
          <w:szCs w:val="32"/>
        </w:rPr>
        <w:t>Badi</w:t>
      </w:r>
      <w:r w:rsidR="00E11E53" w:rsidRPr="00E11E53">
        <w:rPr>
          <w:rStyle w:val="Strong"/>
          <w:rFonts w:cs="Arial"/>
          <w:b w:val="0"/>
          <w:bCs w:val="0"/>
          <w:color w:val="1D2125"/>
          <w:sz w:val="32"/>
          <w:szCs w:val="32"/>
        </w:rPr>
        <w:t xml:space="preserve"> </w:t>
      </w:r>
      <w:r w:rsidR="004E2035">
        <w:rPr>
          <w:rStyle w:val="Strong"/>
          <w:rFonts w:cs="Arial"/>
          <w:b w:val="0"/>
          <w:bCs w:val="0"/>
          <w:color w:val="1D2125"/>
          <w:sz w:val="32"/>
          <w:szCs w:val="32"/>
        </w:rPr>
        <w:t>C</w:t>
      </w:r>
      <w:r w:rsidR="00E11E53" w:rsidRPr="00E11E53">
        <w:rPr>
          <w:rStyle w:val="Strong"/>
          <w:rFonts w:cs="Arial"/>
          <w:b w:val="0"/>
          <w:bCs w:val="0"/>
          <w:color w:val="1D2125"/>
          <w:sz w:val="32"/>
          <w:szCs w:val="32"/>
        </w:rPr>
        <w:t>harlotte</w:t>
      </w:r>
      <w:r w:rsidR="006F1D51">
        <w:rPr>
          <w:rStyle w:val="Strong"/>
          <w:rFonts w:cs="Arial"/>
          <w:b w:val="0"/>
          <w:bCs w:val="0"/>
          <w:color w:val="1D2125"/>
          <w:sz w:val="32"/>
          <w:szCs w:val="32"/>
        </w:rPr>
        <w:t xml:space="preserve"> Legre</w:t>
      </w:r>
    </w:p>
    <w:p w14:paraId="3DCFFD10" w14:textId="043047EB" w:rsidR="00D46920" w:rsidRDefault="00D46920" w:rsidP="00D46920">
      <w:pPr>
        <w:rPr>
          <w:rStyle w:val="Strong"/>
          <w:rFonts w:cs="Arial"/>
          <w:color w:val="1D2125"/>
          <w:sz w:val="32"/>
          <w:szCs w:val="32"/>
        </w:rPr>
      </w:pPr>
      <w:r>
        <w:rPr>
          <w:rStyle w:val="Strong"/>
          <w:rFonts w:cs="Arial"/>
          <w:color w:val="1D2125"/>
          <w:sz w:val="32"/>
          <w:szCs w:val="32"/>
        </w:rPr>
        <w:t>Student number:</w:t>
      </w:r>
      <w:r w:rsidR="006F1D51">
        <w:rPr>
          <w:rStyle w:val="Strong"/>
          <w:rFonts w:cs="Arial"/>
          <w:color w:val="1D2125"/>
          <w:sz w:val="32"/>
          <w:szCs w:val="32"/>
        </w:rPr>
        <w:t xml:space="preserve"> 2331156</w:t>
      </w:r>
    </w:p>
    <w:p w14:paraId="497AFF7F" w14:textId="195235A1" w:rsidR="00E11E53" w:rsidRPr="00E90A6E" w:rsidRDefault="00D46920" w:rsidP="00E11E53">
      <w:pPr>
        <w:rPr>
          <w:sz w:val="28"/>
          <w:szCs w:val="28"/>
        </w:rPr>
      </w:pPr>
      <w:r>
        <w:rPr>
          <w:rStyle w:val="Strong"/>
          <w:rFonts w:cs="Arial"/>
          <w:color w:val="1D2125"/>
          <w:sz w:val="32"/>
          <w:szCs w:val="32"/>
        </w:rPr>
        <w:t>Lecturer’s name:</w:t>
      </w:r>
      <w:r w:rsidR="00E11E53" w:rsidRPr="00E11E53">
        <w:t xml:space="preserve"> </w:t>
      </w:r>
      <w:r w:rsidR="00FE115B" w:rsidRPr="00E90A6E">
        <w:rPr>
          <w:sz w:val="28"/>
          <w:szCs w:val="28"/>
        </w:rPr>
        <w:t xml:space="preserve">G1 </w:t>
      </w:r>
      <w:r w:rsidR="003659A6" w:rsidRPr="00E90A6E">
        <w:rPr>
          <w:sz w:val="28"/>
          <w:szCs w:val="28"/>
        </w:rPr>
        <w:t xml:space="preserve">Leila </w:t>
      </w:r>
      <w:proofErr w:type="spellStart"/>
      <w:proofErr w:type="gramStart"/>
      <w:r w:rsidR="003659A6" w:rsidRPr="00E90A6E">
        <w:rPr>
          <w:sz w:val="28"/>
          <w:szCs w:val="28"/>
        </w:rPr>
        <w:t>Surani</w:t>
      </w:r>
      <w:proofErr w:type="spellEnd"/>
      <w:r w:rsidR="003659A6" w:rsidRPr="00E90A6E">
        <w:rPr>
          <w:sz w:val="28"/>
          <w:szCs w:val="28"/>
        </w:rPr>
        <w:t xml:space="preserve"> ,</w:t>
      </w:r>
      <w:proofErr w:type="gramEnd"/>
      <w:r w:rsidR="003659A6" w:rsidRPr="00E90A6E">
        <w:rPr>
          <w:sz w:val="28"/>
          <w:szCs w:val="28"/>
        </w:rPr>
        <w:t xml:space="preserve"> G2 Caroline Sa</w:t>
      </w:r>
      <w:r w:rsidR="00E90A6E" w:rsidRPr="00E90A6E">
        <w:rPr>
          <w:sz w:val="28"/>
          <w:szCs w:val="28"/>
        </w:rPr>
        <w:t>lami</w:t>
      </w:r>
    </w:p>
    <w:p w14:paraId="0D3CF38A" w14:textId="77777777" w:rsidR="00D46920" w:rsidRDefault="00D46920" w:rsidP="00D46920">
      <w:pPr>
        <w:rPr>
          <w:sz w:val="36"/>
          <w:szCs w:val="36"/>
        </w:rPr>
      </w:pPr>
    </w:p>
    <w:p w14:paraId="7657B63E" w14:textId="77777777" w:rsidR="00D46920" w:rsidRDefault="00D46920" w:rsidP="00D46920">
      <w:pPr>
        <w:rPr>
          <w:rFonts w:cs="Arial"/>
          <w:sz w:val="36"/>
          <w:szCs w:val="36"/>
        </w:rPr>
      </w:pPr>
    </w:p>
    <w:p w14:paraId="1DF762CF" w14:textId="77777777" w:rsidR="00D46920" w:rsidRDefault="00D46920" w:rsidP="00D46920">
      <w:pPr>
        <w:rPr>
          <w:rFonts w:cs="Arial"/>
          <w:sz w:val="36"/>
          <w:szCs w:val="36"/>
        </w:rPr>
      </w:pPr>
    </w:p>
    <w:p w14:paraId="36966376" w14:textId="77777777" w:rsidR="00D46920" w:rsidRDefault="00D46920" w:rsidP="00D46920">
      <w:pPr>
        <w:rPr>
          <w:rFonts w:cs="Arial"/>
          <w:sz w:val="36"/>
          <w:szCs w:val="36"/>
        </w:rPr>
      </w:pPr>
    </w:p>
    <w:p w14:paraId="26A4E785" w14:textId="77777777" w:rsidR="00021818" w:rsidRDefault="00021818">
      <w:pPr>
        <w:spacing w:after="160" w:line="278" w:lineRule="auto"/>
        <w:jc w:val="left"/>
        <w:rPr>
          <w:rFonts w:eastAsia="Times New Roman" w:cs="Arial"/>
          <w:b/>
          <w:bCs/>
          <w:color w:val="000000"/>
          <w:kern w:val="0"/>
          <w:sz w:val="28"/>
          <w:szCs w:val="28"/>
          <w:lang w:eastAsia="en-GB"/>
        </w:rPr>
      </w:pPr>
      <w:r>
        <w:rPr>
          <w:rFonts w:cs="Arial"/>
          <w:b/>
          <w:bCs/>
          <w:color w:val="000000"/>
          <w:sz w:val="28"/>
          <w:szCs w:val="28"/>
        </w:rPr>
        <w:br w:type="page"/>
      </w:r>
    </w:p>
    <w:sdt>
      <w:sdtPr>
        <w:rPr>
          <w:rFonts w:ascii="Arial" w:eastAsia="Aptos" w:hAnsi="Arial" w:cs="Times New Roman"/>
          <w:color w:val="auto"/>
          <w:kern w:val="2"/>
          <w:sz w:val="22"/>
          <w:szCs w:val="24"/>
          <w:lang w:val="en-GB"/>
        </w:rPr>
        <w:id w:val="-64550446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022B633" w14:textId="09C55353" w:rsidR="00021818" w:rsidRDefault="00021818">
          <w:pPr>
            <w:pStyle w:val="TOCHeading"/>
          </w:pPr>
          <w:r>
            <w:t>Table of Contents</w:t>
          </w:r>
        </w:p>
        <w:p w14:paraId="35C55C03" w14:textId="76F36A62" w:rsidR="00CB5134" w:rsidRDefault="0002181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658784" w:history="1">
            <w:r w:rsidR="00CB5134" w:rsidRPr="0073404C">
              <w:rPr>
                <w:rStyle w:val="Hyperlink"/>
                <w:noProof/>
                <w:lang w:eastAsia="en-GB"/>
              </w:rPr>
              <w:t>Introduction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_Toc224658784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3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6F67C0F2" w14:textId="7CB7E81C" w:rsidR="00CB5134" w:rsidRDefault="00A361A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hyperlink w:anchor="_Toc224658785" w:history="1">
            <w:r w:rsidR="00CB5134" w:rsidRPr="0073404C">
              <w:rPr>
                <w:rStyle w:val="Hyperlink"/>
                <w:noProof/>
                <w:lang w:eastAsia="en-GB"/>
              </w:rPr>
              <w:t>Task 1- Defining Key Concepts in Practice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_Toc224658785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3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7A61E64B" w14:textId="38BAA998" w:rsidR="00CB5134" w:rsidRDefault="00A361A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hyperlink w:anchor="_Toc224658786" w:history="1">
            <w:r w:rsidR="00CB5134" w:rsidRPr="0073404C">
              <w:rPr>
                <w:rStyle w:val="Hyperlink"/>
                <w:noProof/>
                <w:lang w:val="en-US" w:eastAsia="en-GB"/>
              </w:rPr>
              <w:t>Task 2 - Mind Map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_Toc224658786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5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18CCB81F" w14:textId="51ED5AAE" w:rsidR="00CB5134" w:rsidRDefault="00A361A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hyperlink w:anchor="_Toc224658787" w:history="1">
            <w:r w:rsidR="00CB5134" w:rsidRPr="0073404C">
              <w:rPr>
                <w:rStyle w:val="Hyperlink"/>
                <w:noProof/>
                <w:lang w:val="en-US" w:eastAsia="en-GB"/>
              </w:rPr>
              <w:t>Task 3 - Self-Reflection of Group Activity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_Toc224658787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5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00C02DE5" w14:textId="6CFB8F31" w:rsidR="00CB5134" w:rsidRDefault="00A361A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hyperlink w:anchor="_Toc224658788" w:history="1">
            <w:r w:rsidR="00CB5134" w:rsidRPr="0073404C">
              <w:rPr>
                <w:rStyle w:val="Hyperlink"/>
                <w:noProof/>
              </w:rPr>
              <w:t>Task 4 – Case Study Analysis of a UK Innovation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_Toc224658788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6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67AD593F" w14:textId="085CD108" w:rsidR="00CB5134" w:rsidRDefault="00A361A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hyperlink w:anchor="_Toc224658789" w:history="1">
            <w:r w:rsidR="00CB5134" w:rsidRPr="0073404C">
              <w:rPr>
                <w:rStyle w:val="Hyperlink"/>
                <w:noProof/>
                <w:lang w:val="en-US" w:eastAsia="en-GB"/>
              </w:rPr>
              <w:t>Task 5 - Research Task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_Toc224658789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7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0045A26E" w14:textId="1BA66F3A" w:rsidR="00CB5134" w:rsidRDefault="00A361A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hyperlink w:anchor="_Toc224658790" w:history="1">
            <w:r w:rsidR="00CB5134" w:rsidRPr="0073404C">
              <w:rPr>
                <w:rStyle w:val="Hyperlink"/>
                <w:noProof/>
                <w:lang w:val="en-US" w:eastAsia="en-GB"/>
              </w:rPr>
              <w:t>Task 6 - Exploring Digital Innovation in Health and Social Care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_Toc224658790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8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0A74FB0E" w14:textId="2704E1AB" w:rsidR="00CB5134" w:rsidRDefault="00A361A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hyperlink w:anchor="_Toc224658791" w:history="1">
            <w:r w:rsidR="00CB5134" w:rsidRPr="0073404C">
              <w:rPr>
                <w:rStyle w:val="Hyperlink"/>
                <w:noProof/>
                <w:lang w:val="en-US" w:eastAsia="en-GB"/>
              </w:rPr>
              <w:t>Task 7 - Understanding the NHS Leadership Framework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_Toc224658791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10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44CFF831" w14:textId="39122841" w:rsidR="00CB5134" w:rsidRDefault="00A361A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hyperlink w:anchor="_Toc224658792" w:history="1">
            <w:r w:rsidR="00CB5134" w:rsidRPr="0073404C">
              <w:rPr>
                <w:rStyle w:val="Hyperlink"/>
                <w:noProof/>
              </w:rPr>
              <w:t>Task 8 – Self-Reflection Journal Entry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_Toc224658792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11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7971492D" w14:textId="69FD266C" w:rsidR="00CB5134" w:rsidRDefault="00A361A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30"/>
              <w:lang w:val="en-US" w:bidi="bn-IN"/>
              <w14:ligatures w14:val="standardContextual"/>
            </w:rPr>
          </w:pPr>
          <w:hyperlink w:anchor="_Toc224658793" w:history="1">
            <w:r w:rsidR="00CB5134" w:rsidRPr="0073404C">
              <w:rPr>
                <w:rStyle w:val="Hyperlink"/>
                <w:noProof/>
                <w:lang w:val="en-US" w:eastAsia="en-GB"/>
              </w:rPr>
              <w:t>Reference</w:t>
            </w:r>
            <w:r w:rsidR="00CB5134">
              <w:rPr>
                <w:noProof/>
                <w:webHidden/>
              </w:rPr>
              <w:tab/>
            </w:r>
            <w:r w:rsidR="00CB5134">
              <w:rPr>
                <w:noProof/>
                <w:webHidden/>
              </w:rPr>
              <w:fldChar w:fldCharType="begin"/>
            </w:r>
            <w:r w:rsidR="00CB5134">
              <w:rPr>
                <w:noProof/>
                <w:webHidden/>
              </w:rPr>
              <w:instrText xml:space="preserve"> PAGEREF _Toc224658793 \h </w:instrText>
            </w:r>
            <w:r w:rsidR="00CB5134">
              <w:rPr>
                <w:noProof/>
                <w:webHidden/>
              </w:rPr>
            </w:r>
            <w:r w:rsidR="00CB5134">
              <w:rPr>
                <w:noProof/>
                <w:webHidden/>
              </w:rPr>
              <w:fldChar w:fldCharType="separate"/>
            </w:r>
            <w:r w:rsidR="00CB5134">
              <w:rPr>
                <w:noProof/>
                <w:webHidden/>
              </w:rPr>
              <w:t>12</w:t>
            </w:r>
            <w:r w:rsidR="00CB5134">
              <w:rPr>
                <w:noProof/>
                <w:webHidden/>
              </w:rPr>
              <w:fldChar w:fldCharType="end"/>
            </w:r>
          </w:hyperlink>
        </w:p>
        <w:p w14:paraId="6EB49326" w14:textId="0A114F05" w:rsidR="00021818" w:rsidRDefault="00021818">
          <w:r>
            <w:rPr>
              <w:b/>
              <w:bCs/>
              <w:noProof/>
            </w:rPr>
            <w:fldChar w:fldCharType="end"/>
          </w:r>
        </w:p>
      </w:sdtContent>
    </w:sdt>
    <w:p w14:paraId="2BB188C7" w14:textId="77777777" w:rsidR="00D46920" w:rsidRDefault="00D46920" w:rsidP="00021818"/>
    <w:p w14:paraId="23C4321B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2DFFC7B2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3EC5A596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01DFDCA7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747B80A3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27B40D1D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4A02BBF4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76D7774B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34B45FF6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4A1E3447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3BEE57A6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7FC0129A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57F3AF5E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08169C61" w14:textId="77777777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</w:p>
    <w:p w14:paraId="2A6D6624" w14:textId="444E9792" w:rsidR="00D46920" w:rsidRDefault="00D46920" w:rsidP="005C28E8">
      <w:pPr>
        <w:rPr>
          <w:rFonts w:ascii="Times New Roman" w:hAnsi="Times New Roman"/>
          <w:b/>
          <w:bCs/>
          <w:sz w:val="32"/>
          <w:szCs w:val="32"/>
        </w:rPr>
      </w:pPr>
      <w:r w:rsidRPr="009F64B3">
        <w:rPr>
          <w:rFonts w:ascii="Times New Roman" w:hAnsi="Times New Roman"/>
          <w:b/>
          <w:bCs/>
          <w:sz w:val="32"/>
          <w:szCs w:val="32"/>
        </w:rPr>
        <w:lastRenderedPageBreak/>
        <w:t>Assessment Component 1</w:t>
      </w:r>
    </w:p>
    <w:tbl>
      <w:tblPr>
        <w:tblStyle w:val="TableGrid"/>
        <w:tblW w:w="11766" w:type="dxa"/>
        <w:tblInd w:w="-1423" w:type="dxa"/>
        <w:tblLook w:val="04A0" w:firstRow="1" w:lastRow="0" w:firstColumn="1" w:lastColumn="0" w:noHBand="0" w:noVBand="1"/>
      </w:tblPr>
      <w:tblGrid>
        <w:gridCol w:w="11766"/>
      </w:tblGrid>
      <w:tr w:rsidR="00B44499" w14:paraId="2A86D8D5" w14:textId="77777777" w:rsidTr="00150659">
        <w:trPr>
          <w:trHeight w:val="2422"/>
        </w:trPr>
        <w:tc>
          <w:tcPr>
            <w:tcW w:w="11766" w:type="dxa"/>
          </w:tcPr>
          <w:p w14:paraId="138AFA46" w14:textId="53E9E489" w:rsidR="00B44499" w:rsidRDefault="00B44499" w:rsidP="00021818">
            <w:pPr>
              <w:pStyle w:val="Heading1"/>
              <w:rPr>
                <w:b w:val="0"/>
                <w:lang w:eastAsia="en-GB"/>
              </w:rPr>
            </w:pPr>
            <w:bookmarkStart w:id="0" w:name="_Toc224658784"/>
            <w:r>
              <w:rPr>
                <w:lang w:eastAsia="en-GB"/>
              </w:rPr>
              <w:t>Introductio</w:t>
            </w:r>
            <w:bookmarkEnd w:id="0"/>
            <w:r w:rsidR="00150659">
              <w:rPr>
                <w:lang w:eastAsia="en-GB"/>
              </w:rPr>
              <w:t>n</w:t>
            </w:r>
          </w:p>
          <w:p w14:paraId="57DBE902" w14:textId="72A356AB" w:rsidR="00ED318E" w:rsidRPr="000B1AFC" w:rsidRDefault="00ED318E" w:rsidP="00ED318E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This assessment is going to explore the </w:t>
            </w:r>
            <w:r w:rsidRPr="00ED318E">
              <w:rPr>
                <w:lang w:eastAsia="en-GB"/>
              </w:rPr>
              <w:t>application of creativity, innovation, value creation, and change within health and social care practice.</w:t>
            </w:r>
            <w:r>
              <w:rPr>
                <w:lang w:eastAsia="en-GB"/>
              </w:rPr>
              <w:t xml:space="preserve"> The report reflects the </w:t>
            </w:r>
            <w:r w:rsidRPr="00ED318E">
              <w:rPr>
                <w:lang w:eastAsia="en-GB"/>
              </w:rPr>
              <w:t>key theoretical concepts and demonstrates their practical relevance in addressing complex</w:t>
            </w:r>
            <w:r>
              <w:rPr>
                <w:lang w:eastAsia="en-GB"/>
              </w:rPr>
              <w:t xml:space="preserve"> and challenges. The portfolio combines the academic theory </w:t>
            </w:r>
            <w:r w:rsidRPr="00ED318E">
              <w:rPr>
                <w:lang w:eastAsia="en-GB"/>
              </w:rPr>
              <w:t>with reflective and applied learning</w:t>
            </w:r>
            <w:r>
              <w:rPr>
                <w:lang w:eastAsia="en-GB"/>
              </w:rPr>
              <w:t xml:space="preserve"> to give a structured task development. The aim of this assessment to demonstrate the </w:t>
            </w:r>
            <w:r w:rsidRPr="00ED318E">
              <w:rPr>
                <w:lang w:eastAsia="en-GB"/>
              </w:rPr>
              <w:t>development of an enterprising mindset and the ability</w:t>
            </w:r>
            <w:r>
              <w:rPr>
                <w:lang w:eastAsia="en-GB"/>
              </w:rPr>
              <w:t xml:space="preserve"> that will help the organisation to deliver enhanced </w:t>
            </w:r>
            <w:r w:rsidRPr="00ED318E">
              <w:rPr>
                <w:lang w:eastAsia="en-GB"/>
              </w:rPr>
              <w:t>patient outcomes and service effectiveness.</w:t>
            </w:r>
          </w:p>
        </w:tc>
      </w:tr>
      <w:tr w:rsidR="00114199" w14:paraId="4941CB47" w14:textId="77777777" w:rsidTr="00D66259">
        <w:tc>
          <w:tcPr>
            <w:tcW w:w="11766" w:type="dxa"/>
          </w:tcPr>
          <w:p w14:paraId="2196325B" w14:textId="77777777" w:rsidR="00B63A9B" w:rsidRDefault="00B63A9B" w:rsidP="0011419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329E3EDC" w14:textId="7CDF092B" w:rsidR="00114199" w:rsidRPr="000B1AFC" w:rsidRDefault="00114199" w:rsidP="00021818">
            <w:pPr>
              <w:pStyle w:val="Heading1"/>
              <w:rPr>
                <w:lang w:eastAsia="en-GB"/>
              </w:rPr>
            </w:pPr>
            <w:bookmarkStart w:id="1" w:name="_Toc224658785"/>
            <w:r w:rsidRPr="000B1AFC">
              <w:rPr>
                <w:lang w:eastAsia="en-GB"/>
              </w:rPr>
              <w:t>Task 1- Defining Key Concepts in Practice</w:t>
            </w:r>
            <w:bookmarkEnd w:id="1"/>
            <w:r w:rsidR="006F1D51">
              <w:rPr>
                <w:lang w:eastAsia="en-GB"/>
              </w:rPr>
              <w:t xml:space="preserve"> </w:t>
            </w:r>
            <w:r w:rsidR="00B413EF">
              <w:rPr>
                <w:noProof/>
                <w:lang w:eastAsia="en-GB"/>
                <w14:ligatures w14:val="standardContextual"/>
              </w:rPr>
              <w:drawing>
                <wp:inline distT="0" distB="0" distL="0" distR="0" wp14:anchorId="136FA020" wp14:editId="3C5E9583">
                  <wp:extent cx="5731510" cy="2277745"/>
                  <wp:effectExtent l="0" t="0" r="0" b="0"/>
                  <wp:docPr id="1727762455" name="Picture 1" descr="A white page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7762455" name="Picture 1" descr="A white page with black text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7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332474" w14:textId="4742EF4B" w:rsidR="00ED318E" w:rsidRPr="00021818" w:rsidRDefault="00114199" w:rsidP="00021818">
            <w:pPr>
              <w:rPr>
                <w:lang w:eastAsia="en-GB"/>
              </w:rPr>
            </w:pPr>
            <w:r w:rsidRPr="000B1AFC">
              <w:rPr>
                <w:b/>
                <w:bCs/>
                <w:lang w:eastAsia="en-GB"/>
              </w:rPr>
              <w:t>Question</w:t>
            </w:r>
            <w:r w:rsidR="00021818">
              <w:rPr>
                <w:b/>
                <w:bCs/>
                <w:lang w:eastAsia="en-GB"/>
              </w:rPr>
              <w:t xml:space="preserve">: </w:t>
            </w:r>
            <w:r w:rsidRPr="000B1AFC">
              <w:rPr>
                <w:lang w:eastAsia="en-GB"/>
              </w:rPr>
              <w:t>Explain the following four key concepts: innovation, creativity, value creation, and change</w:t>
            </w:r>
          </w:p>
          <w:p w14:paraId="090B9A24" w14:textId="744AD0A4" w:rsidR="00114199" w:rsidRPr="000B1AFC" w:rsidRDefault="00114199" w:rsidP="00114199">
            <w:pPr>
              <w:pStyle w:val="NoSpacing"/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</w:pPr>
            <w:r w:rsidRPr="000B1AFC">
              <w:rPr>
                <w:rFonts w:ascii="Arial" w:hAnsi="Arial" w:cs="Arial"/>
                <w:b/>
                <w:bCs/>
                <w:sz w:val="22"/>
                <w:szCs w:val="22"/>
              </w:rPr>
              <w:t>Innovation</w:t>
            </w:r>
          </w:p>
          <w:p w14:paraId="17180600" w14:textId="77777777" w:rsidR="00ED318E" w:rsidRDefault="00ED318E" w:rsidP="00114199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1D25107A" w14:textId="47471858" w:rsidR="00114199" w:rsidRPr="000B1AFC" w:rsidRDefault="00ED318E" w:rsidP="00B63A9B">
            <w:r w:rsidRPr="00ED318E">
              <w:t>Innovation refers to the implementation of new ideas that enhance service effectiveness and patient outcomes.</w:t>
            </w:r>
            <w:r>
              <w:t xml:space="preserve"> Innovation in the health and social care is important to respond to the dynamic demand and limited capabilities. For example, </w:t>
            </w:r>
            <w:r w:rsidRPr="00ED318E">
              <w:t>the adoption of virtual consultations</w:t>
            </w:r>
            <w:r>
              <w:t xml:space="preserve"> helps the NHS improve the accessibility, readiness and transparency in service delivery</w:t>
            </w:r>
            <w:r w:rsidR="00021818">
              <w:t xml:space="preserve"> </w:t>
            </w:r>
            <w:r w:rsidR="00021818" w:rsidRPr="00021818">
              <w:t>(Arslan, 2025)</w:t>
            </w:r>
            <w:r>
              <w:t xml:space="preserve">. At the sample time, the innovation helps the NHS reduce the operational pressure. This </w:t>
            </w:r>
            <w:r w:rsidR="00B63A9B">
              <w:t xml:space="preserve">innovation of NHS reflects the </w:t>
            </w:r>
            <w:r w:rsidR="00B63A9B" w:rsidRPr="00B63A9B">
              <w:t>Rogers’ Diffusion of Innovation Theor</w:t>
            </w:r>
            <w:r w:rsidR="00B63A9B">
              <w:t xml:space="preserve">y because this theory </w:t>
            </w:r>
            <w:r w:rsidR="00B63A9B" w:rsidRPr="00B63A9B">
              <w:t>explains how new practices are adopted based on perceived benefits</w:t>
            </w:r>
            <w:r w:rsidR="00B63A9B">
              <w:t xml:space="preserve">. Through the lecture I experienced, I came to recognise the </w:t>
            </w:r>
            <w:r w:rsidR="00B63A9B" w:rsidRPr="00B63A9B">
              <w:t>innovation</w:t>
            </w:r>
            <w:r w:rsidR="00B63A9B">
              <w:t xml:space="preserve"> </w:t>
            </w:r>
            <w:r w:rsidR="00B63A9B" w:rsidRPr="00B63A9B">
              <w:t>not only technological but also organisational</w:t>
            </w:r>
            <w:r w:rsidR="00B63A9B">
              <w:t xml:space="preserve"> that it requires the </w:t>
            </w:r>
            <w:r w:rsidR="00B63A9B" w:rsidRPr="00B63A9B">
              <w:t>leadership support to be successfully embedded.</w:t>
            </w:r>
          </w:p>
          <w:p w14:paraId="31F5D10B" w14:textId="77777777" w:rsidR="00114199" w:rsidRPr="000B1AFC" w:rsidRDefault="00114199" w:rsidP="0011419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1AFC">
              <w:rPr>
                <w:rFonts w:ascii="Arial" w:hAnsi="Arial" w:cs="Arial"/>
                <w:b/>
                <w:bCs/>
                <w:sz w:val="22"/>
                <w:szCs w:val="22"/>
              </w:rPr>
              <w:t>Creativity</w:t>
            </w:r>
          </w:p>
          <w:p w14:paraId="3E6159BB" w14:textId="691C39FC" w:rsidR="00114199" w:rsidRPr="000B1AFC" w:rsidRDefault="00B63A9B" w:rsidP="00B63A9B">
            <w:r w:rsidRPr="00B63A9B">
              <w:t>Creativity involves generating novel and meaningful ideas to solve complex problems.</w:t>
            </w:r>
            <w:r>
              <w:t xml:space="preserve"> Through the creativity, the professionals can tailor the </w:t>
            </w:r>
            <w:r w:rsidRPr="00B63A9B">
              <w:t>care approaches, particularly for individuals with diverse needs.</w:t>
            </w:r>
            <w:r>
              <w:t xml:space="preserve"> For example, through the uses of personalised music instrument, the professional can </w:t>
            </w:r>
            <w:r w:rsidRPr="00B63A9B">
              <w:t>improve emotional wellbeing</w:t>
            </w:r>
            <w:r>
              <w:t xml:space="preserve"> of </w:t>
            </w:r>
            <w:r w:rsidRPr="00B63A9B">
              <w:t>dementia patients</w:t>
            </w:r>
            <w:r>
              <w:t xml:space="preserve">. According to </w:t>
            </w:r>
            <w:r w:rsidRPr="00B63A9B">
              <w:t>Amabile’s Componential Theory</w:t>
            </w:r>
            <w:r>
              <w:t xml:space="preserve">, the creativity appears </w:t>
            </w:r>
            <w:r w:rsidRPr="00B63A9B">
              <w:t>through the interaction of skills, knowledge, and motivation</w:t>
            </w:r>
            <w:r>
              <w:t xml:space="preserve"> at the workplace. Through </w:t>
            </w:r>
            <w:r w:rsidR="002663E1">
              <w:t>these lectures</w:t>
            </w:r>
            <w:r>
              <w:t>, I cam</w:t>
            </w:r>
            <w:r w:rsidR="002663E1">
              <w:t>e</w:t>
            </w:r>
            <w:r>
              <w:t xml:space="preserve"> to develop </w:t>
            </w:r>
            <w:r w:rsidRPr="00B63A9B">
              <w:t>a deeper understanding that creativity in healthcare is essential for improving patient-centred care</w:t>
            </w:r>
            <w:r w:rsidR="00021818">
              <w:t xml:space="preserve"> </w:t>
            </w:r>
            <w:r w:rsidR="00021818" w:rsidRPr="00021818">
              <w:t>(Hartley, 2024)</w:t>
            </w:r>
            <w:r>
              <w:t>.</w:t>
            </w:r>
          </w:p>
          <w:p w14:paraId="37BC2065" w14:textId="77777777" w:rsidR="00114199" w:rsidRPr="00021818" w:rsidRDefault="00114199" w:rsidP="00021818">
            <w:pPr>
              <w:rPr>
                <w:b/>
                <w:bCs/>
              </w:rPr>
            </w:pPr>
            <w:r w:rsidRPr="00021818">
              <w:rPr>
                <w:b/>
                <w:bCs/>
              </w:rPr>
              <w:t>Value Creation</w:t>
            </w:r>
          </w:p>
          <w:p w14:paraId="473384C7" w14:textId="067121A6" w:rsidR="00114199" w:rsidRPr="000B1AFC" w:rsidRDefault="002663E1" w:rsidP="00021818">
            <w:r>
              <w:lastRenderedPageBreak/>
              <w:t xml:space="preserve">Value creation involves in </w:t>
            </w:r>
            <w:r w:rsidRPr="002663E1">
              <w:t>improving outcomes while efficiently using resources.</w:t>
            </w:r>
            <w:r>
              <w:t xml:space="preserve"> Through the value creation embedded perception is developed within the mind of the customer. For example, early intervention of </w:t>
            </w:r>
            <w:r w:rsidRPr="002663E1">
              <w:t>mental health</w:t>
            </w:r>
            <w:r>
              <w:t xml:space="preserve"> can decrease the cost and improve the quality of life. Porter argues that the value creation can be achieved if </w:t>
            </w:r>
            <w:r w:rsidRPr="002663E1">
              <w:t>outcomes are maximised relative to cost.</w:t>
            </w:r>
            <w:r>
              <w:t xml:space="preserve"> </w:t>
            </w:r>
          </w:p>
          <w:p w14:paraId="1E79A814" w14:textId="77777777" w:rsidR="00114199" w:rsidRPr="000B1AFC" w:rsidRDefault="00114199" w:rsidP="0011419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1AFC">
              <w:rPr>
                <w:rFonts w:ascii="Arial" w:hAnsi="Arial" w:cs="Arial"/>
                <w:b/>
                <w:bCs/>
                <w:sz w:val="22"/>
                <w:szCs w:val="22"/>
              </w:rPr>
              <w:t>Change</w:t>
            </w:r>
          </w:p>
          <w:p w14:paraId="50438493" w14:textId="0B611DF5" w:rsidR="00114199" w:rsidRPr="00357AF2" w:rsidRDefault="00E11E53" w:rsidP="00357AF2">
            <w:r>
              <w:t>The term “</w:t>
            </w:r>
            <w:r w:rsidR="002663E1" w:rsidRPr="002663E1">
              <w:t>Change</w:t>
            </w:r>
            <w:r>
              <w:t>”</w:t>
            </w:r>
            <w:r w:rsidR="002663E1" w:rsidRPr="002663E1">
              <w:t xml:space="preserve"> </w:t>
            </w:r>
            <w:r>
              <w:t>posits the</w:t>
            </w:r>
            <w:r w:rsidR="002663E1" w:rsidRPr="002663E1">
              <w:t xml:space="preserve"> structured process of improving existing practices.</w:t>
            </w:r>
            <w:r w:rsidR="002663E1">
              <w:t xml:space="preserve"> </w:t>
            </w:r>
            <w:r w:rsidR="00114199" w:rsidRPr="000B1AFC">
              <w:t>Lewin’s Change Management Model suggests change occurs through unfreezing current practice, implementing new behaviours, and stabilising the improvement (Burnes, 2017).</w:t>
            </w:r>
            <w:r w:rsidR="002663E1">
              <w:t xml:space="preserve"> </w:t>
            </w:r>
            <w:r w:rsidR="002663E1" w:rsidRPr="002663E1">
              <w:t>In healthcare, change is essential to implement innovations and improve service delivery.</w:t>
            </w:r>
            <w:r w:rsidR="002663E1">
              <w:t xml:space="preserve"> </w:t>
            </w:r>
          </w:p>
        </w:tc>
      </w:tr>
      <w:tr w:rsidR="00114199" w14:paraId="79A0BD18" w14:textId="77777777" w:rsidTr="00D66259">
        <w:tc>
          <w:tcPr>
            <w:tcW w:w="11766" w:type="dxa"/>
          </w:tcPr>
          <w:p w14:paraId="0E59DCFF" w14:textId="59212697" w:rsidR="000B1AFC" w:rsidRPr="000B1AFC" w:rsidRDefault="00114199" w:rsidP="00021818">
            <w:pPr>
              <w:pStyle w:val="Heading1"/>
              <w:rPr>
                <w:lang w:val="en-US" w:eastAsia="en-GB"/>
              </w:rPr>
            </w:pPr>
            <w:bookmarkStart w:id="2" w:name="_Toc224658786"/>
            <w:r w:rsidRPr="000B1AFC">
              <w:rPr>
                <w:lang w:val="en-US" w:eastAsia="en-GB"/>
              </w:rPr>
              <w:lastRenderedPageBreak/>
              <w:t>Task 2 - Mind Map</w:t>
            </w:r>
            <w:bookmarkEnd w:id="2"/>
          </w:p>
          <w:p w14:paraId="48CD0DB0" w14:textId="4E03C260" w:rsidR="000B1AFC" w:rsidRPr="000B1AFC" w:rsidRDefault="000B1AFC" w:rsidP="00021818">
            <w:pPr>
              <w:rPr>
                <w:lang w:val="en-US" w:eastAsia="en-GB"/>
              </w:rPr>
            </w:pPr>
            <w:r w:rsidRPr="000B1AFC">
              <w:rPr>
                <w:b/>
                <w:bCs/>
              </w:rPr>
              <w:t>Question</w:t>
            </w:r>
            <w:r w:rsidRPr="000B1AFC">
              <w:t xml:space="preserve">- Choose a real problem in health or social care </w:t>
            </w:r>
            <w:r w:rsidR="00021818">
              <w:t>(Poor Communication)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73"/>
              <w:gridCol w:w="2677"/>
              <w:gridCol w:w="2937"/>
              <w:gridCol w:w="4153"/>
            </w:tblGrid>
            <w:tr w:rsidR="008E67E3" w:rsidRPr="008E67E3" w14:paraId="6CC0C60E" w14:textId="77777777" w:rsidTr="00CB5134">
              <w:tc>
                <w:tcPr>
                  <w:tcW w:w="1773" w:type="dxa"/>
                  <w:hideMark/>
                </w:tcPr>
                <w:p w14:paraId="7FC1A41D" w14:textId="77777777" w:rsidR="008E67E3" w:rsidRPr="008E67E3" w:rsidRDefault="008E67E3" w:rsidP="008E67E3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kern w:val="0"/>
                      <w:szCs w:val="22"/>
                      <w:lang w:val="en-US" w:bidi="bn-IN"/>
                    </w:rPr>
                  </w:pPr>
                  <w:r w:rsidRPr="008E67E3">
                    <w:rPr>
                      <w:rFonts w:ascii="Times New Roman" w:eastAsia="Times New Roman" w:hAnsi="Times New Roman"/>
                      <w:b/>
                      <w:bCs/>
                      <w:kern w:val="0"/>
                      <w:szCs w:val="22"/>
                      <w:lang w:val="en-US" w:bidi="bn-IN"/>
                    </w:rPr>
                    <w:t>Central Problem</w:t>
                  </w:r>
                </w:p>
              </w:tc>
              <w:tc>
                <w:tcPr>
                  <w:tcW w:w="2677" w:type="dxa"/>
                  <w:hideMark/>
                </w:tcPr>
                <w:p w14:paraId="42C1EC5D" w14:textId="77777777" w:rsidR="008E67E3" w:rsidRPr="008E67E3" w:rsidRDefault="008E67E3" w:rsidP="008E67E3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kern w:val="0"/>
                      <w:szCs w:val="22"/>
                      <w:lang w:val="en-US" w:bidi="bn-IN"/>
                    </w:rPr>
                  </w:pPr>
                  <w:r w:rsidRPr="008E67E3">
                    <w:rPr>
                      <w:rFonts w:ascii="Times New Roman" w:eastAsia="Times New Roman" w:hAnsi="Times New Roman"/>
                      <w:b/>
                      <w:bCs/>
                      <w:kern w:val="0"/>
                      <w:szCs w:val="22"/>
                      <w:lang w:val="en-US" w:bidi="bn-IN"/>
                    </w:rPr>
                    <w:t>Causes (Interconnected Factors)</w:t>
                  </w:r>
                </w:p>
              </w:tc>
              <w:tc>
                <w:tcPr>
                  <w:tcW w:w="0" w:type="auto"/>
                  <w:hideMark/>
                </w:tcPr>
                <w:p w14:paraId="24958121" w14:textId="25740683" w:rsidR="008E67E3" w:rsidRPr="008E67E3" w:rsidRDefault="008E67E3" w:rsidP="008E67E3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kern w:val="0"/>
                      <w:szCs w:val="22"/>
                      <w:lang w:val="en-US" w:bidi="bn-IN"/>
                    </w:rPr>
                  </w:pPr>
                  <w:r w:rsidRPr="008E67E3">
                    <w:rPr>
                      <w:rFonts w:ascii="Times New Roman" w:eastAsia="Times New Roman" w:hAnsi="Times New Roman"/>
                      <w:b/>
                      <w:bCs/>
                      <w:kern w:val="0"/>
                      <w:szCs w:val="22"/>
                      <w:lang w:val="en-US" w:bidi="bn-IN"/>
                    </w:rPr>
                    <w:t>Impacts (System Outcomes)</w:t>
                  </w:r>
                </w:p>
              </w:tc>
              <w:tc>
                <w:tcPr>
                  <w:tcW w:w="0" w:type="auto"/>
                  <w:hideMark/>
                </w:tcPr>
                <w:p w14:paraId="1687A48F" w14:textId="77777777" w:rsidR="008E67E3" w:rsidRPr="008E67E3" w:rsidRDefault="008E67E3" w:rsidP="008E67E3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kern w:val="0"/>
                      <w:szCs w:val="22"/>
                      <w:lang w:val="en-US" w:bidi="bn-IN"/>
                    </w:rPr>
                  </w:pPr>
                  <w:r w:rsidRPr="008E67E3">
                    <w:rPr>
                      <w:rFonts w:ascii="Times New Roman" w:eastAsia="Times New Roman" w:hAnsi="Times New Roman"/>
                      <w:b/>
                      <w:bCs/>
                      <w:kern w:val="0"/>
                      <w:szCs w:val="22"/>
                      <w:lang w:val="en-US" w:bidi="bn-IN"/>
                    </w:rPr>
                    <w:t>Solutions (Integrated Responses)</w:t>
                  </w:r>
                </w:p>
              </w:tc>
            </w:tr>
            <w:tr w:rsidR="008E67E3" w:rsidRPr="008E67E3" w14:paraId="56C3FC25" w14:textId="77777777" w:rsidTr="00CB5134">
              <w:tc>
                <w:tcPr>
                  <w:tcW w:w="1773" w:type="dxa"/>
                  <w:hideMark/>
                </w:tcPr>
                <w:p w14:paraId="3A7B0B8F" w14:textId="77777777" w:rsidR="008E67E3" w:rsidRPr="008E67E3" w:rsidRDefault="008E67E3" w:rsidP="008E67E3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Cs w:val="22"/>
                      <w:lang w:val="en-US" w:bidi="bn-IN"/>
                    </w:rPr>
                  </w:pPr>
                  <w:r w:rsidRPr="008E67E3">
                    <w:rPr>
                      <w:rFonts w:ascii="Times New Roman" w:eastAsia="Times New Roman" w:hAnsi="Times New Roman"/>
                      <w:b/>
                      <w:bCs/>
                      <w:kern w:val="0"/>
                      <w:szCs w:val="22"/>
                      <w:lang w:val="en-US" w:bidi="bn-IN"/>
                    </w:rPr>
                    <w:t>Poor Communication in Health &amp; Social Care</w:t>
                  </w:r>
                </w:p>
              </w:tc>
              <w:tc>
                <w:tcPr>
                  <w:tcW w:w="2677" w:type="dxa"/>
                  <w:hideMark/>
                </w:tcPr>
                <w:p w14:paraId="1D774C2F" w14:textId="3DB162C0" w:rsidR="008E67E3" w:rsidRPr="008E67E3" w:rsidRDefault="008E67E3" w:rsidP="008E67E3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Cs w:val="22"/>
                      <w:lang w:val="en-US" w:bidi="bn-IN"/>
                    </w:rPr>
                  </w:pPr>
                  <w:r w:rsidRPr="008E67E3">
                    <w:rPr>
                      <w:rFonts w:ascii="Times New Roman" w:eastAsia="Times New Roman" w:hAnsi="Times New Roman"/>
                      <w:kern w:val="0"/>
                      <w:szCs w:val="22"/>
                      <w:lang w:val="en-US" w:bidi="bn-IN"/>
                    </w:rPr>
                    <w:t>Staff shortages leading to time pressure; lack of training in communication skills; fragmented digital systems; cultural and language barriers; hierarchical structures limiting information flow</w:t>
                  </w:r>
                </w:p>
              </w:tc>
              <w:tc>
                <w:tcPr>
                  <w:tcW w:w="0" w:type="auto"/>
                  <w:hideMark/>
                </w:tcPr>
                <w:p w14:paraId="04B27BBF" w14:textId="77777777" w:rsidR="008E67E3" w:rsidRPr="008E67E3" w:rsidRDefault="008E67E3" w:rsidP="008E67E3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Cs w:val="22"/>
                      <w:lang w:val="en-US" w:bidi="bn-IN"/>
                    </w:rPr>
                  </w:pPr>
                  <w:r w:rsidRPr="008E67E3">
                    <w:rPr>
                      <w:rFonts w:ascii="Times New Roman" w:eastAsia="Times New Roman" w:hAnsi="Times New Roman"/>
                      <w:kern w:val="0"/>
                      <w:szCs w:val="22"/>
                      <w:lang w:val="en-US" w:bidi="bn-IN"/>
                    </w:rPr>
                    <w:t>Increased medical errors; reduced patient safety; low patient satisfaction; staff burnout; delayed treatment and misdiagnosis</w:t>
                  </w:r>
                </w:p>
              </w:tc>
              <w:tc>
                <w:tcPr>
                  <w:tcW w:w="0" w:type="auto"/>
                  <w:hideMark/>
                </w:tcPr>
                <w:p w14:paraId="4E420B9A" w14:textId="77777777" w:rsidR="008E67E3" w:rsidRPr="008E67E3" w:rsidRDefault="008E67E3" w:rsidP="008E67E3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Cs w:val="22"/>
                      <w:lang w:val="en-US" w:bidi="bn-IN"/>
                    </w:rPr>
                  </w:pPr>
                  <w:r w:rsidRPr="008E67E3">
                    <w:rPr>
                      <w:rFonts w:ascii="Times New Roman" w:eastAsia="Times New Roman" w:hAnsi="Times New Roman"/>
                      <w:kern w:val="0"/>
                      <w:szCs w:val="22"/>
                      <w:lang w:val="en-US" w:bidi="bn-IN"/>
                    </w:rPr>
                    <w:t>Communication skills training; integrated electronic health records; multidisciplinary teamwork; use of interpreters and culturally sensitive care; leadership promoting open communication</w:t>
                  </w:r>
                </w:p>
              </w:tc>
            </w:tr>
          </w:tbl>
          <w:p w14:paraId="7D92E8A8" w14:textId="57811A9C" w:rsidR="008E67E3" w:rsidRPr="000B1AFC" w:rsidRDefault="008E67E3" w:rsidP="008E67E3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6022AAF3" w14:textId="1BCCA1B7" w:rsidR="00114199" w:rsidRDefault="008E67E3" w:rsidP="00021818">
            <w:r>
              <w:t xml:space="preserve">Basically, the poor communication is important issues that impacts the </w:t>
            </w:r>
            <w:r w:rsidRPr="008E67E3">
              <w:t>patient safety and service quality</w:t>
            </w:r>
            <w:r w:rsidR="00021818">
              <w:t xml:space="preserve"> </w:t>
            </w:r>
            <w:r w:rsidR="00021818" w:rsidRPr="00021818">
              <w:t>(Margosyan, 2020)</w:t>
            </w:r>
            <w:r w:rsidRPr="008E67E3">
              <w:t>.</w:t>
            </w:r>
            <w:r>
              <w:t xml:space="preserve"> The poor communication problem emerges from the </w:t>
            </w:r>
            <w:r w:rsidRPr="008E67E3">
              <w:t>interconnected factors such as workforce pressures, inadequate training, and fragmented digital systems.</w:t>
            </w:r>
            <w:r>
              <w:t xml:space="preserve"> For instances, the lack of staff in wards </w:t>
            </w:r>
            <w:r w:rsidRPr="008E67E3">
              <w:t>result in rushed handovers</w:t>
            </w:r>
            <w:r>
              <w:t xml:space="preserve"> leading to </w:t>
            </w:r>
            <w:r w:rsidRPr="008E67E3">
              <w:t>increasing the risk of clinical errors.</w:t>
            </w:r>
            <w:r>
              <w:t xml:space="preserve"> The </w:t>
            </w:r>
            <w:r w:rsidRPr="008E67E3">
              <w:t>misdiagnosis, reduced patient trust, and staff burnout</w:t>
            </w:r>
            <w:r>
              <w:t xml:space="preserve"> are the main impacts of poor communication that </w:t>
            </w:r>
            <w:r w:rsidRPr="008E67E3">
              <w:t>weakens care delivery.</w:t>
            </w:r>
            <w:r>
              <w:t xml:space="preserve"> </w:t>
            </w:r>
            <w:r w:rsidRPr="008E67E3">
              <w:t>Meadows</w:t>
            </w:r>
            <w:r>
              <w:t xml:space="preserve"> (</w:t>
            </w:r>
            <w:r w:rsidRPr="008E67E3">
              <w:t>2008</w:t>
            </w:r>
            <w:r>
              <w:t xml:space="preserve">) highlighted a </w:t>
            </w:r>
            <w:r w:rsidR="004F774F" w:rsidRPr="008E67E3">
              <w:t>system</w:t>
            </w:r>
            <w:r w:rsidRPr="008E67E3">
              <w:t xml:space="preserve"> thinking approach</w:t>
            </w:r>
            <w:r>
              <w:t xml:space="preserve"> that involves in addressing </w:t>
            </w:r>
            <w:r w:rsidRPr="008E67E3">
              <w:t>coordinated solutions such as integrated electronic health records and collaborative team practices.</w:t>
            </w:r>
          </w:p>
          <w:p w14:paraId="3892A2F6" w14:textId="2A94E654" w:rsidR="008E67E3" w:rsidRDefault="00E15DDA" w:rsidP="000B1A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val="en-US" w:eastAsia="en-GB"/>
                <w14:ligatures w14:val="standardContextual"/>
              </w:rPr>
              <w:drawing>
                <wp:inline distT="0" distB="0" distL="0" distR="0" wp14:anchorId="73E96854" wp14:editId="2AB736B2">
                  <wp:extent cx="2560225" cy="1049153"/>
                  <wp:effectExtent l="0" t="0" r="5715" b="5080"/>
                  <wp:docPr id="1101408986" name="Picture 1" descr="A screen shot of a whiteboard with black wri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408986" name="Picture 1" descr="A screen shot of a whiteboard with black writing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590" cy="1096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136FC">
              <w:rPr>
                <w:noProof/>
                <w:lang w:val="en-US" w:eastAsia="en-GB"/>
                <w14:ligatures w14:val="standardContextual"/>
              </w:rPr>
              <w:drawing>
                <wp:inline distT="0" distB="0" distL="0" distR="0" wp14:anchorId="2D54F331" wp14:editId="4D57B689">
                  <wp:extent cx="2404110" cy="998676"/>
                  <wp:effectExtent l="0" t="0" r="0" b="5080"/>
                  <wp:docPr id="891703095" name="Picture 1" descr="A paper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703095" name="Picture 1" descr="A paper with writing on i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2538" cy="1072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202E64" w14:textId="01680E8E" w:rsidR="008E67E3" w:rsidRPr="000B1AFC" w:rsidRDefault="008E67E3" w:rsidP="00021818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4199" w14:paraId="110F7451" w14:textId="77777777" w:rsidTr="00D66259">
        <w:tc>
          <w:tcPr>
            <w:tcW w:w="11766" w:type="dxa"/>
          </w:tcPr>
          <w:p w14:paraId="3B67BC59" w14:textId="58A741D9" w:rsidR="007A3640" w:rsidRDefault="007A3640" w:rsidP="00021818">
            <w:pPr>
              <w:pStyle w:val="Heading1"/>
              <w:rPr>
                <w:lang w:val="en-US" w:eastAsia="en-GB"/>
              </w:rPr>
            </w:pPr>
            <w:bookmarkStart w:id="3" w:name="_Toc224658787"/>
            <w:r>
              <w:rPr>
                <w:noProof/>
                <w:lang w:val="en-US" w:eastAsia="en-GB"/>
                <w14:ligatures w14:val="standardContextual"/>
              </w:rPr>
              <w:lastRenderedPageBreak/>
              <w:drawing>
                <wp:inline distT="0" distB="0" distL="0" distR="0" wp14:anchorId="7C3D3B5B" wp14:editId="541B04FF">
                  <wp:extent cx="2682875" cy="1925053"/>
                  <wp:effectExtent l="0" t="0" r="0" b="5715"/>
                  <wp:docPr id="448607689" name="Picture 2" descr="A piece of paper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8607689" name="Picture 2" descr="A piece of paper with writing on it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174" cy="1998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10062">
              <w:rPr>
                <w:noProof/>
                <w:lang w:val="en-US" w:eastAsia="en-GB"/>
                <w14:ligatures w14:val="standardContextual"/>
              </w:rPr>
              <w:drawing>
                <wp:inline distT="0" distB="0" distL="0" distR="0" wp14:anchorId="76FCB5EF" wp14:editId="4A0A6E6E">
                  <wp:extent cx="2184934" cy="1928495"/>
                  <wp:effectExtent l="0" t="0" r="0" b="1905"/>
                  <wp:docPr id="7414815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1481531" name="Picture 74148153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410" cy="1941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E2461">
              <w:rPr>
                <w:noProof/>
                <w:lang w:val="en-US" w:eastAsia="en-GB"/>
                <w14:ligatures w14:val="standardContextual"/>
              </w:rPr>
              <w:drawing>
                <wp:inline distT="0" distB="0" distL="0" distR="0" wp14:anchorId="23960C3B" wp14:editId="5783A4D0">
                  <wp:extent cx="2675824" cy="1972945"/>
                  <wp:effectExtent l="0" t="0" r="4445" b="0"/>
                  <wp:docPr id="1816329772" name="Picture 2" descr="A piece of paper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329772" name="Picture 2" descr="A piece of paper with writing on i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277" cy="1982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46490E" w14:textId="77777777" w:rsidR="007A3640" w:rsidRDefault="007A3640" w:rsidP="00021818">
            <w:pPr>
              <w:pStyle w:val="Heading1"/>
              <w:rPr>
                <w:lang w:val="en-US" w:eastAsia="en-GB"/>
              </w:rPr>
            </w:pPr>
          </w:p>
          <w:p w14:paraId="65340A0B" w14:textId="77777777" w:rsidR="007A3640" w:rsidRDefault="007A3640" w:rsidP="00021818">
            <w:pPr>
              <w:pStyle w:val="Heading1"/>
              <w:rPr>
                <w:lang w:val="en-US" w:eastAsia="en-GB"/>
              </w:rPr>
            </w:pPr>
          </w:p>
          <w:p w14:paraId="5CD63A79" w14:textId="1D75D29E" w:rsidR="00B44499" w:rsidRPr="005C28E8" w:rsidRDefault="00B44499" w:rsidP="00021818">
            <w:pPr>
              <w:pStyle w:val="Heading1"/>
              <w:rPr>
                <w:lang w:val="en-US" w:eastAsia="en-GB"/>
              </w:rPr>
            </w:pPr>
            <w:r w:rsidRPr="005C28E8">
              <w:rPr>
                <w:lang w:val="en-US" w:eastAsia="en-GB"/>
              </w:rPr>
              <w:t>Task 3 - Self-Reflection of Group Activity</w:t>
            </w:r>
            <w:bookmarkEnd w:id="3"/>
          </w:p>
          <w:p w14:paraId="2085E17A" w14:textId="1C0A70F0" w:rsidR="00B44499" w:rsidRPr="005C28E8" w:rsidRDefault="00B44499" w:rsidP="00021818">
            <w:pPr>
              <w:rPr>
                <w:lang w:eastAsia="en-GB"/>
              </w:rPr>
            </w:pPr>
            <w:r w:rsidRPr="005C28E8">
              <w:rPr>
                <w:b/>
                <w:bCs/>
                <w:lang w:val="en-US" w:eastAsia="en-GB"/>
              </w:rPr>
              <w:t>Question</w:t>
            </w:r>
            <w:r w:rsidRPr="005C28E8">
              <w:rPr>
                <w:lang w:val="en-US" w:eastAsia="en-GB"/>
              </w:rPr>
              <w:t xml:space="preserve"> - Write a short </w:t>
            </w:r>
            <w:r w:rsidR="004F774F" w:rsidRPr="005C28E8">
              <w:rPr>
                <w:lang w:val="en-US" w:eastAsia="en-GB"/>
              </w:rPr>
              <w:t>self-reflection.</w:t>
            </w:r>
            <w:r w:rsidRPr="005C28E8">
              <w:rPr>
                <w:lang w:val="en-US" w:eastAsia="en-GB"/>
              </w:rPr>
              <w:t xml:space="preserve"> </w:t>
            </w:r>
          </w:p>
          <w:p w14:paraId="1E4C4B5F" w14:textId="5F6D780C" w:rsidR="00114199" w:rsidRDefault="008E67E3" w:rsidP="008E67E3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We have used </w:t>
            </w:r>
            <w:r w:rsidRPr="008E67E3">
              <w:rPr>
                <w:lang w:eastAsia="en-GB"/>
              </w:rPr>
              <w:t>Gibbs’ Reflective Cycle (1988)</w:t>
            </w:r>
            <w:r>
              <w:rPr>
                <w:lang w:eastAsia="en-GB"/>
              </w:rPr>
              <w:t xml:space="preserve"> to reflect our learning because this model supports </w:t>
            </w:r>
            <w:r w:rsidRPr="008E67E3">
              <w:rPr>
                <w:lang w:eastAsia="en-GB"/>
              </w:rPr>
              <w:t>structured learning from experience.</w:t>
            </w:r>
            <w:r>
              <w:rPr>
                <w:lang w:eastAsia="en-GB"/>
              </w:rPr>
              <w:t xml:space="preserve"> </w:t>
            </w:r>
            <w:r w:rsidRPr="008E67E3">
              <w:rPr>
                <w:lang w:eastAsia="en-GB"/>
              </w:rPr>
              <w:t>Convergent thinking</w:t>
            </w:r>
            <w:r>
              <w:rPr>
                <w:lang w:eastAsia="en-GB"/>
              </w:rPr>
              <w:t xml:space="preserve"> refers to </w:t>
            </w:r>
            <w:r w:rsidR="00E02079" w:rsidRPr="00E02079">
              <w:rPr>
                <w:lang w:eastAsia="en-GB"/>
              </w:rPr>
              <w:t>narrowing ideas to identify the most effective solution</w:t>
            </w:r>
            <w:r w:rsidR="00E02079">
              <w:rPr>
                <w:lang w:eastAsia="en-GB"/>
              </w:rPr>
              <w:t xml:space="preserve">. To contrary, divergent thinking refers to </w:t>
            </w:r>
            <w:r w:rsidR="00E02079" w:rsidRPr="00E02079">
              <w:rPr>
                <w:lang w:eastAsia="en-GB"/>
              </w:rPr>
              <w:t>generating multiple creative possibilities</w:t>
            </w:r>
            <w:r w:rsidR="00021818">
              <w:rPr>
                <w:lang w:eastAsia="en-GB"/>
              </w:rPr>
              <w:t xml:space="preserve"> </w:t>
            </w:r>
            <w:r w:rsidR="00021818" w:rsidRPr="00021818">
              <w:rPr>
                <w:lang w:eastAsia="en-GB"/>
              </w:rPr>
              <w:t xml:space="preserve">(Ruchi </w:t>
            </w:r>
            <w:proofErr w:type="spellStart"/>
            <w:r w:rsidR="00021818" w:rsidRPr="00021818">
              <w:rPr>
                <w:lang w:eastAsia="en-GB"/>
              </w:rPr>
              <w:t>Sundriyal</w:t>
            </w:r>
            <w:proofErr w:type="spellEnd"/>
            <w:r w:rsidR="00021818" w:rsidRPr="00021818">
              <w:rPr>
                <w:lang w:eastAsia="en-GB"/>
              </w:rPr>
              <w:t xml:space="preserve"> and </w:t>
            </w:r>
            <w:proofErr w:type="spellStart"/>
            <w:r w:rsidR="00021818" w:rsidRPr="00021818">
              <w:rPr>
                <w:lang w:eastAsia="en-GB"/>
              </w:rPr>
              <w:t>Dr.</w:t>
            </w:r>
            <w:proofErr w:type="spellEnd"/>
            <w:r w:rsidR="00021818" w:rsidRPr="00021818">
              <w:rPr>
                <w:lang w:eastAsia="en-GB"/>
              </w:rPr>
              <w:t xml:space="preserve"> Ravindra Kumar, 2020)</w:t>
            </w:r>
            <w:r w:rsidR="00E02079" w:rsidRPr="00E02079">
              <w:rPr>
                <w:lang w:eastAsia="en-GB"/>
              </w:rPr>
              <w:t>.</w:t>
            </w:r>
            <w:r w:rsidR="00E02079">
              <w:rPr>
                <w:lang w:eastAsia="en-GB"/>
              </w:rPr>
              <w:t xml:space="preserve"> During the group working, I was involved in </w:t>
            </w:r>
            <w:r w:rsidR="00E02079" w:rsidRPr="00E02079">
              <w:rPr>
                <w:lang w:eastAsia="en-GB"/>
              </w:rPr>
              <w:t>divergent thinking by proposing several ideas to address the task</w:t>
            </w:r>
            <w:r w:rsidR="00E02079">
              <w:rPr>
                <w:lang w:eastAsia="en-GB"/>
              </w:rPr>
              <w:t xml:space="preserve">. This helped us </w:t>
            </w:r>
            <w:r w:rsidR="00E02079" w:rsidRPr="00E02079">
              <w:rPr>
                <w:lang w:eastAsia="en-GB"/>
              </w:rPr>
              <w:t>encouraging open discussion.</w:t>
            </w:r>
            <w:r w:rsidR="00E02079">
              <w:rPr>
                <w:lang w:eastAsia="en-GB"/>
              </w:rPr>
              <w:t xml:space="preserve"> When our group struggled to reach agreement, I recommended </w:t>
            </w:r>
            <w:r w:rsidR="00E02079" w:rsidRPr="00E02079">
              <w:rPr>
                <w:lang w:eastAsia="en-GB"/>
              </w:rPr>
              <w:t>a pros-and-cons list to evaluate options, demonstrating convergent thinking in practice.</w:t>
            </w:r>
            <w:r w:rsidR="00E02079">
              <w:rPr>
                <w:lang w:eastAsia="en-GB"/>
              </w:rPr>
              <w:t xml:space="preserve"> </w:t>
            </w:r>
          </w:p>
          <w:p w14:paraId="26832AD8" w14:textId="28366E70" w:rsidR="00E02079" w:rsidRPr="005C28E8" w:rsidRDefault="00E02079" w:rsidP="008E67E3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Through the divergent thinking, I felt more </w:t>
            </w:r>
            <w:r w:rsidR="00691366">
              <w:rPr>
                <w:lang w:eastAsia="en-GB"/>
              </w:rPr>
              <w:t>natural,</w:t>
            </w:r>
            <w:r>
              <w:rPr>
                <w:lang w:eastAsia="en-GB"/>
              </w:rPr>
              <w:t xml:space="preserve"> and I am now comfortable to generate new ideas. I came to understand that the </w:t>
            </w:r>
            <w:r w:rsidRPr="00E02079">
              <w:rPr>
                <w:lang w:eastAsia="en-GB"/>
              </w:rPr>
              <w:t>effective teamwork requires balancing creativity with critical evaluation.</w:t>
            </w:r>
            <w:r>
              <w:rPr>
                <w:lang w:eastAsia="en-GB"/>
              </w:rPr>
              <w:t xml:space="preserve"> More importantly, I understood contribution I made to my group and how my </w:t>
            </w:r>
            <w:r w:rsidRPr="00E02079">
              <w:rPr>
                <w:lang w:eastAsia="en-GB"/>
              </w:rPr>
              <w:t>contribution helped the group move from indecision to clarity, improving overall collaboration.</w:t>
            </w:r>
            <w:r>
              <w:rPr>
                <w:lang w:eastAsia="en-GB"/>
              </w:rPr>
              <w:t xml:space="preserve"> In future, I will focus on improved group members who can collaborate and </w:t>
            </w:r>
            <w:r w:rsidRPr="00E02079">
              <w:rPr>
                <w:lang w:eastAsia="en-GB"/>
              </w:rPr>
              <w:t>enhance the quality of decision-makin</w:t>
            </w:r>
            <w:r>
              <w:rPr>
                <w:lang w:eastAsia="en-GB"/>
              </w:rPr>
              <w:t>g through the group working.</w:t>
            </w:r>
          </w:p>
        </w:tc>
      </w:tr>
      <w:tr w:rsidR="00804E06" w14:paraId="7E37D0A5" w14:textId="77777777" w:rsidTr="00D66259">
        <w:tc>
          <w:tcPr>
            <w:tcW w:w="11766" w:type="dxa"/>
          </w:tcPr>
          <w:p w14:paraId="2AA66D78" w14:textId="6079FFBE" w:rsidR="00662BC6" w:rsidRDefault="00662BC6" w:rsidP="00021818">
            <w:pPr>
              <w:pStyle w:val="Heading1"/>
            </w:pPr>
            <w:bookmarkStart w:id="4" w:name="_Toc224658788"/>
            <w:r>
              <w:rPr>
                <w:noProof/>
                <w14:ligatures w14:val="standardContextual"/>
              </w:rPr>
              <w:lastRenderedPageBreak/>
              <w:drawing>
                <wp:inline distT="0" distB="0" distL="0" distR="0" wp14:anchorId="63715677" wp14:editId="49F5BBF3">
                  <wp:extent cx="1963554" cy="1885490"/>
                  <wp:effectExtent l="0" t="0" r="5080" b="0"/>
                  <wp:docPr id="154048465" name="Picture 1" descr="A close up of a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048465" name="Picture 1" descr="A close up of a paper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231" cy="2068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46B9C">
              <w:rPr>
                <w:noProof/>
                <w14:ligatures w14:val="standardContextual"/>
              </w:rPr>
              <w:drawing>
                <wp:inline distT="0" distB="0" distL="0" distR="0" wp14:anchorId="6B7E55B8" wp14:editId="68001A1C">
                  <wp:extent cx="2752825" cy="1877060"/>
                  <wp:effectExtent l="0" t="0" r="3175" b="2540"/>
                  <wp:docPr id="589250028" name="Picture 2" descr="A paper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50028" name="Picture 2" descr="A paper with writing on it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800" cy="1911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7528C">
              <w:rPr>
                <w:noProof/>
                <w14:ligatures w14:val="standardContextual"/>
              </w:rPr>
              <w:drawing>
                <wp:inline distT="0" distB="0" distL="0" distR="0" wp14:anchorId="435517A8" wp14:editId="4BE65FD9">
                  <wp:extent cx="2499995" cy="1876822"/>
                  <wp:effectExtent l="0" t="0" r="1905" b="3175"/>
                  <wp:docPr id="1645169750" name="Picture 3" descr="A piece of paper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5169750" name="Picture 3" descr="A piece of paper with writing on it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4849" cy="191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AE88F" w14:textId="182CB5F2" w:rsidR="00804E06" w:rsidRPr="00804E06" w:rsidRDefault="00804E06" w:rsidP="00021818">
            <w:pPr>
              <w:pStyle w:val="Heading1"/>
            </w:pPr>
            <w:r w:rsidRPr="00804E06">
              <w:t>Task 4– Case Study Analysis of a UK Innovation</w:t>
            </w:r>
            <w:bookmarkEnd w:id="4"/>
          </w:p>
          <w:p w14:paraId="218913EB" w14:textId="72821E73" w:rsidR="005F4003" w:rsidRDefault="00804E06" w:rsidP="005F4003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804E06">
              <w:rPr>
                <w:rFonts w:ascii="Arial" w:hAnsi="Arial" w:cs="Arial"/>
                <w:b/>
                <w:bCs/>
                <w:sz w:val="22"/>
                <w:szCs w:val="22"/>
              </w:rPr>
              <w:t>Question</w:t>
            </w:r>
            <w:r w:rsidRPr="00804E06">
              <w:rPr>
                <w:rFonts w:ascii="Arial" w:hAnsi="Arial" w:cs="Arial"/>
                <w:sz w:val="22"/>
                <w:szCs w:val="22"/>
              </w:rPr>
              <w:t xml:space="preserve"> - Choose a real innovation in the NHS or UK social care </w:t>
            </w:r>
            <w:r w:rsidR="005F4003">
              <w:rPr>
                <w:rFonts w:ascii="Arial" w:hAnsi="Arial" w:cs="Arial"/>
                <w:sz w:val="22"/>
                <w:szCs w:val="22"/>
              </w:rPr>
              <w:t xml:space="preserve">“Virtual </w:t>
            </w:r>
            <w:r w:rsidR="001B3EBC">
              <w:rPr>
                <w:rFonts w:ascii="Arial" w:hAnsi="Arial" w:cs="Arial"/>
                <w:sz w:val="22"/>
                <w:szCs w:val="22"/>
              </w:rPr>
              <w:t>Wards”.</w:t>
            </w:r>
          </w:p>
          <w:p w14:paraId="2AFD5938" w14:textId="77777777" w:rsidR="005F4003" w:rsidRPr="00804E06" w:rsidRDefault="005F4003" w:rsidP="005F4003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2424E79F" w14:textId="77777777" w:rsidR="00804E06" w:rsidRDefault="00A17304" w:rsidP="00A17304">
            <w:r w:rsidRPr="00A17304">
              <w:t>NHS installed virtual wards within a view to addressing the urgent pressures on hospital capacity and rising waiting lists. The hospital at home embedded by NHS enables the patients to receive hospital-level care safely in their own homes. With a view to preventing the unnecessary hospital admissions and support early discharge, this innovation came to mind of the NHS where the innovation started applying after the COVID</w:t>
            </w:r>
            <w:r w:rsidRPr="00A17304">
              <w:rPr>
                <w:rFonts w:ascii="Cambria Math" w:hAnsi="Cambria Math" w:cs="Cambria Math"/>
              </w:rPr>
              <w:t>‑</w:t>
            </w:r>
            <w:r w:rsidRPr="00A17304">
              <w:t>19 pandemic when acute services were stretched beyond capacity.</w:t>
            </w:r>
          </w:p>
          <w:p w14:paraId="7B0E66C8" w14:textId="77777777" w:rsidR="005F12C8" w:rsidRDefault="00A17304" w:rsidP="00A17304">
            <w:r>
              <w:t xml:space="preserve">The creativity was aligned with development of “virtual Wards” because it integrates the </w:t>
            </w:r>
            <w:r w:rsidRPr="00A17304">
              <w:t>remote monitoring technologies, multidisciplinary care teams, and telehealth systems to reimagine traditional inpatient care.</w:t>
            </w:r>
            <w:r w:rsidR="005F12C8">
              <w:t xml:space="preserve"> Virtual Wards integrate some </w:t>
            </w:r>
            <w:r w:rsidR="005F12C8" w:rsidRPr="005F12C8">
              <w:t>digital tools such as apps and connected devices to remotely gather vital clinical data</w:t>
            </w:r>
            <w:r w:rsidR="005F12C8">
              <w:t xml:space="preserve">. This integration improves the </w:t>
            </w:r>
            <w:r w:rsidR="005F12C8" w:rsidRPr="005F12C8">
              <w:t>clinicians to make timely decisions without physical hospital beds.</w:t>
            </w:r>
          </w:p>
          <w:p w14:paraId="18EE04B8" w14:textId="6CFF75A2" w:rsidR="00A17304" w:rsidRPr="000751B5" w:rsidRDefault="005F12C8" w:rsidP="000751B5">
            <w:r>
              <w:t xml:space="preserve">The Virtual has created substantial value for the care process because it reduced the </w:t>
            </w:r>
            <w:r w:rsidRPr="005F12C8">
              <w:t>reduced non</w:t>
            </w:r>
            <w:r w:rsidRPr="005F12C8">
              <w:rPr>
                <w:rFonts w:ascii="Cambria Math" w:hAnsi="Cambria Math" w:cs="Cambria Math"/>
              </w:rPr>
              <w:t>‑</w:t>
            </w:r>
            <w:r w:rsidRPr="005F12C8">
              <w:t xml:space="preserve">elective admissions, freed hospital beds, and delivered net financial benefits (approximately </w:t>
            </w:r>
            <w:r w:rsidRPr="005F12C8">
              <w:rPr>
                <w:rFonts w:cs="Arial"/>
              </w:rPr>
              <w:t>£</w:t>
            </w:r>
            <w:r w:rsidRPr="005F12C8">
              <w:t>10.4</w:t>
            </w:r>
            <w:r w:rsidRPr="005F12C8">
              <w:rPr>
                <w:rFonts w:cs="Arial"/>
              </w:rPr>
              <w:t> </w:t>
            </w:r>
            <w:r w:rsidRPr="005F12C8">
              <w:t xml:space="preserve">million in the </w:t>
            </w:r>
            <w:r w:rsidR="00AE0065" w:rsidRPr="005F12C8">
              <w:t>Southeast</w:t>
            </w:r>
            <w:r w:rsidRPr="005F12C8">
              <w:t xml:space="preserve"> region alone)</w:t>
            </w:r>
            <w:r>
              <w:t xml:space="preserve">. However, the virtual wards improve the </w:t>
            </w:r>
            <w:r w:rsidRPr="005F12C8">
              <w:t>patient comfort and safety.</w:t>
            </w:r>
            <w:r>
              <w:t xml:space="preserve"> This innovation related the </w:t>
            </w:r>
            <w:r w:rsidRPr="005F12C8">
              <w:t>Diffusion of Innovation Theory</w:t>
            </w:r>
            <w:r>
              <w:t xml:space="preserve">. As adoption of the virtual wards rely on the </w:t>
            </w:r>
            <w:r w:rsidRPr="005F12C8">
              <w:t>perceived usefulness, compatibility, and advantage over existing model</w:t>
            </w:r>
            <w:r>
              <w:t xml:space="preserve">. </w:t>
            </w:r>
          </w:p>
        </w:tc>
      </w:tr>
      <w:tr w:rsidR="00804E06" w14:paraId="0F49A4AD" w14:textId="77777777" w:rsidTr="00D66259">
        <w:tc>
          <w:tcPr>
            <w:tcW w:w="11766" w:type="dxa"/>
          </w:tcPr>
          <w:p w14:paraId="58B2CC10" w14:textId="4504EE97" w:rsidR="005F12C8" w:rsidRDefault="00804E06" w:rsidP="00021818">
            <w:pPr>
              <w:pStyle w:val="Heading1"/>
              <w:rPr>
                <w:lang w:val="en-US" w:eastAsia="en-GB"/>
              </w:rPr>
            </w:pPr>
            <w:bookmarkStart w:id="5" w:name="_Toc224658789"/>
            <w:r w:rsidRPr="000812B9">
              <w:rPr>
                <w:lang w:val="en-US" w:eastAsia="en-GB"/>
              </w:rPr>
              <w:lastRenderedPageBreak/>
              <w:t>Task 5 - Research Task</w:t>
            </w:r>
            <w:bookmarkEnd w:id="5"/>
            <w:r w:rsidRPr="000812B9">
              <w:rPr>
                <w:lang w:val="en-US" w:eastAsia="en-GB"/>
              </w:rP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266"/>
              <w:gridCol w:w="2880"/>
              <w:gridCol w:w="3242"/>
            </w:tblGrid>
            <w:tr w:rsidR="000751B5" w:rsidRPr="00D227F5" w14:paraId="1227440C" w14:textId="77777777" w:rsidTr="000751B5">
              <w:tc>
                <w:tcPr>
                  <w:tcW w:w="2668" w:type="dxa"/>
                  <w:shd w:val="clear" w:color="auto" w:fill="0E2841" w:themeFill="text2"/>
                  <w:hideMark/>
                </w:tcPr>
                <w:p w14:paraId="061D287F" w14:textId="1293580C" w:rsidR="00D227F5" w:rsidRPr="00D227F5" w:rsidRDefault="000751B5" w:rsidP="00D227F5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kern w:val="0"/>
                      <w:sz w:val="20"/>
                      <w:szCs w:val="20"/>
                      <w:lang w:val="en-US" w:bidi="bn-IN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kern w:val="0"/>
                      <w:sz w:val="20"/>
                      <w:szCs w:val="20"/>
                      <w:lang w:val="en-US" w:bidi="bn-IN"/>
                    </w:rPr>
                    <w:t>S</w:t>
                  </w:r>
                  <w:r w:rsidR="00D227F5" w:rsidRPr="000751B5">
                    <w:rPr>
                      <w:rFonts w:ascii="Times New Roman" w:eastAsia="Times New Roman" w:hAnsi="Times New Roman"/>
                      <w:b/>
                      <w:bCs/>
                      <w:kern w:val="0"/>
                      <w:sz w:val="20"/>
                      <w:szCs w:val="20"/>
                      <w:lang w:val="en-US" w:bidi="bn-IN"/>
                    </w:rPr>
                    <w:t>ources</w:t>
                  </w:r>
                </w:p>
              </w:tc>
              <w:tc>
                <w:tcPr>
                  <w:tcW w:w="2880" w:type="dxa"/>
                  <w:shd w:val="clear" w:color="auto" w:fill="0E2841" w:themeFill="text2"/>
                  <w:hideMark/>
                </w:tcPr>
                <w:p w14:paraId="27A735FA" w14:textId="77777777" w:rsidR="00D227F5" w:rsidRPr="00D227F5" w:rsidRDefault="00D227F5" w:rsidP="00D227F5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kern w:val="0"/>
                      <w:sz w:val="20"/>
                      <w:szCs w:val="20"/>
                      <w:lang w:val="en-US" w:bidi="bn-IN"/>
                    </w:rPr>
                  </w:pPr>
                  <w:r w:rsidRPr="00D227F5">
                    <w:rPr>
                      <w:rFonts w:ascii="Times New Roman" w:eastAsia="Times New Roman" w:hAnsi="Times New Roman"/>
                      <w:b/>
                      <w:bCs/>
                      <w:kern w:val="0"/>
                      <w:sz w:val="20"/>
                      <w:szCs w:val="20"/>
                      <w:lang w:val="en-US" w:bidi="bn-IN"/>
                    </w:rPr>
                    <w:t>Causes of Staff Stress</w:t>
                  </w:r>
                </w:p>
              </w:tc>
              <w:tc>
                <w:tcPr>
                  <w:tcW w:w="3242" w:type="dxa"/>
                  <w:shd w:val="clear" w:color="auto" w:fill="0E2841" w:themeFill="text2"/>
                  <w:hideMark/>
                </w:tcPr>
                <w:p w14:paraId="54CE873E" w14:textId="77777777" w:rsidR="00D227F5" w:rsidRPr="00D227F5" w:rsidRDefault="00D227F5" w:rsidP="00D227F5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kern w:val="0"/>
                      <w:sz w:val="20"/>
                      <w:szCs w:val="20"/>
                      <w:lang w:val="en-US" w:bidi="bn-IN"/>
                    </w:rPr>
                  </w:pPr>
                  <w:r w:rsidRPr="00D227F5">
                    <w:rPr>
                      <w:rFonts w:ascii="Times New Roman" w:eastAsia="Times New Roman" w:hAnsi="Times New Roman"/>
                      <w:b/>
                      <w:bCs/>
                      <w:kern w:val="0"/>
                      <w:sz w:val="20"/>
                      <w:szCs w:val="20"/>
                      <w:lang w:val="en-US" w:bidi="bn-IN"/>
                    </w:rPr>
                    <w:t>How this helps understand the problem</w:t>
                  </w:r>
                </w:p>
              </w:tc>
            </w:tr>
            <w:tr w:rsidR="000751B5" w:rsidRPr="00D227F5" w14:paraId="2DE89678" w14:textId="77777777" w:rsidTr="000751B5">
              <w:tc>
                <w:tcPr>
                  <w:tcW w:w="2668" w:type="dxa"/>
                  <w:hideMark/>
                </w:tcPr>
                <w:p w14:paraId="076A30C4" w14:textId="77777777" w:rsidR="00D227F5" w:rsidRPr="00D227F5" w:rsidRDefault="00D227F5" w:rsidP="00D227F5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</w:pP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Wei, L. C. &amp; </w:t>
                  </w:r>
                  <w:proofErr w:type="spellStart"/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Mahadi</w:t>
                  </w:r>
                  <w:proofErr w:type="spellEnd"/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, N. (2025). </w:t>
                  </w:r>
                  <w:r w:rsidRPr="00D227F5">
                    <w:rPr>
                      <w:rFonts w:ascii="Times New Roman" w:eastAsia="Times New Roman" w:hAnsi="Times New Roman"/>
                      <w:i/>
                      <w:iCs/>
                      <w:kern w:val="0"/>
                      <w:sz w:val="20"/>
                      <w:szCs w:val="20"/>
                      <w:lang w:val="en-US" w:bidi="bn-IN"/>
                    </w:rPr>
                    <w:t xml:space="preserve">Stress and Burnout among Healthcare Workers: </w:t>
                  </w:r>
                  <w:proofErr w:type="gramStart"/>
                  <w:r w:rsidRPr="00D227F5">
                    <w:rPr>
                      <w:rFonts w:ascii="Times New Roman" w:eastAsia="Times New Roman" w:hAnsi="Times New Roman"/>
                      <w:i/>
                      <w:iCs/>
                      <w:kern w:val="0"/>
                      <w:sz w:val="20"/>
                      <w:szCs w:val="20"/>
                      <w:lang w:val="en-US" w:bidi="bn-IN"/>
                    </w:rPr>
                    <w:t>an</w:t>
                  </w:r>
                  <w:proofErr w:type="gramEnd"/>
                  <w:r w:rsidRPr="00D227F5">
                    <w:rPr>
                      <w:rFonts w:ascii="Times New Roman" w:eastAsia="Times New Roman" w:hAnsi="Times New Roman"/>
                      <w:i/>
                      <w:iCs/>
                      <w:kern w:val="0"/>
                      <w:sz w:val="20"/>
                      <w:szCs w:val="20"/>
                      <w:lang w:val="en-US" w:bidi="bn-IN"/>
                    </w:rPr>
                    <w:t xml:space="preserve"> Organizational Culture Perspective.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 </w:t>
                  </w:r>
                  <w:r w:rsidRPr="00D227F5">
                    <w:rPr>
                      <w:rFonts w:ascii="Times New Roman" w:eastAsia="Times New Roman" w:hAnsi="Times New Roman"/>
                      <w:i/>
                      <w:iCs/>
                      <w:kern w:val="0"/>
                      <w:sz w:val="20"/>
                      <w:szCs w:val="20"/>
                      <w:lang w:val="en-US" w:bidi="bn-IN"/>
                    </w:rPr>
                    <w:t>International Journal of Academic Research in Progressive Education and Development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, 14(3), 1048–1057. DOI:10.6007/IJARPED/v14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noBreakHyphen/>
                    <w:t>i3/26169</w:t>
                  </w:r>
                </w:p>
              </w:tc>
              <w:tc>
                <w:tcPr>
                  <w:tcW w:w="2880" w:type="dxa"/>
                  <w:hideMark/>
                </w:tcPr>
                <w:p w14:paraId="0FDD8FB8" w14:textId="39B963C5" w:rsidR="00D227F5" w:rsidRPr="00D227F5" w:rsidRDefault="00D227F5" w:rsidP="00D227F5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</w:pP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Excessive job demands relative to </w:t>
                  </w:r>
                  <w:r w:rsidR="005079C0"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resources,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 high workload, emotional demands, systemic inefficiencies. This imbalance (Job Demands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noBreakHyphen/>
                    <w:t>Resources model) intensifies emotional exhaustion and burnout.</w:t>
                  </w:r>
                </w:p>
              </w:tc>
              <w:tc>
                <w:tcPr>
                  <w:tcW w:w="3242" w:type="dxa"/>
                  <w:hideMark/>
                </w:tcPr>
                <w:p w14:paraId="41DF4861" w14:textId="4EF376F8" w:rsidR="00D227F5" w:rsidRPr="00D227F5" w:rsidRDefault="00D227F5" w:rsidP="00D227F5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</w:pP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Shows that stress arises not only from individual workload but system and culture. It highlights that workplace environment shapes stress levels, reinforcing the need for </w:t>
                  </w:r>
                  <w:r w:rsidR="005079C0"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organizational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 change alongside individual support.</w:t>
                  </w:r>
                </w:p>
              </w:tc>
            </w:tr>
            <w:tr w:rsidR="000751B5" w:rsidRPr="00D227F5" w14:paraId="6722C61C" w14:textId="77777777" w:rsidTr="000751B5">
              <w:tc>
                <w:tcPr>
                  <w:tcW w:w="2668" w:type="dxa"/>
                  <w:hideMark/>
                </w:tcPr>
                <w:p w14:paraId="4EE13C48" w14:textId="2CE7F287" w:rsidR="00D227F5" w:rsidRPr="00D227F5" w:rsidRDefault="005079C0" w:rsidP="00D227F5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</w:pP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Alhassan</w:t>
                  </w:r>
                  <w:r w:rsidR="00D227F5"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, F. K. &amp; 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Alhassan</w:t>
                  </w:r>
                  <w:r w:rsidR="00D227F5"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, H. H. (2024). </w:t>
                  </w:r>
                  <w:r w:rsidR="00D227F5" w:rsidRPr="00D227F5">
                    <w:rPr>
                      <w:rFonts w:ascii="Times New Roman" w:eastAsia="Times New Roman" w:hAnsi="Times New Roman"/>
                      <w:i/>
                      <w:iCs/>
                      <w:kern w:val="0"/>
                      <w:sz w:val="20"/>
                      <w:szCs w:val="20"/>
                      <w:lang w:val="en-US" w:bidi="bn-IN"/>
                    </w:rPr>
                    <w:t>Occupational Stress and Burnout in Healthcare Workers: Causes, Consequences, and Solutions.</w:t>
                  </w:r>
                  <w:r w:rsidR="00D227F5"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 </w:t>
                  </w:r>
                  <w:r w:rsidR="00D227F5" w:rsidRPr="00D227F5">
                    <w:rPr>
                      <w:rFonts w:ascii="Times New Roman" w:eastAsia="Times New Roman" w:hAnsi="Times New Roman"/>
                      <w:i/>
                      <w:iCs/>
                      <w:kern w:val="0"/>
                      <w:sz w:val="20"/>
                      <w:szCs w:val="20"/>
                      <w:lang w:val="en-US" w:bidi="bn-IN"/>
                    </w:rPr>
                    <w:t>Journal of International Crisis and Risk Communication Research</w:t>
                  </w:r>
                  <w:r w:rsidR="00D227F5"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, Vol. 7(3), 224–236.</w:t>
                  </w:r>
                </w:p>
              </w:tc>
              <w:tc>
                <w:tcPr>
                  <w:tcW w:w="2880" w:type="dxa"/>
                  <w:hideMark/>
                </w:tcPr>
                <w:p w14:paraId="31D262F5" w14:textId="2CC5EE80" w:rsidR="00D227F5" w:rsidRPr="00D227F5" w:rsidRDefault="00D227F5" w:rsidP="00D227F5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</w:pP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Occupational pressures include emotional exhaustion, high patient loads, inadequate </w:t>
                  </w:r>
                  <w:r w:rsidR="005079C0"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organizational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 support, and poor work–life balance. These contribute to chronic stress and burnout</w:t>
                  </w:r>
                  <w:r w:rsidR="00021818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 xml:space="preserve"> </w:t>
                  </w:r>
                  <w:r w:rsidR="00021818" w:rsidRPr="00021818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(</w:t>
                  </w:r>
                  <w:proofErr w:type="spellStart"/>
                  <w:r w:rsidR="00021818" w:rsidRPr="00021818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Wuwei</w:t>
                  </w:r>
                  <w:proofErr w:type="spellEnd"/>
                  <w:r w:rsidR="00021818" w:rsidRPr="00021818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, 2024)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.</w:t>
                  </w:r>
                </w:p>
              </w:tc>
              <w:tc>
                <w:tcPr>
                  <w:tcW w:w="3242" w:type="dxa"/>
                  <w:hideMark/>
                </w:tcPr>
                <w:p w14:paraId="6F2B31CF" w14:textId="28CFF629" w:rsidR="00D227F5" w:rsidRPr="00D227F5" w:rsidRDefault="00D227F5" w:rsidP="00D227F5">
                  <w:pPr>
                    <w:spacing w:line="240" w:lineRule="auto"/>
                    <w:jc w:val="left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</w:pP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t>Helps understand that everyday pressures such as poor staffing and lack of support drive stress, impacting staff well</w:t>
                  </w:r>
                  <w:r w:rsidRPr="00D227F5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val="en-US" w:bidi="bn-IN"/>
                    </w:rPr>
                    <w:noBreakHyphen/>
                    <w:t>being and care quality. Highlights the need for comprehensive interventions, not just individual coping.</w:t>
                  </w:r>
                </w:p>
              </w:tc>
            </w:tr>
          </w:tbl>
          <w:p w14:paraId="580E580E" w14:textId="77777777" w:rsidR="00D227F5" w:rsidRPr="000812B9" w:rsidRDefault="00D227F5" w:rsidP="005F12C8">
            <w:pPr>
              <w:pStyle w:val="NoSpacing"/>
              <w:rPr>
                <w:rFonts w:ascii="Arial" w:eastAsiaTheme="majorEastAsia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1F1DCB41" w14:textId="248B8724" w:rsidR="00804E06" w:rsidRPr="000812B9" w:rsidRDefault="00FC264D" w:rsidP="000812B9">
            <w:pPr>
              <w:pStyle w:val="NoSpacing"/>
              <w:rPr>
                <w:rFonts w:ascii="Arial" w:eastAsiaTheme="majorEastAsia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b/>
                <w:bCs/>
                <w:noProof/>
                <w:color w:val="000000"/>
                <w:sz w:val="20"/>
                <w:szCs w:val="20"/>
                <w14:ligatures w14:val="standardContextual"/>
              </w:rPr>
              <w:drawing>
                <wp:inline distT="0" distB="0" distL="0" distR="0" wp14:anchorId="730C37D6" wp14:editId="2107F95A">
                  <wp:extent cx="2625426" cy="1433797"/>
                  <wp:effectExtent l="0" t="0" r="3810" b="1905"/>
                  <wp:docPr id="1927788204" name="Picture 1" descr="A white paper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7788204" name="Picture 1" descr="A white paper with writing on it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137" cy="1451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Theme="majorEastAsia" w:hAnsi="Arial" w:cs="Arial"/>
                <w:b/>
                <w:bCs/>
                <w:noProof/>
                <w:color w:val="000000"/>
                <w:sz w:val="20"/>
                <w:szCs w:val="20"/>
                <w14:ligatures w14:val="standardContextual"/>
              </w:rPr>
              <w:drawing>
                <wp:inline distT="0" distB="0" distL="0" distR="0" wp14:anchorId="39BCB41E" wp14:editId="64FA0A1D">
                  <wp:extent cx="2183765" cy="1431777"/>
                  <wp:effectExtent l="0" t="0" r="635" b="3810"/>
                  <wp:docPr id="203828954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8289542" name="Picture 2038289542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091" cy="1452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F6544">
              <w:rPr>
                <w:rFonts w:ascii="Arial" w:eastAsiaTheme="majorEastAsia" w:hAnsi="Arial" w:cs="Arial"/>
                <w:b/>
                <w:bCs/>
                <w:noProof/>
                <w:color w:val="000000"/>
                <w:sz w:val="20"/>
                <w:szCs w:val="20"/>
                <w14:ligatures w14:val="standardContextual"/>
              </w:rPr>
              <w:drawing>
                <wp:inline distT="0" distB="0" distL="0" distR="0" wp14:anchorId="17CC36AA" wp14:editId="5730990D">
                  <wp:extent cx="2991982" cy="1568918"/>
                  <wp:effectExtent l="0" t="0" r="5715" b="6350"/>
                  <wp:docPr id="61399030" name="Picture 3" descr="A screenshot of a computer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99030" name="Picture 3" descr="A screenshot of a computer screen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4244" cy="1575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0B3316" w14:textId="78D5DA9B" w:rsidR="00804E06" w:rsidRPr="00606E6E" w:rsidRDefault="00804E06" w:rsidP="00606E6E">
            <w:pPr>
              <w:rPr>
                <w:b/>
                <w:bCs/>
              </w:rPr>
            </w:pPr>
            <w:r w:rsidRPr="00606E6E">
              <w:rPr>
                <w:b/>
                <w:bCs/>
              </w:rPr>
              <w:t>What causes does each source suggest?</w:t>
            </w:r>
            <w:r w:rsidR="00FC264D">
              <w:rPr>
                <w:rFonts w:eastAsiaTheme="majorEastAsia" w:cs="Arial"/>
                <w:b/>
                <w:bCs/>
                <w:noProof/>
                <w:color w:val="000000"/>
                <w:sz w:val="20"/>
                <w:szCs w:val="20"/>
                <w14:ligatures w14:val="standardContextual"/>
              </w:rPr>
              <w:t xml:space="preserve"> </w:t>
            </w:r>
          </w:p>
          <w:p w14:paraId="5F7B978C" w14:textId="735D8258" w:rsidR="00D227F5" w:rsidRPr="00CE535F" w:rsidRDefault="000751B5" w:rsidP="004061C5">
            <w:r>
              <w:t>T</w:t>
            </w:r>
            <w:r w:rsidR="00021818">
              <w:t>he</w:t>
            </w:r>
            <w:r>
              <w:t xml:space="preserve"> </w:t>
            </w:r>
            <w:r w:rsidRPr="000751B5">
              <w:t>staff stress in health and social care is multidimensional</w:t>
            </w:r>
            <w:r>
              <w:t xml:space="preserve"> because the problem is embedded in </w:t>
            </w:r>
            <w:r w:rsidRPr="000751B5">
              <w:t>work demands and organisational contexts</w:t>
            </w:r>
            <w:r w:rsidR="00021818">
              <w:t xml:space="preserve"> </w:t>
            </w:r>
            <w:r w:rsidR="00021818" w:rsidRPr="00021818">
              <w:t>(Pratt, 2020)</w:t>
            </w:r>
            <w:r w:rsidRPr="000751B5">
              <w:t>.</w:t>
            </w:r>
            <w:r>
              <w:t xml:space="preserve"> The first article outlined that the stress is within the job demand-resource model like </w:t>
            </w:r>
            <w:r w:rsidRPr="000751B5">
              <w:t>pressure, emotional labour, high patient needs</w:t>
            </w:r>
            <w:r>
              <w:t>.</w:t>
            </w:r>
          </w:p>
          <w:p w14:paraId="7C9ADB07" w14:textId="77777777" w:rsidR="00804E06" w:rsidRPr="00606E6E" w:rsidRDefault="00804E06" w:rsidP="00606E6E">
            <w:pPr>
              <w:rPr>
                <w:b/>
                <w:bCs/>
              </w:rPr>
            </w:pPr>
            <w:r w:rsidRPr="00606E6E">
              <w:rPr>
                <w:b/>
                <w:bCs/>
              </w:rPr>
              <w:t>How do the two articles agree or differ?</w:t>
            </w:r>
          </w:p>
          <w:p w14:paraId="3E4C46EC" w14:textId="6920A1BE" w:rsidR="000751B5" w:rsidRPr="000812B9" w:rsidRDefault="000751B5" w:rsidP="004061C5">
            <w:r>
              <w:t>While first article demonstrates that</w:t>
            </w:r>
            <w:r w:rsidRPr="000751B5">
              <w:t xml:space="preserve"> staff stress isn’t solely individual but emerges from the organisational culture and workload expectations</w:t>
            </w:r>
            <w:r>
              <w:t xml:space="preserve">. The second article demonstrated that the </w:t>
            </w:r>
            <w:r w:rsidRPr="000751B5">
              <w:t>specific occupational pressures such as emotional exhaustion from continuous patient interaction</w:t>
            </w:r>
            <w:r>
              <w:t xml:space="preserve"> with heavy pressure from the workload.  </w:t>
            </w:r>
            <w:r w:rsidR="005079C0">
              <w:t>Both source/article</w:t>
            </w:r>
            <w:r>
              <w:t xml:space="preserve"> emphasis over the </w:t>
            </w:r>
            <w:r w:rsidRPr="000751B5">
              <w:t>high workloads and poor organisational support</w:t>
            </w:r>
            <w:r>
              <w:t xml:space="preserve"> that created the problem</w:t>
            </w:r>
            <w:r w:rsidR="00021818">
              <w:t xml:space="preserve"> </w:t>
            </w:r>
            <w:r w:rsidR="00021818" w:rsidRPr="00021818">
              <w:t>(Law and Rowe, 2018)</w:t>
            </w:r>
            <w:r>
              <w:t xml:space="preserve">. Both articles came to agree that it requires </w:t>
            </w:r>
            <w:r w:rsidRPr="000751B5">
              <w:t>systemic change, improved support structures</w:t>
            </w:r>
            <w:r>
              <w:t xml:space="preserve"> to address the problem.</w:t>
            </w:r>
          </w:p>
        </w:tc>
      </w:tr>
      <w:tr w:rsidR="00804E06" w14:paraId="72451D9A" w14:textId="77777777" w:rsidTr="00D66259">
        <w:tc>
          <w:tcPr>
            <w:tcW w:w="11766" w:type="dxa"/>
          </w:tcPr>
          <w:p w14:paraId="1C5F24D5" w14:textId="7681C5B4" w:rsidR="00804E06" w:rsidRDefault="00804E06" w:rsidP="00021818">
            <w:pPr>
              <w:pStyle w:val="Heading1"/>
              <w:rPr>
                <w:lang w:val="en-US" w:eastAsia="en-GB"/>
              </w:rPr>
            </w:pPr>
            <w:bookmarkStart w:id="6" w:name="_Toc224658790"/>
            <w:r w:rsidRPr="000812B9">
              <w:rPr>
                <w:lang w:val="en-US" w:eastAsia="en-GB"/>
              </w:rPr>
              <w:lastRenderedPageBreak/>
              <w:t>Task 6 - Exploring Digital Innovation in Health and Social Care</w:t>
            </w:r>
            <w:bookmarkEnd w:id="6"/>
            <w:r w:rsidRPr="000812B9">
              <w:rPr>
                <w:lang w:val="en-US" w:eastAsia="en-GB"/>
              </w:rPr>
              <w:t xml:space="preserve"> </w:t>
            </w:r>
            <w:r w:rsidR="008F3701">
              <w:rPr>
                <w:noProof/>
                <w:lang w:val="en-US" w:eastAsia="en-GB"/>
                <w14:ligatures w14:val="standardContextual"/>
              </w:rPr>
              <w:drawing>
                <wp:inline distT="0" distB="0" distL="0" distR="0" wp14:anchorId="6B8A9468" wp14:editId="6A28245D">
                  <wp:extent cx="3824429" cy="1867301"/>
                  <wp:effectExtent l="0" t="0" r="0" b="0"/>
                  <wp:docPr id="1814455622" name="Picture 4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455622" name="Picture 4" descr="A screenshot of a computer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4675" cy="1886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8AE4FC" w14:textId="554ACA5D" w:rsidR="004061C5" w:rsidRPr="00606E6E" w:rsidRDefault="004061C5" w:rsidP="00606E6E">
            <w:pPr>
              <w:rPr>
                <w:b/>
                <w:bCs/>
              </w:rPr>
            </w:pPr>
            <w:r w:rsidRPr="00606E6E">
              <w:rPr>
                <w:b/>
                <w:bCs/>
              </w:rPr>
              <w:t>Q-1) Benefit of Wearable Health Technologies</w:t>
            </w:r>
          </w:p>
          <w:p w14:paraId="602F49E9" w14:textId="3A1E42C5" w:rsidR="004061C5" w:rsidRDefault="004061C5" w:rsidP="004061C5">
            <w:r>
              <w:t xml:space="preserve">The </w:t>
            </w:r>
            <w:r w:rsidRPr="004061C5">
              <w:t>smartwatches and fitness trackers</w:t>
            </w:r>
            <w:r>
              <w:t xml:space="preserve"> are important wearable technologies that offer integrated and </w:t>
            </w:r>
            <w:r w:rsidRPr="004061C5">
              <w:t>significant benefits in managing chronic health conditions</w:t>
            </w:r>
            <w:r>
              <w:t xml:space="preserve">. These technologies enable </w:t>
            </w:r>
            <w:r w:rsidRPr="004061C5">
              <w:t>continuous monitoring and personalised feedback outside clinical settings.</w:t>
            </w:r>
            <w:r>
              <w:t xml:space="preserve"> For example, the wearable devices help the people </w:t>
            </w:r>
            <w:r w:rsidRPr="004061C5">
              <w:t>track physiological metrics like heart rate, physical activity, and sleep patterns</w:t>
            </w:r>
            <w:r w:rsidR="00021818">
              <w:t xml:space="preserve"> </w:t>
            </w:r>
            <w:r w:rsidR="00021818" w:rsidRPr="00021818">
              <w:t>(Miller, 2019)</w:t>
            </w:r>
            <w:r>
              <w:t xml:space="preserve">. People experienced with </w:t>
            </w:r>
            <w:r w:rsidRPr="004061C5">
              <w:t xml:space="preserve">diabetes or cardiovascular </w:t>
            </w:r>
            <w:r w:rsidR="005079C0" w:rsidRPr="004061C5">
              <w:t>disease</w:t>
            </w:r>
            <w:r w:rsidR="005079C0">
              <w:t>;</w:t>
            </w:r>
            <w:r>
              <w:t xml:space="preserve"> the </w:t>
            </w:r>
            <w:r w:rsidRPr="004061C5">
              <w:t>continuous data stream</w:t>
            </w:r>
            <w:r>
              <w:t xml:space="preserve"> can determine the anomalies reducing the need for </w:t>
            </w:r>
            <w:r w:rsidRPr="004061C5">
              <w:t xml:space="preserve">frequent hospital </w:t>
            </w:r>
            <w:r w:rsidR="008F3701" w:rsidRPr="004061C5">
              <w:t>visits and</w:t>
            </w:r>
            <w:r w:rsidRPr="004061C5">
              <w:t xml:space="preserve"> encourages patient self</w:t>
            </w:r>
            <w:r w:rsidRPr="004061C5">
              <w:rPr>
                <w:rFonts w:ascii="Cambria Math" w:hAnsi="Cambria Math" w:cs="Cambria Math"/>
              </w:rPr>
              <w:t>‑</w:t>
            </w:r>
            <w:r w:rsidRPr="004061C5">
              <w:t>management.</w:t>
            </w:r>
            <w:r>
              <w:t xml:space="preserve"> Wearable devices improve the patient engagement in treatment planning and helps the patient to </w:t>
            </w:r>
            <w:r w:rsidRPr="004061C5">
              <w:t>treatment plans by making health data accessible and actionable.</w:t>
            </w:r>
            <w:r>
              <w:t xml:space="preserve"> This engagement aligns with the </w:t>
            </w:r>
            <w:r w:rsidRPr="004061C5">
              <w:t>Technology Acceptance Mode</w:t>
            </w:r>
            <w:r>
              <w:t xml:space="preserve">l that suggest </w:t>
            </w:r>
            <w:r w:rsidRPr="004061C5">
              <w:t>perceived usefulness and ease of use increase adoption</w:t>
            </w:r>
            <w:r>
              <w:t>.</w:t>
            </w:r>
          </w:p>
          <w:p w14:paraId="0A5F3E1A" w14:textId="77777777" w:rsidR="00606E6E" w:rsidRDefault="00606E6E" w:rsidP="004061C5">
            <w:r>
              <w:t>Q-</w:t>
            </w:r>
            <w:r w:rsidRPr="00606E6E">
              <w:t xml:space="preserve">2) </w:t>
            </w:r>
            <w:r w:rsidRPr="00021818">
              <w:rPr>
                <w:b/>
                <w:bCs/>
              </w:rPr>
              <w:t>How Electronic Health Records Improve Communication and Collaboration</w:t>
            </w:r>
          </w:p>
          <w:p w14:paraId="047F3EC1" w14:textId="28616D53" w:rsidR="00606E6E" w:rsidRDefault="00606E6E" w:rsidP="004061C5">
            <w:r w:rsidRPr="00606E6E">
              <w:t>Electronic Health Records (EHRs)</w:t>
            </w:r>
            <w:r>
              <w:t xml:space="preserve"> introduction to healthcare is revolution because it improves the </w:t>
            </w:r>
            <w:r w:rsidRPr="00606E6E">
              <w:t>communication and collaboration among healthcare providers</w:t>
            </w:r>
            <w:r>
              <w:t xml:space="preserve">. EHRs help the professionals to centralise the patient information, medical history </w:t>
            </w:r>
            <w:r w:rsidRPr="00606E6E">
              <w:t>into a single, accessible digital platform</w:t>
            </w:r>
            <w:r w:rsidR="00583DBC">
              <w:t xml:space="preserve"> </w:t>
            </w:r>
            <w:r w:rsidR="00583DBC" w:rsidRPr="00583DBC">
              <w:t>(</w:t>
            </w:r>
            <w:proofErr w:type="spellStart"/>
            <w:r w:rsidR="00583DBC" w:rsidRPr="00583DBC">
              <w:t>Mwachofi</w:t>
            </w:r>
            <w:proofErr w:type="spellEnd"/>
            <w:r w:rsidR="00583DBC" w:rsidRPr="00583DBC">
              <w:t xml:space="preserve"> et al., 2024)</w:t>
            </w:r>
            <w:r w:rsidRPr="00606E6E">
              <w:t>.</w:t>
            </w:r>
            <w:r>
              <w:t xml:space="preserve"> The EHRs of patients reduce the </w:t>
            </w:r>
            <w:r w:rsidRPr="00606E6E">
              <w:t>fragmentation of data and enables authorised clinicians to access up</w:t>
            </w:r>
            <w:r w:rsidRPr="00606E6E">
              <w:rPr>
                <w:rFonts w:ascii="Cambria Math" w:hAnsi="Cambria Math" w:cs="Cambria Math"/>
              </w:rPr>
              <w:t>‑</w:t>
            </w:r>
            <w:r w:rsidRPr="00606E6E">
              <w:t>to</w:t>
            </w:r>
            <w:r w:rsidRPr="00606E6E">
              <w:rPr>
                <w:rFonts w:ascii="Cambria Math" w:hAnsi="Cambria Math" w:cs="Cambria Math"/>
              </w:rPr>
              <w:t>‑</w:t>
            </w:r>
            <w:r w:rsidRPr="00606E6E">
              <w:t>date records</w:t>
            </w:r>
            <w:r>
              <w:t xml:space="preserve">. Through EHRs, organisation can manage multiple data like </w:t>
            </w:r>
            <w:r w:rsidRPr="00606E6E">
              <w:t>medical history, medications, and diagnostic results, regardless of care setting</w:t>
            </w:r>
            <w:r>
              <w:t xml:space="preserve"> in befitting manners that support decisive decision-making power. For example, when a patient </w:t>
            </w:r>
            <w:r w:rsidRPr="00606E6E">
              <w:t>is transferred from primary care to a hospital</w:t>
            </w:r>
            <w:r>
              <w:t xml:space="preserve"> bot of the practitioners can </w:t>
            </w:r>
            <w:r w:rsidRPr="00606E6E">
              <w:t>view the same information simultaneously</w:t>
            </w:r>
            <w:r>
              <w:t xml:space="preserve"> that reduce the duplication of medical history of the patients. </w:t>
            </w:r>
            <w:r w:rsidRPr="00606E6E">
              <w:t>Kruse et al. (2018)</w:t>
            </w:r>
            <w:r>
              <w:t xml:space="preserve"> highlighted the necessity of the EHRs by outlining the </w:t>
            </w:r>
            <w:r w:rsidRPr="00606E6E">
              <w:t>clinical communication and decision</w:t>
            </w:r>
            <w:r w:rsidRPr="00606E6E">
              <w:rPr>
                <w:rFonts w:ascii="Cambria Math" w:hAnsi="Cambria Math" w:cs="Cambria Math"/>
              </w:rPr>
              <w:t>‑</w:t>
            </w:r>
            <w:r w:rsidRPr="00606E6E">
              <w:t>making by facilitating structured documentation and real</w:t>
            </w:r>
            <w:r w:rsidRPr="00606E6E">
              <w:rPr>
                <w:rFonts w:ascii="Cambria Math" w:hAnsi="Cambria Math" w:cs="Cambria Math"/>
              </w:rPr>
              <w:t>‑</w:t>
            </w:r>
            <w:r w:rsidRPr="00606E6E">
              <w:t>time updates.</w:t>
            </w:r>
            <w:r>
              <w:t xml:space="preserve"> This technology adoption aligns with the </w:t>
            </w:r>
            <w:r w:rsidRPr="00606E6E">
              <w:t>Technology Acceptance Model</w:t>
            </w:r>
            <w:r>
              <w:t xml:space="preserve"> because this model posits that </w:t>
            </w:r>
            <w:r w:rsidRPr="00606E6E">
              <w:t>EHRs are perceived as useful</w:t>
            </w:r>
            <w:r>
              <w:t xml:space="preserve"> to use and ensure </w:t>
            </w:r>
            <w:r w:rsidRPr="00606E6E">
              <w:t>more effective cross</w:t>
            </w:r>
            <w:r w:rsidRPr="00606E6E">
              <w:rPr>
                <w:rFonts w:ascii="Cambria Math" w:hAnsi="Cambria Math" w:cs="Cambria Math"/>
              </w:rPr>
              <w:t>‑</w:t>
            </w:r>
            <w:r w:rsidRPr="00606E6E">
              <w:t>professional collaboration and improved patient outcomes.</w:t>
            </w:r>
          </w:p>
          <w:p w14:paraId="61786DDA" w14:textId="77777777" w:rsidR="00606E6E" w:rsidRDefault="00606E6E" w:rsidP="004061C5">
            <w:r>
              <w:t>Q-</w:t>
            </w:r>
            <w:r w:rsidRPr="00606E6E">
              <w:t>3) Digital Technology Supporting Preventative Care and Health Promotion</w:t>
            </w:r>
          </w:p>
          <w:p w14:paraId="173F4BA1" w14:textId="6490F3AB" w:rsidR="00606E6E" w:rsidRPr="000812B9" w:rsidRDefault="004C5483" w:rsidP="004061C5">
            <w:r>
              <w:t xml:space="preserve">The </w:t>
            </w:r>
            <w:r w:rsidRPr="004C5483">
              <w:t>Digital technology</w:t>
            </w:r>
            <w:r>
              <w:t xml:space="preserve"> is expected to assist in </w:t>
            </w:r>
            <w:r w:rsidRPr="004C5483">
              <w:t>preventative care and health promotion</w:t>
            </w:r>
            <w:r>
              <w:t xml:space="preserve">. The digital technologies also enable the </w:t>
            </w:r>
            <w:r w:rsidRPr="004C5483">
              <w:t>targeted behaviour change interventions and population</w:t>
            </w:r>
            <w:r w:rsidRPr="004C5483">
              <w:rPr>
                <w:rFonts w:ascii="Cambria Math" w:hAnsi="Cambria Math" w:cs="Cambria Math"/>
              </w:rPr>
              <w:t>‑</w:t>
            </w:r>
            <w:r w:rsidRPr="004C5483">
              <w:t>level health monitoring.</w:t>
            </w:r>
            <w:r>
              <w:t xml:space="preserve"> The </w:t>
            </w:r>
            <w:r w:rsidRPr="004C5483">
              <w:t>Mobile health (mHealth) applications</w:t>
            </w:r>
            <w:r w:rsidR="00A73D3A">
              <w:t xml:space="preserve"> can ensure the p</w:t>
            </w:r>
            <w:r w:rsidR="00A73D3A" w:rsidRPr="00A73D3A">
              <w:t>ersonalised health education, reminders, and risk assessments to users</w:t>
            </w:r>
            <w:r w:rsidR="00583DBC">
              <w:t xml:space="preserve"> </w:t>
            </w:r>
            <w:r w:rsidR="00583DBC" w:rsidRPr="00583DBC">
              <w:t>(LeBlanc et al., 2022)</w:t>
            </w:r>
            <w:r w:rsidR="00A73D3A">
              <w:t xml:space="preserve">. The “Stay Well” app of NHS helps the NHS provide </w:t>
            </w:r>
            <w:r w:rsidR="00A73D3A" w:rsidRPr="00A73D3A">
              <w:t>tailored advice on diet, exercise, and stress management</w:t>
            </w:r>
            <w:r w:rsidR="00A73D3A">
              <w:t xml:space="preserve">. </w:t>
            </w:r>
          </w:p>
        </w:tc>
      </w:tr>
      <w:tr w:rsidR="00804E06" w14:paraId="31688848" w14:textId="77777777" w:rsidTr="00D66259">
        <w:tc>
          <w:tcPr>
            <w:tcW w:w="11766" w:type="dxa"/>
          </w:tcPr>
          <w:p w14:paraId="7E1EF607" w14:textId="1E5EB8E3" w:rsidR="00804E06" w:rsidRPr="000812B9" w:rsidRDefault="00804E06" w:rsidP="00021818">
            <w:pPr>
              <w:pStyle w:val="Heading1"/>
              <w:rPr>
                <w:lang w:val="en-US" w:eastAsia="en-GB"/>
              </w:rPr>
            </w:pPr>
            <w:bookmarkStart w:id="7" w:name="_Toc224658791"/>
            <w:r w:rsidRPr="000812B9">
              <w:rPr>
                <w:lang w:val="en-US" w:eastAsia="en-GB"/>
              </w:rPr>
              <w:lastRenderedPageBreak/>
              <w:t>Task 7 - Understanding the NHS Leadership Framework</w:t>
            </w:r>
            <w:bookmarkEnd w:id="7"/>
            <w:r w:rsidR="00890ACB">
              <w:rPr>
                <w:noProof/>
                <w:lang w:val="en-US" w:eastAsia="en-GB"/>
                <w14:ligatures w14:val="standardContextual"/>
              </w:rPr>
              <w:drawing>
                <wp:inline distT="0" distB="0" distL="0" distR="0" wp14:anchorId="462E07B8" wp14:editId="5B43CCCC">
                  <wp:extent cx="3147461" cy="1558925"/>
                  <wp:effectExtent l="0" t="0" r="2540" b="3175"/>
                  <wp:docPr id="13678598" name="Picture 5" descr="A white piece of paper with black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78598" name="Picture 5" descr="A white piece of paper with black writing on it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8766" cy="1574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46619">
              <w:rPr>
                <w:noProof/>
                <w:lang w:val="en-US" w:eastAsia="en-GB"/>
                <w14:ligatures w14:val="standardContextual"/>
              </w:rPr>
              <w:drawing>
                <wp:inline distT="0" distB="0" distL="0" distR="0" wp14:anchorId="32E7A5BF" wp14:editId="2A29A670">
                  <wp:extent cx="2974207" cy="1485900"/>
                  <wp:effectExtent l="0" t="0" r="0" b="0"/>
                  <wp:docPr id="2144207796" name="Picture 6" descr="A close up of a piece of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4207796" name="Picture 6" descr="A close up of a piece of paper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050" cy="1513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F1D6C0" w14:textId="77777777" w:rsidR="00804E06" w:rsidRDefault="000812B9" w:rsidP="00A73D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0812B9">
              <w:rPr>
                <w:b/>
                <w:bCs/>
                <w:lang w:val="en-US" w:eastAsia="en-GB"/>
              </w:rPr>
              <w:t>Question</w:t>
            </w:r>
          </w:p>
          <w:p w14:paraId="025784AC" w14:textId="728977FF" w:rsidR="00A73D3A" w:rsidRDefault="00A73D3A" w:rsidP="00A73D3A">
            <w:pPr>
              <w:pStyle w:val="ListParagraph"/>
              <w:numPr>
                <w:ilvl w:val="0"/>
                <w:numId w:val="14"/>
              </w:numPr>
            </w:pPr>
            <w:r w:rsidRPr="00A73D3A">
              <w:t>Summary of NHS Leadership Framework</w:t>
            </w:r>
          </w:p>
          <w:p w14:paraId="03373800" w14:textId="708A33AB" w:rsidR="002E7045" w:rsidRDefault="00A73D3A" w:rsidP="00A73D3A">
            <w:r>
              <w:t>The NHS leadership framework demonstrates the</w:t>
            </w:r>
            <w:r w:rsidR="00912AF0" w:rsidRPr="00912AF0">
              <w:t xml:space="preserve"> skills, </w:t>
            </w:r>
            <w:r w:rsidR="00912AF0">
              <w:t xml:space="preserve">knowledge </w:t>
            </w:r>
            <w:r w:rsidR="00912AF0" w:rsidRPr="00912AF0">
              <w:t>and behaviours required for effective leadership across health and social care.</w:t>
            </w:r>
            <w:r w:rsidR="00912AF0">
              <w:t xml:space="preserve"> The NHS framework is expected to determine the </w:t>
            </w:r>
            <w:r w:rsidR="00912AF0" w:rsidRPr="00912AF0">
              <w:t>key domains</w:t>
            </w:r>
            <w:r w:rsidR="002E7045">
              <w:t xml:space="preserve"> like </w:t>
            </w:r>
            <w:r w:rsidR="002E7045" w:rsidRPr="002E7045">
              <w:t>personal qualities, working with others, managing services, improving services</w:t>
            </w:r>
            <w:r w:rsidR="00583DBC">
              <w:t xml:space="preserve"> </w:t>
            </w:r>
            <w:r w:rsidR="00583DBC" w:rsidRPr="00583DBC">
              <w:t>(Julie Duval Jensen et al., 2025)</w:t>
            </w:r>
            <w:r w:rsidR="002E7045">
              <w:t xml:space="preserve">. These domains focus on </w:t>
            </w:r>
            <w:r w:rsidR="002E7045" w:rsidRPr="002E7045">
              <w:t>importance of balancing clinical expertise with organisational and relational skills</w:t>
            </w:r>
            <w:r w:rsidR="002E7045">
              <w:t xml:space="preserve">. According to this framework, the leaders of NHS play role in demonstrating the </w:t>
            </w:r>
            <w:r w:rsidR="002E7045" w:rsidRPr="002E7045">
              <w:t>emotional intelligence, communicat</w:t>
            </w:r>
            <w:r w:rsidR="002E7045">
              <w:t>ing</w:t>
            </w:r>
            <w:r w:rsidR="002E7045" w:rsidRPr="002E7045">
              <w:t xml:space="preserve"> effectively, foster teamwork</w:t>
            </w:r>
            <w:r w:rsidR="002E7045">
              <w:t>. NHS leadership framework is</w:t>
            </w:r>
            <w:r w:rsidR="002E7045" w:rsidRPr="002E7045">
              <w:t xml:space="preserve"> essential in health and social care</w:t>
            </w:r>
            <w:r w:rsidR="002E7045">
              <w:t xml:space="preserve"> since it helps the leaders </w:t>
            </w:r>
            <w:r w:rsidR="002E7045" w:rsidRPr="002E7045">
              <w:t>deliver safe, high-quality, patient-centred care</w:t>
            </w:r>
            <w:r w:rsidR="002E7045">
              <w:t xml:space="preserve">. With a view to navigating the complex system and ease the system, it is necessary to align the </w:t>
            </w:r>
            <w:r w:rsidR="002E7045" w:rsidRPr="002E7045">
              <w:t>leadership development with organisational strategy</w:t>
            </w:r>
            <w:r w:rsidR="002E7045">
              <w:t xml:space="preserve">. The proper alignment can support the </w:t>
            </w:r>
            <w:r w:rsidR="002E7045" w:rsidRPr="002E7045">
              <w:t>staff engagement, innovation, and value creation.</w:t>
            </w:r>
            <w:r w:rsidR="002E7045">
              <w:t xml:space="preserve"> The alignment of organisation objectives and leadership’s role can </w:t>
            </w:r>
            <w:r w:rsidR="002E7045" w:rsidRPr="002E7045">
              <w:t>inspire trust, promote collaboration, and cultivate a culture receptive to new ideas</w:t>
            </w:r>
            <w:r w:rsidR="002E7045">
              <w:t>.</w:t>
            </w:r>
          </w:p>
          <w:p w14:paraId="2B2FCBCA" w14:textId="63A9D60E" w:rsidR="00A73D3A" w:rsidRDefault="002E7045" w:rsidP="002E7045">
            <w:pPr>
              <w:pStyle w:val="ListParagraph"/>
              <w:numPr>
                <w:ilvl w:val="0"/>
                <w:numId w:val="14"/>
              </w:numPr>
            </w:pPr>
            <w:r w:rsidRPr="002E7045">
              <w:t>Leadership Behaviour – Inspiring a Shared Purpose</w:t>
            </w:r>
          </w:p>
          <w:p w14:paraId="4FAB0143" w14:textId="064A8171" w:rsidR="002E7045" w:rsidRDefault="002E7045" w:rsidP="002E7045">
            <w:r>
              <w:t xml:space="preserve">A leader involves in encouraging the </w:t>
            </w:r>
            <w:r w:rsidRPr="002E7045">
              <w:t>creativity by clearly communicating the vision and rationale behind service improvements.</w:t>
            </w:r>
            <w:r>
              <w:t xml:space="preserve"> For example, a ward manager involves in using </w:t>
            </w:r>
            <w:r w:rsidRPr="002E7045">
              <w:t>digital tools for patient monitoring</w:t>
            </w:r>
            <w:r>
              <w:t xml:space="preserve"> that represents how </w:t>
            </w:r>
            <w:r w:rsidRPr="002E7045">
              <w:t>innovations enhance patient safety, reduce workload, and improve outcomes.</w:t>
            </w:r>
            <w:r>
              <w:t xml:space="preserve"> Here the leaders play roles in connecting the team’s activities into meaningful organisational goals by motivating the staff </w:t>
            </w:r>
            <w:r w:rsidRPr="002E7045">
              <w:t>to contribute ideas and experiment with creative solutions</w:t>
            </w:r>
            <w:r w:rsidR="00583DBC">
              <w:t xml:space="preserve"> </w:t>
            </w:r>
            <w:r w:rsidR="00583DBC" w:rsidRPr="00583DBC">
              <w:t>(</w:t>
            </w:r>
            <w:proofErr w:type="spellStart"/>
            <w:r w:rsidR="00583DBC" w:rsidRPr="00583DBC">
              <w:t>Scroggs</w:t>
            </w:r>
            <w:proofErr w:type="spellEnd"/>
            <w:r w:rsidR="00583DBC" w:rsidRPr="00583DBC">
              <w:t>, Sattler and McMillan, 2022)</w:t>
            </w:r>
            <w:r w:rsidRPr="002E7045">
              <w:t>.</w:t>
            </w:r>
            <w:r>
              <w:t xml:space="preserve"> The transformational leadership aligns with this approach where the leadership approach involves in suggesting </w:t>
            </w:r>
            <w:r w:rsidRPr="002E7045">
              <w:t xml:space="preserve">leaders who </w:t>
            </w:r>
            <w:r w:rsidR="00A87BBB" w:rsidRPr="002E7045">
              <w:t>inspire,</w:t>
            </w:r>
            <w:r w:rsidRPr="002E7045">
              <w:t xml:space="preserve"> and support staff foster commitment and innovation</w:t>
            </w:r>
            <w:r>
              <w:t xml:space="preserve">. The transformational leadership enables the team and leader to create </w:t>
            </w:r>
            <w:r w:rsidRPr="002E7045">
              <w:t>value for both service users and the health system</w:t>
            </w:r>
            <w:r>
              <w:t>.</w:t>
            </w:r>
          </w:p>
          <w:p w14:paraId="3CE1B38F" w14:textId="39B253BC" w:rsidR="002E7045" w:rsidRDefault="00264A8D" w:rsidP="00264A8D">
            <w:pPr>
              <w:pStyle w:val="ListParagraph"/>
              <w:numPr>
                <w:ilvl w:val="0"/>
                <w:numId w:val="14"/>
              </w:numPr>
            </w:pPr>
            <w:r w:rsidRPr="00264A8D">
              <w:t>Reflective Journal Entry</w:t>
            </w:r>
          </w:p>
          <w:p w14:paraId="608D8D09" w14:textId="0A26414F" w:rsidR="00264A8D" w:rsidRPr="000812B9" w:rsidRDefault="00264A8D" w:rsidP="00264A8D">
            <w:r>
              <w:t xml:space="preserve">Through this activity I improve my understanding of creativity and value creation in the health and social care. Now, I can </w:t>
            </w:r>
            <w:r w:rsidRPr="00264A8D">
              <w:t xml:space="preserve">recognise that innovation </w:t>
            </w:r>
            <w:r>
              <w:t xml:space="preserve">is not applicable to technology rather it can be applied in </w:t>
            </w:r>
            <w:r w:rsidRPr="00264A8D">
              <w:t>everyday problem-solving and collaborative leadership.</w:t>
            </w:r>
            <w:r>
              <w:t xml:space="preserve"> The </w:t>
            </w:r>
            <w:r w:rsidRPr="00264A8D">
              <w:t>divergent/convergent thinking exercises</w:t>
            </w:r>
            <w:r>
              <w:t xml:space="preserve"> can improve the patient outcomes by improving the system efficiency. The insights I have experienced through this module will be applicable in my future </w:t>
            </w:r>
            <w:r w:rsidRPr="00264A8D">
              <w:t>practice by encouraging me to actively seek creative solutions</w:t>
            </w:r>
            <w:r>
              <w:t xml:space="preserve">. I think it will help me engage </w:t>
            </w:r>
            <w:r w:rsidRPr="00264A8D">
              <w:t xml:space="preserve">colleagues in collaborative improvement </w:t>
            </w:r>
            <w:r w:rsidR="00A87BBB" w:rsidRPr="00264A8D">
              <w:t>initiatives and</w:t>
            </w:r>
            <w:r w:rsidRPr="00264A8D">
              <w:t xml:space="preserve"> adopt transformational leadership behaviours</w:t>
            </w:r>
            <w:r>
              <w:t>.</w:t>
            </w:r>
          </w:p>
        </w:tc>
      </w:tr>
      <w:tr w:rsidR="00D46920" w14:paraId="0D64A0E9" w14:textId="77777777" w:rsidTr="00D66259">
        <w:tc>
          <w:tcPr>
            <w:tcW w:w="11766" w:type="dxa"/>
          </w:tcPr>
          <w:p w14:paraId="687DCE3A" w14:textId="40A21E73" w:rsidR="00D46920" w:rsidRDefault="00D46920" w:rsidP="00021818">
            <w:pPr>
              <w:pStyle w:val="Heading1"/>
            </w:pPr>
            <w:bookmarkStart w:id="8" w:name="_Toc224658792"/>
            <w:r w:rsidRPr="00D46920">
              <w:lastRenderedPageBreak/>
              <w:t>Task 8 – Self-Reflection Journal Entry</w:t>
            </w:r>
            <w:bookmarkEnd w:id="8"/>
            <w:r w:rsidR="00613BE6">
              <w:t xml:space="preserve"> </w:t>
            </w:r>
          </w:p>
          <w:p w14:paraId="7AB84F9E" w14:textId="0A406B32" w:rsidR="003E39E9" w:rsidRPr="003E39E9" w:rsidRDefault="00B61BAB" w:rsidP="003E39E9">
            <w:r>
              <w:rPr>
                <w:noProof/>
                <w14:ligatures w14:val="standardContextual"/>
              </w:rPr>
              <w:drawing>
                <wp:inline distT="0" distB="0" distL="0" distR="0" wp14:anchorId="0B025C7C" wp14:editId="464DE703">
                  <wp:extent cx="2849078" cy="1127826"/>
                  <wp:effectExtent l="0" t="0" r="0" b="2540"/>
                  <wp:docPr id="413651231" name="Picture 11" descr="A note on a piece of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651231" name="Picture 11" descr="A note on a piece of paper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688" cy="113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6E1C">
              <w:rPr>
                <w:noProof/>
                <w14:ligatures w14:val="standardContextual"/>
              </w:rPr>
              <w:drawing>
                <wp:inline distT="0" distB="0" distL="0" distR="0" wp14:anchorId="645D1E20" wp14:editId="18599813">
                  <wp:extent cx="2521819" cy="1114425"/>
                  <wp:effectExtent l="0" t="0" r="5715" b="3175"/>
                  <wp:docPr id="1295493821" name="Picture 12" descr="A white piece of paper with black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493821" name="Picture 12" descr="A white piece of paper with black writing on it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2830" cy="1141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E11EBA" w14:textId="4A355567" w:rsidR="00D46920" w:rsidRPr="00D46920" w:rsidRDefault="008E59C3" w:rsidP="00AB3369">
            <w:r>
              <w:t xml:space="preserve">The creativity, innovation and value creation terms exploration through this module, I was able to improve my understanding and applicability of these terms in health and social care. I gained deeper </w:t>
            </w:r>
            <w:r w:rsidRPr="008E59C3">
              <w:t>understanding of how creativity, innovation, and value creation</w:t>
            </w:r>
            <w:r>
              <w:t xml:space="preserve"> change the healthcare service to improve the access, readiness and transparency of the service. For example, the virtual wards case study strengthens my </w:t>
            </w:r>
            <w:r w:rsidRPr="008E59C3">
              <w:t>perception of innovation, showing that creative solutions can transform patient care without expensive infrastructure.</w:t>
            </w:r>
            <w:r>
              <w:t xml:space="preserve"> Through the uses of Gibbs reflective learning cycle, I recognise the practical activities like convergent thinking that involves in problem solving and improvement of </w:t>
            </w:r>
            <w:r w:rsidR="00A87BBB">
              <w:t>teamwork</w:t>
            </w:r>
            <w:r>
              <w:t xml:space="preserve"> skill development. I have planned to use these insights </w:t>
            </w:r>
            <w:r w:rsidRPr="008E59C3">
              <w:t>in placements by proposing small-scale innovative solutions</w:t>
            </w:r>
            <w:r>
              <w:t xml:space="preserve">. I think this will foster collaborative idea generation, improves the interventions and improve the patients’ outcomes. </w:t>
            </w:r>
          </w:p>
        </w:tc>
      </w:tr>
      <w:tr w:rsidR="00804E06" w14:paraId="64F1A1BF" w14:textId="77777777" w:rsidTr="00D66259">
        <w:tc>
          <w:tcPr>
            <w:tcW w:w="11766" w:type="dxa"/>
          </w:tcPr>
          <w:p w14:paraId="604A326C" w14:textId="77777777" w:rsidR="00583DBC" w:rsidRDefault="00A73D3A" w:rsidP="00021818">
            <w:pPr>
              <w:pStyle w:val="Heading1"/>
              <w:rPr>
                <w:lang w:val="en-US" w:eastAsia="en-GB"/>
              </w:rPr>
            </w:pPr>
            <w:bookmarkStart w:id="9" w:name="_Toc224658793"/>
            <w:r>
              <w:rPr>
                <w:lang w:val="en-US" w:eastAsia="en-GB"/>
              </w:rPr>
              <w:lastRenderedPageBreak/>
              <w:t>Reference</w:t>
            </w:r>
            <w:bookmarkEnd w:id="9"/>
          </w:p>
          <w:p w14:paraId="73AF01E4" w14:textId="46AAF66B" w:rsidR="00583DBC" w:rsidRPr="00583DBC" w:rsidRDefault="00A73D3A" w:rsidP="00583DBC">
            <w:pPr>
              <w:rPr>
                <w:bCs/>
                <w:kern w:val="36"/>
                <w:sz w:val="36"/>
                <w:szCs w:val="36"/>
                <w:lang w:val="en-US" w:bidi="bn-IN"/>
              </w:rPr>
            </w:pPr>
            <w:r>
              <w:rPr>
                <w:lang w:val="en-US" w:eastAsia="en-GB"/>
              </w:rPr>
              <w:t xml:space="preserve"> </w:t>
            </w:r>
            <w:r w:rsidR="00583DBC" w:rsidRPr="00583DBC">
              <w:rPr>
                <w:lang w:val="en-US" w:bidi="bn-IN"/>
              </w:rPr>
              <w:t xml:space="preserve">Arslan, G. (2025). Beyond happiness: The three waves of positive psychology and the future of wellbeing. </w:t>
            </w:r>
            <w:r w:rsidR="00583DBC" w:rsidRPr="00583DBC">
              <w:rPr>
                <w:i/>
                <w:iCs/>
                <w:lang w:val="en-US" w:bidi="bn-IN"/>
              </w:rPr>
              <w:t>Journal of Happiness and Health</w:t>
            </w:r>
            <w:r w:rsidR="00583DBC" w:rsidRPr="00583DBC">
              <w:rPr>
                <w:lang w:val="en-US" w:bidi="bn-IN"/>
              </w:rPr>
              <w:t xml:space="preserve">, [online] (Articles in press), pp.42–47. </w:t>
            </w:r>
            <w:proofErr w:type="spellStart"/>
            <w:proofErr w:type="gramStart"/>
            <w:r w:rsidR="00583DBC" w:rsidRPr="00583DBC">
              <w:rPr>
                <w:lang w:val="en-US" w:bidi="bn-IN"/>
              </w:rPr>
              <w:t>doi:https</w:t>
            </w:r>
            <w:proofErr w:type="spellEnd"/>
            <w:r w:rsidR="00583DBC" w:rsidRPr="00583DBC">
              <w:rPr>
                <w:lang w:val="en-US" w:bidi="bn-IN"/>
              </w:rPr>
              <w:t>://doi.org/10.47602/johah.v5i2.121</w:t>
            </w:r>
            <w:proofErr w:type="gramEnd"/>
            <w:r w:rsidR="00583DBC" w:rsidRPr="00583DBC">
              <w:rPr>
                <w:lang w:val="en-US" w:bidi="bn-IN"/>
              </w:rPr>
              <w:t>.</w:t>
            </w:r>
          </w:p>
          <w:p w14:paraId="1BE86B1D" w14:textId="5C54CE2D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Hartley, J. (2024).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Key concepts in creative industries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. </w:t>
            </w:r>
            <w:r w:rsidR="005D5363"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London;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 Thousand Oaks, Calif.: Sage.</w:t>
            </w:r>
          </w:p>
          <w:p w14:paraId="3E61F580" w14:textId="77777777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Julie Duval Jensen, Loni </w:t>
            </w:r>
            <w:proofErr w:type="spell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Ledderer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Kirsten </w:t>
            </w:r>
            <w:proofErr w:type="spell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Beedholm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 and Raymond </w:t>
            </w:r>
            <w:proofErr w:type="spell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Kolbæk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 (2025). </w:t>
            </w:r>
            <w:proofErr w:type="gram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How</w:t>
            </w:r>
            <w:proofErr w:type="gram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 digital documentation in electronic health records forms healthcare professionals’ identity.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Qualitative Health Communication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5(1), pp.64–79. </w:t>
            </w:r>
            <w:proofErr w:type="spellStart"/>
            <w:proofErr w:type="gram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doi:https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://doi.org/10.7146/qhc.156787</w:t>
            </w:r>
            <w:proofErr w:type="gram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</w:t>
            </w:r>
          </w:p>
          <w:p w14:paraId="4F1411A8" w14:textId="3CCCD023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Law, K.L. and Rowe, J.M. (2018). Team-based care: Views from community health center staff.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Social Work in Health Care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57(4), pp.284–299. </w:t>
            </w:r>
            <w:proofErr w:type="spellStart"/>
            <w:r w:rsidR="00E06E1C"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doi</w:t>
            </w:r>
            <w:proofErr w:type="spellEnd"/>
            <w:r w:rsidR="00E06E1C"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: https://doi.org/10.1080/00981389.2018.1438330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</w:t>
            </w:r>
          </w:p>
          <w:p w14:paraId="4FF631EC" w14:textId="77777777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LeBlanc, T.W., Back, A.L., </w:t>
            </w:r>
            <w:proofErr w:type="spell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Danis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M. and Abernethy, A.P. (2022). Electronic Health Records (EHRs) in the Oncology Clinic: How Clinician Interaction </w:t>
            </w:r>
            <w:proofErr w:type="gram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With</w:t>
            </w:r>
            <w:proofErr w:type="gram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 EHRs Can Improve Communication With the Patient.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Journal of Oncology Practice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10(5), pp.317–321. </w:t>
            </w:r>
            <w:proofErr w:type="spellStart"/>
            <w:proofErr w:type="gram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doi:https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://doi.org/10.1200/jop.2014.001385</w:t>
            </w:r>
            <w:proofErr w:type="gram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</w:t>
            </w:r>
          </w:p>
          <w:p w14:paraId="32E6070C" w14:textId="77777777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proofErr w:type="spell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Margosyan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M. (2020).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The Multifaceted Outcomes of Time Pressure on Creativity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 GRIN Verlag.</w:t>
            </w:r>
          </w:p>
          <w:p w14:paraId="3DA928CF" w14:textId="77777777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Miller, D. (2019). Staff stress in HIV health care workers.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AIDS Care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4(4), pp.429–432. </w:t>
            </w:r>
            <w:proofErr w:type="spellStart"/>
            <w:proofErr w:type="gram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doi:https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://doi.org/10.1080/09540129208253115</w:t>
            </w:r>
            <w:proofErr w:type="gram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</w:t>
            </w:r>
          </w:p>
          <w:p w14:paraId="1D8F51B0" w14:textId="77777777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proofErr w:type="spell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Mwachofi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A.K., Khaliq, A.A., Carrillo, E.R. and Winfree, W. (2024). Technology versus humanism: how patients perceive the use of electronic health records in physicians’ offices—a qualitative study.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Health Communication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31(3), pp.257–264. </w:t>
            </w:r>
            <w:proofErr w:type="spellStart"/>
            <w:proofErr w:type="gram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doi:https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://doi.org/10.1080/10410236.2014.947467</w:t>
            </w:r>
            <w:proofErr w:type="gram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</w:t>
            </w:r>
          </w:p>
          <w:p w14:paraId="1E3D812A" w14:textId="77777777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Pratt, J.R. (2020). Dealing With Staff Stress: Part II.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Home Health Care Management &amp; Practice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12(2), pp.56–58. </w:t>
            </w:r>
            <w:proofErr w:type="spellStart"/>
            <w:proofErr w:type="gram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doi:https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://doi.org/10.1177/108482230001200211</w:t>
            </w:r>
            <w:proofErr w:type="gram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</w:t>
            </w:r>
          </w:p>
          <w:p w14:paraId="3890F2E3" w14:textId="77777777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Ruchi </w:t>
            </w:r>
            <w:proofErr w:type="spell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Sundriyal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 and Dr. Ravindra Kumar (2020). Happiness and Wellbeing.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International Journal of Indian Psychology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1(4). </w:t>
            </w:r>
            <w:proofErr w:type="spellStart"/>
            <w:proofErr w:type="gram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doi:https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://doi.org/10.25215/0104.020</w:t>
            </w:r>
            <w:proofErr w:type="gram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</w:t>
            </w:r>
          </w:p>
          <w:p w14:paraId="2BC2C502" w14:textId="77777777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proofErr w:type="spell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Scroggs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L.E., Sattler, J.L. and McMillan, B. (2022). The Undergraduate Leadership Mosaic.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Journal of Leadership Education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8(1), pp.48–58. </w:t>
            </w:r>
            <w:proofErr w:type="spellStart"/>
            <w:proofErr w:type="gram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doi:https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://doi.org/10.12806/v8/i1/tf3</w:t>
            </w:r>
            <w:proofErr w:type="gram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</w:t>
            </w:r>
          </w:p>
          <w:p w14:paraId="6A0CAFB2" w14:textId="77777777" w:rsidR="00583DBC" w:rsidRPr="00583DBC" w:rsidRDefault="00583DBC" w:rsidP="00583DBC">
            <w:pPr>
              <w:spacing w:after="240"/>
              <w:jc w:val="left"/>
              <w:rPr>
                <w:rFonts w:eastAsia="Times New Roman" w:cs="Arial"/>
                <w:kern w:val="0"/>
                <w:sz w:val="24"/>
                <w:lang w:val="en-US" w:bidi="bn-IN"/>
              </w:rPr>
            </w:pPr>
            <w:proofErr w:type="spellStart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Wuwei</w:t>
            </w:r>
            <w:proofErr w:type="spellEnd"/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 xml:space="preserve">, L. (2024). </w:t>
            </w:r>
            <w:r w:rsidRPr="00583DBC">
              <w:rPr>
                <w:rFonts w:eastAsia="Times New Roman" w:cs="Arial"/>
                <w:i/>
                <w:iCs/>
                <w:kern w:val="0"/>
                <w:sz w:val="24"/>
                <w:lang w:val="en-US" w:bidi="bn-IN"/>
              </w:rPr>
              <w:t>How Creativity is Changing China</w:t>
            </w:r>
            <w:r w:rsidRPr="00583DBC">
              <w:rPr>
                <w:rFonts w:eastAsia="Times New Roman" w:cs="Arial"/>
                <w:kern w:val="0"/>
                <w:sz w:val="24"/>
                <w:lang w:val="en-US" w:bidi="bn-IN"/>
              </w:rPr>
              <w:t>. A&amp;C Black.</w:t>
            </w:r>
          </w:p>
          <w:p w14:paraId="12410F38" w14:textId="03BD34EE" w:rsidR="00804E06" w:rsidRPr="00D46920" w:rsidRDefault="00804E06" w:rsidP="00583DBC">
            <w:pPr>
              <w:rPr>
                <w:color w:val="FF0000"/>
              </w:rPr>
            </w:pPr>
          </w:p>
        </w:tc>
      </w:tr>
    </w:tbl>
    <w:p w14:paraId="6E58D427" w14:textId="77777777" w:rsidR="00114199" w:rsidRDefault="00114199"/>
    <w:sectPr w:rsidR="00114199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DF8FF" w14:textId="77777777" w:rsidR="00486CCF" w:rsidRDefault="00486CCF" w:rsidP="00E11E53">
      <w:pPr>
        <w:spacing w:line="240" w:lineRule="auto"/>
      </w:pPr>
      <w:r>
        <w:separator/>
      </w:r>
    </w:p>
  </w:endnote>
  <w:endnote w:type="continuationSeparator" w:id="0">
    <w:p w14:paraId="0A9BC75B" w14:textId="77777777" w:rsidR="00486CCF" w:rsidRDefault="00486CCF" w:rsidP="00E11E53">
      <w:pPr>
        <w:spacing w:line="240" w:lineRule="auto"/>
      </w:pPr>
      <w:r>
        <w:continuationSeparator/>
      </w:r>
    </w:p>
  </w:endnote>
  <w:endnote w:type="continuationNotice" w:id="1">
    <w:p w14:paraId="2AE1DFC1" w14:textId="77777777" w:rsidR="00486CCF" w:rsidRDefault="00486CC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606258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7EF0973" w14:textId="40B1A789" w:rsidR="00E11E53" w:rsidRDefault="00E11E53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C877A6A" w14:textId="77777777" w:rsidR="00E11E53" w:rsidRDefault="00E11E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57495" w14:textId="77777777" w:rsidR="00486CCF" w:rsidRDefault="00486CCF" w:rsidP="00E11E53">
      <w:pPr>
        <w:spacing w:line="240" w:lineRule="auto"/>
      </w:pPr>
      <w:r>
        <w:separator/>
      </w:r>
    </w:p>
  </w:footnote>
  <w:footnote w:type="continuationSeparator" w:id="0">
    <w:p w14:paraId="1045AD0E" w14:textId="77777777" w:rsidR="00486CCF" w:rsidRDefault="00486CCF" w:rsidP="00E11E53">
      <w:pPr>
        <w:spacing w:line="240" w:lineRule="auto"/>
      </w:pPr>
      <w:r>
        <w:continuationSeparator/>
      </w:r>
    </w:p>
  </w:footnote>
  <w:footnote w:type="continuationNotice" w:id="1">
    <w:p w14:paraId="6A892A62" w14:textId="77777777" w:rsidR="00486CCF" w:rsidRDefault="00486CCF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35EAF"/>
    <w:multiLevelType w:val="hybridMultilevel"/>
    <w:tmpl w:val="75605F9C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E0968"/>
    <w:multiLevelType w:val="multilevel"/>
    <w:tmpl w:val="E482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55746"/>
    <w:multiLevelType w:val="hybridMultilevel"/>
    <w:tmpl w:val="C4684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354B9"/>
    <w:multiLevelType w:val="hybridMultilevel"/>
    <w:tmpl w:val="B05079CA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27507"/>
    <w:multiLevelType w:val="hybridMultilevel"/>
    <w:tmpl w:val="A252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080395"/>
    <w:multiLevelType w:val="hybridMultilevel"/>
    <w:tmpl w:val="557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51AB7"/>
    <w:multiLevelType w:val="hybridMultilevel"/>
    <w:tmpl w:val="476E9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13A6A"/>
    <w:multiLevelType w:val="hybridMultilevel"/>
    <w:tmpl w:val="4F40D174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F6AF8"/>
    <w:multiLevelType w:val="hybridMultilevel"/>
    <w:tmpl w:val="14369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D016C"/>
    <w:multiLevelType w:val="hybridMultilevel"/>
    <w:tmpl w:val="8BA48804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FB07A7"/>
    <w:multiLevelType w:val="hybridMultilevel"/>
    <w:tmpl w:val="57E093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BD1935"/>
    <w:multiLevelType w:val="hybridMultilevel"/>
    <w:tmpl w:val="965A9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E7580C"/>
    <w:multiLevelType w:val="hybridMultilevel"/>
    <w:tmpl w:val="89888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F15123"/>
    <w:multiLevelType w:val="hybridMultilevel"/>
    <w:tmpl w:val="047679A6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783713">
    <w:abstractNumId w:val="7"/>
  </w:num>
  <w:num w:numId="2" w16cid:durableId="1622766073">
    <w:abstractNumId w:val="3"/>
  </w:num>
  <w:num w:numId="3" w16cid:durableId="521866105">
    <w:abstractNumId w:val="0"/>
  </w:num>
  <w:num w:numId="4" w16cid:durableId="1518612884">
    <w:abstractNumId w:val="9"/>
  </w:num>
  <w:num w:numId="5" w16cid:durableId="1113476408">
    <w:abstractNumId w:val="13"/>
  </w:num>
  <w:num w:numId="6" w16cid:durableId="2142140862">
    <w:abstractNumId w:val="12"/>
  </w:num>
  <w:num w:numId="7" w16cid:durableId="2060398449">
    <w:abstractNumId w:val="1"/>
  </w:num>
  <w:num w:numId="8" w16cid:durableId="1191258451">
    <w:abstractNumId w:val="2"/>
  </w:num>
  <w:num w:numId="9" w16cid:durableId="1457792697">
    <w:abstractNumId w:val="8"/>
  </w:num>
  <w:num w:numId="10" w16cid:durableId="78447588">
    <w:abstractNumId w:val="11"/>
  </w:num>
  <w:num w:numId="11" w16cid:durableId="1342471444">
    <w:abstractNumId w:val="5"/>
  </w:num>
  <w:num w:numId="12" w16cid:durableId="521866661">
    <w:abstractNumId w:val="6"/>
  </w:num>
  <w:num w:numId="13" w16cid:durableId="228422474">
    <w:abstractNumId w:val="4"/>
  </w:num>
  <w:num w:numId="14" w16cid:durableId="895949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199"/>
    <w:rsid w:val="00021818"/>
    <w:rsid w:val="00037578"/>
    <w:rsid w:val="00071E64"/>
    <w:rsid w:val="000751B5"/>
    <w:rsid w:val="000812B9"/>
    <w:rsid w:val="0008360E"/>
    <w:rsid w:val="000B1AFC"/>
    <w:rsid w:val="00110062"/>
    <w:rsid w:val="001136FC"/>
    <w:rsid w:val="00114199"/>
    <w:rsid w:val="00132307"/>
    <w:rsid w:val="00144171"/>
    <w:rsid w:val="00150659"/>
    <w:rsid w:val="00195954"/>
    <w:rsid w:val="001B3EBC"/>
    <w:rsid w:val="001C4683"/>
    <w:rsid w:val="0020241F"/>
    <w:rsid w:val="00261541"/>
    <w:rsid w:val="00264A8D"/>
    <w:rsid w:val="002663E1"/>
    <w:rsid w:val="002E7045"/>
    <w:rsid w:val="00357AF2"/>
    <w:rsid w:val="003659A6"/>
    <w:rsid w:val="00375F14"/>
    <w:rsid w:val="003E15A2"/>
    <w:rsid w:val="003E39E9"/>
    <w:rsid w:val="004061C5"/>
    <w:rsid w:val="00486CCF"/>
    <w:rsid w:val="004B3F51"/>
    <w:rsid w:val="004C5483"/>
    <w:rsid w:val="004E2035"/>
    <w:rsid w:val="004F774F"/>
    <w:rsid w:val="004F79A0"/>
    <w:rsid w:val="005079C0"/>
    <w:rsid w:val="00512E95"/>
    <w:rsid w:val="00534B53"/>
    <w:rsid w:val="00551ACD"/>
    <w:rsid w:val="00583DBC"/>
    <w:rsid w:val="0059065F"/>
    <w:rsid w:val="005940E0"/>
    <w:rsid w:val="005C07F5"/>
    <w:rsid w:val="005C28E8"/>
    <w:rsid w:val="005D5363"/>
    <w:rsid w:val="005F12C8"/>
    <w:rsid w:val="005F4003"/>
    <w:rsid w:val="00606E6E"/>
    <w:rsid w:val="00613BE6"/>
    <w:rsid w:val="006223A7"/>
    <w:rsid w:val="00650574"/>
    <w:rsid w:val="00653836"/>
    <w:rsid w:val="00662BC6"/>
    <w:rsid w:val="00675505"/>
    <w:rsid w:val="00691366"/>
    <w:rsid w:val="006E2F20"/>
    <w:rsid w:val="006F1D51"/>
    <w:rsid w:val="006F2561"/>
    <w:rsid w:val="006F6544"/>
    <w:rsid w:val="00701CBC"/>
    <w:rsid w:val="00715E63"/>
    <w:rsid w:val="007472D0"/>
    <w:rsid w:val="00767CF7"/>
    <w:rsid w:val="0077649D"/>
    <w:rsid w:val="00792A51"/>
    <w:rsid w:val="007A3640"/>
    <w:rsid w:val="00804E06"/>
    <w:rsid w:val="008139BF"/>
    <w:rsid w:val="008167D9"/>
    <w:rsid w:val="008373A2"/>
    <w:rsid w:val="00846619"/>
    <w:rsid w:val="00874CEF"/>
    <w:rsid w:val="00875D12"/>
    <w:rsid w:val="00880539"/>
    <w:rsid w:val="00890ACB"/>
    <w:rsid w:val="00891CE5"/>
    <w:rsid w:val="008E59C3"/>
    <w:rsid w:val="008E67E3"/>
    <w:rsid w:val="008F3701"/>
    <w:rsid w:val="00902BBB"/>
    <w:rsid w:val="00912AF0"/>
    <w:rsid w:val="0097610D"/>
    <w:rsid w:val="00980833"/>
    <w:rsid w:val="009A08E1"/>
    <w:rsid w:val="00A12F39"/>
    <w:rsid w:val="00A17304"/>
    <w:rsid w:val="00A361A8"/>
    <w:rsid w:val="00A36DF1"/>
    <w:rsid w:val="00A400FA"/>
    <w:rsid w:val="00A73D3A"/>
    <w:rsid w:val="00A86723"/>
    <w:rsid w:val="00A87BBB"/>
    <w:rsid w:val="00AA081A"/>
    <w:rsid w:val="00AB3369"/>
    <w:rsid w:val="00AE0065"/>
    <w:rsid w:val="00B33A33"/>
    <w:rsid w:val="00B40BEF"/>
    <w:rsid w:val="00B413EF"/>
    <w:rsid w:val="00B42C8D"/>
    <w:rsid w:val="00B44499"/>
    <w:rsid w:val="00B61BAB"/>
    <w:rsid w:val="00B63A9B"/>
    <w:rsid w:val="00B7528C"/>
    <w:rsid w:val="00B80120"/>
    <w:rsid w:val="00BD01B4"/>
    <w:rsid w:val="00C317F8"/>
    <w:rsid w:val="00C3493C"/>
    <w:rsid w:val="00C36419"/>
    <w:rsid w:val="00C46B9C"/>
    <w:rsid w:val="00C86F3D"/>
    <w:rsid w:val="00CA08E3"/>
    <w:rsid w:val="00CB5134"/>
    <w:rsid w:val="00D227F5"/>
    <w:rsid w:val="00D31EAD"/>
    <w:rsid w:val="00D45DFF"/>
    <w:rsid w:val="00D46920"/>
    <w:rsid w:val="00D66259"/>
    <w:rsid w:val="00DA5814"/>
    <w:rsid w:val="00E02079"/>
    <w:rsid w:val="00E06E1C"/>
    <w:rsid w:val="00E11E53"/>
    <w:rsid w:val="00E15DDA"/>
    <w:rsid w:val="00E34892"/>
    <w:rsid w:val="00E831D8"/>
    <w:rsid w:val="00E85A3E"/>
    <w:rsid w:val="00E90A6E"/>
    <w:rsid w:val="00EC4111"/>
    <w:rsid w:val="00ED318E"/>
    <w:rsid w:val="00EE2461"/>
    <w:rsid w:val="00F30AFB"/>
    <w:rsid w:val="00F67B60"/>
    <w:rsid w:val="00FA4C8B"/>
    <w:rsid w:val="00FC264D"/>
    <w:rsid w:val="00FE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56403"/>
  <w15:chartTrackingRefBased/>
  <w15:docId w15:val="{0D21DA34-CA0B-5749-8CA9-69123038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A9B"/>
    <w:pPr>
      <w:spacing w:after="0" w:line="360" w:lineRule="auto"/>
      <w:jc w:val="both"/>
    </w:pPr>
    <w:rPr>
      <w:rFonts w:ascii="Arial" w:eastAsia="Aptos" w:hAnsi="Arial" w:cs="Times New Roman"/>
      <w:sz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1818"/>
    <w:pPr>
      <w:keepNext/>
      <w:keepLines/>
      <w:outlineLvl w:val="0"/>
    </w:pPr>
    <w:rPr>
      <w:rFonts w:eastAsiaTheme="majorEastAsia" w:cstheme="majorBidi"/>
      <w:b/>
      <w:color w:val="0F4761" w:themeColor="accent1" w:themeShade="BF"/>
      <w:sz w:val="26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1818"/>
    <w:pPr>
      <w:keepNext/>
      <w:keepLines/>
      <w:outlineLvl w:val="1"/>
    </w:pPr>
    <w:rPr>
      <w:rFonts w:eastAsiaTheme="majorEastAsia" w:cstheme="majorBidi"/>
      <w:b/>
      <w:color w:val="00B050"/>
      <w:sz w:val="26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4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1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1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1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1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1818"/>
    <w:rPr>
      <w:rFonts w:ascii="Arial" w:eastAsiaTheme="majorEastAsia" w:hAnsi="Arial" w:cstheme="majorBidi"/>
      <w:b/>
      <w:color w:val="0F4761" w:themeColor="accent1" w:themeShade="BF"/>
      <w:sz w:val="26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1818"/>
    <w:rPr>
      <w:rFonts w:ascii="Arial" w:eastAsiaTheme="majorEastAsia" w:hAnsi="Arial" w:cstheme="majorBidi"/>
      <w:b/>
      <w:color w:val="00B050"/>
      <w:sz w:val="26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114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1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1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1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1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1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1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1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1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4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14199"/>
    <w:pPr>
      <w:spacing w:after="0" w:line="240" w:lineRule="auto"/>
    </w:pPr>
    <w:rPr>
      <w:rFonts w:ascii="Aptos" w:eastAsia="Aptos" w:hAnsi="Aptos" w:cs="Times New Roman"/>
      <w14:ligatures w14:val="none"/>
    </w:rPr>
  </w:style>
  <w:style w:type="character" w:styleId="Strong">
    <w:name w:val="Strong"/>
    <w:uiPriority w:val="22"/>
    <w:qFormat/>
    <w:rsid w:val="00114199"/>
    <w:rPr>
      <w:b/>
      <w:bCs/>
    </w:rPr>
  </w:style>
  <w:style w:type="paragraph" w:styleId="NormalWeb">
    <w:name w:val="Normal (Web)"/>
    <w:basedOn w:val="Normal"/>
    <w:uiPriority w:val="99"/>
    <w:unhideWhenUsed/>
    <w:rsid w:val="000B1AFC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eastAsia="en-GB"/>
    </w:rPr>
  </w:style>
  <w:style w:type="character" w:customStyle="1" w:styleId="apple-converted-space">
    <w:name w:val="apple-converted-space"/>
    <w:basedOn w:val="DefaultParagraphFont"/>
    <w:rsid w:val="000B1AFC"/>
  </w:style>
  <w:style w:type="paragraph" w:styleId="TOCHeading">
    <w:name w:val="TOC Heading"/>
    <w:basedOn w:val="Heading1"/>
    <w:next w:val="Normal"/>
    <w:uiPriority w:val="39"/>
    <w:unhideWhenUsed/>
    <w:qFormat/>
    <w:rsid w:val="00021818"/>
    <w:pPr>
      <w:spacing w:before="240" w:line="259" w:lineRule="auto"/>
      <w:jc w:val="left"/>
      <w:outlineLvl w:val="9"/>
    </w:pPr>
    <w:rPr>
      <w:rFonts w:asciiTheme="majorHAnsi" w:hAnsiTheme="majorHAnsi"/>
      <w:b w:val="0"/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2181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21818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1E5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E53"/>
    <w:rPr>
      <w:rFonts w:ascii="Arial" w:eastAsia="Aptos" w:hAnsi="Arial" w:cs="Times New Roman"/>
      <w:sz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11E5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E53"/>
    <w:rPr>
      <w:rFonts w:ascii="Arial" w:eastAsia="Aptos" w:hAnsi="Arial" w:cs="Times New Roman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5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7A47E-84DC-4982-ABDC-71A5DF918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12</Pages>
  <Words>2947</Words>
  <Characters>16801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19709</CharactersWithSpaces>
  <SharedDoc>false</SharedDoc>
  <HLinks>
    <vt:vector size="60" baseType="variant"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_Toc224658793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_Toc224658792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_Toc224658791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_Toc224658790</vt:lpwstr>
      </vt:variant>
      <vt:variant>
        <vt:i4>1245236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_Toc224658789</vt:lpwstr>
      </vt:variant>
      <vt:variant>
        <vt:i4>1245236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_Toc224658788</vt:lpwstr>
      </vt:variant>
      <vt:variant>
        <vt:i4>1245236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_Toc224658787</vt:lpwstr>
      </vt:variant>
      <vt:variant>
        <vt:i4>1245236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_Toc224658786</vt:lpwstr>
      </vt:variant>
      <vt:variant>
        <vt:i4>1245236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_Toc224658785</vt:lpwstr>
      </vt:variant>
      <vt:variant>
        <vt:i4>1245236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_Toc224658784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Salami</dc:creator>
  <cp:keywords/>
  <dc:description/>
  <cp:lastModifiedBy>Gnahore Badi Charlotte Legre (2331156)</cp:lastModifiedBy>
  <cp:revision>64</cp:revision>
  <dcterms:created xsi:type="dcterms:W3CDTF">2026-04-11T10:01:00Z</dcterms:created>
  <dcterms:modified xsi:type="dcterms:W3CDTF">2026-04-13T09:29:00Z</dcterms:modified>
</cp:coreProperties>
</file>