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84F" w:rsidRPr="00C82664" w:rsidRDefault="00BE684F" w:rsidP="00BE684F">
      <w:pPr>
        <w:pStyle w:val="Heading1"/>
        <w:jc w:val="both"/>
        <w:rPr>
          <w:rFonts w:ascii="Times New Roman" w:hAnsi="Times New Roman" w:cs="Times New Roman"/>
        </w:rPr>
      </w:pPr>
    </w:p>
    <w:p w:rsidR="001048C8" w:rsidRDefault="001048C8" w:rsidP="001048C8">
      <w:pPr>
        <w:pStyle w:val="Heading1"/>
      </w:pPr>
      <w:r w:rsidRPr="00F82D95">
        <w:rPr>
          <w:noProof/>
          <w:lang w:val="en-US"/>
        </w:rPr>
        <w:drawing>
          <wp:inline distT="0" distB="0" distL="0" distR="0">
            <wp:extent cx="1885950" cy="952500"/>
            <wp:effectExtent l="19050" t="0" r="0" b="0"/>
            <wp:docPr id="1" name="Picture 1" descr="C:\Users\Alina\Desktop\UNIVERSITY\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na\Desktop\UNIVERSITY\uwtsd-london-logo-black.png"/>
                    <pic:cNvPicPr>
                      <a:picLocks noChangeAspect="1" noChangeArrowheads="1"/>
                    </pic:cNvPicPr>
                  </pic:nvPicPr>
                  <pic:blipFill>
                    <a:blip r:embed="rId6"/>
                    <a:srcRect/>
                    <a:stretch>
                      <a:fillRect/>
                    </a:stretch>
                  </pic:blipFill>
                  <pic:spPr bwMode="auto">
                    <a:xfrm>
                      <a:off x="0" y="0"/>
                      <a:ext cx="1885950" cy="952500"/>
                    </a:xfrm>
                    <a:prstGeom prst="rect">
                      <a:avLst/>
                    </a:prstGeom>
                    <a:noFill/>
                    <a:ln w="9525">
                      <a:noFill/>
                      <a:miter lim="800000"/>
                      <a:headEnd/>
                      <a:tailEnd/>
                    </a:ln>
                  </pic:spPr>
                </pic:pic>
              </a:graphicData>
            </a:graphic>
          </wp:inline>
        </w:drawing>
      </w:r>
    </w:p>
    <w:p w:rsidR="001048C8" w:rsidRDefault="001048C8" w:rsidP="001048C8">
      <w:pPr>
        <w:pStyle w:val="Heading1"/>
      </w:pPr>
    </w:p>
    <w:p w:rsidR="001048C8" w:rsidRDefault="001048C8" w:rsidP="001048C8">
      <w:pPr>
        <w:pStyle w:val="Heading1"/>
      </w:pPr>
    </w:p>
    <w:p w:rsidR="001048C8" w:rsidRPr="0022691F" w:rsidRDefault="001048C8" w:rsidP="001048C8">
      <w:pPr>
        <w:pStyle w:val="Heading1"/>
        <w:rPr>
          <w:sz w:val="44"/>
          <w:szCs w:val="44"/>
        </w:rPr>
      </w:pPr>
    </w:p>
    <w:p w:rsidR="001048C8" w:rsidRPr="0022691F" w:rsidRDefault="001048C8" w:rsidP="001048C8">
      <w:pPr>
        <w:jc w:val="center"/>
        <w:rPr>
          <w:rFonts w:ascii="Times New Roman" w:hAnsi="Times New Roman" w:cs="Times New Roman"/>
          <w:b/>
          <w:i/>
          <w:sz w:val="44"/>
          <w:szCs w:val="44"/>
        </w:rPr>
      </w:pPr>
      <w:r w:rsidRPr="0022691F">
        <w:rPr>
          <w:rFonts w:ascii="Times New Roman" w:hAnsi="Times New Roman" w:cs="Times New Roman"/>
          <w:b/>
          <w:i/>
          <w:sz w:val="44"/>
          <w:szCs w:val="44"/>
        </w:rPr>
        <w:t>Assessing the Environmental Impacts of Tesla's Electric Vehicle Production: A Case Study</w:t>
      </w:r>
    </w:p>
    <w:p w:rsidR="001048C8" w:rsidRDefault="001048C8" w:rsidP="001048C8">
      <w:pPr>
        <w:jc w:val="center"/>
        <w:rPr>
          <w:rFonts w:ascii="Times New Roman" w:hAnsi="Times New Roman" w:cs="Times New Roman"/>
          <w:sz w:val="40"/>
        </w:rPr>
      </w:pPr>
    </w:p>
    <w:p w:rsidR="001048C8" w:rsidRPr="008B4B29" w:rsidRDefault="001048C8" w:rsidP="001048C8">
      <w:pPr>
        <w:jc w:val="center"/>
        <w:rPr>
          <w:rFonts w:ascii="Times New Roman" w:hAnsi="Times New Roman" w:cs="Times New Roman"/>
          <w:i/>
          <w:sz w:val="40"/>
        </w:rPr>
      </w:pPr>
      <w:r w:rsidRPr="008B4B29">
        <w:rPr>
          <w:rFonts w:ascii="Times New Roman" w:hAnsi="Times New Roman" w:cs="Times New Roman"/>
          <w:i/>
          <w:sz w:val="40"/>
        </w:rPr>
        <w:t>Lecturer: Dr. Faizu Edu</w:t>
      </w:r>
    </w:p>
    <w:p w:rsidR="001048C8" w:rsidRDefault="001048C8" w:rsidP="001048C8">
      <w:pPr>
        <w:jc w:val="center"/>
        <w:rPr>
          <w:rFonts w:ascii="Times New Roman" w:hAnsi="Times New Roman" w:cs="Times New Roman"/>
          <w:sz w:val="40"/>
        </w:rPr>
      </w:pPr>
    </w:p>
    <w:p w:rsidR="001048C8" w:rsidRDefault="001048C8" w:rsidP="001048C8">
      <w:pPr>
        <w:jc w:val="center"/>
        <w:rPr>
          <w:rFonts w:ascii="Times New Roman" w:hAnsi="Times New Roman" w:cs="Times New Roman"/>
          <w:sz w:val="40"/>
        </w:rPr>
      </w:pPr>
    </w:p>
    <w:p w:rsidR="001048C8" w:rsidRDefault="001048C8" w:rsidP="001048C8">
      <w:pPr>
        <w:jc w:val="center"/>
        <w:rPr>
          <w:rFonts w:ascii="Times New Roman" w:hAnsi="Times New Roman" w:cs="Times New Roman"/>
          <w:sz w:val="40"/>
        </w:rPr>
      </w:pPr>
    </w:p>
    <w:p w:rsidR="001048C8" w:rsidRDefault="001048C8" w:rsidP="001048C8">
      <w:pPr>
        <w:jc w:val="center"/>
        <w:rPr>
          <w:rFonts w:ascii="Times New Roman" w:hAnsi="Times New Roman" w:cs="Times New Roman"/>
          <w:sz w:val="40"/>
        </w:rPr>
      </w:pPr>
    </w:p>
    <w:p w:rsidR="001048C8" w:rsidRPr="008B4B29" w:rsidRDefault="001048C8" w:rsidP="001048C8">
      <w:pPr>
        <w:rPr>
          <w:rFonts w:ascii="Times New Roman" w:hAnsi="Times New Roman" w:cs="Times New Roman"/>
          <w:i/>
          <w:sz w:val="28"/>
        </w:rPr>
      </w:pPr>
      <w:r w:rsidRPr="008B4B29">
        <w:rPr>
          <w:rFonts w:ascii="Times New Roman" w:hAnsi="Times New Roman" w:cs="Times New Roman"/>
          <w:i/>
          <w:sz w:val="28"/>
        </w:rPr>
        <w:t>Student name: Alina-Paula Manolache</w:t>
      </w:r>
    </w:p>
    <w:p w:rsidR="001048C8" w:rsidRPr="008B4B29" w:rsidRDefault="001048C8" w:rsidP="001048C8">
      <w:pPr>
        <w:rPr>
          <w:rFonts w:ascii="Times New Roman" w:hAnsi="Times New Roman" w:cs="Times New Roman"/>
          <w:i/>
          <w:sz w:val="28"/>
        </w:rPr>
      </w:pPr>
      <w:r w:rsidRPr="008B4B29">
        <w:rPr>
          <w:rFonts w:ascii="Times New Roman" w:hAnsi="Times New Roman" w:cs="Times New Roman"/>
          <w:i/>
          <w:sz w:val="28"/>
        </w:rPr>
        <w:t>Student ID: 2114609</w:t>
      </w:r>
    </w:p>
    <w:p w:rsidR="001048C8" w:rsidRDefault="001048C8" w:rsidP="001048C8">
      <w:pPr>
        <w:rPr>
          <w:rFonts w:ascii="Times New Roman" w:hAnsi="Times New Roman" w:cs="Times New Roman"/>
          <w:i/>
          <w:sz w:val="28"/>
        </w:rPr>
      </w:pPr>
      <w:r w:rsidRPr="008B4B29">
        <w:rPr>
          <w:rFonts w:ascii="Times New Roman" w:hAnsi="Times New Roman" w:cs="Times New Roman"/>
          <w:i/>
          <w:sz w:val="28"/>
        </w:rPr>
        <w:t>Proposed research title: The impact of electric vehicles production to the environment. Case study on Tesla</w:t>
      </w:r>
    </w:p>
    <w:p w:rsidR="001048C8" w:rsidRPr="001048C8" w:rsidRDefault="001048C8" w:rsidP="001048C8">
      <w:pPr>
        <w:rPr>
          <w:rFonts w:ascii="Times New Roman" w:hAnsi="Times New Roman" w:cs="Times New Roman"/>
          <w:i/>
          <w:sz w:val="28"/>
          <w:szCs w:val="28"/>
        </w:rPr>
      </w:pPr>
      <w:r w:rsidRPr="001048C8">
        <w:t xml:space="preserve"> </w:t>
      </w:r>
      <w:r w:rsidRPr="001048C8">
        <w:rPr>
          <w:rFonts w:ascii="Times New Roman" w:hAnsi="Times New Roman" w:cs="Times New Roman"/>
          <w:i/>
          <w:sz w:val="28"/>
          <w:szCs w:val="28"/>
        </w:rPr>
        <w:t>Name of the university:</w:t>
      </w:r>
      <w:r>
        <w:rPr>
          <w:rFonts w:ascii="Times New Roman" w:hAnsi="Times New Roman" w:cs="Times New Roman"/>
          <w:i/>
          <w:sz w:val="28"/>
          <w:szCs w:val="28"/>
        </w:rPr>
        <w:t xml:space="preserve"> University of Wales Trinity Saint David London</w:t>
      </w:r>
    </w:p>
    <w:p w:rsidR="001048C8" w:rsidRPr="001048C8" w:rsidRDefault="001048C8" w:rsidP="001048C8">
      <w:pPr>
        <w:rPr>
          <w:rFonts w:ascii="Times New Roman" w:hAnsi="Times New Roman" w:cs="Times New Roman"/>
          <w:i/>
          <w:sz w:val="28"/>
          <w:szCs w:val="28"/>
        </w:rPr>
      </w:pPr>
      <w:r w:rsidRPr="001048C8">
        <w:rPr>
          <w:rFonts w:ascii="Times New Roman" w:hAnsi="Times New Roman" w:cs="Times New Roman"/>
          <w:i/>
          <w:sz w:val="28"/>
          <w:szCs w:val="28"/>
        </w:rPr>
        <w:t>Submission date:</w:t>
      </w:r>
      <w:r>
        <w:rPr>
          <w:rFonts w:ascii="Times New Roman" w:hAnsi="Times New Roman" w:cs="Times New Roman"/>
          <w:i/>
          <w:sz w:val="28"/>
          <w:szCs w:val="28"/>
        </w:rPr>
        <w:t xml:space="preserve"> 22nd  April 2024</w:t>
      </w:r>
    </w:p>
    <w:p w:rsidR="001048C8" w:rsidRDefault="001048C8" w:rsidP="001048C8">
      <w:pPr>
        <w:rPr>
          <w:rFonts w:ascii="Times New Roman" w:hAnsi="Times New Roman" w:cs="Times New Roman"/>
          <w:i/>
          <w:sz w:val="28"/>
        </w:rPr>
      </w:pPr>
    </w:p>
    <w:p w:rsidR="001048C8" w:rsidRPr="008B4B29" w:rsidRDefault="001048C8" w:rsidP="001048C8">
      <w:pPr>
        <w:rPr>
          <w:rFonts w:ascii="Times New Roman" w:hAnsi="Times New Roman" w:cs="Times New Roman"/>
          <w:i/>
          <w:sz w:val="28"/>
        </w:rPr>
      </w:pPr>
    </w:p>
    <w:p w:rsidR="00BE684F" w:rsidRPr="00C82664" w:rsidRDefault="00BE684F" w:rsidP="00BE684F">
      <w:pPr>
        <w:pStyle w:val="Heading1"/>
        <w:jc w:val="both"/>
        <w:rPr>
          <w:rFonts w:ascii="Times New Roman" w:hAnsi="Times New Roman" w:cs="Times New Roman"/>
        </w:rPr>
      </w:pPr>
    </w:p>
    <w:p w:rsidR="00BE684F" w:rsidRPr="00C82664" w:rsidRDefault="00BE684F" w:rsidP="00BE684F">
      <w:pPr>
        <w:rPr>
          <w:rFonts w:ascii="Times New Roman" w:hAnsi="Times New Roman" w:cs="Times New Roman"/>
        </w:rPr>
      </w:pPr>
    </w:p>
    <w:p w:rsidR="00BE684F" w:rsidRPr="00C82664" w:rsidRDefault="00BE684F" w:rsidP="00BE684F">
      <w:pPr>
        <w:rPr>
          <w:rFonts w:ascii="Times New Roman" w:hAnsi="Times New Roman" w:cs="Times New Roman"/>
        </w:rPr>
      </w:pPr>
    </w:p>
    <w:p w:rsidR="00AA036B" w:rsidRPr="00C82664" w:rsidRDefault="00AA036B" w:rsidP="00BE684F">
      <w:pPr>
        <w:rPr>
          <w:rFonts w:ascii="Times New Roman" w:hAnsi="Times New Roman" w:cs="Times New Roman"/>
        </w:rPr>
      </w:pPr>
    </w:p>
    <w:sdt>
      <w:sdtPr>
        <w:rPr>
          <w:rFonts w:ascii="Times New Roman" w:eastAsiaTheme="minorHAnsi" w:hAnsi="Times New Roman" w:cs="Times New Roman"/>
          <w:color w:val="auto"/>
          <w:sz w:val="22"/>
          <w:szCs w:val="22"/>
          <w:lang w:val="ro-RO"/>
        </w:rPr>
        <w:id w:val="15287359"/>
        <w:docPartObj>
          <w:docPartGallery w:val="Table of Contents"/>
          <w:docPartUnique/>
        </w:docPartObj>
      </w:sdtPr>
      <w:sdtEndPr>
        <w:rPr>
          <w:b/>
          <w:bCs/>
          <w:noProof/>
        </w:rPr>
      </w:sdtEndPr>
      <w:sdtContent>
        <w:p w:rsidR="00BE684F" w:rsidRDefault="00BE684F" w:rsidP="001048C8">
          <w:pPr>
            <w:pStyle w:val="TOCHeading"/>
            <w:jc w:val="center"/>
            <w:rPr>
              <w:rFonts w:ascii="Times New Roman" w:hAnsi="Times New Roman" w:cs="Times New Roman"/>
              <w:i/>
              <w:sz w:val="40"/>
              <w:szCs w:val="40"/>
            </w:rPr>
          </w:pPr>
          <w:r w:rsidRPr="00030A58">
            <w:rPr>
              <w:rFonts w:ascii="Times New Roman" w:hAnsi="Times New Roman" w:cs="Times New Roman"/>
              <w:i/>
              <w:sz w:val="44"/>
              <w:szCs w:val="44"/>
            </w:rPr>
            <w:t>Table of Contents</w:t>
          </w:r>
        </w:p>
        <w:p w:rsidR="00030A58" w:rsidRDefault="00030A58" w:rsidP="00030A58">
          <w:pPr>
            <w:rPr>
              <w:lang w:val="en-US"/>
            </w:rPr>
          </w:pPr>
        </w:p>
        <w:p w:rsidR="00030A58" w:rsidRPr="00030A58" w:rsidRDefault="00030A58" w:rsidP="00030A58">
          <w:pPr>
            <w:rPr>
              <w:lang w:val="en-US"/>
            </w:rPr>
          </w:pPr>
        </w:p>
        <w:p w:rsidR="001048C8" w:rsidRPr="00030A58" w:rsidRDefault="001048C8" w:rsidP="001048C8">
          <w:pPr>
            <w:rPr>
              <w:rFonts w:ascii="Times New Roman" w:hAnsi="Times New Roman" w:cs="Times New Roman"/>
              <w:lang w:val="en-US"/>
            </w:rPr>
          </w:pPr>
        </w:p>
        <w:p w:rsidR="00AA036B" w:rsidRPr="00030A58" w:rsidRDefault="004000CB">
          <w:pPr>
            <w:pStyle w:val="TOC1"/>
            <w:tabs>
              <w:tab w:val="right" w:leader="dot" w:pos="9062"/>
            </w:tabs>
            <w:rPr>
              <w:rFonts w:ascii="Times New Roman" w:eastAsiaTheme="minorEastAsia" w:hAnsi="Times New Roman" w:cs="Times New Roman"/>
              <w:noProof/>
              <w:sz w:val="36"/>
              <w:szCs w:val="36"/>
              <w:lang w:val="en-US"/>
            </w:rPr>
          </w:pPr>
          <w:r w:rsidRPr="004000CB">
            <w:rPr>
              <w:rFonts w:ascii="Times New Roman" w:hAnsi="Times New Roman" w:cs="Times New Roman"/>
            </w:rPr>
            <w:fldChar w:fldCharType="begin"/>
          </w:r>
          <w:r w:rsidR="00BE684F" w:rsidRPr="00030A58">
            <w:rPr>
              <w:rFonts w:ascii="Times New Roman" w:hAnsi="Times New Roman" w:cs="Times New Roman"/>
            </w:rPr>
            <w:instrText xml:space="preserve"> TOC \o "1-3" \h \z \u </w:instrText>
          </w:r>
          <w:r w:rsidRPr="004000CB">
            <w:rPr>
              <w:rFonts w:ascii="Times New Roman" w:hAnsi="Times New Roman" w:cs="Times New Roman"/>
            </w:rPr>
            <w:fldChar w:fldCharType="separate"/>
          </w:r>
          <w:hyperlink w:anchor="_Toc164679927" w:history="1">
            <w:r w:rsidR="00AA036B" w:rsidRPr="00030A58">
              <w:rPr>
                <w:rStyle w:val="Hyperlink"/>
                <w:rFonts w:ascii="Times New Roman" w:hAnsi="Times New Roman" w:cs="Times New Roman"/>
                <w:noProof/>
                <w:sz w:val="36"/>
                <w:szCs w:val="36"/>
                <w:lang w:val="en-US"/>
              </w:rPr>
              <w:t>Chapter 1: Introduction</w:t>
            </w:r>
            <w:r w:rsidR="00AA036B" w:rsidRPr="00030A58">
              <w:rPr>
                <w:rFonts w:ascii="Times New Roman" w:hAnsi="Times New Roman" w:cs="Times New Roman"/>
                <w:noProof/>
                <w:webHidden/>
                <w:sz w:val="36"/>
                <w:szCs w:val="36"/>
              </w:rPr>
              <w:tab/>
            </w:r>
            <w:r w:rsidR="00CF7BA0">
              <w:rPr>
                <w:rFonts w:ascii="Times New Roman" w:hAnsi="Times New Roman" w:cs="Times New Roman"/>
                <w:noProof/>
                <w:webHidden/>
                <w:sz w:val="36"/>
                <w:szCs w:val="36"/>
              </w:rPr>
              <w:t>3</w:t>
            </w:r>
          </w:hyperlink>
        </w:p>
        <w:p w:rsidR="00AA036B" w:rsidRPr="00030A58" w:rsidRDefault="004000CB">
          <w:pPr>
            <w:pStyle w:val="TOC1"/>
            <w:tabs>
              <w:tab w:val="right" w:leader="dot" w:pos="9062"/>
            </w:tabs>
            <w:rPr>
              <w:rFonts w:ascii="Times New Roman" w:eastAsiaTheme="minorEastAsia" w:hAnsi="Times New Roman" w:cs="Times New Roman"/>
              <w:noProof/>
              <w:sz w:val="36"/>
              <w:szCs w:val="36"/>
              <w:lang w:val="en-US"/>
            </w:rPr>
          </w:pPr>
          <w:hyperlink w:anchor="_Toc164679928" w:history="1">
            <w:r w:rsidR="00AA036B" w:rsidRPr="00030A58">
              <w:rPr>
                <w:rStyle w:val="Hyperlink"/>
                <w:rFonts w:ascii="Times New Roman" w:hAnsi="Times New Roman" w:cs="Times New Roman"/>
                <w:noProof/>
                <w:sz w:val="36"/>
                <w:szCs w:val="36"/>
              </w:rPr>
              <w:t>Chapter 2: Literature Review</w:t>
            </w:r>
            <w:r w:rsidR="00AA036B" w:rsidRPr="00030A58">
              <w:rPr>
                <w:rFonts w:ascii="Times New Roman" w:hAnsi="Times New Roman" w:cs="Times New Roman"/>
                <w:noProof/>
                <w:webHidden/>
                <w:sz w:val="36"/>
                <w:szCs w:val="36"/>
              </w:rPr>
              <w:tab/>
            </w:r>
            <w:r w:rsidR="00CF7BA0">
              <w:rPr>
                <w:rFonts w:ascii="Times New Roman" w:hAnsi="Times New Roman" w:cs="Times New Roman"/>
                <w:noProof/>
                <w:webHidden/>
                <w:sz w:val="36"/>
                <w:szCs w:val="36"/>
              </w:rPr>
              <w:t>5</w:t>
            </w:r>
          </w:hyperlink>
        </w:p>
        <w:p w:rsidR="00AA036B" w:rsidRPr="00030A58" w:rsidRDefault="004000CB">
          <w:pPr>
            <w:pStyle w:val="TOC1"/>
            <w:tabs>
              <w:tab w:val="right" w:leader="dot" w:pos="9062"/>
            </w:tabs>
            <w:rPr>
              <w:rFonts w:ascii="Times New Roman" w:eastAsiaTheme="minorEastAsia" w:hAnsi="Times New Roman" w:cs="Times New Roman"/>
              <w:noProof/>
              <w:sz w:val="36"/>
              <w:szCs w:val="36"/>
              <w:lang w:val="en-US"/>
            </w:rPr>
          </w:pPr>
          <w:hyperlink w:anchor="_Toc164679929" w:history="1">
            <w:r w:rsidR="00AA036B" w:rsidRPr="00030A58">
              <w:rPr>
                <w:rStyle w:val="Hyperlink"/>
                <w:rFonts w:ascii="Times New Roman" w:hAnsi="Times New Roman" w:cs="Times New Roman"/>
                <w:noProof/>
                <w:sz w:val="36"/>
                <w:szCs w:val="36"/>
                <w:lang w:val="en-US"/>
              </w:rPr>
              <w:t>Chapter 3: Research Methods and Methodology</w:t>
            </w:r>
            <w:r w:rsidR="00AA036B" w:rsidRPr="00030A58">
              <w:rPr>
                <w:rFonts w:ascii="Times New Roman" w:hAnsi="Times New Roman" w:cs="Times New Roman"/>
                <w:noProof/>
                <w:webHidden/>
                <w:sz w:val="36"/>
                <w:szCs w:val="36"/>
              </w:rPr>
              <w:tab/>
            </w:r>
            <w:r w:rsidR="00CF7BA0">
              <w:rPr>
                <w:rFonts w:ascii="Times New Roman" w:hAnsi="Times New Roman" w:cs="Times New Roman"/>
                <w:noProof/>
                <w:webHidden/>
                <w:sz w:val="36"/>
                <w:szCs w:val="36"/>
              </w:rPr>
              <w:t>7</w:t>
            </w:r>
          </w:hyperlink>
        </w:p>
        <w:p w:rsidR="00AA036B" w:rsidRPr="00030A58" w:rsidRDefault="004000CB">
          <w:pPr>
            <w:pStyle w:val="TOC1"/>
            <w:tabs>
              <w:tab w:val="right" w:leader="dot" w:pos="9062"/>
            </w:tabs>
            <w:rPr>
              <w:rFonts w:ascii="Times New Roman" w:eastAsiaTheme="minorEastAsia" w:hAnsi="Times New Roman" w:cs="Times New Roman"/>
              <w:noProof/>
              <w:sz w:val="36"/>
              <w:szCs w:val="36"/>
              <w:lang w:val="en-US"/>
            </w:rPr>
          </w:pPr>
          <w:hyperlink w:anchor="_Toc164679930" w:history="1">
            <w:r w:rsidR="00AA036B" w:rsidRPr="00030A58">
              <w:rPr>
                <w:rStyle w:val="Hyperlink"/>
                <w:rFonts w:ascii="Times New Roman" w:hAnsi="Times New Roman" w:cs="Times New Roman"/>
                <w:noProof/>
                <w:sz w:val="36"/>
                <w:szCs w:val="36"/>
              </w:rPr>
              <w:t>Conclusion</w:t>
            </w:r>
            <w:r w:rsidR="00AA036B" w:rsidRPr="00030A58">
              <w:rPr>
                <w:rFonts w:ascii="Times New Roman" w:hAnsi="Times New Roman" w:cs="Times New Roman"/>
                <w:noProof/>
                <w:webHidden/>
                <w:sz w:val="36"/>
                <w:szCs w:val="36"/>
              </w:rPr>
              <w:tab/>
            </w:r>
            <w:r w:rsidR="00CF7BA0">
              <w:rPr>
                <w:rFonts w:ascii="Times New Roman" w:hAnsi="Times New Roman" w:cs="Times New Roman"/>
                <w:noProof/>
                <w:webHidden/>
                <w:sz w:val="36"/>
                <w:szCs w:val="36"/>
              </w:rPr>
              <w:t>9</w:t>
            </w:r>
          </w:hyperlink>
        </w:p>
        <w:p w:rsidR="00AA036B" w:rsidRPr="00030A58" w:rsidRDefault="004000CB">
          <w:pPr>
            <w:pStyle w:val="TOC1"/>
            <w:tabs>
              <w:tab w:val="right" w:leader="dot" w:pos="9062"/>
            </w:tabs>
            <w:rPr>
              <w:rFonts w:ascii="Times New Roman" w:eastAsiaTheme="minorEastAsia" w:hAnsi="Times New Roman" w:cs="Times New Roman"/>
              <w:noProof/>
              <w:sz w:val="36"/>
              <w:szCs w:val="36"/>
              <w:lang w:val="en-US"/>
            </w:rPr>
          </w:pPr>
          <w:hyperlink w:anchor="_Toc164679931" w:history="1">
            <w:r w:rsidR="00AA036B" w:rsidRPr="00030A58">
              <w:rPr>
                <w:rStyle w:val="Hyperlink"/>
                <w:rFonts w:ascii="Times New Roman" w:hAnsi="Times New Roman" w:cs="Times New Roman"/>
                <w:noProof/>
                <w:sz w:val="36"/>
                <w:szCs w:val="36"/>
              </w:rPr>
              <w:t>References</w:t>
            </w:r>
            <w:r w:rsidR="00AA036B" w:rsidRPr="00030A58">
              <w:rPr>
                <w:rFonts w:ascii="Times New Roman" w:hAnsi="Times New Roman" w:cs="Times New Roman"/>
                <w:noProof/>
                <w:webHidden/>
                <w:sz w:val="36"/>
                <w:szCs w:val="36"/>
              </w:rPr>
              <w:tab/>
            </w:r>
            <w:r w:rsidR="00CF7BA0">
              <w:rPr>
                <w:rFonts w:ascii="Times New Roman" w:hAnsi="Times New Roman" w:cs="Times New Roman"/>
                <w:noProof/>
                <w:webHidden/>
                <w:sz w:val="36"/>
                <w:szCs w:val="36"/>
              </w:rPr>
              <w:t>10</w:t>
            </w:r>
          </w:hyperlink>
        </w:p>
        <w:p w:rsidR="00BE684F" w:rsidRPr="00C82664" w:rsidRDefault="004000CB">
          <w:pPr>
            <w:rPr>
              <w:rFonts w:ascii="Times New Roman" w:hAnsi="Times New Roman" w:cs="Times New Roman"/>
            </w:rPr>
          </w:pPr>
          <w:r w:rsidRPr="00030A58">
            <w:rPr>
              <w:rFonts w:ascii="Times New Roman" w:hAnsi="Times New Roman" w:cs="Times New Roman"/>
              <w:b/>
              <w:bCs/>
              <w:noProof/>
            </w:rPr>
            <w:fldChar w:fldCharType="end"/>
          </w:r>
        </w:p>
      </w:sdtContent>
    </w:sdt>
    <w:p w:rsidR="00BE684F" w:rsidRPr="00C82664" w:rsidRDefault="00BE684F" w:rsidP="00BE684F">
      <w:pPr>
        <w:pStyle w:val="Heading1"/>
        <w:jc w:val="both"/>
        <w:rPr>
          <w:rFonts w:ascii="Times New Roman" w:hAnsi="Times New Roman" w:cs="Times New Roman"/>
        </w:rPr>
      </w:pPr>
    </w:p>
    <w:p w:rsidR="00BE684F" w:rsidRPr="00C82664" w:rsidRDefault="00BE684F" w:rsidP="00BE684F">
      <w:pPr>
        <w:pStyle w:val="Heading1"/>
        <w:jc w:val="both"/>
        <w:rPr>
          <w:rFonts w:ascii="Times New Roman" w:hAnsi="Times New Roman" w:cs="Times New Roman"/>
        </w:rPr>
      </w:pPr>
    </w:p>
    <w:p w:rsidR="00BE684F" w:rsidRPr="00C82664" w:rsidRDefault="00BE684F" w:rsidP="00BE684F">
      <w:pPr>
        <w:pStyle w:val="Heading1"/>
        <w:jc w:val="both"/>
        <w:rPr>
          <w:rFonts w:ascii="Times New Roman" w:hAnsi="Times New Roman" w:cs="Times New Roman"/>
        </w:rPr>
      </w:pPr>
    </w:p>
    <w:p w:rsidR="00BE684F" w:rsidRPr="00C82664" w:rsidRDefault="00BE684F" w:rsidP="00BE684F">
      <w:pPr>
        <w:pStyle w:val="Heading1"/>
        <w:jc w:val="both"/>
        <w:rPr>
          <w:rFonts w:ascii="Times New Roman" w:hAnsi="Times New Roman" w:cs="Times New Roman"/>
        </w:rPr>
      </w:pPr>
    </w:p>
    <w:p w:rsidR="005E76E9" w:rsidRDefault="005E76E9" w:rsidP="00C82664">
      <w:pPr>
        <w:pStyle w:val="Heading1"/>
        <w:rPr>
          <w:rFonts w:ascii="Times New Roman" w:hAnsi="Times New Roman" w:cs="Times New Roman"/>
        </w:rPr>
      </w:pPr>
      <w:bookmarkStart w:id="0" w:name="_Toc164679927"/>
    </w:p>
    <w:p w:rsidR="0082788A" w:rsidRDefault="0082788A" w:rsidP="00C82664">
      <w:pPr>
        <w:pStyle w:val="Heading1"/>
        <w:rPr>
          <w:rFonts w:ascii="Times New Roman" w:hAnsi="Times New Roman" w:cs="Times New Roman"/>
          <w:lang w:val="en-US"/>
        </w:rPr>
      </w:pPr>
    </w:p>
    <w:p w:rsidR="00F20E2F" w:rsidRDefault="00F20E2F" w:rsidP="00F20E2F">
      <w:pPr>
        <w:rPr>
          <w:lang w:val="en-US"/>
        </w:rPr>
      </w:pPr>
    </w:p>
    <w:p w:rsidR="00F20E2F" w:rsidRPr="00F20E2F" w:rsidRDefault="00F20E2F" w:rsidP="00F20E2F">
      <w:pPr>
        <w:rPr>
          <w:lang w:val="en-US"/>
        </w:rPr>
      </w:pPr>
    </w:p>
    <w:p w:rsidR="00F20E2F" w:rsidRDefault="00F20E2F" w:rsidP="00C82664">
      <w:pPr>
        <w:pStyle w:val="Heading1"/>
        <w:rPr>
          <w:rFonts w:ascii="Times New Roman" w:hAnsi="Times New Roman" w:cs="Times New Roman"/>
          <w:lang w:val="en-US"/>
        </w:rPr>
      </w:pPr>
    </w:p>
    <w:p w:rsidR="00C82664" w:rsidRPr="00030A58" w:rsidRDefault="00C82664" w:rsidP="006518ED">
      <w:pPr>
        <w:pStyle w:val="Heading1"/>
        <w:jc w:val="center"/>
        <w:rPr>
          <w:rFonts w:ascii="Times New Roman" w:hAnsi="Times New Roman" w:cs="Times New Roman"/>
          <w:sz w:val="40"/>
          <w:szCs w:val="40"/>
          <w:lang w:val="en-US"/>
        </w:rPr>
      </w:pPr>
      <w:r w:rsidRPr="00030A58">
        <w:rPr>
          <w:rFonts w:ascii="Times New Roman" w:hAnsi="Times New Roman" w:cs="Times New Roman"/>
          <w:sz w:val="40"/>
          <w:szCs w:val="40"/>
          <w:lang w:val="en-US"/>
        </w:rPr>
        <w:t>Chapter 1: Introduction</w:t>
      </w:r>
      <w:bookmarkEnd w:id="0"/>
    </w:p>
    <w:p w:rsidR="006518ED" w:rsidRPr="006518ED" w:rsidRDefault="006518ED" w:rsidP="006518ED">
      <w:pPr>
        <w:rPr>
          <w:lang w:val="en-US"/>
        </w:rPr>
      </w:pPr>
    </w:p>
    <w:p w:rsidR="00C82664" w:rsidRPr="00C82664" w:rsidRDefault="00C82664" w:rsidP="00C82664">
      <w:pPr>
        <w:spacing w:line="360" w:lineRule="auto"/>
        <w:jc w:val="both"/>
        <w:rPr>
          <w:rFonts w:ascii="Times New Roman" w:hAnsi="Times New Roman" w:cs="Times New Roman"/>
          <w:sz w:val="24"/>
          <w:lang w:val="en-US"/>
        </w:rPr>
      </w:pPr>
      <w:r w:rsidRPr="00C82664">
        <w:rPr>
          <w:rFonts w:ascii="Times New Roman" w:hAnsi="Times New Roman" w:cs="Times New Roman"/>
          <w:sz w:val="24"/>
          <w:lang w:val="en-US"/>
        </w:rPr>
        <w:t>Transportation is a major contributor to global greenhouse gas emissions and climate change, accounting for 14% of emissions worldwide (IPCC, 2014). Electric vehicles (EVs) are a promising solution to reduce carbon emissions and mitigate climate change, and Tesla, Inc. is at the forefront of driving mass adoption of EV technology (</w:t>
      </w:r>
      <w:proofErr w:type="spellStart"/>
      <w:r w:rsidRPr="00C82664">
        <w:rPr>
          <w:rFonts w:ascii="Times New Roman" w:hAnsi="Times New Roman" w:cs="Times New Roman"/>
          <w:sz w:val="24"/>
          <w:lang w:val="en-US"/>
        </w:rPr>
        <w:t>Stringham</w:t>
      </w:r>
      <w:proofErr w:type="spellEnd"/>
      <w:r w:rsidRPr="00C82664">
        <w:rPr>
          <w:rFonts w:ascii="Times New Roman" w:hAnsi="Times New Roman" w:cs="Times New Roman"/>
          <w:sz w:val="24"/>
          <w:lang w:val="en-US"/>
        </w:rPr>
        <w:t xml:space="preserve"> et al., 2015). However, concerns have been raised about the environmental impact of EV production, including increased mining of rare-earth minerals and the carbon intensity of the electricity used to charge the EVs (Hawkins et al., 2013; </w:t>
      </w:r>
      <w:proofErr w:type="spellStart"/>
      <w:r w:rsidRPr="00C82664">
        <w:rPr>
          <w:rFonts w:ascii="Times New Roman" w:hAnsi="Times New Roman" w:cs="Times New Roman"/>
          <w:sz w:val="24"/>
          <w:lang w:val="en-US"/>
        </w:rPr>
        <w:t>Nealer</w:t>
      </w:r>
      <w:proofErr w:type="spellEnd"/>
      <w:r w:rsidRPr="00C82664">
        <w:rPr>
          <w:rFonts w:ascii="Times New Roman" w:hAnsi="Times New Roman" w:cs="Times New Roman"/>
          <w:sz w:val="24"/>
          <w:lang w:val="en-US"/>
        </w:rPr>
        <w:t xml:space="preserve"> et al., 2015).</w:t>
      </w:r>
    </w:p>
    <w:p w:rsidR="00C82664" w:rsidRPr="00C82664" w:rsidRDefault="00C82664" w:rsidP="00C82664">
      <w:pPr>
        <w:spacing w:line="360" w:lineRule="auto"/>
        <w:jc w:val="both"/>
        <w:rPr>
          <w:rFonts w:ascii="Times New Roman" w:hAnsi="Times New Roman" w:cs="Times New Roman"/>
          <w:sz w:val="24"/>
          <w:lang w:val="en-US"/>
        </w:rPr>
      </w:pPr>
      <w:r w:rsidRPr="00C82664">
        <w:rPr>
          <w:rFonts w:ascii="Times New Roman" w:hAnsi="Times New Roman" w:cs="Times New Roman"/>
          <w:sz w:val="24"/>
          <w:lang w:val="en-US"/>
        </w:rPr>
        <w:t>This topic is significant because</w:t>
      </w:r>
      <w:r w:rsidR="00030A58">
        <w:rPr>
          <w:rFonts w:ascii="Times New Roman" w:hAnsi="Times New Roman" w:cs="Times New Roman"/>
          <w:sz w:val="24"/>
          <w:lang w:val="en-US"/>
        </w:rPr>
        <w:t xml:space="preserve"> we urgently need the</w:t>
      </w:r>
      <w:r w:rsidRPr="00C82664">
        <w:rPr>
          <w:rFonts w:ascii="Times New Roman" w:hAnsi="Times New Roman" w:cs="Times New Roman"/>
          <w:sz w:val="24"/>
          <w:lang w:val="en-US"/>
        </w:rPr>
        <w:t xml:space="preserve"> transition to sustainable transportation systems to achieve climate targets. To guide this transition, it is crucial to have a comprehensive understanding of the environmental impacts of EVs throughout their lifecycle. While existing literature compares EVs to internal combustion engines (ICEVs) on a general level, there is a lack of detailed company-specific assessments of leading EV makers like Tesla.</w:t>
      </w:r>
    </w:p>
    <w:p w:rsidR="00C82664" w:rsidRPr="00C82664" w:rsidRDefault="00C82664" w:rsidP="00C82664">
      <w:pPr>
        <w:spacing w:line="360" w:lineRule="auto"/>
        <w:jc w:val="both"/>
        <w:rPr>
          <w:rFonts w:ascii="Times New Roman" w:hAnsi="Times New Roman" w:cs="Times New Roman"/>
          <w:sz w:val="24"/>
          <w:lang w:val="en-US"/>
        </w:rPr>
      </w:pPr>
      <w:r w:rsidRPr="00C82664">
        <w:rPr>
          <w:rFonts w:ascii="Times New Roman" w:hAnsi="Times New Roman" w:cs="Times New Roman"/>
          <w:sz w:val="24"/>
          <w:lang w:val="en-US"/>
        </w:rPr>
        <w:t>The purpose of this research is to quantify the environmental impacts of Tesla's production of EVs, including key metrics such as carbon emissions, resource consumption, and waste creation. The research aims to provide a comprehensive evaluation of environmental costs and benefits that can inform consumer decisions, industry practices, and environmental policies within the EV sector.</w:t>
      </w:r>
    </w:p>
    <w:p w:rsidR="00C82664" w:rsidRPr="00C82664" w:rsidRDefault="00C82664" w:rsidP="00C82664">
      <w:pPr>
        <w:spacing w:line="360" w:lineRule="auto"/>
        <w:jc w:val="both"/>
        <w:rPr>
          <w:rFonts w:ascii="Times New Roman" w:hAnsi="Times New Roman" w:cs="Times New Roman"/>
          <w:sz w:val="24"/>
          <w:lang w:val="en-US"/>
        </w:rPr>
      </w:pPr>
      <w:r w:rsidRPr="00C82664">
        <w:rPr>
          <w:rFonts w:ascii="Times New Roman" w:hAnsi="Times New Roman" w:cs="Times New Roman"/>
          <w:b/>
          <w:bCs/>
          <w:sz w:val="24"/>
          <w:lang w:val="en-US"/>
        </w:rPr>
        <w:t>Proposed aim:</w:t>
      </w:r>
      <w:r w:rsidRPr="00C82664">
        <w:rPr>
          <w:rFonts w:ascii="Times New Roman" w:hAnsi="Times New Roman" w:cs="Times New Roman"/>
          <w:sz w:val="24"/>
          <w:lang w:val="en-US"/>
        </w:rPr>
        <w:t xml:space="preserve"> To assess the environmental impacts of Tesla's electric vehicle production through a life cycle </w:t>
      </w:r>
      <w:proofErr w:type="gramStart"/>
      <w:r w:rsidRPr="00C82664">
        <w:rPr>
          <w:rFonts w:ascii="Times New Roman" w:hAnsi="Times New Roman" w:cs="Times New Roman"/>
          <w:sz w:val="24"/>
          <w:lang w:val="en-US"/>
        </w:rPr>
        <w:t>assessment (LCA) approach</w:t>
      </w:r>
      <w:proofErr w:type="gramEnd"/>
      <w:r w:rsidRPr="00C82664">
        <w:rPr>
          <w:rFonts w:ascii="Times New Roman" w:hAnsi="Times New Roman" w:cs="Times New Roman"/>
          <w:sz w:val="24"/>
          <w:lang w:val="en-US"/>
        </w:rPr>
        <w:t>.</w:t>
      </w:r>
    </w:p>
    <w:p w:rsidR="00C82664" w:rsidRPr="00C82664" w:rsidRDefault="00C82664" w:rsidP="00C82664">
      <w:pPr>
        <w:spacing w:line="360" w:lineRule="auto"/>
        <w:jc w:val="both"/>
        <w:rPr>
          <w:rFonts w:ascii="Times New Roman" w:hAnsi="Times New Roman" w:cs="Times New Roman"/>
          <w:sz w:val="24"/>
          <w:lang w:val="en-US"/>
        </w:rPr>
      </w:pPr>
      <w:r w:rsidRPr="00C82664">
        <w:rPr>
          <w:rFonts w:ascii="Times New Roman" w:hAnsi="Times New Roman" w:cs="Times New Roman"/>
          <w:b/>
          <w:bCs/>
          <w:sz w:val="24"/>
          <w:lang w:val="en-US"/>
        </w:rPr>
        <w:t>Objectives:</w:t>
      </w:r>
    </w:p>
    <w:p w:rsidR="00C82664" w:rsidRPr="00C82664" w:rsidRDefault="00C82664" w:rsidP="00C82664">
      <w:pPr>
        <w:numPr>
          <w:ilvl w:val="0"/>
          <w:numId w:val="12"/>
        </w:numPr>
        <w:spacing w:line="360" w:lineRule="auto"/>
        <w:jc w:val="both"/>
        <w:rPr>
          <w:rFonts w:ascii="Times New Roman" w:hAnsi="Times New Roman" w:cs="Times New Roman"/>
          <w:sz w:val="24"/>
          <w:lang w:val="en-US"/>
        </w:rPr>
      </w:pPr>
      <w:r w:rsidRPr="00C82664">
        <w:rPr>
          <w:rFonts w:ascii="Times New Roman" w:hAnsi="Times New Roman" w:cs="Times New Roman"/>
          <w:sz w:val="24"/>
          <w:lang w:val="en-US"/>
        </w:rPr>
        <w:t>To quantify the carbon footprint, water usage, mineral depletion, and toxicity impacts associated with Tesla's EV production process.</w:t>
      </w:r>
    </w:p>
    <w:p w:rsidR="00C82664" w:rsidRPr="00C82664" w:rsidRDefault="00C82664" w:rsidP="00C82664">
      <w:pPr>
        <w:numPr>
          <w:ilvl w:val="0"/>
          <w:numId w:val="12"/>
        </w:numPr>
        <w:spacing w:line="360" w:lineRule="auto"/>
        <w:jc w:val="both"/>
        <w:rPr>
          <w:rFonts w:ascii="Times New Roman" w:hAnsi="Times New Roman" w:cs="Times New Roman"/>
          <w:sz w:val="24"/>
          <w:lang w:val="en-US"/>
        </w:rPr>
      </w:pPr>
      <w:r w:rsidRPr="00C82664">
        <w:rPr>
          <w:rFonts w:ascii="Times New Roman" w:hAnsi="Times New Roman" w:cs="Times New Roman"/>
          <w:sz w:val="24"/>
          <w:lang w:val="en-US"/>
        </w:rPr>
        <w:t>To compare the lifecycle impacts of Tesla's EVs with equivalent internal combustion engine vehicles (ICEVs).</w:t>
      </w:r>
    </w:p>
    <w:p w:rsidR="00C82664" w:rsidRPr="00C82664" w:rsidRDefault="00C82664" w:rsidP="00C82664">
      <w:pPr>
        <w:numPr>
          <w:ilvl w:val="0"/>
          <w:numId w:val="12"/>
        </w:numPr>
        <w:spacing w:line="360" w:lineRule="auto"/>
        <w:jc w:val="both"/>
        <w:rPr>
          <w:rFonts w:ascii="Times New Roman" w:hAnsi="Times New Roman" w:cs="Times New Roman"/>
          <w:sz w:val="24"/>
          <w:lang w:val="en-US"/>
        </w:rPr>
      </w:pPr>
      <w:r w:rsidRPr="00C82664">
        <w:rPr>
          <w:rFonts w:ascii="Times New Roman" w:hAnsi="Times New Roman" w:cs="Times New Roman"/>
          <w:sz w:val="24"/>
          <w:lang w:val="en-US"/>
        </w:rPr>
        <w:lastRenderedPageBreak/>
        <w:t>To identify environmental hotspots in Tesla's EV supply chain and opportunities for impact reduction.</w:t>
      </w:r>
    </w:p>
    <w:p w:rsidR="00C82664" w:rsidRPr="00C82664" w:rsidRDefault="00C82664" w:rsidP="00C82664">
      <w:pPr>
        <w:spacing w:line="360" w:lineRule="auto"/>
        <w:jc w:val="both"/>
        <w:rPr>
          <w:rFonts w:ascii="Times New Roman" w:hAnsi="Times New Roman" w:cs="Times New Roman"/>
          <w:sz w:val="24"/>
          <w:lang w:val="en-US"/>
        </w:rPr>
      </w:pPr>
      <w:r w:rsidRPr="00C82664">
        <w:rPr>
          <w:rFonts w:ascii="Times New Roman" w:hAnsi="Times New Roman" w:cs="Times New Roman"/>
          <w:b/>
          <w:bCs/>
          <w:sz w:val="24"/>
          <w:lang w:val="en-US"/>
        </w:rPr>
        <w:t>Research Questions:</w:t>
      </w:r>
    </w:p>
    <w:p w:rsidR="00C82664" w:rsidRPr="00C82664" w:rsidRDefault="00C82664" w:rsidP="00C82664">
      <w:pPr>
        <w:numPr>
          <w:ilvl w:val="0"/>
          <w:numId w:val="13"/>
        </w:numPr>
        <w:spacing w:line="360" w:lineRule="auto"/>
        <w:jc w:val="both"/>
        <w:rPr>
          <w:rFonts w:ascii="Times New Roman" w:hAnsi="Times New Roman" w:cs="Times New Roman"/>
          <w:sz w:val="24"/>
          <w:lang w:val="en-US"/>
        </w:rPr>
      </w:pPr>
      <w:r w:rsidRPr="00C82664">
        <w:rPr>
          <w:rFonts w:ascii="Times New Roman" w:hAnsi="Times New Roman" w:cs="Times New Roman"/>
          <w:sz w:val="24"/>
          <w:lang w:val="en-US"/>
        </w:rPr>
        <w:t>How does the lifecycle carbon footprint of a Tesla EV compare with an equivalent ICEV?</w:t>
      </w:r>
    </w:p>
    <w:p w:rsidR="00C82664" w:rsidRPr="00C82664" w:rsidRDefault="00C82664" w:rsidP="00C82664">
      <w:pPr>
        <w:numPr>
          <w:ilvl w:val="0"/>
          <w:numId w:val="13"/>
        </w:numPr>
        <w:spacing w:line="360" w:lineRule="auto"/>
        <w:jc w:val="both"/>
        <w:rPr>
          <w:rFonts w:ascii="Times New Roman" w:hAnsi="Times New Roman" w:cs="Times New Roman"/>
          <w:sz w:val="24"/>
          <w:lang w:val="en-US"/>
        </w:rPr>
      </w:pPr>
      <w:r w:rsidRPr="00C82664">
        <w:rPr>
          <w:rFonts w:ascii="Times New Roman" w:hAnsi="Times New Roman" w:cs="Times New Roman"/>
          <w:sz w:val="24"/>
          <w:lang w:val="en-US"/>
        </w:rPr>
        <w:t>What are the major environmental hotspots in Tesla's EV supply chain?</w:t>
      </w:r>
    </w:p>
    <w:p w:rsidR="00BE684F" w:rsidRDefault="00C82664" w:rsidP="00BE684F">
      <w:pPr>
        <w:numPr>
          <w:ilvl w:val="0"/>
          <w:numId w:val="13"/>
        </w:numPr>
        <w:spacing w:line="360" w:lineRule="auto"/>
        <w:jc w:val="both"/>
        <w:rPr>
          <w:rFonts w:ascii="Times New Roman" w:hAnsi="Times New Roman" w:cs="Times New Roman"/>
          <w:sz w:val="24"/>
          <w:lang w:val="en-US"/>
        </w:rPr>
      </w:pPr>
      <w:r w:rsidRPr="00C82664">
        <w:rPr>
          <w:rFonts w:ascii="Times New Roman" w:hAnsi="Times New Roman" w:cs="Times New Roman"/>
          <w:sz w:val="24"/>
          <w:lang w:val="en-US"/>
        </w:rPr>
        <w:t>How can the environmental impacts from Tesla's EV manufacturing be minimized?</w:t>
      </w:r>
    </w:p>
    <w:p w:rsidR="0082788A" w:rsidRPr="00C82664" w:rsidRDefault="0082788A" w:rsidP="0082788A">
      <w:pPr>
        <w:spacing w:line="360" w:lineRule="auto"/>
        <w:ind w:left="720"/>
        <w:jc w:val="both"/>
        <w:rPr>
          <w:rFonts w:ascii="Times New Roman" w:hAnsi="Times New Roman" w:cs="Times New Roman"/>
          <w:sz w:val="24"/>
          <w:lang w:val="en-US"/>
        </w:rPr>
      </w:pPr>
    </w:p>
    <w:p w:rsidR="0082788A" w:rsidRDefault="0082788A" w:rsidP="00BE684F">
      <w:pPr>
        <w:pStyle w:val="Heading1"/>
        <w:jc w:val="both"/>
        <w:rPr>
          <w:rFonts w:ascii="Times New Roman" w:hAnsi="Times New Roman" w:cs="Times New Roman"/>
        </w:rPr>
      </w:pPr>
      <w:bookmarkStart w:id="1" w:name="_Toc164679928"/>
    </w:p>
    <w:p w:rsidR="0082788A" w:rsidRDefault="0082788A" w:rsidP="00BE684F">
      <w:pPr>
        <w:pStyle w:val="Heading1"/>
        <w:jc w:val="both"/>
        <w:rPr>
          <w:rFonts w:ascii="Times New Roman" w:hAnsi="Times New Roman" w:cs="Times New Roman"/>
        </w:rPr>
      </w:pPr>
    </w:p>
    <w:p w:rsidR="0082788A" w:rsidRDefault="0082788A" w:rsidP="00BE684F">
      <w:pPr>
        <w:pStyle w:val="Heading1"/>
        <w:jc w:val="both"/>
        <w:rPr>
          <w:rFonts w:ascii="Times New Roman" w:hAnsi="Times New Roman" w:cs="Times New Roman"/>
        </w:rPr>
      </w:pPr>
    </w:p>
    <w:p w:rsidR="0082788A" w:rsidRDefault="0082788A" w:rsidP="00BE684F">
      <w:pPr>
        <w:pStyle w:val="Heading1"/>
        <w:jc w:val="both"/>
        <w:rPr>
          <w:rFonts w:ascii="Times New Roman" w:hAnsi="Times New Roman" w:cs="Times New Roman"/>
        </w:rPr>
      </w:pPr>
    </w:p>
    <w:p w:rsidR="0082788A" w:rsidRDefault="0082788A" w:rsidP="00BE684F">
      <w:pPr>
        <w:pStyle w:val="Heading1"/>
        <w:jc w:val="both"/>
        <w:rPr>
          <w:rFonts w:ascii="Times New Roman" w:hAnsi="Times New Roman" w:cs="Times New Roman"/>
        </w:rPr>
      </w:pPr>
    </w:p>
    <w:p w:rsidR="0082788A" w:rsidRDefault="0082788A" w:rsidP="00BE684F">
      <w:pPr>
        <w:pStyle w:val="Heading1"/>
        <w:jc w:val="both"/>
        <w:rPr>
          <w:rFonts w:ascii="Times New Roman" w:hAnsi="Times New Roman" w:cs="Times New Roman"/>
        </w:rPr>
      </w:pPr>
    </w:p>
    <w:p w:rsidR="00F20E2F" w:rsidRDefault="00F20E2F" w:rsidP="00BE684F">
      <w:pPr>
        <w:pStyle w:val="Heading1"/>
        <w:jc w:val="both"/>
        <w:rPr>
          <w:rFonts w:ascii="Times New Roman" w:hAnsi="Times New Roman" w:cs="Times New Roman"/>
        </w:rPr>
      </w:pPr>
    </w:p>
    <w:p w:rsidR="00F20E2F" w:rsidRDefault="00F20E2F" w:rsidP="00BE684F">
      <w:pPr>
        <w:pStyle w:val="Heading1"/>
        <w:jc w:val="both"/>
        <w:rPr>
          <w:rFonts w:ascii="Times New Roman" w:hAnsi="Times New Roman" w:cs="Times New Roman"/>
        </w:rPr>
      </w:pPr>
    </w:p>
    <w:p w:rsidR="00F20E2F" w:rsidRDefault="00F20E2F" w:rsidP="00BE684F">
      <w:pPr>
        <w:pStyle w:val="Heading1"/>
        <w:jc w:val="both"/>
        <w:rPr>
          <w:rFonts w:ascii="Times New Roman" w:hAnsi="Times New Roman" w:cs="Times New Roman"/>
        </w:rPr>
      </w:pPr>
    </w:p>
    <w:p w:rsidR="00F20E2F" w:rsidRDefault="00F20E2F" w:rsidP="00BE684F">
      <w:pPr>
        <w:pStyle w:val="Heading1"/>
        <w:jc w:val="both"/>
        <w:rPr>
          <w:rFonts w:ascii="Times New Roman" w:hAnsi="Times New Roman" w:cs="Times New Roman"/>
        </w:rPr>
      </w:pPr>
    </w:p>
    <w:p w:rsidR="00F20E2F" w:rsidRDefault="00F20E2F" w:rsidP="00BE684F">
      <w:pPr>
        <w:pStyle w:val="Heading1"/>
        <w:jc w:val="both"/>
        <w:rPr>
          <w:rFonts w:ascii="Times New Roman" w:hAnsi="Times New Roman" w:cs="Times New Roman"/>
        </w:rPr>
      </w:pPr>
    </w:p>
    <w:p w:rsidR="00F20E2F" w:rsidRDefault="00F20E2F" w:rsidP="00BE684F">
      <w:pPr>
        <w:pStyle w:val="Heading1"/>
        <w:jc w:val="both"/>
        <w:rPr>
          <w:rFonts w:ascii="Times New Roman" w:hAnsi="Times New Roman" w:cs="Times New Roman"/>
        </w:rPr>
      </w:pPr>
    </w:p>
    <w:bookmarkEnd w:id="1"/>
    <w:p w:rsidR="00CF7668" w:rsidRDefault="00CF7668" w:rsidP="00BE684F">
      <w:pPr>
        <w:jc w:val="both"/>
        <w:rPr>
          <w:rFonts w:ascii="Times New Roman" w:hAnsi="Times New Roman" w:cs="Times New Roman"/>
          <w:sz w:val="24"/>
        </w:rPr>
      </w:pPr>
    </w:p>
    <w:p w:rsidR="00CF7668" w:rsidRDefault="00CF7668" w:rsidP="00BE684F">
      <w:pPr>
        <w:jc w:val="both"/>
        <w:rPr>
          <w:rFonts w:ascii="Times New Roman" w:hAnsi="Times New Roman" w:cs="Times New Roman"/>
          <w:sz w:val="24"/>
        </w:rPr>
      </w:pPr>
    </w:p>
    <w:p w:rsidR="00CF7668" w:rsidRDefault="00CF7668" w:rsidP="00BE684F">
      <w:pPr>
        <w:jc w:val="both"/>
        <w:rPr>
          <w:rFonts w:ascii="Times New Roman" w:hAnsi="Times New Roman" w:cs="Times New Roman"/>
          <w:sz w:val="24"/>
        </w:rPr>
      </w:pPr>
    </w:p>
    <w:p w:rsidR="00CF7668" w:rsidRPr="00030A58" w:rsidRDefault="00CF7668" w:rsidP="006518ED">
      <w:pPr>
        <w:pStyle w:val="Heading1"/>
        <w:jc w:val="center"/>
        <w:rPr>
          <w:rFonts w:ascii="Times New Roman" w:hAnsi="Times New Roman" w:cs="Times New Roman"/>
          <w:sz w:val="40"/>
          <w:szCs w:val="40"/>
        </w:rPr>
      </w:pPr>
      <w:r w:rsidRPr="00030A58">
        <w:rPr>
          <w:rFonts w:ascii="Times New Roman" w:hAnsi="Times New Roman" w:cs="Times New Roman"/>
          <w:sz w:val="40"/>
          <w:szCs w:val="40"/>
        </w:rPr>
        <w:t>Chapter 2: Literature Review</w:t>
      </w:r>
    </w:p>
    <w:p w:rsidR="00CF7668" w:rsidRDefault="00CF7668" w:rsidP="00CF7668">
      <w:pPr>
        <w:jc w:val="both"/>
      </w:pPr>
    </w:p>
    <w:p w:rsidR="00BE684F" w:rsidRPr="00C82664" w:rsidRDefault="00BE684F" w:rsidP="00BE684F">
      <w:pPr>
        <w:jc w:val="both"/>
        <w:rPr>
          <w:rFonts w:ascii="Times New Roman" w:hAnsi="Times New Roman" w:cs="Times New Roman"/>
          <w:sz w:val="24"/>
        </w:rPr>
      </w:pPr>
      <w:r w:rsidRPr="00C82664">
        <w:rPr>
          <w:rFonts w:ascii="Times New Roman" w:hAnsi="Times New Roman" w:cs="Times New Roman"/>
          <w:sz w:val="24"/>
        </w:rPr>
        <w:t>Electric vehicles are vehicles powered entirely or partly by electricity. They are usually equipped with lithium-ion battery packs and electric motors. EVs are a great way to help reduce greenhouse gasses from the transportation industry, one of the biggest contributors to global warming (Hawkins et. al., 2013). EVs can offer significant reductions in emissions compared with traditional internal combustion engines (ICEVs) according to lifecycle assessment (LCA), which assesses the cradle-to-grave impacts (Nordelof et. al., 2014).</w:t>
      </w:r>
    </w:p>
    <w:p w:rsidR="00BE684F" w:rsidRPr="00C82664" w:rsidRDefault="00BE684F" w:rsidP="00BE684F">
      <w:pPr>
        <w:jc w:val="both"/>
        <w:rPr>
          <w:rFonts w:ascii="Times New Roman" w:hAnsi="Times New Roman" w:cs="Times New Roman"/>
          <w:sz w:val="24"/>
        </w:rPr>
      </w:pPr>
      <w:r w:rsidRPr="00C82664">
        <w:rPr>
          <w:rFonts w:ascii="Times New Roman" w:hAnsi="Times New Roman" w:cs="Times New Roman"/>
          <w:sz w:val="24"/>
        </w:rPr>
        <w:t>The production of EVs is more environmentally intensive than that of ICEVs. This is mainly because of the mining and processing materials in the battery such as cobalt, nickel, and lithium (Dai et. al., 2018). These critical raw materials are linked to resource depletion and toxicity in the producer countries. Another key factor that influences the lifecycle emissions from EVs is the carbon intensity of electricity used to charge the vehicle (Moro and Lonza 2018).</w:t>
      </w:r>
    </w:p>
    <w:p w:rsidR="00BE684F" w:rsidRPr="00C82664" w:rsidRDefault="00BE684F" w:rsidP="00BE684F">
      <w:pPr>
        <w:jc w:val="both"/>
        <w:rPr>
          <w:rFonts w:ascii="Times New Roman" w:hAnsi="Times New Roman" w:cs="Times New Roman"/>
          <w:sz w:val="24"/>
        </w:rPr>
      </w:pPr>
      <w:r w:rsidRPr="00C82664">
        <w:rPr>
          <w:rFonts w:ascii="Times New Roman" w:hAnsi="Times New Roman" w:cs="Times New Roman"/>
          <w:sz w:val="24"/>
        </w:rPr>
        <w:t>Several LCA methods and models have been developed by Argonne to evaluate the environmental performance of EVs. These include the Greenhouse Gases, Regulated Emissions, and Energy Use in Transportation (GREET model) by Argonne (2021) as well as the Transport Lifecycle Assessment Tool by Ricardo. ISO (2006) has provided a standard framework for LCA studies.</w:t>
      </w:r>
    </w:p>
    <w:p w:rsidR="00BE684F" w:rsidRPr="00C82664" w:rsidRDefault="00BE684F" w:rsidP="00BE684F">
      <w:pPr>
        <w:jc w:val="both"/>
        <w:rPr>
          <w:rFonts w:ascii="Times New Roman" w:hAnsi="Times New Roman" w:cs="Times New Roman"/>
          <w:sz w:val="24"/>
        </w:rPr>
      </w:pPr>
      <w:r w:rsidRPr="00C82664">
        <w:rPr>
          <w:rFonts w:ascii="Times New Roman" w:hAnsi="Times New Roman" w:cs="Times New Roman"/>
          <w:sz w:val="24"/>
        </w:rPr>
        <w:t>The handling of uncertainty and variability in data and assumptions is a key challenge for the LCA of EVs (Ellingsen et. al., 2016,). Yang (2016) notes that integrating consequential aspects such as the impact of EVs in the mix of electricity grids and battery recycling rates adds to the complexity. LCA results are often outdated due to the rapid pace of battery technology and production process development (Peters, et. al., 2017).</w:t>
      </w:r>
    </w:p>
    <w:p w:rsidR="00BE684F" w:rsidRPr="00C82664" w:rsidRDefault="00BE684F" w:rsidP="00BE684F">
      <w:pPr>
        <w:jc w:val="both"/>
        <w:rPr>
          <w:rFonts w:ascii="Times New Roman" w:hAnsi="Times New Roman" w:cs="Times New Roman"/>
          <w:sz w:val="24"/>
        </w:rPr>
      </w:pPr>
      <w:r w:rsidRPr="00C82664">
        <w:rPr>
          <w:rFonts w:ascii="Times New Roman" w:hAnsi="Times New Roman" w:cs="Times New Roman"/>
          <w:sz w:val="24"/>
        </w:rPr>
        <w:t>LCA is still a valuable tool to identify improvement opportunities and support decision-making within the EV industry. Kim et. al. (2016) has conducted comparative studies that highlight the importance of battery sizing and lightweight for environmental optimization. LCA can be combined with other sustainability assessment methods, such as life cycle costs and social LCA, for a more comprehensive evaluation (Onat, et. al., 2014).</w:t>
      </w:r>
    </w:p>
    <w:p w:rsidR="00BE684F" w:rsidRPr="00C82664" w:rsidRDefault="00BE684F" w:rsidP="00BE684F">
      <w:pPr>
        <w:jc w:val="both"/>
        <w:rPr>
          <w:rFonts w:ascii="Times New Roman" w:hAnsi="Times New Roman" w:cs="Times New Roman"/>
          <w:sz w:val="24"/>
        </w:rPr>
      </w:pPr>
      <w:r w:rsidRPr="00C82664">
        <w:rPr>
          <w:rFonts w:ascii="Times New Roman" w:hAnsi="Times New Roman" w:cs="Times New Roman"/>
          <w:sz w:val="24"/>
        </w:rPr>
        <w:t>Tesla has been the focus of several LCA studies, due to its pioneering role in the EV industry. Ambrose &amp; O'Dea (2020) estimated the carbon emissions payback period of a Tesla Model 3 compared with a Toyota Camry to be about 5,500 miles using the current U.S. electric grid. Malmgren's (2016) study quantified materials used and CO2 emissions in the production process of a Tesla Model S. This highlighted the importance of the battery. There are no comprehensive or up-to-date LCA studies for Tesla's newest EV models or production processes.</w:t>
      </w:r>
    </w:p>
    <w:p w:rsidR="00BE684F" w:rsidRPr="00C82664" w:rsidRDefault="00BE684F" w:rsidP="00BE684F">
      <w:pPr>
        <w:jc w:val="both"/>
        <w:rPr>
          <w:rFonts w:ascii="Times New Roman" w:hAnsi="Times New Roman" w:cs="Times New Roman"/>
          <w:sz w:val="24"/>
        </w:rPr>
      </w:pPr>
      <w:r w:rsidRPr="00C82664">
        <w:rPr>
          <w:rFonts w:ascii="Times New Roman" w:hAnsi="Times New Roman" w:cs="Times New Roman"/>
          <w:sz w:val="24"/>
        </w:rPr>
        <w:t xml:space="preserve">This research is designed to fill this gap, by providing a detailed study of the environmental impacts of Tesla’s EV production. This study, which uses primary data from Tesla, along with </w:t>
      </w:r>
      <w:r w:rsidRPr="00C82664">
        <w:rPr>
          <w:rFonts w:ascii="Times New Roman" w:hAnsi="Times New Roman" w:cs="Times New Roman"/>
          <w:sz w:val="24"/>
        </w:rPr>
        <w:lastRenderedPageBreak/>
        <w:t>state-of-the-art LCA methods, can provide valuable insights to the company, industry, and policymakers who are working towards a sustainable EV switch.</w:t>
      </w:r>
    </w:p>
    <w:p w:rsidR="00BE684F" w:rsidRPr="00C82664" w:rsidRDefault="00BE684F" w:rsidP="00BE684F">
      <w:pPr>
        <w:jc w:val="both"/>
        <w:rPr>
          <w:rFonts w:ascii="Times New Roman" w:hAnsi="Times New Roman" w:cs="Times New Roman"/>
          <w:sz w:val="24"/>
        </w:rPr>
      </w:pPr>
      <w:r w:rsidRPr="00C82664">
        <w:rPr>
          <w:rFonts w:ascii="Times New Roman" w:hAnsi="Times New Roman" w:cs="Times New Roman"/>
          <w:sz w:val="24"/>
        </w:rPr>
        <w:t>The environmental impact of EVs is highly dependent on the source of electricity used for charging. When charged with renewable energy sources such as solar or wind, EVs can significantly reduce greenhouse gas emissions compared to ICEVs. However, when charged with electricity from fossil fuel sources like coal, the environmental benefits of EVs can be greatly diminished or even negated (Kamiya et al., 2019). This highlights the importance of decarbonizing the electricity grid in parallel with the adoption of EVs. Policies that promote renewable energy and phase out fossil fuels can amplify the climate benefits of EVs (Plötz et al., 2017). Additionally, smart charging strategies that optimize the timing and location of EV charging can help to integrate more renewable energy and reduce the carbon intensity of electricity (Szinai et al., 2020).</w:t>
      </w:r>
    </w:p>
    <w:p w:rsidR="00BE684F" w:rsidRPr="00C82664" w:rsidRDefault="00BE684F" w:rsidP="00BE684F">
      <w:pPr>
        <w:jc w:val="both"/>
        <w:rPr>
          <w:rFonts w:ascii="Times New Roman" w:hAnsi="Times New Roman" w:cs="Times New Roman"/>
          <w:sz w:val="24"/>
        </w:rPr>
      </w:pPr>
      <w:r w:rsidRPr="00C82664">
        <w:rPr>
          <w:rFonts w:ascii="Times New Roman" w:hAnsi="Times New Roman" w:cs="Times New Roman"/>
          <w:sz w:val="24"/>
        </w:rPr>
        <w:t>The end-of-life management of EV batteries is another critical factor in their environmental impact. While the reuse and recycling of EV batteries can help to offset some of the impacts of production, current recycling rates are low and processes can be energy-intensive (Harper et al., 2019). Developing efficient and economical methods for battery recycling and recovery of critical materials is an active area of research (Lv et al., 2018). Policies that promote battery recycling and the development of a circular economy for EV batteries can help to minimize resource depletion and environmental impacts (Kosmol, 2020). Additionally, the design of EV batteries with end-of-life in mind, such as using standardized and easily separable components, can facilitate recycling and reuse (Gaines, 2014).</w:t>
      </w:r>
    </w:p>
    <w:p w:rsidR="00BE684F" w:rsidRDefault="00BE684F" w:rsidP="00BE684F">
      <w:pPr>
        <w:jc w:val="both"/>
        <w:rPr>
          <w:rFonts w:ascii="Times New Roman" w:hAnsi="Times New Roman" w:cs="Times New Roman"/>
          <w:sz w:val="24"/>
        </w:rPr>
      </w:pPr>
      <w:r w:rsidRPr="00C82664">
        <w:rPr>
          <w:rFonts w:ascii="Times New Roman" w:hAnsi="Times New Roman" w:cs="Times New Roman"/>
          <w:sz w:val="24"/>
        </w:rPr>
        <w:t>The growth of the EV market also presents socio-economic implications that should be considered alongside environmental impacts. The transition to EVs can create new jobs in areas such as battery manufacturing, charging infrastructure, and EV maintenance (Garrett-Peltier, 2017). However, it may also lead to job losses in the traditional automotive and fossil fuel industries (Vona, 2019). Ensuring a just transition for workers and communities affected by the shift to EVs is an important social sustainability consideration (Köhler et al., 2019). Additionally, the adoption of EVs has the potential to exacerbate existing inequalities if access is limited to higher-income households (Mattioli et al., 2020). Policies that promote equitable access to EVs and charging infrastructure, such as targeted incentives and investments in underserved communities, can help to ensure that the benefits of EVs are widely shared (Bauer et al., 2021).</w:t>
      </w:r>
    </w:p>
    <w:p w:rsidR="006518ED" w:rsidRDefault="006518ED" w:rsidP="00BE684F">
      <w:pPr>
        <w:jc w:val="both"/>
        <w:rPr>
          <w:rFonts w:ascii="Times New Roman" w:hAnsi="Times New Roman" w:cs="Times New Roman"/>
          <w:sz w:val="24"/>
        </w:rPr>
      </w:pPr>
    </w:p>
    <w:p w:rsidR="006518ED" w:rsidRDefault="006518ED" w:rsidP="00BE684F">
      <w:pPr>
        <w:jc w:val="both"/>
        <w:rPr>
          <w:rFonts w:ascii="Times New Roman" w:hAnsi="Times New Roman" w:cs="Times New Roman"/>
          <w:sz w:val="24"/>
        </w:rPr>
      </w:pPr>
    </w:p>
    <w:p w:rsidR="006518ED" w:rsidRDefault="006518ED" w:rsidP="00BE684F">
      <w:pPr>
        <w:jc w:val="both"/>
        <w:rPr>
          <w:rFonts w:ascii="Times New Roman" w:hAnsi="Times New Roman" w:cs="Times New Roman"/>
          <w:sz w:val="24"/>
        </w:rPr>
      </w:pPr>
    </w:p>
    <w:p w:rsidR="006518ED" w:rsidRDefault="006518ED" w:rsidP="00BE684F">
      <w:pPr>
        <w:jc w:val="both"/>
        <w:rPr>
          <w:rFonts w:ascii="Times New Roman" w:hAnsi="Times New Roman" w:cs="Times New Roman"/>
          <w:sz w:val="24"/>
        </w:rPr>
      </w:pPr>
    </w:p>
    <w:p w:rsidR="006518ED" w:rsidRDefault="006518ED" w:rsidP="00BE684F">
      <w:pPr>
        <w:jc w:val="both"/>
        <w:rPr>
          <w:rFonts w:ascii="Times New Roman" w:hAnsi="Times New Roman" w:cs="Times New Roman"/>
          <w:sz w:val="24"/>
        </w:rPr>
      </w:pPr>
    </w:p>
    <w:p w:rsidR="006518ED" w:rsidRDefault="006518ED" w:rsidP="00BE684F">
      <w:pPr>
        <w:jc w:val="both"/>
        <w:rPr>
          <w:rFonts w:ascii="Times New Roman" w:hAnsi="Times New Roman" w:cs="Times New Roman"/>
          <w:sz w:val="24"/>
        </w:rPr>
      </w:pPr>
    </w:p>
    <w:p w:rsidR="006518ED" w:rsidRDefault="006518ED" w:rsidP="00BE684F">
      <w:pPr>
        <w:jc w:val="both"/>
        <w:rPr>
          <w:rFonts w:ascii="Times New Roman" w:hAnsi="Times New Roman" w:cs="Times New Roman"/>
          <w:sz w:val="24"/>
        </w:rPr>
      </w:pPr>
    </w:p>
    <w:p w:rsidR="006518ED" w:rsidRPr="00C82664" w:rsidRDefault="006518ED" w:rsidP="00BE684F">
      <w:pPr>
        <w:jc w:val="both"/>
        <w:rPr>
          <w:rFonts w:ascii="Times New Roman" w:hAnsi="Times New Roman" w:cs="Times New Roman"/>
          <w:sz w:val="24"/>
        </w:rPr>
      </w:pPr>
    </w:p>
    <w:p w:rsidR="00C82664" w:rsidRPr="00030A58" w:rsidRDefault="00C82664" w:rsidP="006518ED">
      <w:pPr>
        <w:pStyle w:val="Heading1"/>
        <w:jc w:val="center"/>
        <w:rPr>
          <w:rFonts w:ascii="Times New Roman" w:hAnsi="Times New Roman" w:cs="Times New Roman"/>
          <w:sz w:val="40"/>
          <w:szCs w:val="40"/>
          <w:lang w:val="en-US"/>
        </w:rPr>
      </w:pPr>
      <w:bookmarkStart w:id="2" w:name="_Toc164679929"/>
      <w:r w:rsidRPr="00030A58">
        <w:rPr>
          <w:rFonts w:ascii="Times New Roman" w:hAnsi="Times New Roman" w:cs="Times New Roman"/>
          <w:sz w:val="40"/>
          <w:szCs w:val="40"/>
          <w:lang w:val="en-US"/>
        </w:rPr>
        <w:lastRenderedPageBreak/>
        <w:t>Chapter 3: Research Methods and Methodology</w:t>
      </w:r>
      <w:bookmarkEnd w:id="2"/>
    </w:p>
    <w:p w:rsidR="006518ED" w:rsidRPr="006518ED" w:rsidRDefault="006518ED" w:rsidP="006518ED">
      <w:pPr>
        <w:rPr>
          <w:lang w:val="en-US"/>
        </w:rPr>
      </w:pPr>
    </w:p>
    <w:p w:rsidR="00C82664" w:rsidRPr="00C82664" w:rsidRDefault="00C82664" w:rsidP="00C82664">
      <w:pPr>
        <w:jc w:val="both"/>
        <w:rPr>
          <w:rFonts w:ascii="Times New Roman" w:hAnsi="Times New Roman" w:cs="Times New Roman"/>
          <w:sz w:val="24"/>
          <w:lang w:val="en-US"/>
        </w:rPr>
      </w:pPr>
      <w:r w:rsidRPr="00C82664">
        <w:rPr>
          <w:rFonts w:ascii="Times New Roman" w:hAnsi="Times New Roman" w:cs="Times New Roman"/>
          <w:b/>
          <w:bCs/>
          <w:sz w:val="24"/>
          <w:lang w:val="en-US"/>
        </w:rPr>
        <w:t>Research Philosophy and Rationale:</w:t>
      </w:r>
      <w:r w:rsidRPr="00C82664">
        <w:rPr>
          <w:rFonts w:ascii="Times New Roman" w:hAnsi="Times New Roman" w:cs="Times New Roman"/>
          <w:sz w:val="24"/>
          <w:lang w:val="en-US"/>
        </w:rPr>
        <w:t xml:space="preserve"> This study will adopt a positivist research philosophy, which assumes that an objective truth exists and can be discovered through empirical observation and measurement (Saunders et al., 2015). This philosophy aligns well with the quantitative nature of the life cycle assessment (LCA) method, which involves collecting and analyzing data to quantify environmental impacts.</w:t>
      </w:r>
    </w:p>
    <w:p w:rsidR="00C82664" w:rsidRPr="00C82664" w:rsidRDefault="00C82664" w:rsidP="00C82664">
      <w:pPr>
        <w:jc w:val="both"/>
        <w:rPr>
          <w:rFonts w:ascii="Times New Roman" w:hAnsi="Times New Roman" w:cs="Times New Roman"/>
          <w:sz w:val="24"/>
          <w:lang w:val="en-US"/>
        </w:rPr>
      </w:pPr>
      <w:r w:rsidRPr="00C82664">
        <w:rPr>
          <w:rFonts w:ascii="Times New Roman" w:hAnsi="Times New Roman" w:cs="Times New Roman"/>
          <w:b/>
          <w:bCs/>
          <w:sz w:val="24"/>
          <w:lang w:val="en-US"/>
        </w:rPr>
        <w:t>Research Paradigm and Rationale:</w:t>
      </w:r>
      <w:r w:rsidRPr="00C82664">
        <w:rPr>
          <w:rFonts w:ascii="Times New Roman" w:hAnsi="Times New Roman" w:cs="Times New Roman"/>
          <w:sz w:val="24"/>
          <w:lang w:val="en-US"/>
        </w:rPr>
        <w:t xml:space="preserve"> The research paradigm will be post-positivist, which holds that while objective truth exists, our understanding of it can always be revised based on new evidence (Henderson, 2011). This paradigm is well-suited for the iterative approach of LCA, where results can be updated as new data or methodologies become available.</w:t>
      </w:r>
    </w:p>
    <w:p w:rsidR="00C82664" w:rsidRPr="00C82664" w:rsidRDefault="00C82664" w:rsidP="00C82664">
      <w:pPr>
        <w:jc w:val="both"/>
        <w:rPr>
          <w:rFonts w:ascii="Times New Roman" w:hAnsi="Times New Roman" w:cs="Times New Roman"/>
          <w:sz w:val="24"/>
          <w:lang w:val="en-US"/>
        </w:rPr>
      </w:pPr>
      <w:r w:rsidRPr="00C82664">
        <w:rPr>
          <w:rFonts w:ascii="Times New Roman" w:hAnsi="Times New Roman" w:cs="Times New Roman"/>
          <w:b/>
          <w:bCs/>
          <w:sz w:val="24"/>
          <w:lang w:val="en-US"/>
        </w:rPr>
        <w:t>Research Approach and Rationale:</w:t>
      </w:r>
      <w:r w:rsidRPr="00C82664">
        <w:rPr>
          <w:rFonts w:ascii="Times New Roman" w:hAnsi="Times New Roman" w:cs="Times New Roman"/>
          <w:sz w:val="24"/>
          <w:lang w:val="en-US"/>
        </w:rPr>
        <w:t xml:space="preserve"> The research will follow a deductive approach, where existing theories and frameworks related to LCA will be used to guide the data collection and analysis (Saunders et al., 2015). This approach is appropriate for testing hypotheses and generating quantitative data, which is the primary focus of this study.</w:t>
      </w:r>
    </w:p>
    <w:p w:rsidR="00C82664" w:rsidRPr="00C82664" w:rsidRDefault="00C82664" w:rsidP="00C82664">
      <w:pPr>
        <w:jc w:val="both"/>
        <w:rPr>
          <w:rFonts w:ascii="Times New Roman" w:hAnsi="Times New Roman" w:cs="Times New Roman"/>
          <w:sz w:val="24"/>
          <w:lang w:val="en-US"/>
        </w:rPr>
      </w:pPr>
      <w:r w:rsidRPr="00C82664">
        <w:rPr>
          <w:rFonts w:ascii="Times New Roman" w:hAnsi="Times New Roman" w:cs="Times New Roman"/>
          <w:b/>
          <w:bCs/>
          <w:sz w:val="24"/>
          <w:lang w:val="en-US"/>
        </w:rPr>
        <w:t>Research Methodology and Rationale:</w:t>
      </w:r>
      <w:r w:rsidRPr="00C82664">
        <w:rPr>
          <w:rFonts w:ascii="Times New Roman" w:hAnsi="Times New Roman" w:cs="Times New Roman"/>
          <w:sz w:val="24"/>
          <w:lang w:val="en-US"/>
        </w:rPr>
        <w:t xml:space="preserve"> The research methodology will be quantitative, utilizing the Life Cycle Assessment (LCA) method as the primary research tool. LCA is a standardized technique (ISO 14040/14044) that allows for the evaluation of environmental impacts associated with a product or system throughout its entire lifecycle, from raw material extraction to disposal (Curran, 2015).</w:t>
      </w:r>
    </w:p>
    <w:p w:rsidR="00C82664" w:rsidRPr="00C82664" w:rsidRDefault="00C82664" w:rsidP="00C82664">
      <w:pPr>
        <w:jc w:val="both"/>
        <w:rPr>
          <w:rFonts w:ascii="Times New Roman" w:hAnsi="Times New Roman" w:cs="Times New Roman"/>
          <w:sz w:val="24"/>
          <w:lang w:val="en-US"/>
        </w:rPr>
      </w:pPr>
      <w:r w:rsidRPr="00C82664">
        <w:rPr>
          <w:rFonts w:ascii="Times New Roman" w:hAnsi="Times New Roman" w:cs="Times New Roman"/>
          <w:b/>
          <w:bCs/>
          <w:sz w:val="24"/>
          <w:lang w:val="en-US"/>
        </w:rPr>
        <w:t>Research Strategy and Rationale:</w:t>
      </w:r>
      <w:r w:rsidRPr="00C82664">
        <w:rPr>
          <w:rFonts w:ascii="Times New Roman" w:hAnsi="Times New Roman" w:cs="Times New Roman"/>
          <w:sz w:val="24"/>
          <w:lang w:val="en-US"/>
        </w:rPr>
        <w:t xml:space="preserve"> The research strategy will be a case study focused on Tesla, representing a leading EV maker. Case studies are suitable for investigating contemporary phenomena in depth and within a real-world context (Yin, 2014), making it an appropriate choice for this study.</w:t>
      </w:r>
    </w:p>
    <w:p w:rsidR="00C82664" w:rsidRPr="00C82664" w:rsidRDefault="00C82664" w:rsidP="00C82664">
      <w:pPr>
        <w:jc w:val="both"/>
        <w:rPr>
          <w:rFonts w:ascii="Times New Roman" w:hAnsi="Times New Roman" w:cs="Times New Roman"/>
          <w:sz w:val="24"/>
          <w:lang w:val="en-US"/>
        </w:rPr>
      </w:pPr>
      <w:r w:rsidRPr="00C82664">
        <w:rPr>
          <w:rFonts w:ascii="Times New Roman" w:hAnsi="Times New Roman" w:cs="Times New Roman"/>
          <w:b/>
          <w:bCs/>
          <w:sz w:val="24"/>
          <w:lang w:val="en-US"/>
        </w:rPr>
        <w:t>Sampling Method and Rationale:</w:t>
      </w:r>
      <w:r w:rsidRPr="00C82664">
        <w:rPr>
          <w:rFonts w:ascii="Times New Roman" w:hAnsi="Times New Roman" w:cs="Times New Roman"/>
          <w:sz w:val="24"/>
          <w:lang w:val="en-US"/>
        </w:rPr>
        <w:t xml:space="preserve"> The sampling method for data collection will be purposive sampling, where participants will be selected based on their expertise and relevance to the study (Saunders et al., 2015). This approach is well-suited for obtaining high-quality data from knowledgeable individuals within Tesla and other stakeholders in the EV industry.</w:t>
      </w:r>
    </w:p>
    <w:p w:rsidR="00C82664" w:rsidRPr="00C82664" w:rsidRDefault="00C82664" w:rsidP="00C82664">
      <w:pPr>
        <w:jc w:val="both"/>
        <w:rPr>
          <w:rFonts w:ascii="Times New Roman" w:hAnsi="Times New Roman" w:cs="Times New Roman"/>
          <w:sz w:val="24"/>
          <w:lang w:val="en-US"/>
        </w:rPr>
      </w:pPr>
      <w:r w:rsidRPr="00C82664">
        <w:rPr>
          <w:rFonts w:ascii="Times New Roman" w:hAnsi="Times New Roman" w:cs="Times New Roman"/>
          <w:b/>
          <w:bCs/>
          <w:sz w:val="24"/>
          <w:lang w:val="en-US"/>
        </w:rPr>
        <w:t>Data Collection Methods:</w:t>
      </w:r>
      <w:r w:rsidRPr="00C82664">
        <w:rPr>
          <w:rFonts w:ascii="Times New Roman" w:hAnsi="Times New Roman" w:cs="Times New Roman"/>
          <w:sz w:val="24"/>
          <w:lang w:val="en-US"/>
        </w:rPr>
        <w:t xml:space="preserve"> The primary data collection method will be surveys or questionnaires administered to Tesla representatives and other industry stakeholders. The surveys will gather information on material compositions, energy consumption, waste production, and other relevant data required for the LCA inventory analysis. Secondary data sources, such as LCA databases, peer-reviewed literature, and industry reports, will also be utilized.</w:t>
      </w:r>
    </w:p>
    <w:p w:rsidR="00C82664" w:rsidRPr="00C82664" w:rsidRDefault="00C82664" w:rsidP="00C82664">
      <w:pPr>
        <w:jc w:val="both"/>
        <w:rPr>
          <w:rFonts w:ascii="Times New Roman" w:hAnsi="Times New Roman" w:cs="Times New Roman"/>
          <w:sz w:val="24"/>
          <w:lang w:val="en-US"/>
        </w:rPr>
      </w:pPr>
      <w:r w:rsidRPr="00C82664">
        <w:rPr>
          <w:rFonts w:ascii="Times New Roman" w:hAnsi="Times New Roman" w:cs="Times New Roman"/>
          <w:b/>
          <w:bCs/>
          <w:sz w:val="24"/>
          <w:lang w:val="en-US"/>
        </w:rPr>
        <w:t>Data Analysis and Interpretation:</w:t>
      </w:r>
      <w:r w:rsidRPr="00C82664">
        <w:rPr>
          <w:rFonts w:ascii="Times New Roman" w:hAnsi="Times New Roman" w:cs="Times New Roman"/>
          <w:sz w:val="24"/>
          <w:lang w:val="en-US"/>
        </w:rPr>
        <w:t xml:space="preserve"> The collected data will be analyzed using the </w:t>
      </w:r>
      <w:proofErr w:type="spellStart"/>
      <w:r w:rsidRPr="00C82664">
        <w:rPr>
          <w:rFonts w:ascii="Times New Roman" w:hAnsi="Times New Roman" w:cs="Times New Roman"/>
          <w:sz w:val="24"/>
          <w:lang w:val="en-US"/>
        </w:rPr>
        <w:t>OpenLCA</w:t>
      </w:r>
      <w:proofErr w:type="spellEnd"/>
      <w:r w:rsidRPr="00C82664">
        <w:rPr>
          <w:rFonts w:ascii="Times New Roman" w:hAnsi="Times New Roman" w:cs="Times New Roman"/>
          <w:sz w:val="24"/>
          <w:lang w:val="en-US"/>
        </w:rPr>
        <w:t xml:space="preserve"> software, which is a widely used tool for modeling and assessing environmental impacts in LCA studies. The </w:t>
      </w:r>
      <w:proofErr w:type="spellStart"/>
      <w:r w:rsidRPr="00C82664">
        <w:rPr>
          <w:rFonts w:ascii="Times New Roman" w:hAnsi="Times New Roman" w:cs="Times New Roman"/>
          <w:sz w:val="24"/>
          <w:lang w:val="en-US"/>
        </w:rPr>
        <w:t>ReCiPe</w:t>
      </w:r>
      <w:proofErr w:type="spellEnd"/>
      <w:r w:rsidRPr="00C82664">
        <w:rPr>
          <w:rFonts w:ascii="Times New Roman" w:hAnsi="Times New Roman" w:cs="Times New Roman"/>
          <w:sz w:val="24"/>
          <w:lang w:val="en-US"/>
        </w:rPr>
        <w:t xml:space="preserve"> 2016 method will be employed for impact characterization, focusing on midpoint impact categories relevant to EV production, such as climate change, resource depletion, and human toxicity (</w:t>
      </w:r>
      <w:proofErr w:type="spellStart"/>
      <w:r w:rsidRPr="00C82664">
        <w:rPr>
          <w:rFonts w:ascii="Times New Roman" w:hAnsi="Times New Roman" w:cs="Times New Roman"/>
          <w:sz w:val="24"/>
          <w:lang w:val="en-US"/>
        </w:rPr>
        <w:t>Huijbregts</w:t>
      </w:r>
      <w:proofErr w:type="spellEnd"/>
      <w:r w:rsidRPr="00C82664">
        <w:rPr>
          <w:rFonts w:ascii="Times New Roman" w:hAnsi="Times New Roman" w:cs="Times New Roman"/>
          <w:sz w:val="24"/>
          <w:lang w:val="en-US"/>
        </w:rPr>
        <w:t xml:space="preserve"> et al., 2017).</w:t>
      </w:r>
    </w:p>
    <w:p w:rsidR="00C82664" w:rsidRDefault="00C82664" w:rsidP="00C82664">
      <w:pPr>
        <w:jc w:val="both"/>
        <w:rPr>
          <w:rFonts w:ascii="Times New Roman" w:hAnsi="Times New Roman" w:cs="Times New Roman"/>
          <w:sz w:val="24"/>
          <w:lang w:val="en-US"/>
        </w:rPr>
      </w:pPr>
      <w:r w:rsidRPr="00C82664">
        <w:rPr>
          <w:rFonts w:ascii="Times New Roman" w:hAnsi="Times New Roman" w:cs="Times New Roman"/>
          <w:sz w:val="24"/>
          <w:lang w:val="en-US"/>
        </w:rPr>
        <w:lastRenderedPageBreak/>
        <w:t>Sensitivity analysis and scenario analyses will be performed to evaluate the impact of assumptions, uncertainties, and different production methods or end-of-life scenarios on the results. The findings will be validated through comparisons with existing literature and expert reviews.</w:t>
      </w:r>
    </w:p>
    <w:p w:rsidR="00C82664" w:rsidRPr="00C82664" w:rsidRDefault="00C82664" w:rsidP="00C82664">
      <w:pPr>
        <w:jc w:val="both"/>
        <w:rPr>
          <w:rFonts w:ascii="Times New Roman" w:hAnsi="Times New Roman" w:cs="Times New Roman"/>
          <w:sz w:val="24"/>
          <w:lang w:val="en-US"/>
        </w:rPr>
      </w:pPr>
      <w:r w:rsidRPr="00C82664">
        <w:rPr>
          <w:rFonts w:ascii="Times New Roman" w:hAnsi="Times New Roman" w:cs="Times New Roman"/>
          <w:b/>
          <w:bCs/>
          <w:sz w:val="24"/>
        </w:rPr>
        <w:t>Time Prospects of the Research</w:t>
      </w:r>
    </w:p>
    <w:p w:rsidR="00C82664" w:rsidRPr="00C82664" w:rsidRDefault="00C82664" w:rsidP="00C82664">
      <w:r w:rsidRPr="00C82664">
        <w:t>Here is a Gantt chart in the form of a Word table, indicating the start date and duration of each research stage in weeks:</w:t>
      </w:r>
    </w:p>
    <w:tbl>
      <w:tblPr>
        <w:tblStyle w:val="LightGrid-Accent3"/>
        <w:tblW w:w="0" w:type="auto"/>
        <w:tblLook w:val="04A0"/>
      </w:tblPr>
      <w:tblGrid>
        <w:gridCol w:w="1410"/>
        <w:gridCol w:w="660"/>
        <w:gridCol w:w="900"/>
        <w:gridCol w:w="306"/>
        <w:gridCol w:w="306"/>
        <w:gridCol w:w="306"/>
        <w:gridCol w:w="306"/>
        <w:gridCol w:w="306"/>
        <w:gridCol w:w="306"/>
        <w:gridCol w:w="306"/>
        <w:gridCol w:w="306"/>
        <w:gridCol w:w="306"/>
        <w:gridCol w:w="396"/>
        <w:gridCol w:w="396"/>
        <w:gridCol w:w="396"/>
        <w:gridCol w:w="396"/>
        <w:gridCol w:w="396"/>
        <w:gridCol w:w="396"/>
        <w:gridCol w:w="396"/>
        <w:gridCol w:w="396"/>
        <w:gridCol w:w="396"/>
      </w:tblGrid>
      <w:tr w:rsidR="00C82664" w:rsidRPr="00C82664" w:rsidTr="00C82664">
        <w:trPr>
          <w:cnfStyle w:val="100000000000"/>
        </w:trPr>
        <w:tc>
          <w:tcPr>
            <w:cnfStyle w:val="001000000000"/>
            <w:tcW w:w="0" w:type="auto"/>
            <w:vAlign w:val="center"/>
            <w:hideMark/>
          </w:tcPr>
          <w:p w:rsidR="00C82664" w:rsidRPr="00C82664" w:rsidRDefault="00C82664" w:rsidP="00C82664">
            <w:pPr>
              <w:jc w:val="center"/>
              <w:rPr>
                <w:sz w:val="18"/>
              </w:rPr>
            </w:pPr>
            <w:r w:rsidRPr="00C82664">
              <w:rPr>
                <w:sz w:val="18"/>
              </w:rPr>
              <w:t>Task</w:t>
            </w:r>
          </w:p>
        </w:tc>
        <w:tc>
          <w:tcPr>
            <w:tcW w:w="0" w:type="auto"/>
            <w:vAlign w:val="center"/>
            <w:hideMark/>
          </w:tcPr>
          <w:p w:rsidR="00C82664" w:rsidRPr="00C82664" w:rsidRDefault="00C82664" w:rsidP="00C82664">
            <w:pPr>
              <w:jc w:val="center"/>
              <w:cnfStyle w:val="100000000000"/>
              <w:rPr>
                <w:sz w:val="18"/>
              </w:rPr>
            </w:pPr>
            <w:r w:rsidRPr="00C82664">
              <w:rPr>
                <w:sz w:val="18"/>
              </w:rPr>
              <w:t>Start Week</w:t>
            </w:r>
          </w:p>
        </w:tc>
        <w:tc>
          <w:tcPr>
            <w:tcW w:w="0" w:type="auto"/>
            <w:vAlign w:val="center"/>
            <w:hideMark/>
          </w:tcPr>
          <w:p w:rsidR="00C82664" w:rsidRPr="00C82664" w:rsidRDefault="00C82664" w:rsidP="00C82664">
            <w:pPr>
              <w:jc w:val="center"/>
              <w:cnfStyle w:val="100000000000"/>
              <w:rPr>
                <w:sz w:val="18"/>
              </w:rPr>
            </w:pPr>
            <w:r w:rsidRPr="00C82664">
              <w:rPr>
                <w:sz w:val="18"/>
              </w:rPr>
              <w:t>Duration (Weeks)</w:t>
            </w:r>
          </w:p>
        </w:tc>
        <w:tc>
          <w:tcPr>
            <w:tcW w:w="0" w:type="auto"/>
            <w:vAlign w:val="center"/>
            <w:hideMark/>
          </w:tcPr>
          <w:p w:rsidR="00C82664" w:rsidRPr="00C82664" w:rsidRDefault="00C82664" w:rsidP="00C82664">
            <w:pPr>
              <w:jc w:val="center"/>
              <w:cnfStyle w:val="100000000000"/>
              <w:rPr>
                <w:sz w:val="18"/>
              </w:rPr>
            </w:pPr>
            <w:r w:rsidRPr="00C82664">
              <w:rPr>
                <w:sz w:val="18"/>
              </w:rPr>
              <w:t>1</w:t>
            </w:r>
          </w:p>
        </w:tc>
        <w:tc>
          <w:tcPr>
            <w:tcW w:w="0" w:type="auto"/>
            <w:vAlign w:val="center"/>
            <w:hideMark/>
          </w:tcPr>
          <w:p w:rsidR="00C82664" w:rsidRPr="00C82664" w:rsidRDefault="00C82664" w:rsidP="00C82664">
            <w:pPr>
              <w:jc w:val="center"/>
              <w:cnfStyle w:val="100000000000"/>
              <w:rPr>
                <w:sz w:val="18"/>
              </w:rPr>
            </w:pPr>
            <w:r w:rsidRPr="00C82664">
              <w:rPr>
                <w:sz w:val="18"/>
              </w:rPr>
              <w:t>2</w:t>
            </w:r>
          </w:p>
        </w:tc>
        <w:tc>
          <w:tcPr>
            <w:tcW w:w="0" w:type="auto"/>
            <w:vAlign w:val="center"/>
            <w:hideMark/>
          </w:tcPr>
          <w:p w:rsidR="00C82664" w:rsidRPr="00C82664" w:rsidRDefault="00C82664" w:rsidP="00C82664">
            <w:pPr>
              <w:jc w:val="center"/>
              <w:cnfStyle w:val="100000000000"/>
              <w:rPr>
                <w:sz w:val="18"/>
              </w:rPr>
            </w:pPr>
            <w:r w:rsidRPr="00C82664">
              <w:rPr>
                <w:sz w:val="18"/>
              </w:rPr>
              <w:t>3</w:t>
            </w:r>
          </w:p>
        </w:tc>
        <w:tc>
          <w:tcPr>
            <w:tcW w:w="0" w:type="auto"/>
            <w:vAlign w:val="center"/>
            <w:hideMark/>
          </w:tcPr>
          <w:p w:rsidR="00C82664" w:rsidRPr="00C82664" w:rsidRDefault="00C82664" w:rsidP="00C82664">
            <w:pPr>
              <w:jc w:val="center"/>
              <w:cnfStyle w:val="100000000000"/>
              <w:rPr>
                <w:sz w:val="18"/>
              </w:rPr>
            </w:pPr>
            <w:r w:rsidRPr="00C82664">
              <w:rPr>
                <w:sz w:val="18"/>
              </w:rPr>
              <w:t>4</w:t>
            </w:r>
          </w:p>
        </w:tc>
        <w:tc>
          <w:tcPr>
            <w:tcW w:w="0" w:type="auto"/>
            <w:vAlign w:val="center"/>
            <w:hideMark/>
          </w:tcPr>
          <w:p w:rsidR="00C82664" w:rsidRPr="00C82664" w:rsidRDefault="00C82664" w:rsidP="00C82664">
            <w:pPr>
              <w:jc w:val="center"/>
              <w:cnfStyle w:val="100000000000"/>
              <w:rPr>
                <w:sz w:val="18"/>
              </w:rPr>
            </w:pPr>
            <w:r w:rsidRPr="00C82664">
              <w:rPr>
                <w:sz w:val="18"/>
              </w:rPr>
              <w:t>5</w:t>
            </w:r>
          </w:p>
        </w:tc>
        <w:tc>
          <w:tcPr>
            <w:tcW w:w="0" w:type="auto"/>
            <w:vAlign w:val="center"/>
            <w:hideMark/>
          </w:tcPr>
          <w:p w:rsidR="00C82664" w:rsidRPr="00C82664" w:rsidRDefault="00C82664" w:rsidP="00C82664">
            <w:pPr>
              <w:jc w:val="center"/>
              <w:cnfStyle w:val="100000000000"/>
              <w:rPr>
                <w:sz w:val="18"/>
              </w:rPr>
            </w:pPr>
            <w:r w:rsidRPr="00C82664">
              <w:rPr>
                <w:sz w:val="18"/>
              </w:rPr>
              <w:t>6</w:t>
            </w:r>
          </w:p>
        </w:tc>
        <w:tc>
          <w:tcPr>
            <w:tcW w:w="0" w:type="auto"/>
            <w:vAlign w:val="center"/>
            <w:hideMark/>
          </w:tcPr>
          <w:p w:rsidR="00C82664" w:rsidRPr="00C82664" w:rsidRDefault="00C82664" w:rsidP="00C82664">
            <w:pPr>
              <w:jc w:val="center"/>
              <w:cnfStyle w:val="100000000000"/>
              <w:rPr>
                <w:sz w:val="18"/>
              </w:rPr>
            </w:pPr>
            <w:r w:rsidRPr="00C82664">
              <w:rPr>
                <w:sz w:val="18"/>
              </w:rPr>
              <w:t>7</w:t>
            </w:r>
          </w:p>
        </w:tc>
        <w:tc>
          <w:tcPr>
            <w:tcW w:w="0" w:type="auto"/>
            <w:vAlign w:val="center"/>
            <w:hideMark/>
          </w:tcPr>
          <w:p w:rsidR="00C82664" w:rsidRPr="00C82664" w:rsidRDefault="00C82664" w:rsidP="00C82664">
            <w:pPr>
              <w:jc w:val="center"/>
              <w:cnfStyle w:val="100000000000"/>
              <w:rPr>
                <w:sz w:val="18"/>
              </w:rPr>
            </w:pPr>
            <w:r w:rsidRPr="00C82664">
              <w:rPr>
                <w:sz w:val="18"/>
              </w:rPr>
              <w:t>8</w:t>
            </w:r>
          </w:p>
        </w:tc>
        <w:tc>
          <w:tcPr>
            <w:tcW w:w="0" w:type="auto"/>
            <w:vAlign w:val="center"/>
            <w:hideMark/>
          </w:tcPr>
          <w:p w:rsidR="00C82664" w:rsidRPr="00C82664" w:rsidRDefault="00C82664" w:rsidP="00C82664">
            <w:pPr>
              <w:jc w:val="center"/>
              <w:cnfStyle w:val="100000000000"/>
              <w:rPr>
                <w:sz w:val="18"/>
              </w:rPr>
            </w:pPr>
            <w:r w:rsidRPr="00C82664">
              <w:rPr>
                <w:sz w:val="18"/>
              </w:rPr>
              <w:t>9</w:t>
            </w:r>
          </w:p>
        </w:tc>
        <w:tc>
          <w:tcPr>
            <w:tcW w:w="0" w:type="auto"/>
            <w:vAlign w:val="center"/>
            <w:hideMark/>
          </w:tcPr>
          <w:p w:rsidR="00C82664" w:rsidRPr="00C82664" w:rsidRDefault="00C82664" w:rsidP="00C82664">
            <w:pPr>
              <w:jc w:val="center"/>
              <w:cnfStyle w:val="100000000000"/>
              <w:rPr>
                <w:sz w:val="18"/>
              </w:rPr>
            </w:pPr>
            <w:r w:rsidRPr="00C82664">
              <w:rPr>
                <w:sz w:val="18"/>
              </w:rPr>
              <w:t>10</w:t>
            </w:r>
          </w:p>
        </w:tc>
        <w:tc>
          <w:tcPr>
            <w:tcW w:w="0" w:type="auto"/>
            <w:vAlign w:val="center"/>
            <w:hideMark/>
          </w:tcPr>
          <w:p w:rsidR="00C82664" w:rsidRPr="00C82664" w:rsidRDefault="00C82664" w:rsidP="00C82664">
            <w:pPr>
              <w:jc w:val="center"/>
              <w:cnfStyle w:val="100000000000"/>
              <w:rPr>
                <w:sz w:val="18"/>
              </w:rPr>
            </w:pPr>
            <w:r w:rsidRPr="00C82664">
              <w:rPr>
                <w:sz w:val="18"/>
              </w:rPr>
              <w:t>11</w:t>
            </w:r>
          </w:p>
        </w:tc>
        <w:tc>
          <w:tcPr>
            <w:tcW w:w="0" w:type="auto"/>
            <w:vAlign w:val="center"/>
            <w:hideMark/>
          </w:tcPr>
          <w:p w:rsidR="00C82664" w:rsidRPr="00C82664" w:rsidRDefault="00C82664" w:rsidP="00C82664">
            <w:pPr>
              <w:jc w:val="center"/>
              <w:cnfStyle w:val="100000000000"/>
              <w:rPr>
                <w:sz w:val="18"/>
              </w:rPr>
            </w:pPr>
            <w:r w:rsidRPr="00C82664">
              <w:rPr>
                <w:sz w:val="18"/>
              </w:rPr>
              <w:t>12</w:t>
            </w:r>
          </w:p>
        </w:tc>
        <w:tc>
          <w:tcPr>
            <w:tcW w:w="0" w:type="auto"/>
            <w:vAlign w:val="center"/>
            <w:hideMark/>
          </w:tcPr>
          <w:p w:rsidR="00C82664" w:rsidRPr="00C82664" w:rsidRDefault="00C82664" w:rsidP="00C82664">
            <w:pPr>
              <w:jc w:val="center"/>
              <w:cnfStyle w:val="100000000000"/>
              <w:rPr>
                <w:sz w:val="18"/>
              </w:rPr>
            </w:pPr>
            <w:r w:rsidRPr="00C82664">
              <w:rPr>
                <w:sz w:val="18"/>
              </w:rPr>
              <w:t>13</w:t>
            </w:r>
          </w:p>
        </w:tc>
        <w:tc>
          <w:tcPr>
            <w:tcW w:w="0" w:type="auto"/>
            <w:vAlign w:val="center"/>
            <w:hideMark/>
          </w:tcPr>
          <w:p w:rsidR="00C82664" w:rsidRPr="00C82664" w:rsidRDefault="00C82664" w:rsidP="00C82664">
            <w:pPr>
              <w:jc w:val="center"/>
              <w:cnfStyle w:val="100000000000"/>
              <w:rPr>
                <w:sz w:val="18"/>
              </w:rPr>
            </w:pPr>
            <w:r w:rsidRPr="00C82664">
              <w:rPr>
                <w:sz w:val="18"/>
              </w:rPr>
              <w:t>14</w:t>
            </w:r>
          </w:p>
        </w:tc>
        <w:tc>
          <w:tcPr>
            <w:tcW w:w="0" w:type="auto"/>
            <w:vAlign w:val="center"/>
            <w:hideMark/>
          </w:tcPr>
          <w:p w:rsidR="00C82664" w:rsidRPr="00C82664" w:rsidRDefault="00C82664" w:rsidP="00C82664">
            <w:pPr>
              <w:jc w:val="center"/>
              <w:cnfStyle w:val="100000000000"/>
              <w:rPr>
                <w:sz w:val="18"/>
              </w:rPr>
            </w:pPr>
            <w:r w:rsidRPr="00C82664">
              <w:rPr>
                <w:sz w:val="18"/>
              </w:rPr>
              <w:t>15</w:t>
            </w:r>
          </w:p>
        </w:tc>
        <w:tc>
          <w:tcPr>
            <w:tcW w:w="0" w:type="auto"/>
            <w:vAlign w:val="center"/>
            <w:hideMark/>
          </w:tcPr>
          <w:p w:rsidR="00C82664" w:rsidRPr="00C82664" w:rsidRDefault="00C82664" w:rsidP="00C82664">
            <w:pPr>
              <w:jc w:val="center"/>
              <w:cnfStyle w:val="100000000000"/>
              <w:rPr>
                <w:sz w:val="18"/>
              </w:rPr>
            </w:pPr>
            <w:r w:rsidRPr="00C82664">
              <w:rPr>
                <w:sz w:val="18"/>
              </w:rPr>
              <w:t>16</w:t>
            </w:r>
          </w:p>
        </w:tc>
        <w:tc>
          <w:tcPr>
            <w:tcW w:w="0" w:type="auto"/>
            <w:vAlign w:val="center"/>
            <w:hideMark/>
          </w:tcPr>
          <w:p w:rsidR="00C82664" w:rsidRPr="00C82664" w:rsidRDefault="00C82664" w:rsidP="00C82664">
            <w:pPr>
              <w:jc w:val="center"/>
              <w:cnfStyle w:val="100000000000"/>
              <w:rPr>
                <w:sz w:val="18"/>
              </w:rPr>
            </w:pPr>
            <w:r w:rsidRPr="00C82664">
              <w:rPr>
                <w:sz w:val="18"/>
              </w:rPr>
              <w:t>17</w:t>
            </w:r>
          </w:p>
        </w:tc>
        <w:tc>
          <w:tcPr>
            <w:tcW w:w="0" w:type="auto"/>
            <w:vAlign w:val="center"/>
            <w:hideMark/>
          </w:tcPr>
          <w:p w:rsidR="00C82664" w:rsidRPr="00C82664" w:rsidRDefault="00C82664" w:rsidP="00C82664">
            <w:pPr>
              <w:jc w:val="center"/>
              <w:cnfStyle w:val="100000000000"/>
              <w:rPr>
                <w:sz w:val="18"/>
              </w:rPr>
            </w:pPr>
            <w:r w:rsidRPr="00C82664">
              <w:rPr>
                <w:sz w:val="18"/>
              </w:rPr>
              <w:t>18</w:t>
            </w:r>
          </w:p>
        </w:tc>
      </w:tr>
      <w:tr w:rsidR="00D74FFA" w:rsidRPr="00C82664" w:rsidTr="00C82664">
        <w:trPr>
          <w:cnfStyle w:val="000000100000"/>
        </w:trPr>
        <w:tc>
          <w:tcPr>
            <w:cnfStyle w:val="001000000000"/>
            <w:tcW w:w="0" w:type="auto"/>
            <w:vAlign w:val="center"/>
            <w:hideMark/>
          </w:tcPr>
          <w:p w:rsidR="00C82664" w:rsidRPr="00C82664" w:rsidRDefault="00C82664" w:rsidP="00C82664">
            <w:pPr>
              <w:jc w:val="center"/>
              <w:rPr>
                <w:sz w:val="18"/>
              </w:rPr>
            </w:pPr>
            <w:r w:rsidRPr="00C82664">
              <w:rPr>
                <w:sz w:val="18"/>
              </w:rPr>
              <w:t>Literature Review and Research Design</w:t>
            </w:r>
          </w:p>
        </w:tc>
        <w:tc>
          <w:tcPr>
            <w:tcW w:w="0" w:type="auto"/>
            <w:vAlign w:val="center"/>
            <w:hideMark/>
          </w:tcPr>
          <w:p w:rsidR="00C82664" w:rsidRPr="00C82664" w:rsidRDefault="00C82664" w:rsidP="00C82664">
            <w:pPr>
              <w:jc w:val="center"/>
              <w:cnfStyle w:val="000000100000"/>
              <w:rPr>
                <w:sz w:val="18"/>
              </w:rPr>
            </w:pPr>
            <w:r w:rsidRPr="00C82664">
              <w:rPr>
                <w:sz w:val="18"/>
              </w:rPr>
              <w:t>1</w:t>
            </w:r>
          </w:p>
        </w:tc>
        <w:tc>
          <w:tcPr>
            <w:tcW w:w="0" w:type="auto"/>
            <w:vAlign w:val="center"/>
            <w:hideMark/>
          </w:tcPr>
          <w:p w:rsidR="00C82664" w:rsidRPr="00C82664" w:rsidRDefault="00C82664" w:rsidP="00C82664">
            <w:pPr>
              <w:jc w:val="center"/>
              <w:cnfStyle w:val="000000100000"/>
              <w:rPr>
                <w:sz w:val="18"/>
              </w:rPr>
            </w:pPr>
            <w:r w:rsidRPr="00C82664">
              <w:rPr>
                <w:sz w:val="18"/>
              </w:rPr>
              <w:t>12</w:t>
            </w:r>
          </w:p>
        </w:tc>
        <w:tc>
          <w:tcPr>
            <w:tcW w:w="0" w:type="auto"/>
            <w:vAlign w:val="center"/>
            <w:hideMark/>
          </w:tcPr>
          <w:p w:rsidR="00C82664" w:rsidRDefault="00C82664" w:rsidP="00C82664">
            <w:pPr>
              <w:jc w:val="center"/>
              <w:cnfStyle w:val="000000100000"/>
              <w:rPr>
                <w:sz w:val="18"/>
              </w:rPr>
            </w:pPr>
            <w:r w:rsidRPr="00C82664">
              <w:rPr>
                <w:sz w:val="18"/>
              </w:rPr>
              <w:t>*</w:t>
            </w:r>
          </w:p>
          <w:p w:rsidR="00D74FFA" w:rsidRPr="00C82664" w:rsidRDefault="00D74FFA" w:rsidP="00C82664">
            <w:pPr>
              <w:jc w:val="center"/>
              <w:cnfStyle w:val="000000100000"/>
              <w:rPr>
                <w:sz w:val="18"/>
              </w:rPr>
            </w:pPr>
          </w:p>
        </w:tc>
        <w:tc>
          <w:tcPr>
            <w:tcW w:w="0" w:type="auto"/>
            <w:vAlign w:val="center"/>
            <w:hideMark/>
          </w:tcPr>
          <w:p w:rsidR="00C82664" w:rsidRDefault="00C82664" w:rsidP="00C82664">
            <w:pPr>
              <w:jc w:val="center"/>
              <w:cnfStyle w:val="000000100000"/>
              <w:rPr>
                <w:sz w:val="18"/>
              </w:rPr>
            </w:pPr>
            <w:r w:rsidRPr="00C82664">
              <w:rPr>
                <w:sz w:val="18"/>
              </w:rPr>
              <w:t>*</w:t>
            </w:r>
          </w:p>
          <w:p w:rsidR="00D74FFA" w:rsidRPr="00C82664" w:rsidRDefault="00D74FFA"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r w:rsidRPr="00C82664">
              <w:rPr>
                <w:sz w:val="18"/>
              </w:rPr>
              <w:t>*</w:t>
            </w:r>
          </w:p>
        </w:tc>
        <w:tc>
          <w:tcPr>
            <w:tcW w:w="0" w:type="auto"/>
            <w:vAlign w:val="center"/>
            <w:hideMark/>
          </w:tcPr>
          <w:p w:rsidR="00C82664" w:rsidRPr="00C82664" w:rsidRDefault="00C82664" w:rsidP="00C82664">
            <w:pPr>
              <w:jc w:val="center"/>
              <w:cnfStyle w:val="000000100000"/>
              <w:rPr>
                <w:sz w:val="18"/>
              </w:rPr>
            </w:pPr>
            <w:r w:rsidRPr="00C82664">
              <w:rPr>
                <w:sz w:val="18"/>
              </w:rPr>
              <w:t>*</w:t>
            </w:r>
          </w:p>
        </w:tc>
        <w:tc>
          <w:tcPr>
            <w:tcW w:w="0" w:type="auto"/>
            <w:vAlign w:val="center"/>
            <w:hideMark/>
          </w:tcPr>
          <w:p w:rsidR="00C82664" w:rsidRPr="00C82664" w:rsidRDefault="00C82664" w:rsidP="00C82664">
            <w:pPr>
              <w:jc w:val="center"/>
              <w:cnfStyle w:val="000000100000"/>
              <w:rPr>
                <w:sz w:val="18"/>
              </w:rPr>
            </w:pPr>
            <w:r w:rsidRPr="00C82664">
              <w:rPr>
                <w:sz w:val="18"/>
              </w:rPr>
              <w:t>*</w:t>
            </w:r>
          </w:p>
        </w:tc>
        <w:tc>
          <w:tcPr>
            <w:tcW w:w="0" w:type="auto"/>
            <w:vAlign w:val="center"/>
            <w:hideMark/>
          </w:tcPr>
          <w:p w:rsidR="00C82664" w:rsidRPr="00C82664" w:rsidRDefault="00C82664" w:rsidP="00C82664">
            <w:pPr>
              <w:jc w:val="center"/>
              <w:cnfStyle w:val="000000100000"/>
              <w:rPr>
                <w:sz w:val="18"/>
              </w:rPr>
            </w:pPr>
            <w:r w:rsidRPr="00C82664">
              <w:rPr>
                <w:sz w:val="18"/>
              </w:rPr>
              <w:t>*</w:t>
            </w:r>
          </w:p>
        </w:tc>
        <w:tc>
          <w:tcPr>
            <w:tcW w:w="0" w:type="auto"/>
            <w:vAlign w:val="center"/>
            <w:hideMark/>
          </w:tcPr>
          <w:p w:rsidR="00C82664" w:rsidRPr="00C82664" w:rsidRDefault="00C82664" w:rsidP="00C82664">
            <w:pPr>
              <w:jc w:val="center"/>
              <w:cnfStyle w:val="000000100000"/>
              <w:rPr>
                <w:sz w:val="18"/>
              </w:rPr>
            </w:pPr>
            <w:r w:rsidRPr="00C82664">
              <w:rPr>
                <w:sz w:val="18"/>
              </w:rPr>
              <w:t>*</w:t>
            </w:r>
          </w:p>
        </w:tc>
        <w:tc>
          <w:tcPr>
            <w:tcW w:w="0" w:type="auto"/>
            <w:vAlign w:val="center"/>
            <w:hideMark/>
          </w:tcPr>
          <w:p w:rsidR="00C82664" w:rsidRPr="00C82664" w:rsidRDefault="00C82664" w:rsidP="00C82664">
            <w:pPr>
              <w:jc w:val="center"/>
              <w:cnfStyle w:val="000000100000"/>
              <w:rPr>
                <w:sz w:val="18"/>
              </w:rPr>
            </w:pPr>
            <w:r w:rsidRPr="00C82664">
              <w:rPr>
                <w:sz w:val="18"/>
              </w:rPr>
              <w:t>*</w:t>
            </w:r>
          </w:p>
        </w:tc>
        <w:tc>
          <w:tcPr>
            <w:tcW w:w="0" w:type="auto"/>
            <w:vAlign w:val="center"/>
            <w:hideMark/>
          </w:tcPr>
          <w:p w:rsidR="00C82664" w:rsidRPr="00C82664" w:rsidRDefault="00C82664" w:rsidP="00C82664">
            <w:pPr>
              <w:jc w:val="center"/>
              <w:cnfStyle w:val="000000100000"/>
              <w:rPr>
                <w:sz w:val="18"/>
              </w:rPr>
            </w:pPr>
            <w:r w:rsidRPr="00C82664">
              <w:rPr>
                <w:sz w:val="18"/>
              </w:rPr>
              <w:t>*</w:t>
            </w:r>
          </w:p>
        </w:tc>
        <w:tc>
          <w:tcPr>
            <w:tcW w:w="0" w:type="auto"/>
            <w:vAlign w:val="center"/>
            <w:hideMark/>
          </w:tcPr>
          <w:p w:rsidR="00C82664" w:rsidRPr="00C82664" w:rsidRDefault="00C82664" w:rsidP="00C82664">
            <w:pPr>
              <w:jc w:val="center"/>
              <w:cnfStyle w:val="000000100000"/>
              <w:rPr>
                <w:sz w:val="18"/>
              </w:rPr>
            </w:pPr>
            <w:r w:rsidRPr="00C82664">
              <w:rPr>
                <w:sz w:val="18"/>
              </w:rPr>
              <w:t>*</w:t>
            </w:r>
          </w:p>
        </w:tc>
        <w:tc>
          <w:tcPr>
            <w:tcW w:w="0" w:type="auto"/>
            <w:vAlign w:val="center"/>
            <w:hideMark/>
          </w:tcPr>
          <w:p w:rsidR="00C82664" w:rsidRPr="00C82664" w:rsidRDefault="00C82664" w:rsidP="00C82664">
            <w:pPr>
              <w:jc w:val="center"/>
              <w:cnfStyle w:val="000000100000"/>
              <w:rPr>
                <w:sz w:val="18"/>
              </w:rPr>
            </w:pPr>
            <w:r w:rsidRPr="00C82664">
              <w:rPr>
                <w:sz w:val="18"/>
              </w:rPr>
              <w:t>*</w:t>
            </w:r>
          </w:p>
        </w:tc>
        <w:tc>
          <w:tcPr>
            <w:tcW w:w="0" w:type="auto"/>
            <w:vAlign w:val="center"/>
            <w:hideMark/>
          </w:tcPr>
          <w:p w:rsidR="00C82664" w:rsidRPr="00C82664" w:rsidRDefault="00C82664" w:rsidP="00C82664">
            <w:pPr>
              <w:jc w:val="center"/>
              <w:cnfStyle w:val="000000100000"/>
              <w:rPr>
                <w:sz w:val="18"/>
              </w:rPr>
            </w:pPr>
            <w:r w:rsidRPr="00C82664">
              <w:rPr>
                <w:sz w:val="18"/>
              </w:rPr>
              <w:t>*</w:t>
            </w: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r>
      <w:tr w:rsidR="00C82664" w:rsidRPr="00C82664" w:rsidTr="00C82664">
        <w:trPr>
          <w:cnfStyle w:val="000000010000"/>
        </w:trPr>
        <w:tc>
          <w:tcPr>
            <w:cnfStyle w:val="001000000000"/>
            <w:tcW w:w="0" w:type="auto"/>
            <w:vAlign w:val="center"/>
            <w:hideMark/>
          </w:tcPr>
          <w:p w:rsidR="00C82664" w:rsidRDefault="00C82664" w:rsidP="00C82664">
            <w:pPr>
              <w:jc w:val="center"/>
              <w:rPr>
                <w:sz w:val="18"/>
              </w:rPr>
            </w:pPr>
            <w:r w:rsidRPr="00C82664">
              <w:rPr>
                <w:sz w:val="18"/>
              </w:rPr>
              <w:t>Data Collection (Surveys, LCA Inventory)</w:t>
            </w:r>
          </w:p>
          <w:p w:rsidR="00D74FFA" w:rsidRPr="00C82664" w:rsidRDefault="00D74FFA" w:rsidP="00C82664">
            <w:pPr>
              <w:jc w:val="center"/>
              <w:rPr>
                <w:sz w:val="18"/>
              </w:rPr>
            </w:pPr>
          </w:p>
        </w:tc>
        <w:tc>
          <w:tcPr>
            <w:tcW w:w="0" w:type="auto"/>
            <w:vAlign w:val="center"/>
            <w:hideMark/>
          </w:tcPr>
          <w:p w:rsidR="00C82664" w:rsidRPr="00C82664" w:rsidRDefault="00C82664" w:rsidP="00C82664">
            <w:pPr>
              <w:jc w:val="center"/>
              <w:cnfStyle w:val="000000010000"/>
              <w:rPr>
                <w:sz w:val="18"/>
              </w:rPr>
            </w:pPr>
            <w:r w:rsidRPr="00C82664">
              <w:rPr>
                <w:sz w:val="18"/>
              </w:rPr>
              <w:t>13</w:t>
            </w:r>
          </w:p>
        </w:tc>
        <w:tc>
          <w:tcPr>
            <w:tcW w:w="0" w:type="auto"/>
            <w:vAlign w:val="center"/>
            <w:hideMark/>
          </w:tcPr>
          <w:p w:rsidR="00C82664" w:rsidRPr="00C82664" w:rsidRDefault="00C82664" w:rsidP="00C82664">
            <w:pPr>
              <w:jc w:val="center"/>
              <w:cnfStyle w:val="000000010000"/>
              <w:rPr>
                <w:sz w:val="18"/>
              </w:rPr>
            </w:pPr>
            <w:r w:rsidRPr="00C82664">
              <w:rPr>
                <w:sz w:val="18"/>
              </w:rPr>
              <w:t>4</w:t>
            </w: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r w:rsidRPr="00C82664">
              <w:rPr>
                <w:sz w:val="18"/>
              </w:rPr>
              <w:t>*</w:t>
            </w:r>
          </w:p>
        </w:tc>
        <w:tc>
          <w:tcPr>
            <w:tcW w:w="0" w:type="auto"/>
            <w:vAlign w:val="center"/>
            <w:hideMark/>
          </w:tcPr>
          <w:p w:rsidR="00C82664" w:rsidRPr="00C82664" w:rsidRDefault="00C82664" w:rsidP="00C82664">
            <w:pPr>
              <w:jc w:val="center"/>
              <w:cnfStyle w:val="000000010000"/>
              <w:rPr>
                <w:sz w:val="18"/>
              </w:rPr>
            </w:pPr>
            <w:r w:rsidRPr="00C82664">
              <w:rPr>
                <w:sz w:val="18"/>
              </w:rPr>
              <w:t>*</w:t>
            </w:r>
          </w:p>
        </w:tc>
        <w:tc>
          <w:tcPr>
            <w:tcW w:w="0" w:type="auto"/>
            <w:vAlign w:val="center"/>
            <w:hideMark/>
          </w:tcPr>
          <w:p w:rsidR="00C82664" w:rsidRPr="00C82664" w:rsidRDefault="00C82664" w:rsidP="00C82664">
            <w:pPr>
              <w:jc w:val="center"/>
              <w:cnfStyle w:val="000000010000"/>
              <w:rPr>
                <w:sz w:val="18"/>
              </w:rPr>
            </w:pPr>
            <w:r w:rsidRPr="00C82664">
              <w:rPr>
                <w:sz w:val="18"/>
              </w:rPr>
              <w:t>*</w:t>
            </w:r>
          </w:p>
        </w:tc>
        <w:tc>
          <w:tcPr>
            <w:tcW w:w="0" w:type="auto"/>
            <w:vAlign w:val="center"/>
            <w:hideMark/>
          </w:tcPr>
          <w:p w:rsidR="00C82664" w:rsidRPr="00C82664" w:rsidRDefault="00C82664" w:rsidP="00C82664">
            <w:pPr>
              <w:jc w:val="center"/>
              <w:cnfStyle w:val="000000010000"/>
              <w:rPr>
                <w:sz w:val="18"/>
              </w:rPr>
            </w:pPr>
            <w:r w:rsidRPr="00C82664">
              <w:rPr>
                <w:sz w:val="18"/>
              </w:rPr>
              <w:t>*</w:t>
            </w: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r>
      <w:tr w:rsidR="00D74FFA" w:rsidRPr="00C82664" w:rsidTr="00C82664">
        <w:trPr>
          <w:cnfStyle w:val="000000100000"/>
        </w:trPr>
        <w:tc>
          <w:tcPr>
            <w:cnfStyle w:val="001000000000"/>
            <w:tcW w:w="0" w:type="auto"/>
            <w:vAlign w:val="center"/>
            <w:hideMark/>
          </w:tcPr>
          <w:p w:rsidR="00C82664" w:rsidRPr="00C82664" w:rsidRDefault="00C82664" w:rsidP="00C82664">
            <w:pPr>
              <w:jc w:val="center"/>
              <w:rPr>
                <w:sz w:val="18"/>
              </w:rPr>
            </w:pPr>
            <w:r w:rsidRPr="00C82664">
              <w:rPr>
                <w:sz w:val="18"/>
              </w:rPr>
              <w:t>Data Analysis and Interpretation</w:t>
            </w:r>
          </w:p>
        </w:tc>
        <w:tc>
          <w:tcPr>
            <w:tcW w:w="0" w:type="auto"/>
            <w:vAlign w:val="center"/>
            <w:hideMark/>
          </w:tcPr>
          <w:p w:rsidR="00C82664" w:rsidRPr="00C82664" w:rsidRDefault="00C82664" w:rsidP="00C82664">
            <w:pPr>
              <w:jc w:val="center"/>
              <w:cnfStyle w:val="000000100000"/>
              <w:rPr>
                <w:sz w:val="18"/>
              </w:rPr>
            </w:pPr>
            <w:r w:rsidRPr="00C82664">
              <w:rPr>
                <w:sz w:val="18"/>
              </w:rPr>
              <w:t>17</w:t>
            </w:r>
          </w:p>
        </w:tc>
        <w:tc>
          <w:tcPr>
            <w:tcW w:w="0" w:type="auto"/>
            <w:vAlign w:val="center"/>
            <w:hideMark/>
          </w:tcPr>
          <w:p w:rsidR="00C82664" w:rsidRPr="00C82664" w:rsidRDefault="00C82664" w:rsidP="00C82664">
            <w:pPr>
              <w:jc w:val="center"/>
              <w:cnfStyle w:val="000000100000"/>
              <w:rPr>
                <w:sz w:val="18"/>
              </w:rPr>
            </w:pPr>
            <w:r w:rsidRPr="00C82664">
              <w:rPr>
                <w:sz w:val="18"/>
              </w:rPr>
              <w:t>4</w:t>
            </w: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r w:rsidRPr="00C82664">
              <w:rPr>
                <w:sz w:val="18"/>
              </w:rPr>
              <w:t>*</w:t>
            </w:r>
          </w:p>
        </w:tc>
        <w:tc>
          <w:tcPr>
            <w:tcW w:w="0" w:type="auto"/>
            <w:vAlign w:val="center"/>
            <w:hideMark/>
          </w:tcPr>
          <w:p w:rsidR="00C82664" w:rsidRPr="00C82664" w:rsidRDefault="00C82664" w:rsidP="00C82664">
            <w:pPr>
              <w:jc w:val="center"/>
              <w:cnfStyle w:val="000000100000"/>
              <w:rPr>
                <w:sz w:val="18"/>
              </w:rPr>
            </w:pPr>
            <w:r w:rsidRPr="00C82664">
              <w:rPr>
                <w:sz w:val="18"/>
              </w:rPr>
              <w:t>*</w:t>
            </w:r>
          </w:p>
        </w:tc>
      </w:tr>
      <w:tr w:rsidR="00C82664" w:rsidRPr="00C82664" w:rsidTr="00C82664">
        <w:trPr>
          <w:cnfStyle w:val="000000010000"/>
        </w:trPr>
        <w:tc>
          <w:tcPr>
            <w:cnfStyle w:val="001000000000"/>
            <w:tcW w:w="0" w:type="auto"/>
            <w:vAlign w:val="center"/>
            <w:hideMark/>
          </w:tcPr>
          <w:p w:rsidR="00C82664" w:rsidRPr="00C82664" w:rsidRDefault="00C82664" w:rsidP="00C82664">
            <w:pPr>
              <w:jc w:val="center"/>
              <w:rPr>
                <w:sz w:val="18"/>
              </w:rPr>
            </w:pPr>
            <w:r w:rsidRPr="00C82664">
              <w:rPr>
                <w:sz w:val="18"/>
              </w:rPr>
              <w:t>Validation and Reporting</w:t>
            </w:r>
          </w:p>
        </w:tc>
        <w:tc>
          <w:tcPr>
            <w:tcW w:w="0" w:type="auto"/>
            <w:vAlign w:val="center"/>
            <w:hideMark/>
          </w:tcPr>
          <w:p w:rsidR="00C82664" w:rsidRPr="00C82664" w:rsidRDefault="00C82664" w:rsidP="00C82664">
            <w:pPr>
              <w:jc w:val="center"/>
              <w:cnfStyle w:val="000000010000"/>
              <w:rPr>
                <w:sz w:val="18"/>
              </w:rPr>
            </w:pPr>
            <w:r w:rsidRPr="00C82664">
              <w:rPr>
                <w:sz w:val="18"/>
              </w:rPr>
              <w:t>21</w:t>
            </w:r>
          </w:p>
        </w:tc>
        <w:tc>
          <w:tcPr>
            <w:tcW w:w="0" w:type="auto"/>
            <w:vAlign w:val="center"/>
            <w:hideMark/>
          </w:tcPr>
          <w:p w:rsidR="00C82664" w:rsidRPr="00C82664" w:rsidRDefault="00C82664" w:rsidP="00C82664">
            <w:pPr>
              <w:jc w:val="center"/>
              <w:cnfStyle w:val="000000010000"/>
              <w:rPr>
                <w:sz w:val="18"/>
              </w:rPr>
            </w:pPr>
            <w:r w:rsidRPr="00C82664">
              <w:rPr>
                <w:sz w:val="18"/>
              </w:rPr>
              <w:t>4</w:t>
            </w: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c>
          <w:tcPr>
            <w:tcW w:w="0" w:type="auto"/>
            <w:vAlign w:val="center"/>
            <w:hideMark/>
          </w:tcPr>
          <w:p w:rsidR="00C82664" w:rsidRPr="00C82664" w:rsidRDefault="00C82664" w:rsidP="00C82664">
            <w:pPr>
              <w:jc w:val="center"/>
              <w:cnfStyle w:val="000000010000"/>
              <w:rPr>
                <w:sz w:val="18"/>
              </w:rPr>
            </w:pPr>
          </w:p>
        </w:tc>
      </w:tr>
      <w:tr w:rsidR="00D74FFA" w:rsidRPr="00C82664" w:rsidTr="00C82664">
        <w:trPr>
          <w:cnfStyle w:val="000000100000"/>
        </w:trPr>
        <w:tc>
          <w:tcPr>
            <w:cnfStyle w:val="001000000000"/>
            <w:tcW w:w="0" w:type="auto"/>
            <w:vAlign w:val="center"/>
            <w:hideMark/>
          </w:tcPr>
          <w:p w:rsidR="00C82664" w:rsidRPr="00C82664" w:rsidRDefault="00C82664" w:rsidP="00C82664">
            <w:pPr>
              <w:jc w:val="center"/>
              <w:rPr>
                <w:sz w:val="18"/>
              </w:rPr>
            </w:pPr>
            <w:r w:rsidRPr="00C82664">
              <w:rPr>
                <w:sz w:val="18"/>
              </w:rPr>
              <w:t>Dissemination &amp; Stakeholder Engagement</w:t>
            </w:r>
          </w:p>
        </w:tc>
        <w:tc>
          <w:tcPr>
            <w:tcW w:w="0" w:type="auto"/>
            <w:vAlign w:val="center"/>
            <w:hideMark/>
          </w:tcPr>
          <w:p w:rsidR="00C82664" w:rsidRPr="00C82664" w:rsidRDefault="00C82664" w:rsidP="00C82664">
            <w:pPr>
              <w:jc w:val="center"/>
              <w:cnfStyle w:val="000000100000"/>
              <w:rPr>
                <w:sz w:val="18"/>
              </w:rPr>
            </w:pPr>
            <w:r w:rsidRPr="00C82664">
              <w:rPr>
                <w:sz w:val="18"/>
              </w:rPr>
              <w:t>25</w:t>
            </w:r>
          </w:p>
        </w:tc>
        <w:tc>
          <w:tcPr>
            <w:tcW w:w="0" w:type="auto"/>
            <w:vAlign w:val="center"/>
            <w:hideMark/>
          </w:tcPr>
          <w:p w:rsidR="00C82664" w:rsidRPr="00C82664" w:rsidRDefault="00C82664" w:rsidP="00C82664">
            <w:pPr>
              <w:jc w:val="center"/>
              <w:cnfStyle w:val="000000100000"/>
              <w:rPr>
                <w:sz w:val="18"/>
              </w:rPr>
            </w:pPr>
            <w:r w:rsidRPr="00C82664">
              <w:rPr>
                <w:sz w:val="18"/>
              </w:rPr>
              <w:t>4</w:t>
            </w: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c>
          <w:tcPr>
            <w:tcW w:w="0" w:type="auto"/>
            <w:vAlign w:val="center"/>
            <w:hideMark/>
          </w:tcPr>
          <w:p w:rsidR="00C82664" w:rsidRPr="00C82664" w:rsidRDefault="00C82664" w:rsidP="00C82664">
            <w:pPr>
              <w:jc w:val="center"/>
              <w:cnfStyle w:val="000000100000"/>
              <w:rPr>
                <w:sz w:val="18"/>
              </w:rPr>
            </w:pPr>
          </w:p>
        </w:tc>
      </w:tr>
    </w:tbl>
    <w:p w:rsidR="00D74FFA" w:rsidRDefault="00D74FFA" w:rsidP="00C82664"/>
    <w:p w:rsidR="00C82664" w:rsidRPr="00C82664" w:rsidRDefault="00C82664" w:rsidP="00C82664">
      <w:r w:rsidRPr="00C82664">
        <w:t>Notes:</w:t>
      </w:r>
    </w:p>
    <w:p w:rsidR="00C82664" w:rsidRPr="00C82664" w:rsidRDefault="00C82664" w:rsidP="00C82664">
      <w:pPr>
        <w:pStyle w:val="ListParagraph"/>
        <w:numPr>
          <w:ilvl w:val="0"/>
          <w:numId w:val="15"/>
        </w:numPr>
      </w:pPr>
      <w:r w:rsidRPr="00C82664">
        <w:t>The research project is assumed to start in Week 1.</w:t>
      </w:r>
    </w:p>
    <w:p w:rsidR="00C82664" w:rsidRPr="00C82664" w:rsidRDefault="00C82664" w:rsidP="00C82664">
      <w:pPr>
        <w:pStyle w:val="ListParagraph"/>
        <w:numPr>
          <w:ilvl w:val="0"/>
          <w:numId w:val="15"/>
        </w:numPr>
      </w:pPr>
      <w:r w:rsidRPr="00C82664">
        <w:t>Each asterisk (*) represents one week of work on the respective task.</w:t>
      </w:r>
    </w:p>
    <w:p w:rsidR="00C82664" w:rsidRPr="00C82664" w:rsidRDefault="00C82664" w:rsidP="00C82664">
      <w:pPr>
        <w:pStyle w:val="ListParagraph"/>
        <w:numPr>
          <w:ilvl w:val="0"/>
          <w:numId w:val="15"/>
        </w:numPr>
      </w:pPr>
      <w:r w:rsidRPr="00C82664">
        <w:t>The Gantt chart covers a total duration of 18 weeks.</w:t>
      </w:r>
    </w:p>
    <w:p w:rsidR="00BE684F" w:rsidRPr="00C82664" w:rsidRDefault="00C82664" w:rsidP="00BE684F">
      <w:pPr>
        <w:jc w:val="both"/>
        <w:rPr>
          <w:rFonts w:ascii="Times New Roman" w:hAnsi="Times New Roman" w:cs="Times New Roman"/>
          <w:sz w:val="24"/>
        </w:rPr>
      </w:pPr>
      <w:r w:rsidRPr="00C82664">
        <w:rPr>
          <w:rFonts w:ascii="Times New Roman" w:hAnsi="Times New Roman" w:cs="Times New Roman"/>
          <w:b/>
          <w:bCs/>
          <w:sz w:val="24"/>
        </w:rPr>
        <w:t>Ethical Considerations:</w:t>
      </w:r>
      <w:r>
        <w:rPr>
          <w:rFonts w:ascii="Times New Roman" w:hAnsi="Times New Roman" w:cs="Times New Roman"/>
          <w:sz w:val="24"/>
        </w:rPr>
        <w:t xml:space="preserve"> </w:t>
      </w:r>
      <w:r w:rsidR="00BE684F" w:rsidRPr="00C82664">
        <w:rPr>
          <w:rFonts w:ascii="Times New Roman" w:hAnsi="Times New Roman" w:cs="Times New Roman"/>
          <w:sz w:val="24"/>
        </w:rPr>
        <w:t>The study will adhere to best practices in case study research and LCA (ISO 2006) including transparent reporting and data triangulation. External reviews and external reviews are also included. To address ethical considerations, the study will obtain informed consent from participants in interviews, protect confidentiality, and avoid undue influence or burden on stakeholders. In framing the research and interpreting its results, it will strive to be impartial and balanced.</w:t>
      </w:r>
    </w:p>
    <w:p w:rsidR="00BE684F" w:rsidRPr="00C82664" w:rsidRDefault="00BE684F" w:rsidP="00BE684F">
      <w:pPr>
        <w:jc w:val="both"/>
        <w:rPr>
          <w:rFonts w:ascii="Times New Roman" w:hAnsi="Times New Roman" w:cs="Times New Roman"/>
          <w:sz w:val="24"/>
        </w:rPr>
      </w:pPr>
      <w:r w:rsidRPr="00C82664">
        <w:rPr>
          <w:rFonts w:ascii="Times New Roman" w:hAnsi="Times New Roman" w:cs="Times New Roman"/>
          <w:sz w:val="24"/>
        </w:rPr>
        <w:t>This study design provides valuable insights into the environmental performance of Tesla EVs over their lifecycle, as well as shedding light on broader challenges and possibilities for impact reduction within the EV sector.</w:t>
      </w:r>
    </w:p>
    <w:p w:rsidR="00BE684F" w:rsidRDefault="00BE684F" w:rsidP="00BE684F">
      <w:pPr>
        <w:jc w:val="both"/>
        <w:rPr>
          <w:rFonts w:ascii="Times New Roman" w:hAnsi="Times New Roman" w:cs="Times New Roman"/>
          <w:sz w:val="24"/>
        </w:rPr>
      </w:pPr>
      <w:r w:rsidRPr="00C82664">
        <w:rPr>
          <w:rFonts w:ascii="Times New Roman" w:hAnsi="Times New Roman" w:cs="Times New Roman"/>
          <w:sz w:val="24"/>
        </w:rPr>
        <w:t>Nevertheless, certain limitations and challenges must be acknowledged. These include the reliance upon company-reported information, the possibility of subjectivity in the interview responses, as well as the rapidly changing nature of EV markets and technologies. Nevertheless, this study, by maintaining a systematic, reflexive, and transparent approach and by transparently navigating around these limitations, can make a significant contribution to the existing knowledge on EV sustainability.</w:t>
      </w:r>
    </w:p>
    <w:p w:rsidR="007F762E" w:rsidRPr="00C82664" w:rsidRDefault="007F762E" w:rsidP="00BE684F">
      <w:pPr>
        <w:jc w:val="both"/>
        <w:rPr>
          <w:rFonts w:ascii="Times New Roman" w:hAnsi="Times New Roman" w:cs="Times New Roman"/>
          <w:sz w:val="24"/>
        </w:rPr>
      </w:pPr>
    </w:p>
    <w:p w:rsidR="00BE684F" w:rsidRDefault="00BE684F" w:rsidP="00030A58">
      <w:pPr>
        <w:pStyle w:val="Heading1"/>
        <w:jc w:val="center"/>
        <w:rPr>
          <w:rFonts w:ascii="Times New Roman" w:hAnsi="Times New Roman" w:cs="Times New Roman"/>
          <w:sz w:val="40"/>
          <w:szCs w:val="40"/>
        </w:rPr>
      </w:pPr>
      <w:bookmarkStart w:id="3" w:name="_Toc164679930"/>
      <w:r w:rsidRPr="00030A58">
        <w:rPr>
          <w:rFonts w:ascii="Times New Roman" w:hAnsi="Times New Roman" w:cs="Times New Roman"/>
          <w:sz w:val="40"/>
          <w:szCs w:val="40"/>
        </w:rPr>
        <w:lastRenderedPageBreak/>
        <w:t>Conclusion</w:t>
      </w:r>
      <w:bookmarkEnd w:id="3"/>
    </w:p>
    <w:p w:rsidR="00030A58" w:rsidRPr="00030A58" w:rsidRDefault="00030A58" w:rsidP="00030A58"/>
    <w:p w:rsidR="00BE684F" w:rsidRPr="00C82664" w:rsidRDefault="00BE684F" w:rsidP="00BE684F">
      <w:pPr>
        <w:jc w:val="both"/>
        <w:rPr>
          <w:rFonts w:ascii="Times New Roman" w:hAnsi="Times New Roman" w:cs="Times New Roman"/>
          <w:sz w:val="24"/>
        </w:rPr>
      </w:pPr>
      <w:r w:rsidRPr="00C82664">
        <w:rPr>
          <w:rFonts w:ascii="Times New Roman" w:hAnsi="Times New Roman" w:cs="Times New Roman"/>
          <w:sz w:val="24"/>
        </w:rPr>
        <w:t>This research proposal presents a case study that examines the environmental impact of Tesla's production of electric v</w:t>
      </w:r>
      <w:r w:rsidR="0037453D">
        <w:rPr>
          <w:rFonts w:ascii="Times New Roman" w:hAnsi="Times New Roman" w:cs="Times New Roman"/>
          <w:sz w:val="24"/>
        </w:rPr>
        <w:t>ehicles. The study uses a</w:t>
      </w:r>
      <w:r w:rsidRPr="00C82664">
        <w:rPr>
          <w:rFonts w:ascii="Times New Roman" w:hAnsi="Times New Roman" w:cs="Times New Roman"/>
          <w:sz w:val="24"/>
        </w:rPr>
        <w:t xml:space="preserve"> quantitative</w:t>
      </w:r>
      <w:r w:rsidR="0037453D">
        <w:rPr>
          <w:rFonts w:ascii="Times New Roman" w:hAnsi="Times New Roman" w:cs="Times New Roman"/>
          <w:sz w:val="24"/>
        </w:rPr>
        <w:t xml:space="preserve"> LCA </w:t>
      </w:r>
      <w:r w:rsidR="007919AF">
        <w:rPr>
          <w:rFonts w:ascii="Times New Roman" w:hAnsi="Times New Roman" w:cs="Times New Roman"/>
          <w:sz w:val="24"/>
        </w:rPr>
        <w:t xml:space="preserve">method </w:t>
      </w:r>
      <w:r w:rsidRPr="00C82664">
        <w:rPr>
          <w:rFonts w:ascii="Times New Roman" w:hAnsi="Times New Roman" w:cs="Times New Roman"/>
          <w:sz w:val="24"/>
        </w:rPr>
        <w:t xml:space="preserve"> to assess the environmental benefits and costs of Tesla's EVs.</w:t>
      </w:r>
    </w:p>
    <w:p w:rsidR="00BE684F" w:rsidRPr="00C82664" w:rsidRDefault="00BE684F" w:rsidP="00BE684F">
      <w:pPr>
        <w:jc w:val="both"/>
        <w:rPr>
          <w:rFonts w:ascii="Times New Roman" w:hAnsi="Times New Roman" w:cs="Times New Roman"/>
          <w:sz w:val="24"/>
        </w:rPr>
      </w:pPr>
      <w:r w:rsidRPr="00C82664">
        <w:rPr>
          <w:rFonts w:ascii="Times New Roman" w:hAnsi="Times New Roman" w:cs="Times New Roman"/>
          <w:sz w:val="24"/>
        </w:rPr>
        <w:t>This study's findings can have a significant impact on the sustainability of the EV sector. The research, by identifying hotspots of impact and opportunities for improvement within Tesla's processes, can help inform sustainability strategies and practices. These insights can be useful for other EV producers, suppliers, and policymakers who are looking to improve the environmental performance of this sector.</w:t>
      </w:r>
    </w:p>
    <w:p w:rsidR="00BE684F" w:rsidRPr="00C82664" w:rsidRDefault="00BE684F" w:rsidP="00BE684F">
      <w:pPr>
        <w:jc w:val="both"/>
        <w:rPr>
          <w:rFonts w:ascii="Times New Roman" w:hAnsi="Times New Roman" w:cs="Times New Roman"/>
          <w:sz w:val="24"/>
        </w:rPr>
      </w:pPr>
      <w:r w:rsidRPr="00C82664">
        <w:rPr>
          <w:rFonts w:ascii="Times New Roman" w:hAnsi="Times New Roman" w:cs="Times New Roman"/>
          <w:sz w:val="24"/>
        </w:rPr>
        <w:t>This study, in a broader sense, can contribute to the growing body of knowledge about the sustainability of EVs over their lifecycle, which is crucial for guiding the shift towards low-carbon transport systems. The research, by providing a transparent and rigorous assessment of a leading EV maker, can inform stakeholder discussions and evidence-based decisions about the future of mobility.</w:t>
      </w:r>
    </w:p>
    <w:p w:rsidR="00BE684F" w:rsidRPr="00C82664" w:rsidRDefault="00BE684F" w:rsidP="00BE684F">
      <w:pPr>
        <w:jc w:val="both"/>
        <w:rPr>
          <w:rFonts w:ascii="Times New Roman" w:hAnsi="Times New Roman" w:cs="Times New Roman"/>
          <w:sz w:val="24"/>
        </w:rPr>
      </w:pPr>
      <w:r w:rsidRPr="00C82664">
        <w:rPr>
          <w:rFonts w:ascii="Times New Roman" w:hAnsi="Times New Roman" w:cs="Times New Roman"/>
          <w:sz w:val="24"/>
        </w:rPr>
        <w:t>It is important to note that this study is only one part of the puzzle when it comes to EV sustainability. Other aspects will need to be investigated, such as the economic and social impacts of EV production. The role of consumer behavior and market dynamics.</w:t>
      </w:r>
    </w:p>
    <w:p w:rsidR="00BE684F" w:rsidRDefault="00BE684F" w:rsidP="00BE684F">
      <w:pPr>
        <w:jc w:val="both"/>
        <w:rPr>
          <w:rFonts w:ascii="Times New Roman" w:hAnsi="Times New Roman" w:cs="Times New Roman"/>
          <w:sz w:val="24"/>
        </w:rPr>
      </w:pPr>
      <w:r w:rsidRPr="00C82664">
        <w:rPr>
          <w:rFonts w:ascii="Times New Roman" w:hAnsi="Times New Roman" w:cs="Times New Roman"/>
          <w:sz w:val="24"/>
        </w:rPr>
        <w:t>This study, however, can be a useful reference and catalyst for future innovation and research in this area, as it provides a solid base of data and analyses on the environmental impacts of Tesla EVs over their lifecycle. The ultimate goal is to develop a sustainable, equitable, and resilient transportation system capable of meeting the needs of people and the planet.</w:t>
      </w:r>
    </w:p>
    <w:p w:rsidR="00D95689" w:rsidRDefault="00D95689" w:rsidP="00BE684F">
      <w:pPr>
        <w:jc w:val="both"/>
        <w:rPr>
          <w:rFonts w:ascii="Times New Roman" w:hAnsi="Times New Roman" w:cs="Times New Roman"/>
          <w:sz w:val="24"/>
        </w:rPr>
      </w:pPr>
    </w:p>
    <w:p w:rsidR="00D95689" w:rsidRDefault="00D95689" w:rsidP="00BE684F">
      <w:pPr>
        <w:jc w:val="both"/>
        <w:rPr>
          <w:rFonts w:ascii="Times New Roman" w:hAnsi="Times New Roman" w:cs="Times New Roman"/>
          <w:sz w:val="24"/>
        </w:rPr>
      </w:pPr>
    </w:p>
    <w:p w:rsidR="00D95689" w:rsidRDefault="00D95689" w:rsidP="00BE684F">
      <w:pPr>
        <w:jc w:val="both"/>
        <w:rPr>
          <w:rFonts w:ascii="Times New Roman" w:hAnsi="Times New Roman" w:cs="Times New Roman"/>
          <w:sz w:val="24"/>
        </w:rPr>
      </w:pPr>
    </w:p>
    <w:p w:rsidR="00D95689" w:rsidRDefault="00D95689" w:rsidP="00BE684F">
      <w:pPr>
        <w:jc w:val="both"/>
        <w:rPr>
          <w:rFonts w:ascii="Times New Roman" w:hAnsi="Times New Roman" w:cs="Times New Roman"/>
          <w:sz w:val="24"/>
        </w:rPr>
      </w:pPr>
    </w:p>
    <w:p w:rsidR="00D95689" w:rsidRDefault="00D95689" w:rsidP="00BE684F">
      <w:pPr>
        <w:jc w:val="both"/>
        <w:rPr>
          <w:rFonts w:ascii="Times New Roman" w:hAnsi="Times New Roman" w:cs="Times New Roman"/>
          <w:sz w:val="24"/>
        </w:rPr>
      </w:pPr>
    </w:p>
    <w:p w:rsidR="00D95689" w:rsidRDefault="00D95689" w:rsidP="00BE684F">
      <w:pPr>
        <w:jc w:val="both"/>
        <w:rPr>
          <w:rFonts w:ascii="Times New Roman" w:hAnsi="Times New Roman" w:cs="Times New Roman"/>
          <w:sz w:val="24"/>
        </w:rPr>
      </w:pPr>
    </w:p>
    <w:p w:rsidR="00D95689" w:rsidRDefault="00D95689" w:rsidP="00BE684F">
      <w:pPr>
        <w:jc w:val="both"/>
        <w:rPr>
          <w:rFonts w:ascii="Times New Roman" w:hAnsi="Times New Roman" w:cs="Times New Roman"/>
          <w:sz w:val="24"/>
        </w:rPr>
      </w:pPr>
    </w:p>
    <w:p w:rsidR="00D95689" w:rsidRDefault="00D95689" w:rsidP="00BE684F">
      <w:pPr>
        <w:jc w:val="both"/>
        <w:rPr>
          <w:rFonts w:ascii="Times New Roman" w:hAnsi="Times New Roman" w:cs="Times New Roman"/>
          <w:sz w:val="24"/>
        </w:rPr>
      </w:pPr>
    </w:p>
    <w:p w:rsidR="00D95689" w:rsidRDefault="00D95689" w:rsidP="00BE684F">
      <w:pPr>
        <w:jc w:val="both"/>
        <w:rPr>
          <w:rFonts w:ascii="Times New Roman" w:hAnsi="Times New Roman" w:cs="Times New Roman"/>
          <w:sz w:val="24"/>
        </w:rPr>
      </w:pPr>
    </w:p>
    <w:p w:rsidR="00D95689" w:rsidRDefault="00D95689" w:rsidP="00BE684F">
      <w:pPr>
        <w:jc w:val="both"/>
        <w:rPr>
          <w:rFonts w:ascii="Times New Roman" w:hAnsi="Times New Roman" w:cs="Times New Roman"/>
          <w:sz w:val="24"/>
        </w:rPr>
      </w:pPr>
    </w:p>
    <w:p w:rsidR="00D95689" w:rsidRDefault="00D95689" w:rsidP="00BE684F">
      <w:pPr>
        <w:jc w:val="both"/>
        <w:rPr>
          <w:rFonts w:ascii="Times New Roman" w:hAnsi="Times New Roman" w:cs="Times New Roman"/>
          <w:sz w:val="24"/>
        </w:rPr>
      </w:pPr>
    </w:p>
    <w:p w:rsidR="00D95689" w:rsidRPr="00C82664" w:rsidRDefault="00D95689" w:rsidP="00BE684F">
      <w:pPr>
        <w:jc w:val="both"/>
        <w:rPr>
          <w:rFonts w:ascii="Times New Roman" w:hAnsi="Times New Roman" w:cs="Times New Roman"/>
          <w:sz w:val="24"/>
        </w:rPr>
      </w:pPr>
    </w:p>
    <w:p w:rsidR="00D95689" w:rsidRDefault="00D95689" w:rsidP="00D95689">
      <w:pPr>
        <w:pStyle w:val="Heading1"/>
        <w:jc w:val="center"/>
        <w:rPr>
          <w:rFonts w:ascii="Times New Roman" w:hAnsi="Times New Roman" w:cs="Times New Roman"/>
        </w:rPr>
      </w:pPr>
      <w:bookmarkStart w:id="4" w:name="_Toc164679931"/>
    </w:p>
    <w:p w:rsidR="00BE684F" w:rsidRPr="00030A58" w:rsidRDefault="00BE684F" w:rsidP="00D95689">
      <w:pPr>
        <w:pStyle w:val="Heading1"/>
        <w:jc w:val="center"/>
        <w:rPr>
          <w:rFonts w:ascii="Times New Roman" w:hAnsi="Times New Roman" w:cs="Times New Roman"/>
          <w:sz w:val="40"/>
          <w:szCs w:val="40"/>
        </w:rPr>
      </w:pPr>
      <w:r w:rsidRPr="00030A58">
        <w:rPr>
          <w:rFonts w:ascii="Times New Roman" w:hAnsi="Times New Roman" w:cs="Times New Roman"/>
          <w:sz w:val="40"/>
          <w:szCs w:val="40"/>
        </w:rPr>
        <w:t>References</w:t>
      </w:r>
      <w:bookmarkEnd w:id="4"/>
    </w:p>
    <w:p w:rsidR="00D95689" w:rsidRPr="00D95689" w:rsidRDefault="00D95689" w:rsidP="00D95689"/>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Ambrose, H. and O'Dea, J. (2021). Electric Vehicle Emissions and Fuel Cost Savings Across the United States. Environmental Research Letters, 16(6), p.064085.</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Argonne National Laboratory (2021). GREET Model. Available at: </w:t>
      </w:r>
      <w:hyperlink r:id="rId7" w:tgtFrame="_blank" w:history="1">
        <w:r w:rsidRPr="0082788A">
          <w:rPr>
            <w:rStyle w:val="Hyperlink"/>
            <w:rFonts w:ascii="Times New Roman" w:hAnsi="Times New Roman" w:cs="Times New Roman"/>
            <w:color w:val="000000" w:themeColor="text1"/>
            <w:sz w:val="24"/>
          </w:rPr>
          <w:t>https://greet.es.anl.gov/</w:t>
        </w:r>
      </w:hyperlink>
      <w:r w:rsidRPr="00C82664">
        <w:rPr>
          <w:rFonts w:ascii="Times New Roman" w:hAnsi="Times New Roman" w:cs="Times New Roman"/>
          <w:sz w:val="24"/>
        </w:rPr>
        <w:t> </w:t>
      </w:r>
      <w:r w:rsidR="0082788A">
        <w:rPr>
          <w:rFonts w:ascii="Times New Roman" w:hAnsi="Times New Roman" w:cs="Times New Roman"/>
          <w:sz w:val="24"/>
        </w:rPr>
        <w:t>(Accessed: 28 March 2024</w:t>
      </w:r>
      <w:r w:rsidRPr="00C82664">
        <w:rPr>
          <w:rFonts w:ascii="Times New Roman" w:hAnsi="Times New Roman" w:cs="Times New Roman"/>
          <w:sz w:val="24"/>
        </w:rPr>
        <w:t>).</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bookmarkStart w:id="5" w:name="_GoBack"/>
      <w:r w:rsidRPr="00C82664">
        <w:rPr>
          <w:rFonts w:ascii="Times New Roman" w:hAnsi="Times New Roman" w:cs="Times New Roman"/>
          <w:sz w:val="24"/>
        </w:rPr>
        <w:t xml:space="preserve">Bauer, G., Hsu, C.W., Nicolas, M., Lutsey, N., Slowik, P. and Wappelhorst, S. (2021). </w:t>
      </w:r>
      <w:bookmarkEnd w:id="5"/>
      <w:r w:rsidRPr="00C82664">
        <w:rPr>
          <w:rFonts w:ascii="Times New Roman" w:hAnsi="Times New Roman" w:cs="Times New Roman"/>
          <w:sz w:val="24"/>
        </w:rPr>
        <w:t>Charging up America: Assessing the Growing Need for U.S. Charging Infrastructure through 2030. The International Council on Clean Transportation. Available at: https://theicct.org/publication/charging-up-america-assessing-the-growing-need-for-u-s-charging-infrastructure-through-2030/ (Accessed:</w:t>
      </w:r>
      <w:r w:rsidR="0082788A" w:rsidRPr="0082788A">
        <w:rPr>
          <w:rFonts w:ascii="Times New Roman" w:hAnsi="Times New Roman" w:cs="Times New Roman"/>
          <w:sz w:val="24"/>
        </w:rPr>
        <w:t xml:space="preserve"> </w:t>
      </w:r>
      <w:r w:rsidR="0082788A">
        <w:rPr>
          <w:rFonts w:ascii="Times New Roman" w:hAnsi="Times New Roman" w:cs="Times New Roman"/>
          <w:sz w:val="24"/>
        </w:rPr>
        <w:t>28 March 2024</w:t>
      </w:r>
      <w:r w:rsidRPr="00C82664">
        <w:rPr>
          <w:rFonts w:ascii="Times New Roman" w:hAnsi="Times New Roman" w:cs="Times New Roman"/>
          <w:sz w:val="24"/>
        </w:rPr>
        <w:t>).</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Boddy, C.R. (2016). Sample Size for Qualitative Research. Qualitative Market Research: An International Journal, 19(4), pp.426-432.</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Curran, M.A. (2015). Life Cycle Assessment Student Handbook. Hoboken: John Wiley &amp; Sons.</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Dai, Q., Kelly, J.C., Gaines, L. and Wang, M. (2019). Life Cycle Analysis of Lithium-Ion Batteries for Automotive Applications. Batteries, 5(2), p.48.</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Ellingsen, L.A.W., Singh, B. and Strømman, A.H. (2016). The Size and Range Effect: Lifecycle Greenhouse Gas Emissions of Electric Vehicles. Environmental Research Letters, 11(5), p.054010.</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Gaines, L. (2014). The Future of Automotive Lithium-Ion Battery Recycling: Charting a Sustainable Course. Sustainable Materials and Technologies, 1-2, pp.2-7.</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Garrett-Peltier, H. (2017). Green versus Brown: Comparing the Employment Impacts of Energy Efficiency, Renewable Energy, and Fossil Fuels Using an Input-Output Model. Economic Modelling, 61, pp.439-447.</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Harper, G., Sommerville, R., Kendrick, E., Driscoll, L., Slater, P., Stolkin, R., Walton, A., Christensen, P., Heidrich, O., Lambert, S., Abbott, A., Ryder, K., Gaines, L. and Anderson, P. (2019). Recycling Lithium-Ion Batteries from Electric Vehicles. Nature, 575(7781), pp.75-86.</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lastRenderedPageBreak/>
        <w:t>Hawkins, T.R., Singh, B., Majeau‐Bettez, G. and Strømman, A.H. (2013). Comparative Environmental Life Cycle Assessment of Conventional and Electric Vehicles. Journal of Industrial Ecology, 17(1), pp.53-64.</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Henderson, K.A. (2011). Post-Positivism and the Pragmatics of Leisure Research. Leisure Sciences, 33(4), pp.341-346.</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Huijbregts, M.A., Steinmann, Z.J., Elshout, P.M., Stam, G., Verones, F., Vieira, M., Zijp, M., Hollander, A. and van Zelm, R. (2017). ReCiPe2016: A Harmonised Life Cycle Impact Assessment Method at Midpoint and Endpoint Level. The International Journal of Life Cycle Assessment, 22(2), pp.138-147.</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Intergovernmental Panel on Climate Change (2014). AR5 Climate Change 2014: Mitigation of Climate Change. Available at: </w:t>
      </w:r>
      <w:hyperlink r:id="rId8" w:tgtFrame="_blank" w:history="1">
        <w:r w:rsidRPr="0082788A">
          <w:rPr>
            <w:rStyle w:val="Hyperlink"/>
            <w:rFonts w:ascii="Times New Roman" w:hAnsi="Times New Roman" w:cs="Times New Roman"/>
            <w:color w:val="000000" w:themeColor="text1"/>
            <w:sz w:val="24"/>
          </w:rPr>
          <w:t>https://www.ipcc.ch/report/ar5/wg3/</w:t>
        </w:r>
      </w:hyperlink>
      <w:r w:rsidRPr="00C82664">
        <w:rPr>
          <w:rFonts w:ascii="Times New Roman" w:hAnsi="Times New Roman" w:cs="Times New Roman"/>
          <w:sz w:val="24"/>
        </w:rPr>
        <w:t> (Accessed:</w:t>
      </w:r>
      <w:r w:rsidR="0082788A" w:rsidRPr="0082788A">
        <w:rPr>
          <w:rFonts w:ascii="Times New Roman" w:hAnsi="Times New Roman" w:cs="Times New Roman"/>
          <w:sz w:val="24"/>
        </w:rPr>
        <w:t xml:space="preserve"> </w:t>
      </w:r>
      <w:r w:rsidR="0082788A">
        <w:rPr>
          <w:rFonts w:ascii="Times New Roman" w:hAnsi="Times New Roman" w:cs="Times New Roman"/>
          <w:sz w:val="24"/>
        </w:rPr>
        <w:t>29 March 2024</w:t>
      </w:r>
      <w:r w:rsidRPr="00C82664">
        <w:rPr>
          <w:rFonts w:ascii="Times New Roman" w:hAnsi="Times New Roman" w:cs="Times New Roman"/>
          <w:sz w:val="24"/>
        </w:rPr>
        <w:t>).</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International Organization for Standardization (2006). ISO 14040:2006 Environmental Management — Life Cycle Assessment — Principles and Framework. Available at: </w:t>
      </w:r>
      <w:hyperlink r:id="rId9" w:tgtFrame="_blank" w:history="1">
        <w:r w:rsidRPr="0082788A">
          <w:rPr>
            <w:rStyle w:val="Hyperlink"/>
            <w:rFonts w:ascii="Times New Roman" w:hAnsi="Times New Roman" w:cs="Times New Roman"/>
            <w:color w:val="000000" w:themeColor="text1"/>
            <w:sz w:val="24"/>
          </w:rPr>
          <w:t>https://www.iso.org/standard/37456.html</w:t>
        </w:r>
      </w:hyperlink>
      <w:r w:rsidRPr="0082788A">
        <w:rPr>
          <w:rFonts w:ascii="Times New Roman" w:hAnsi="Times New Roman" w:cs="Times New Roman"/>
          <w:color w:val="000000" w:themeColor="text1"/>
          <w:sz w:val="24"/>
        </w:rPr>
        <w:t> </w:t>
      </w:r>
      <w:r w:rsidRPr="00C82664">
        <w:rPr>
          <w:rFonts w:ascii="Times New Roman" w:hAnsi="Times New Roman" w:cs="Times New Roman"/>
          <w:sz w:val="24"/>
        </w:rPr>
        <w:t>(Accessed:</w:t>
      </w:r>
      <w:r w:rsidR="0082788A" w:rsidRPr="0082788A">
        <w:rPr>
          <w:rFonts w:ascii="Times New Roman" w:hAnsi="Times New Roman" w:cs="Times New Roman"/>
          <w:sz w:val="24"/>
        </w:rPr>
        <w:t xml:space="preserve"> </w:t>
      </w:r>
      <w:r w:rsidR="0082788A">
        <w:rPr>
          <w:rFonts w:ascii="Times New Roman" w:hAnsi="Times New Roman" w:cs="Times New Roman"/>
          <w:sz w:val="24"/>
        </w:rPr>
        <w:t>29 March 2024</w:t>
      </w:r>
      <w:r w:rsidRPr="00C82664">
        <w:rPr>
          <w:rFonts w:ascii="Times New Roman" w:hAnsi="Times New Roman" w:cs="Times New Roman"/>
          <w:sz w:val="24"/>
        </w:rPr>
        <w:t>).</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Kamiya, G., Axsen, J. and Crawford, C. (2019). Modeling the GHG Emissions Intensity of Plug-In Electric Vehicles Using Short-Term and Long-Term Perspectives. Transportation Research Part D: Transport and Environment, 69, pp.209-223.</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Katwala, A. (2018). The Spiralling Environmental Cost of Our Lithium Battery Addiction. Wired, 5 August. Available at:</w:t>
      </w:r>
      <w:r w:rsidRPr="009E591C">
        <w:rPr>
          <w:rFonts w:ascii="Times New Roman" w:hAnsi="Times New Roman" w:cs="Times New Roman"/>
          <w:color w:val="000000" w:themeColor="text1"/>
          <w:sz w:val="24"/>
        </w:rPr>
        <w:t> </w:t>
      </w:r>
      <w:hyperlink r:id="rId10" w:tgtFrame="_blank" w:history="1">
        <w:r w:rsidRPr="009E591C">
          <w:rPr>
            <w:rStyle w:val="Hyperlink"/>
            <w:rFonts w:ascii="Times New Roman" w:hAnsi="Times New Roman" w:cs="Times New Roman"/>
            <w:color w:val="000000" w:themeColor="text1"/>
            <w:sz w:val="24"/>
          </w:rPr>
          <w:t>https://www.wired.co.uk/article/lithium-batteries-environment-impact</w:t>
        </w:r>
      </w:hyperlink>
      <w:r w:rsidRPr="00C82664">
        <w:rPr>
          <w:rFonts w:ascii="Times New Roman" w:hAnsi="Times New Roman" w:cs="Times New Roman"/>
          <w:sz w:val="24"/>
        </w:rPr>
        <w:t> (Accessed</w:t>
      </w:r>
      <w:r w:rsidR="009E591C">
        <w:rPr>
          <w:rFonts w:ascii="Times New Roman" w:hAnsi="Times New Roman" w:cs="Times New Roman"/>
          <w:sz w:val="24"/>
        </w:rPr>
        <w:t>: 29 March 2024</w:t>
      </w:r>
      <w:r w:rsidRPr="00C82664">
        <w:rPr>
          <w:rFonts w:ascii="Times New Roman" w:hAnsi="Times New Roman" w:cs="Times New Roman"/>
          <w:sz w:val="24"/>
        </w:rPr>
        <w:t>).</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Kim, H.C., Wallington, T.J., Arsenault, R., Bae, C., Ahn, S. and Lee, J. (2016). Cradle-to-Gate Emissions from a Commercial Electric Vehicle Li-Ion Battery: A Comparative Analysis. Environmental Science &amp; Technology, 50(14), pp.7715-7722.</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Köhler, J., Geels, F.W., Kern, F., Markard, J., Onsongo, E., Wieczorek, A., Alkemade, F., Avelino, F., Bergek, A., Boons, F., Fünfschilling, L., Hess, D., Holtz, G., Hyysalo, S., Jenkins, K., Kivimaa, P., Martiskainen, M., McMeekin, A., Mühlemeier, M.S., Nykvist, B., Pel, B., Raven, R., Rohracher, H., Sandén, B., Schot, J., Sovacool, B., Turnheim, B., Welch, D. and Wells, P. (2019). An Agenda for Sustainability Transitions Research: State of the Art and Future Directions. Environmental Innovation and Societal Transitions, 31, pp.1-32.</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lastRenderedPageBreak/>
        <w:t>Kosmol, L. (2020). Integrating the Circular Economy into the European Agenda—A Policy Analysis of the Stakeholder Dialogue on the EU Circular Economy Package. Journal of Cleaner Production, 261, p.121125.</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Larminie, J. and Lowry, J. (2012). Electric Vehicle Technology Explained. 2nd ed. Chichester: John Wiley &amp; Sons.</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Lv, W., Wang, Z., Cao, H., Sun, Y., Zhang, Y. and Sun, Z. (2018). A Critical Review and Analysis on the Recycling of Spent Lithium-Ion Batteries. ACS Sustainable Chemistry &amp; Engineering, 6(2), pp.1504-1521.</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Malmgren, I. (2016). Quantifying the Societal Benefits of Electric Vehicles. World Electric Vehicle Journal, 8(4), pp.996-1007.</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Mattioli, G., Roberts, C., Steinberger, J.K. and Brown, A. (2020). The Political Economy of Car Dependence: A Systems of Provision Approach. Energy Research &amp; Social Science, 66, p.101486.</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Moro, A. and Lonza, L. (2018). Electricity Carbon Intensity in European Member States: Impacts on GHG Emissions of Electric Vehicles. Transportation Research Part D: Transport and Environment, 64, pp.5-14.</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Nealer, R., Reichmuth, D. and Anair, D. (2015). Cleaner Cars from Cradle to Grave: How Electric Cars Beat Gasoline Cars on Lifetime Global Warming Emissions. Union of Concerned Scientists Report, pp.1-54.</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Nordelöf, A., Messagie, M., Tillman, A.M., Ljunggren Söderman, M. and Van Mierlo, J. (2014). Environmental Impacts of Hybrid, Plug-In Hybrid, and Battery Electric Vehicles—What Can We Learn from Life Cycle Assessment?. The International Journal of Life Cycle Assessment, 19(11), pp.1866-1890.</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Onat, N.C., Kucukvar, M. and Tatari, O. (2014). Towards Life Cycle Sustainability Assessment of Alternative Passenger Vehicles. Sustainability, 6(12), pp.9305-9342.</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Peters, J.F., Baumann, M., Zimmermann, B., Braun, J. and Weil, M. (2017). The Environmental Impact of Li-Ion Batteries and the Role of Key Parameters – A Review. Renewable and Sustainable Energy Reviews, 67, pp.491-506.</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Plötz, P., Gnann, T., Wietschel, M. and Kühn, A. (2017). What Is the Best Alternative Drive Train for Heavy Road Transport?. In: Jochem, P., Poganietz, W.R., Grunwald, A. and Fichtner, W. (eds) Alternative Propulsion Systems for Road Freight Transport - An Analysis from an Energy System Perspective. Karlsruhe: Fraunhofer Verlag, pp.185-224.</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lastRenderedPageBreak/>
        <w:t>Ricardo (2020). Transport Lifecycle Assessment Tool. Available at: </w:t>
      </w:r>
      <w:hyperlink r:id="rId11" w:tgtFrame="_blank" w:history="1">
        <w:r w:rsidRPr="009E591C">
          <w:rPr>
            <w:rStyle w:val="Hyperlink"/>
            <w:rFonts w:ascii="Times New Roman" w:hAnsi="Times New Roman" w:cs="Times New Roman"/>
            <w:color w:val="000000" w:themeColor="text1"/>
            <w:sz w:val="24"/>
          </w:rPr>
          <w:t>https://ee.ricardo.com/tlat</w:t>
        </w:r>
      </w:hyperlink>
      <w:r w:rsidRPr="00C82664">
        <w:rPr>
          <w:rFonts w:ascii="Times New Roman" w:hAnsi="Times New Roman" w:cs="Times New Roman"/>
          <w:sz w:val="24"/>
        </w:rPr>
        <w:t> (Accessed:</w:t>
      </w:r>
      <w:r w:rsidR="009E591C" w:rsidRPr="009E591C">
        <w:rPr>
          <w:rFonts w:ascii="Times New Roman" w:hAnsi="Times New Roman" w:cs="Times New Roman"/>
          <w:sz w:val="24"/>
        </w:rPr>
        <w:t xml:space="preserve"> </w:t>
      </w:r>
      <w:r w:rsidR="009E591C">
        <w:rPr>
          <w:rFonts w:ascii="Times New Roman" w:hAnsi="Times New Roman" w:cs="Times New Roman"/>
          <w:sz w:val="24"/>
        </w:rPr>
        <w:t>29 March 2024</w:t>
      </w:r>
      <w:r w:rsidRPr="00C82664">
        <w:rPr>
          <w:rFonts w:ascii="Times New Roman" w:hAnsi="Times New Roman" w:cs="Times New Roman"/>
          <w:sz w:val="24"/>
        </w:rPr>
        <w:t>)</w:t>
      </w:r>
      <w:r w:rsidR="009E591C" w:rsidRPr="009E591C">
        <w:rPr>
          <w:rFonts w:ascii="Times New Roman" w:hAnsi="Times New Roman" w:cs="Times New Roman"/>
          <w:sz w:val="24"/>
        </w:rPr>
        <w:t xml:space="preserve"> </w:t>
      </w:r>
      <w:r w:rsidRPr="00C82664">
        <w:rPr>
          <w:rFonts w:ascii="Times New Roman" w:hAnsi="Times New Roman" w:cs="Times New Roman"/>
          <w:sz w:val="24"/>
        </w:rPr>
        <w:t>.</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Saunders, M., Lewis, P. and Thornhill, A. (2015). Research Methods for Business Students. 7th ed. Harlow: Pearson Education.</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Stringham, E.P., Miller, J.K. and Clark, J.R. (2015). Overcoming Barriers to Entry in an Established Industry: Tesla Motors. California Management Review, 57(4), pp.85-103.</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Szinai, J.K., Sheppard, C.J., Abhyankar, N. and Gopal, A.R. (2020). Reduced Grid Operating Costs and Renewable Energy Curtailment with Electric Vehicle Charge Management. Energy Policy, 136, p.111051.</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Teddlie, C. and Tashakkori, A. (2009). Foundations of Mixed Methods Research: Integrating Quantitative and Qualitative Approaches in the Social and Behavioral Sciences. Thousand Oaks: SAGE Publications.</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Vona, F. (2019). Job Losses and Political Acceptability of Climate Policies: Why the 'Job-Killing' Argument Is So Persistent and How to Overturn It. Climate Policy, 19(4), pp.524-532.</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Yang, Y. (2016). Two Sides of the Same Coin: Consequential Life Cycle Assessment Based on the Attributional Framework. Journal of Cleaner Production, 127, pp.274-281.</w:t>
      </w:r>
    </w:p>
    <w:p w:rsidR="00BE684F" w:rsidRPr="00C82664" w:rsidRDefault="00BE684F" w:rsidP="00BE684F">
      <w:pPr>
        <w:pStyle w:val="ListParagraph"/>
        <w:numPr>
          <w:ilvl w:val="0"/>
          <w:numId w:val="11"/>
        </w:numPr>
        <w:spacing w:line="360" w:lineRule="auto"/>
        <w:jc w:val="both"/>
        <w:rPr>
          <w:rFonts w:ascii="Times New Roman" w:hAnsi="Times New Roman" w:cs="Times New Roman"/>
          <w:sz w:val="24"/>
        </w:rPr>
      </w:pPr>
      <w:r w:rsidRPr="00C82664">
        <w:rPr>
          <w:rFonts w:ascii="Times New Roman" w:hAnsi="Times New Roman" w:cs="Times New Roman"/>
          <w:sz w:val="24"/>
        </w:rPr>
        <w:t>Yin, R.K. (2014). Case Study Research: Design and Methods. 5th ed. Thousand Oaks: SAGE Publications.</w:t>
      </w:r>
    </w:p>
    <w:p w:rsidR="00F4464E" w:rsidRPr="00C82664" w:rsidRDefault="00F4464E" w:rsidP="00BE684F">
      <w:pPr>
        <w:jc w:val="both"/>
        <w:rPr>
          <w:rFonts w:ascii="Times New Roman" w:hAnsi="Times New Roman" w:cs="Times New Roman"/>
          <w:sz w:val="24"/>
        </w:rPr>
      </w:pPr>
    </w:p>
    <w:sectPr w:rsidR="00F4464E" w:rsidRPr="00C82664" w:rsidSect="00133FC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21E47"/>
    <w:multiLevelType w:val="multilevel"/>
    <w:tmpl w:val="5E925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AB0DE7"/>
    <w:multiLevelType w:val="multilevel"/>
    <w:tmpl w:val="09F69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0D4E6E"/>
    <w:multiLevelType w:val="multilevel"/>
    <w:tmpl w:val="151639F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993C5E"/>
    <w:multiLevelType w:val="multilevel"/>
    <w:tmpl w:val="151639F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DF44F86"/>
    <w:multiLevelType w:val="multilevel"/>
    <w:tmpl w:val="2A380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4D1223F"/>
    <w:multiLevelType w:val="hybridMultilevel"/>
    <w:tmpl w:val="FBD24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1907D6"/>
    <w:multiLevelType w:val="multilevel"/>
    <w:tmpl w:val="151639F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EBA486B"/>
    <w:multiLevelType w:val="multilevel"/>
    <w:tmpl w:val="EEBAF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01D0043"/>
    <w:multiLevelType w:val="multilevel"/>
    <w:tmpl w:val="151639F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2734A95"/>
    <w:multiLevelType w:val="multilevel"/>
    <w:tmpl w:val="08E80A0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31A2574"/>
    <w:multiLevelType w:val="multilevel"/>
    <w:tmpl w:val="17BE5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4EB44AF"/>
    <w:multiLevelType w:val="multilevel"/>
    <w:tmpl w:val="72AEE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0E01395"/>
    <w:multiLevelType w:val="multilevel"/>
    <w:tmpl w:val="DD0232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1EC42FB"/>
    <w:multiLevelType w:val="multilevel"/>
    <w:tmpl w:val="99E0C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1"/>
  </w:num>
  <w:num w:numId="3">
    <w:abstractNumId w:val="4"/>
  </w:num>
  <w:num w:numId="4">
    <w:abstractNumId w:val="12"/>
  </w:num>
  <w:num w:numId="5">
    <w:abstractNumId w:val="12"/>
    <w:lvlOverride w:ilvl="0">
      <w:lvl w:ilvl="0">
        <w:numFmt w:val="decimal"/>
        <w:lvlText w:val=""/>
        <w:lvlJc w:val="left"/>
      </w:lvl>
    </w:lvlOverride>
    <w:lvlOverride w:ilvl="1">
      <w:lvl w:ilvl="1">
        <w:numFmt w:val="bullet"/>
        <w:lvlText w:val="o"/>
        <w:lvlJc w:val="left"/>
        <w:pPr>
          <w:tabs>
            <w:tab w:val="num" w:pos="1440"/>
          </w:tabs>
          <w:ind w:left="1440" w:hanging="360"/>
        </w:pPr>
        <w:rPr>
          <w:rFonts w:ascii="Courier New" w:hAnsi="Courier New" w:hint="default"/>
          <w:sz w:val="20"/>
        </w:rPr>
      </w:lvl>
    </w:lvlOverride>
  </w:num>
  <w:num w:numId="6">
    <w:abstractNumId w:val="2"/>
  </w:num>
  <w:num w:numId="7">
    <w:abstractNumId w:val="7"/>
  </w:num>
  <w:num w:numId="8">
    <w:abstractNumId w:val="3"/>
  </w:num>
  <w:num w:numId="9">
    <w:abstractNumId w:val="6"/>
  </w:num>
  <w:num w:numId="10">
    <w:abstractNumId w:val="8"/>
  </w:num>
  <w:num w:numId="11">
    <w:abstractNumId w:val="9"/>
  </w:num>
  <w:num w:numId="12">
    <w:abstractNumId w:val="1"/>
  </w:num>
  <w:num w:numId="13">
    <w:abstractNumId w:val="13"/>
  </w:num>
  <w:num w:numId="14">
    <w:abstractNumId w:val="10"/>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hideGrammaticalErrors/>
  <w:proofState w:spelling="clean" w:grammar="clean"/>
  <w:defaultTabStop w:val="708"/>
  <w:hyphenationZone w:val="425"/>
  <w:characterSpacingControl w:val="doNotCompress"/>
  <w:compat/>
  <w:rsids>
    <w:rsidRoot w:val="00E85941"/>
    <w:rsid w:val="00030A58"/>
    <w:rsid w:val="001048C8"/>
    <w:rsid w:val="00133FC2"/>
    <w:rsid w:val="0037453D"/>
    <w:rsid w:val="004000CB"/>
    <w:rsid w:val="00467E01"/>
    <w:rsid w:val="005E76E9"/>
    <w:rsid w:val="006518ED"/>
    <w:rsid w:val="007919AF"/>
    <w:rsid w:val="007B0A89"/>
    <w:rsid w:val="007F762E"/>
    <w:rsid w:val="0082788A"/>
    <w:rsid w:val="00996104"/>
    <w:rsid w:val="009E591C"/>
    <w:rsid w:val="00AA036B"/>
    <w:rsid w:val="00BE684F"/>
    <w:rsid w:val="00C82664"/>
    <w:rsid w:val="00CF7668"/>
    <w:rsid w:val="00CF7BA0"/>
    <w:rsid w:val="00D74FFA"/>
    <w:rsid w:val="00D95689"/>
    <w:rsid w:val="00DF4011"/>
    <w:rsid w:val="00E85941"/>
    <w:rsid w:val="00F20E2F"/>
    <w:rsid w:val="00F4464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FC2"/>
  </w:style>
  <w:style w:type="paragraph" w:styleId="Heading1">
    <w:name w:val="heading 1"/>
    <w:basedOn w:val="Normal"/>
    <w:next w:val="Normal"/>
    <w:link w:val="Heading1Char"/>
    <w:uiPriority w:val="9"/>
    <w:qFormat/>
    <w:rsid w:val="00BE684F"/>
    <w:pPr>
      <w:keepNext/>
      <w:keepLines/>
      <w:spacing w:before="240" w:after="0" w:line="360" w:lineRule="auto"/>
      <w:outlineLvl w:val="0"/>
    </w:pPr>
    <w:rPr>
      <w:rFonts w:asciiTheme="majorHAnsi" w:eastAsiaTheme="majorEastAsia" w:hAnsiTheme="majorHAnsi" w:cstheme="majorBidi"/>
      <w:color w:val="0D0D0D" w:themeColor="text1" w:themeTint="F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84F"/>
    <w:rPr>
      <w:rFonts w:asciiTheme="majorHAnsi" w:eastAsiaTheme="majorEastAsia" w:hAnsiTheme="majorHAnsi" w:cstheme="majorBidi"/>
      <w:color w:val="0D0D0D" w:themeColor="text1" w:themeTint="F2"/>
      <w:sz w:val="32"/>
      <w:szCs w:val="32"/>
    </w:rPr>
  </w:style>
  <w:style w:type="paragraph" w:styleId="TOCHeading">
    <w:name w:val="TOC Heading"/>
    <w:basedOn w:val="Heading1"/>
    <w:next w:val="Normal"/>
    <w:uiPriority w:val="39"/>
    <w:unhideWhenUsed/>
    <w:qFormat/>
    <w:rsid w:val="00BE684F"/>
    <w:pPr>
      <w:spacing w:line="259" w:lineRule="auto"/>
      <w:outlineLvl w:val="9"/>
    </w:pPr>
    <w:rPr>
      <w:color w:val="2F5496" w:themeColor="accent1" w:themeShade="BF"/>
      <w:lang w:val="en-US"/>
    </w:rPr>
  </w:style>
  <w:style w:type="paragraph" w:styleId="TOC1">
    <w:name w:val="toc 1"/>
    <w:basedOn w:val="Normal"/>
    <w:next w:val="Normal"/>
    <w:autoRedefine/>
    <w:uiPriority w:val="39"/>
    <w:unhideWhenUsed/>
    <w:rsid w:val="00BE684F"/>
    <w:pPr>
      <w:spacing w:after="100"/>
    </w:pPr>
  </w:style>
  <w:style w:type="character" w:styleId="Hyperlink">
    <w:name w:val="Hyperlink"/>
    <w:basedOn w:val="DefaultParagraphFont"/>
    <w:uiPriority w:val="99"/>
    <w:unhideWhenUsed/>
    <w:rsid w:val="00BE684F"/>
    <w:rPr>
      <w:color w:val="0563C1" w:themeColor="hyperlink"/>
      <w:u w:val="single"/>
    </w:rPr>
  </w:style>
  <w:style w:type="paragraph" w:styleId="ListParagraph">
    <w:name w:val="List Paragraph"/>
    <w:basedOn w:val="Normal"/>
    <w:uiPriority w:val="34"/>
    <w:qFormat/>
    <w:rsid w:val="00BE684F"/>
    <w:pPr>
      <w:ind w:left="720"/>
      <w:contextualSpacing/>
    </w:pPr>
  </w:style>
  <w:style w:type="paragraph" w:styleId="BalloonText">
    <w:name w:val="Balloon Text"/>
    <w:basedOn w:val="Normal"/>
    <w:link w:val="BalloonTextChar"/>
    <w:uiPriority w:val="99"/>
    <w:semiHidden/>
    <w:unhideWhenUsed/>
    <w:rsid w:val="00C826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2664"/>
    <w:rPr>
      <w:rFonts w:ascii="Tahoma" w:hAnsi="Tahoma" w:cs="Tahoma"/>
      <w:sz w:val="16"/>
      <w:szCs w:val="16"/>
    </w:rPr>
  </w:style>
  <w:style w:type="paragraph" w:customStyle="1" w:styleId="whitespace-pre-wrap">
    <w:name w:val="whitespace-pre-wrap"/>
    <w:basedOn w:val="Normal"/>
    <w:rsid w:val="00C82664"/>
    <w:pPr>
      <w:spacing w:before="100" w:beforeAutospacing="1" w:after="100" w:afterAutospacing="1" w:line="240" w:lineRule="auto"/>
    </w:pPr>
    <w:rPr>
      <w:rFonts w:ascii="Times New Roman" w:eastAsia="Times New Roman" w:hAnsi="Times New Roman" w:cs="Times New Roman"/>
      <w:sz w:val="24"/>
      <w:szCs w:val="24"/>
      <w:lang w:val="en-US"/>
    </w:rPr>
  </w:style>
  <w:style w:type="table" w:customStyle="1" w:styleId="LightShading-Accent11">
    <w:name w:val="Light Shading - Accent 11"/>
    <w:basedOn w:val="TableNormal"/>
    <w:uiPriority w:val="60"/>
    <w:rsid w:val="00C82664"/>
    <w:pPr>
      <w:spacing w:after="0" w:line="240" w:lineRule="auto"/>
    </w:pPr>
    <w:rPr>
      <w:color w:val="2F5496" w:themeColor="accent1" w:themeShade="BF"/>
    </w:rPr>
    <w:tblPr>
      <w:tblStyleRowBandSize w:val="1"/>
      <w:tblStyleColBandSize w:val="1"/>
      <w:tblInd w:w="0" w:type="dxa"/>
      <w:tblBorders>
        <w:top w:val="single" w:sz="8" w:space="0" w:color="4472C4" w:themeColor="accent1"/>
        <w:bottom w:val="single" w:sz="8" w:space="0" w:color="4472C4"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TableGrid">
    <w:name w:val="Table Grid"/>
    <w:basedOn w:val="TableNormal"/>
    <w:uiPriority w:val="39"/>
    <w:rsid w:val="00C826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2">
    <w:name w:val="Light Shading Accent 2"/>
    <w:basedOn w:val="TableNormal"/>
    <w:uiPriority w:val="60"/>
    <w:rsid w:val="00C82664"/>
    <w:pPr>
      <w:spacing w:after="0" w:line="240" w:lineRule="auto"/>
    </w:pPr>
    <w:rPr>
      <w:color w:val="C45911" w:themeColor="accent2" w:themeShade="BF"/>
    </w:rPr>
    <w:tblPr>
      <w:tblStyleRowBandSize w:val="1"/>
      <w:tblStyleColBandSize w:val="1"/>
      <w:tblInd w:w="0" w:type="dxa"/>
      <w:tblBorders>
        <w:top w:val="single" w:sz="8" w:space="0" w:color="ED7D31" w:themeColor="accent2"/>
        <w:bottom w:val="single" w:sz="8" w:space="0" w:color="ED7D31"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4">
    <w:name w:val="Light Shading Accent 4"/>
    <w:basedOn w:val="TableNormal"/>
    <w:uiPriority w:val="60"/>
    <w:rsid w:val="00C82664"/>
    <w:pPr>
      <w:spacing w:after="0" w:line="240" w:lineRule="auto"/>
    </w:pPr>
    <w:rPr>
      <w:color w:val="BF8F00" w:themeColor="accent4" w:themeShade="BF"/>
    </w:rPr>
    <w:tblPr>
      <w:tblStyleRowBandSize w:val="1"/>
      <w:tblStyleColBandSize w:val="1"/>
      <w:tblInd w:w="0" w:type="dxa"/>
      <w:tblBorders>
        <w:top w:val="single" w:sz="8" w:space="0" w:color="FFC000" w:themeColor="accent4"/>
        <w:bottom w:val="single" w:sz="8" w:space="0" w:color="FFC000"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C82664"/>
    <w:pPr>
      <w:spacing w:after="0" w:line="240" w:lineRule="auto"/>
    </w:pPr>
    <w:rPr>
      <w:color w:val="2E74B5" w:themeColor="accent5" w:themeShade="BF"/>
    </w:rPr>
    <w:tblPr>
      <w:tblStyleRowBandSize w:val="1"/>
      <w:tblStyleColBandSize w:val="1"/>
      <w:tblInd w:w="0" w:type="dxa"/>
      <w:tblBorders>
        <w:top w:val="single" w:sz="8" w:space="0" w:color="5B9BD5" w:themeColor="accent5"/>
        <w:bottom w:val="single" w:sz="8" w:space="0" w:color="5B9BD5"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customStyle="1" w:styleId="LightList-Accent11">
    <w:name w:val="Light List - Accent 11"/>
    <w:basedOn w:val="TableNormal"/>
    <w:uiPriority w:val="61"/>
    <w:rsid w:val="00C82664"/>
    <w:pPr>
      <w:spacing w:after="0" w:line="240" w:lineRule="auto"/>
    </w:pPr>
    <w:tblPr>
      <w:tblStyleRowBandSize w:val="1"/>
      <w:tblStyleColBandSize w:val="1"/>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Grid-Accent5">
    <w:name w:val="Light Grid Accent 5"/>
    <w:basedOn w:val="TableNormal"/>
    <w:uiPriority w:val="62"/>
    <w:rsid w:val="00C82664"/>
    <w:pPr>
      <w:spacing w:after="0" w:line="240" w:lineRule="auto"/>
    </w:pPr>
    <w:tblPr>
      <w:tblStyleRowBandSize w:val="1"/>
      <w:tblStyleColBandSize w:val="1"/>
      <w:tblInd w:w="0" w:type="dxa"/>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customStyle="1" w:styleId="LightGrid-Accent11">
    <w:name w:val="Light Grid - Accent 11"/>
    <w:basedOn w:val="TableNormal"/>
    <w:uiPriority w:val="62"/>
    <w:rsid w:val="00C82664"/>
    <w:pPr>
      <w:spacing w:after="0" w:line="240" w:lineRule="auto"/>
    </w:pPr>
    <w:tblPr>
      <w:tblStyleRowBandSize w:val="1"/>
      <w:tblStyleColBandSize w:val="1"/>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3">
    <w:name w:val="Light Grid Accent 3"/>
    <w:basedOn w:val="TableNormal"/>
    <w:uiPriority w:val="62"/>
    <w:rsid w:val="00C82664"/>
    <w:pPr>
      <w:spacing w:after="0" w:line="240" w:lineRule="auto"/>
    </w:p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s>
</file>

<file path=word/webSettings.xml><?xml version="1.0" encoding="utf-8"?>
<w:webSettings xmlns:r="http://schemas.openxmlformats.org/officeDocument/2006/relationships" xmlns:w="http://schemas.openxmlformats.org/wordprocessingml/2006/main">
  <w:divs>
    <w:div w:id="52045415">
      <w:bodyDiv w:val="1"/>
      <w:marLeft w:val="0"/>
      <w:marRight w:val="0"/>
      <w:marTop w:val="0"/>
      <w:marBottom w:val="0"/>
      <w:divBdr>
        <w:top w:val="none" w:sz="0" w:space="0" w:color="auto"/>
        <w:left w:val="none" w:sz="0" w:space="0" w:color="auto"/>
        <w:bottom w:val="none" w:sz="0" w:space="0" w:color="auto"/>
        <w:right w:val="none" w:sz="0" w:space="0" w:color="auto"/>
      </w:divBdr>
    </w:div>
    <w:div w:id="363941172">
      <w:bodyDiv w:val="1"/>
      <w:marLeft w:val="0"/>
      <w:marRight w:val="0"/>
      <w:marTop w:val="0"/>
      <w:marBottom w:val="0"/>
      <w:divBdr>
        <w:top w:val="none" w:sz="0" w:space="0" w:color="auto"/>
        <w:left w:val="none" w:sz="0" w:space="0" w:color="auto"/>
        <w:bottom w:val="none" w:sz="0" w:space="0" w:color="auto"/>
        <w:right w:val="none" w:sz="0" w:space="0" w:color="auto"/>
      </w:divBdr>
    </w:div>
    <w:div w:id="585070236">
      <w:bodyDiv w:val="1"/>
      <w:marLeft w:val="0"/>
      <w:marRight w:val="0"/>
      <w:marTop w:val="0"/>
      <w:marBottom w:val="0"/>
      <w:divBdr>
        <w:top w:val="none" w:sz="0" w:space="0" w:color="auto"/>
        <w:left w:val="none" w:sz="0" w:space="0" w:color="auto"/>
        <w:bottom w:val="none" w:sz="0" w:space="0" w:color="auto"/>
        <w:right w:val="none" w:sz="0" w:space="0" w:color="auto"/>
      </w:divBdr>
    </w:div>
    <w:div w:id="645475279">
      <w:bodyDiv w:val="1"/>
      <w:marLeft w:val="0"/>
      <w:marRight w:val="0"/>
      <w:marTop w:val="0"/>
      <w:marBottom w:val="0"/>
      <w:divBdr>
        <w:top w:val="none" w:sz="0" w:space="0" w:color="auto"/>
        <w:left w:val="none" w:sz="0" w:space="0" w:color="auto"/>
        <w:bottom w:val="none" w:sz="0" w:space="0" w:color="auto"/>
        <w:right w:val="none" w:sz="0" w:space="0" w:color="auto"/>
      </w:divBdr>
    </w:div>
    <w:div w:id="669792820">
      <w:bodyDiv w:val="1"/>
      <w:marLeft w:val="0"/>
      <w:marRight w:val="0"/>
      <w:marTop w:val="0"/>
      <w:marBottom w:val="0"/>
      <w:divBdr>
        <w:top w:val="none" w:sz="0" w:space="0" w:color="auto"/>
        <w:left w:val="none" w:sz="0" w:space="0" w:color="auto"/>
        <w:bottom w:val="none" w:sz="0" w:space="0" w:color="auto"/>
        <w:right w:val="none" w:sz="0" w:space="0" w:color="auto"/>
      </w:divBdr>
    </w:div>
    <w:div w:id="839007652">
      <w:bodyDiv w:val="1"/>
      <w:marLeft w:val="0"/>
      <w:marRight w:val="0"/>
      <w:marTop w:val="0"/>
      <w:marBottom w:val="0"/>
      <w:divBdr>
        <w:top w:val="none" w:sz="0" w:space="0" w:color="auto"/>
        <w:left w:val="none" w:sz="0" w:space="0" w:color="auto"/>
        <w:bottom w:val="none" w:sz="0" w:space="0" w:color="auto"/>
        <w:right w:val="none" w:sz="0" w:space="0" w:color="auto"/>
      </w:divBdr>
    </w:div>
    <w:div w:id="986975372">
      <w:bodyDiv w:val="1"/>
      <w:marLeft w:val="0"/>
      <w:marRight w:val="0"/>
      <w:marTop w:val="0"/>
      <w:marBottom w:val="0"/>
      <w:divBdr>
        <w:top w:val="none" w:sz="0" w:space="0" w:color="auto"/>
        <w:left w:val="none" w:sz="0" w:space="0" w:color="auto"/>
        <w:bottom w:val="none" w:sz="0" w:space="0" w:color="auto"/>
        <w:right w:val="none" w:sz="0" w:space="0" w:color="auto"/>
      </w:divBdr>
    </w:div>
    <w:div w:id="1033001000">
      <w:bodyDiv w:val="1"/>
      <w:marLeft w:val="0"/>
      <w:marRight w:val="0"/>
      <w:marTop w:val="0"/>
      <w:marBottom w:val="0"/>
      <w:divBdr>
        <w:top w:val="none" w:sz="0" w:space="0" w:color="auto"/>
        <w:left w:val="none" w:sz="0" w:space="0" w:color="auto"/>
        <w:bottom w:val="none" w:sz="0" w:space="0" w:color="auto"/>
        <w:right w:val="none" w:sz="0" w:space="0" w:color="auto"/>
      </w:divBdr>
    </w:div>
    <w:div w:id="1329166521">
      <w:bodyDiv w:val="1"/>
      <w:marLeft w:val="0"/>
      <w:marRight w:val="0"/>
      <w:marTop w:val="0"/>
      <w:marBottom w:val="0"/>
      <w:divBdr>
        <w:top w:val="none" w:sz="0" w:space="0" w:color="auto"/>
        <w:left w:val="none" w:sz="0" w:space="0" w:color="auto"/>
        <w:bottom w:val="none" w:sz="0" w:space="0" w:color="auto"/>
        <w:right w:val="none" w:sz="0" w:space="0" w:color="auto"/>
      </w:divBdr>
    </w:div>
    <w:div w:id="1457484112">
      <w:bodyDiv w:val="1"/>
      <w:marLeft w:val="0"/>
      <w:marRight w:val="0"/>
      <w:marTop w:val="0"/>
      <w:marBottom w:val="0"/>
      <w:divBdr>
        <w:top w:val="none" w:sz="0" w:space="0" w:color="auto"/>
        <w:left w:val="none" w:sz="0" w:space="0" w:color="auto"/>
        <w:bottom w:val="none" w:sz="0" w:space="0" w:color="auto"/>
        <w:right w:val="none" w:sz="0" w:space="0" w:color="auto"/>
      </w:divBdr>
    </w:div>
    <w:div w:id="1593123081">
      <w:bodyDiv w:val="1"/>
      <w:marLeft w:val="0"/>
      <w:marRight w:val="0"/>
      <w:marTop w:val="0"/>
      <w:marBottom w:val="0"/>
      <w:divBdr>
        <w:top w:val="none" w:sz="0" w:space="0" w:color="auto"/>
        <w:left w:val="none" w:sz="0" w:space="0" w:color="auto"/>
        <w:bottom w:val="none" w:sz="0" w:space="0" w:color="auto"/>
        <w:right w:val="none" w:sz="0" w:space="0" w:color="auto"/>
      </w:divBdr>
    </w:div>
    <w:div w:id="1748914978">
      <w:bodyDiv w:val="1"/>
      <w:marLeft w:val="0"/>
      <w:marRight w:val="0"/>
      <w:marTop w:val="0"/>
      <w:marBottom w:val="0"/>
      <w:divBdr>
        <w:top w:val="none" w:sz="0" w:space="0" w:color="auto"/>
        <w:left w:val="none" w:sz="0" w:space="0" w:color="auto"/>
        <w:bottom w:val="none" w:sz="0" w:space="0" w:color="auto"/>
        <w:right w:val="none" w:sz="0" w:space="0" w:color="auto"/>
      </w:divBdr>
    </w:div>
    <w:div w:id="1926649799">
      <w:bodyDiv w:val="1"/>
      <w:marLeft w:val="0"/>
      <w:marRight w:val="0"/>
      <w:marTop w:val="0"/>
      <w:marBottom w:val="0"/>
      <w:divBdr>
        <w:top w:val="none" w:sz="0" w:space="0" w:color="auto"/>
        <w:left w:val="none" w:sz="0" w:space="0" w:color="auto"/>
        <w:bottom w:val="none" w:sz="0" w:space="0" w:color="auto"/>
        <w:right w:val="none" w:sz="0" w:space="0" w:color="auto"/>
      </w:divBdr>
    </w:div>
    <w:div w:id="1937052775">
      <w:bodyDiv w:val="1"/>
      <w:marLeft w:val="0"/>
      <w:marRight w:val="0"/>
      <w:marTop w:val="0"/>
      <w:marBottom w:val="0"/>
      <w:divBdr>
        <w:top w:val="none" w:sz="0" w:space="0" w:color="auto"/>
        <w:left w:val="none" w:sz="0" w:space="0" w:color="auto"/>
        <w:bottom w:val="none" w:sz="0" w:space="0" w:color="auto"/>
        <w:right w:val="none" w:sz="0" w:space="0" w:color="auto"/>
      </w:divBdr>
    </w:div>
    <w:div w:id="1942490850">
      <w:bodyDiv w:val="1"/>
      <w:marLeft w:val="0"/>
      <w:marRight w:val="0"/>
      <w:marTop w:val="0"/>
      <w:marBottom w:val="0"/>
      <w:divBdr>
        <w:top w:val="none" w:sz="0" w:space="0" w:color="auto"/>
        <w:left w:val="none" w:sz="0" w:space="0" w:color="auto"/>
        <w:bottom w:val="none" w:sz="0" w:space="0" w:color="auto"/>
        <w:right w:val="none" w:sz="0" w:space="0" w:color="auto"/>
      </w:divBdr>
    </w:div>
    <w:div w:id="2005206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pcc.ch/report/ar5/wg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greet.es.anl.gov/"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e.ricardo.com/tlat" TargetMode="External"/><Relationship Id="rId5" Type="http://schemas.openxmlformats.org/officeDocument/2006/relationships/webSettings" Target="webSettings.xml"/><Relationship Id="rId10" Type="http://schemas.openxmlformats.org/officeDocument/2006/relationships/hyperlink" Target="https://www.wired.co.uk/article/lithium-batteries-environment-impact" TargetMode="External"/><Relationship Id="rId4" Type="http://schemas.openxmlformats.org/officeDocument/2006/relationships/settings" Target="settings.xml"/><Relationship Id="rId9" Type="http://schemas.openxmlformats.org/officeDocument/2006/relationships/hyperlink" Target="https://www.iso.org/standard/37456.html"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0190DF-C5AA-421E-B449-C5EAB3E2A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13</Pages>
  <Words>3548</Words>
  <Characters>20225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Alina</cp:lastModifiedBy>
  <cp:revision>19</cp:revision>
  <dcterms:created xsi:type="dcterms:W3CDTF">2024-04-22T10:06:00Z</dcterms:created>
  <dcterms:modified xsi:type="dcterms:W3CDTF">2024-04-22T12:26:00Z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e8e143348c30a9da564763fb2599aeaba32910db0de7cdb8db291e5bba25322e</vt:lpwstr>
  </property>
</Properties>
</file>