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9B3E8" w14:textId="77777777" w:rsidR="00F92316" w:rsidRDefault="00F92316" w:rsidP="00F92316">
      <w:pPr>
        <w:rPr>
          <w:rFonts w:ascii="Arial" w:hAnsi="Arial" w:cs="Arial"/>
          <w:sz w:val="21"/>
          <w:szCs w:val="21"/>
        </w:rPr>
      </w:pPr>
    </w:p>
    <w:p w14:paraId="7A63D4AD" w14:textId="77777777" w:rsidR="00F92316" w:rsidRDefault="00F92316" w:rsidP="00F92316">
      <w:pPr>
        <w:rPr>
          <w:rFonts w:ascii="Arial" w:hAnsi="Arial" w:cs="Arial"/>
          <w:sz w:val="21"/>
          <w:szCs w:val="21"/>
        </w:rPr>
      </w:pPr>
    </w:p>
    <w:p w14:paraId="5D8D7A32" w14:textId="76B78B31" w:rsidR="00F92316" w:rsidRPr="00F92316" w:rsidRDefault="00F92316" w:rsidP="00F92316">
      <w:pPr>
        <w:rPr>
          <w:sz w:val="21"/>
          <w:szCs w:val="21"/>
        </w:rPr>
      </w:pPr>
      <w:r w:rsidRPr="00D1540F">
        <w:rPr>
          <w:rFonts w:ascii="Arial" w:hAnsi="Arial" w:cs="Arial"/>
          <w:sz w:val="21"/>
          <w:szCs w:val="21"/>
        </w:rPr>
        <w:t>“I confirm this essay is my own original work and does not include text created by a generative artificial intelligence tool”.</w:t>
      </w:r>
    </w:p>
    <w:p w14:paraId="65BB991C" w14:textId="77777777" w:rsidR="00F92316" w:rsidRDefault="00F92316" w:rsidP="00EE69E4">
      <w:pPr>
        <w:spacing w:after="0" w:line="300" w:lineRule="atLeast"/>
        <w:jc w:val="both"/>
        <w:rPr>
          <w:rFonts w:ascii="Arial" w:eastAsia="Times New Roman" w:hAnsi="Arial" w:cs="Arial"/>
          <w:b/>
          <w:bCs/>
          <w:sz w:val="21"/>
          <w:szCs w:val="21"/>
          <w:u w:val="single"/>
          <w:lang w:eastAsia="en-GB"/>
        </w:rPr>
      </w:pPr>
    </w:p>
    <w:p w14:paraId="2AB546DD" w14:textId="1795B7DF" w:rsidR="007446C4" w:rsidRPr="00EE69E4" w:rsidRDefault="007446C4" w:rsidP="00EE69E4">
      <w:pPr>
        <w:spacing w:after="0" w:line="300" w:lineRule="atLeast"/>
        <w:jc w:val="both"/>
        <w:rPr>
          <w:rFonts w:ascii="Arial" w:eastAsia="Times New Roman" w:hAnsi="Arial" w:cs="Arial"/>
          <w:b/>
          <w:bCs/>
          <w:sz w:val="21"/>
          <w:szCs w:val="21"/>
          <w:u w:val="single"/>
          <w:lang w:eastAsia="en-GB"/>
        </w:rPr>
      </w:pPr>
      <w:r w:rsidRPr="00EE69E4">
        <w:rPr>
          <w:rFonts w:ascii="Arial" w:eastAsia="Times New Roman" w:hAnsi="Arial" w:cs="Arial"/>
          <w:b/>
          <w:bCs/>
          <w:sz w:val="21"/>
          <w:szCs w:val="21"/>
          <w:u w:val="single"/>
          <w:lang w:eastAsia="en-GB"/>
        </w:rPr>
        <w:t>Introduction</w:t>
      </w:r>
    </w:p>
    <w:p w14:paraId="63B39583" w14:textId="77777777" w:rsidR="007446C4" w:rsidRPr="00EE69E4" w:rsidRDefault="007446C4" w:rsidP="00EE69E4">
      <w:pPr>
        <w:spacing w:after="0" w:line="300" w:lineRule="atLeast"/>
        <w:jc w:val="both"/>
        <w:rPr>
          <w:rFonts w:ascii="Arial" w:eastAsia="Times New Roman" w:hAnsi="Arial" w:cs="Arial"/>
          <w:sz w:val="21"/>
          <w:szCs w:val="21"/>
          <w:lang w:eastAsia="en-GB"/>
        </w:rPr>
      </w:pPr>
    </w:p>
    <w:p w14:paraId="06071F8D" w14:textId="076C6035" w:rsidR="00B456A4" w:rsidRPr="00B456A4" w:rsidRDefault="00B456A4" w:rsidP="00EE69E4">
      <w:pPr>
        <w:spacing w:after="0" w:line="300" w:lineRule="atLeast"/>
        <w:jc w:val="both"/>
        <w:rPr>
          <w:rFonts w:ascii="Arial" w:eastAsia="Times New Roman" w:hAnsi="Arial" w:cs="Arial"/>
          <w:sz w:val="21"/>
          <w:szCs w:val="21"/>
          <w:lang w:eastAsia="en-GB"/>
        </w:rPr>
      </w:pPr>
      <w:r w:rsidRPr="00B456A4">
        <w:rPr>
          <w:rFonts w:ascii="Arial" w:eastAsia="Times New Roman" w:hAnsi="Arial" w:cs="Arial"/>
          <w:sz w:val="21"/>
          <w:szCs w:val="21"/>
          <w:lang w:eastAsia="en-GB"/>
        </w:rPr>
        <w:t>Digital transformation in healthcare extends beyond the implementation of technological systems and requires significant organisational, cultural and professional change. Aneurin Bevan University Health Board's (ABUHB)</w:t>
      </w:r>
      <w:r w:rsidR="008B52C4" w:rsidRPr="00EE69E4">
        <w:rPr>
          <w:rFonts w:ascii="Arial" w:eastAsia="Times New Roman" w:hAnsi="Arial" w:cs="Arial"/>
          <w:sz w:val="21"/>
          <w:szCs w:val="21"/>
          <w:lang w:eastAsia="en-GB"/>
        </w:rPr>
        <w:t xml:space="preserve"> Transformation Through Digital </w:t>
      </w:r>
      <w:r w:rsidRPr="00B456A4">
        <w:rPr>
          <w:rFonts w:ascii="Arial" w:eastAsia="Times New Roman" w:hAnsi="Arial" w:cs="Arial"/>
          <w:sz w:val="21"/>
          <w:szCs w:val="21"/>
          <w:lang w:eastAsia="en-GB"/>
        </w:rPr>
        <w:t>strategy aims to improve patient outcomes, enhance service integration and support person-centred care through technologies such as electronic prescribing and medicines administration (ePMA), improved interoperability and greater use of digital information systems. However, evidence suggests that the success of digital transformation is determined as much by effective collaboration between stakeholders as by the technology itself (Cresswell and Sheikh, 2013).</w:t>
      </w:r>
    </w:p>
    <w:p w14:paraId="0DFA3BB0" w14:textId="36E6D0E6" w:rsidR="00BE3025" w:rsidRPr="00EE69E4" w:rsidRDefault="00BE3025" w:rsidP="00EE69E4">
      <w:pPr>
        <w:jc w:val="both"/>
        <w:rPr>
          <w:rFonts w:ascii="Arial" w:hAnsi="Arial" w:cs="Arial"/>
          <w:sz w:val="21"/>
          <w:szCs w:val="21"/>
        </w:rPr>
      </w:pPr>
    </w:p>
    <w:p w14:paraId="0041D680" w14:textId="5909D2E3" w:rsidR="00B456A4" w:rsidRPr="00B456A4" w:rsidRDefault="008B52C4" w:rsidP="00EE69E4">
      <w:pPr>
        <w:spacing w:after="0" w:line="300" w:lineRule="atLeast"/>
        <w:jc w:val="both"/>
        <w:rPr>
          <w:rFonts w:ascii="Arial" w:eastAsia="Times New Roman" w:hAnsi="Arial" w:cs="Arial"/>
          <w:sz w:val="21"/>
          <w:szCs w:val="21"/>
          <w:lang w:eastAsia="en-GB"/>
        </w:rPr>
      </w:pPr>
      <w:r w:rsidRPr="00EE69E4">
        <w:rPr>
          <w:rFonts w:ascii="Arial" w:eastAsia="Times New Roman" w:hAnsi="Arial" w:cs="Arial"/>
          <w:sz w:val="21"/>
          <w:szCs w:val="21"/>
          <w:lang w:eastAsia="en-GB"/>
        </w:rPr>
        <w:t>In t</w:t>
      </w:r>
      <w:r w:rsidR="00B456A4" w:rsidRPr="00B456A4">
        <w:rPr>
          <w:rFonts w:ascii="Arial" w:eastAsia="Times New Roman" w:hAnsi="Arial" w:cs="Arial"/>
          <w:sz w:val="21"/>
          <w:szCs w:val="21"/>
          <w:lang w:eastAsia="en-GB"/>
        </w:rPr>
        <w:t xml:space="preserve">his essay </w:t>
      </w:r>
      <w:r w:rsidRPr="00EE69E4">
        <w:rPr>
          <w:rFonts w:ascii="Arial" w:eastAsia="Times New Roman" w:hAnsi="Arial" w:cs="Arial"/>
          <w:sz w:val="21"/>
          <w:szCs w:val="21"/>
          <w:lang w:eastAsia="en-GB"/>
        </w:rPr>
        <w:t xml:space="preserve">I will </w:t>
      </w:r>
      <w:r w:rsidR="00B456A4" w:rsidRPr="00B456A4">
        <w:rPr>
          <w:rFonts w:ascii="Arial" w:eastAsia="Times New Roman" w:hAnsi="Arial" w:cs="Arial"/>
          <w:sz w:val="21"/>
          <w:szCs w:val="21"/>
          <w:lang w:eastAsia="en-GB"/>
        </w:rPr>
        <w:t xml:space="preserve">critically </w:t>
      </w:r>
      <w:r w:rsidRPr="00EE69E4">
        <w:rPr>
          <w:rFonts w:ascii="Arial" w:eastAsia="Times New Roman" w:hAnsi="Arial" w:cs="Arial"/>
          <w:sz w:val="21"/>
          <w:szCs w:val="21"/>
          <w:lang w:eastAsia="en-GB"/>
        </w:rPr>
        <w:t>reflect</w:t>
      </w:r>
      <w:r w:rsidR="00B456A4" w:rsidRPr="00B456A4">
        <w:rPr>
          <w:rFonts w:ascii="Arial" w:eastAsia="Times New Roman" w:hAnsi="Arial" w:cs="Arial"/>
          <w:sz w:val="21"/>
          <w:szCs w:val="21"/>
          <w:lang w:eastAsia="en-GB"/>
        </w:rPr>
        <w:t xml:space="preserve"> on the multidisciplinary and interdisciplinary approaches required to implement ABUHB's digital strategy successfully. I</w:t>
      </w:r>
      <w:r w:rsidRPr="00EE69E4">
        <w:rPr>
          <w:rFonts w:ascii="Arial" w:eastAsia="Times New Roman" w:hAnsi="Arial" w:cs="Arial"/>
          <w:sz w:val="21"/>
          <w:szCs w:val="21"/>
          <w:lang w:eastAsia="en-GB"/>
        </w:rPr>
        <w:t xml:space="preserve"> will</w:t>
      </w:r>
      <w:r w:rsidR="00B456A4" w:rsidRPr="00B456A4">
        <w:rPr>
          <w:rFonts w:ascii="Arial" w:eastAsia="Times New Roman" w:hAnsi="Arial" w:cs="Arial"/>
          <w:sz w:val="21"/>
          <w:szCs w:val="21"/>
          <w:lang w:eastAsia="en-GB"/>
        </w:rPr>
        <w:t xml:space="preserve"> identif</w:t>
      </w:r>
      <w:r w:rsidRPr="00EE69E4">
        <w:rPr>
          <w:rFonts w:ascii="Arial" w:eastAsia="Times New Roman" w:hAnsi="Arial" w:cs="Arial"/>
          <w:sz w:val="21"/>
          <w:szCs w:val="21"/>
          <w:lang w:eastAsia="en-GB"/>
        </w:rPr>
        <w:t>y</w:t>
      </w:r>
      <w:r w:rsidR="00B456A4" w:rsidRPr="00B456A4">
        <w:rPr>
          <w:rFonts w:ascii="Arial" w:eastAsia="Times New Roman" w:hAnsi="Arial" w:cs="Arial"/>
          <w:sz w:val="21"/>
          <w:szCs w:val="21"/>
          <w:lang w:eastAsia="en-GB"/>
        </w:rPr>
        <w:t xml:space="preserve"> key stakeholders involved in implementation, evaluates methods of engagement with professional groups and service users, reflects on communication approaches used within healthcare practice, and considers the balance between achieving consensus and avoiding groupthink within complex healthcare organisations.</w:t>
      </w:r>
    </w:p>
    <w:p w14:paraId="4FE8CE49" w14:textId="78CEADC2" w:rsidR="00B456A4" w:rsidRPr="00EE69E4" w:rsidRDefault="00B456A4" w:rsidP="00EE69E4">
      <w:pPr>
        <w:jc w:val="both"/>
        <w:rPr>
          <w:rFonts w:ascii="Arial" w:hAnsi="Arial" w:cs="Arial"/>
          <w:sz w:val="21"/>
          <w:szCs w:val="21"/>
        </w:rPr>
      </w:pPr>
    </w:p>
    <w:p w14:paraId="2BECF3B3" w14:textId="6CF900AA" w:rsidR="00B456A4" w:rsidRPr="00EE69E4" w:rsidRDefault="000C2AC9" w:rsidP="00EE69E4">
      <w:pPr>
        <w:jc w:val="both"/>
        <w:rPr>
          <w:rFonts w:ascii="Arial" w:hAnsi="Arial" w:cs="Arial"/>
          <w:b/>
          <w:bCs/>
          <w:sz w:val="21"/>
          <w:szCs w:val="21"/>
          <w:u w:val="single"/>
        </w:rPr>
      </w:pPr>
      <w:r w:rsidRPr="00EE69E4">
        <w:rPr>
          <w:rFonts w:ascii="Arial" w:hAnsi="Arial" w:cs="Arial"/>
          <w:b/>
          <w:bCs/>
          <w:sz w:val="21"/>
          <w:szCs w:val="21"/>
          <w:u w:val="single"/>
        </w:rPr>
        <w:t>Stakeholder analysis</w:t>
      </w:r>
    </w:p>
    <w:p w14:paraId="515835F4" w14:textId="5B4552F0" w:rsidR="000C2AC9" w:rsidRPr="000C2AC9" w:rsidRDefault="000C2AC9" w:rsidP="00EE69E4">
      <w:pPr>
        <w:spacing w:after="0" w:line="300" w:lineRule="atLeast"/>
        <w:jc w:val="both"/>
        <w:rPr>
          <w:rFonts w:ascii="Arial" w:eastAsia="Times New Roman" w:hAnsi="Arial" w:cs="Arial"/>
          <w:sz w:val="21"/>
          <w:szCs w:val="21"/>
          <w:lang w:eastAsia="en-GB"/>
        </w:rPr>
      </w:pPr>
      <w:r w:rsidRPr="000C2AC9">
        <w:rPr>
          <w:rFonts w:ascii="Arial" w:eastAsia="Times New Roman" w:hAnsi="Arial" w:cs="Arial"/>
          <w:sz w:val="21"/>
          <w:szCs w:val="21"/>
          <w:lang w:eastAsia="en-GB"/>
        </w:rPr>
        <w:t xml:space="preserve">Successful implementation of ABUHB's digital strategy requires collaboration between numerous stakeholder groups. Table </w:t>
      </w:r>
      <w:r w:rsidRPr="00EE69E4">
        <w:rPr>
          <w:rFonts w:ascii="Arial" w:eastAsia="Times New Roman" w:hAnsi="Arial" w:cs="Arial"/>
          <w:sz w:val="21"/>
          <w:szCs w:val="21"/>
          <w:lang w:eastAsia="en-GB"/>
        </w:rPr>
        <w:t>1</w:t>
      </w:r>
      <w:r w:rsidRPr="000C2AC9">
        <w:rPr>
          <w:rFonts w:ascii="Arial" w:eastAsia="Times New Roman" w:hAnsi="Arial" w:cs="Arial"/>
          <w:sz w:val="21"/>
          <w:szCs w:val="21"/>
          <w:lang w:eastAsia="en-GB"/>
        </w:rPr>
        <w:t xml:space="preserve"> identifies the key internal stakeholders involved in digital transformation and their respective roles, levels of influence, and interests in the implementation of digital initiatives such as ePMA.</w:t>
      </w:r>
    </w:p>
    <w:p w14:paraId="279B76AA" w14:textId="0D8BB4F5" w:rsidR="000C2AC9" w:rsidRPr="00EE69E4" w:rsidRDefault="000C2AC9" w:rsidP="00EE69E4">
      <w:pPr>
        <w:jc w:val="both"/>
        <w:rPr>
          <w:rFonts w:ascii="Arial" w:hAnsi="Arial" w:cs="Arial"/>
          <w:sz w:val="21"/>
          <w:szCs w:val="21"/>
        </w:rPr>
      </w:pPr>
    </w:p>
    <w:tbl>
      <w:tblPr>
        <w:tblStyle w:val="TableGrid"/>
        <w:tblW w:w="0" w:type="auto"/>
        <w:tblLook w:val="04A0" w:firstRow="1" w:lastRow="0" w:firstColumn="1" w:lastColumn="0" w:noHBand="0" w:noVBand="1"/>
      </w:tblPr>
      <w:tblGrid>
        <w:gridCol w:w="2254"/>
        <w:gridCol w:w="2254"/>
        <w:gridCol w:w="2254"/>
        <w:gridCol w:w="2254"/>
      </w:tblGrid>
      <w:tr w:rsidR="000C2AC9" w:rsidRPr="00EE69E4" w14:paraId="34FE2F18" w14:textId="77777777" w:rsidTr="000C2AC9">
        <w:tc>
          <w:tcPr>
            <w:tcW w:w="2254" w:type="dxa"/>
          </w:tcPr>
          <w:p w14:paraId="03A3B694" w14:textId="7478E51D" w:rsidR="000C2AC9" w:rsidRPr="00EE69E4" w:rsidRDefault="000C2AC9" w:rsidP="00EE69E4">
            <w:pPr>
              <w:jc w:val="both"/>
              <w:rPr>
                <w:rFonts w:ascii="Arial" w:hAnsi="Arial" w:cs="Arial"/>
                <w:sz w:val="21"/>
                <w:szCs w:val="21"/>
              </w:rPr>
            </w:pPr>
            <w:r w:rsidRPr="00EE69E4">
              <w:rPr>
                <w:rFonts w:ascii="Arial" w:hAnsi="Arial" w:cs="Arial"/>
                <w:sz w:val="21"/>
                <w:szCs w:val="21"/>
              </w:rPr>
              <w:t>Stakeholder</w:t>
            </w:r>
          </w:p>
        </w:tc>
        <w:tc>
          <w:tcPr>
            <w:tcW w:w="2254" w:type="dxa"/>
          </w:tcPr>
          <w:p w14:paraId="3A9FFC05" w14:textId="7F54A47E" w:rsidR="000C2AC9" w:rsidRPr="00EE69E4" w:rsidRDefault="000C2AC9" w:rsidP="00EE69E4">
            <w:pPr>
              <w:jc w:val="both"/>
              <w:rPr>
                <w:rFonts w:ascii="Arial" w:hAnsi="Arial" w:cs="Arial"/>
                <w:sz w:val="21"/>
                <w:szCs w:val="21"/>
              </w:rPr>
            </w:pPr>
            <w:r w:rsidRPr="00EE69E4">
              <w:rPr>
                <w:rFonts w:ascii="Arial" w:hAnsi="Arial" w:cs="Arial"/>
                <w:sz w:val="21"/>
                <w:szCs w:val="21"/>
              </w:rPr>
              <w:t>Role in Digital Transformation</w:t>
            </w:r>
          </w:p>
        </w:tc>
        <w:tc>
          <w:tcPr>
            <w:tcW w:w="2254" w:type="dxa"/>
          </w:tcPr>
          <w:p w14:paraId="269424C2" w14:textId="61AAAC10" w:rsidR="000C2AC9" w:rsidRPr="00EE69E4" w:rsidRDefault="000C2AC9" w:rsidP="00EE69E4">
            <w:pPr>
              <w:jc w:val="both"/>
              <w:rPr>
                <w:rFonts w:ascii="Arial" w:hAnsi="Arial" w:cs="Arial"/>
                <w:sz w:val="21"/>
                <w:szCs w:val="21"/>
              </w:rPr>
            </w:pPr>
            <w:r w:rsidRPr="00EE69E4">
              <w:rPr>
                <w:rFonts w:ascii="Arial" w:hAnsi="Arial" w:cs="Arial"/>
                <w:sz w:val="21"/>
                <w:szCs w:val="21"/>
              </w:rPr>
              <w:t>Level of influence</w:t>
            </w:r>
          </w:p>
        </w:tc>
        <w:tc>
          <w:tcPr>
            <w:tcW w:w="2254" w:type="dxa"/>
          </w:tcPr>
          <w:p w14:paraId="1C52F142" w14:textId="3D162C8D" w:rsidR="000C2AC9" w:rsidRPr="00EE69E4" w:rsidRDefault="000C2AC9" w:rsidP="00EE69E4">
            <w:pPr>
              <w:jc w:val="both"/>
              <w:rPr>
                <w:rFonts w:ascii="Arial" w:hAnsi="Arial" w:cs="Arial"/>
                <w:sz w:val="21"/>
                <w:szCs w:val="21"/>
              </w:rPr>
            </w:pPr>
            <w:r w:rsidRPr="00EE69E4">
              <w:rPr>
                <w:rFonts w:ascii="Arial" w:hAnsi="Arial" w:cs="Arial"/>
                <w:sz w:val="21"/>
                <w:szCs w:val="21"/>
              </w:rPr>
              <w:t>Level or Interest</w:t>
            </w:r>
          </w:p>
        </w:tc>
      </w:tr>
      <w:tr w:rsidR="000C2AC9" w:rsidRPr="00EE69E4" w14:paraId="72FA011B" w14:textId="77777777" w:rsidTr="000C2AC9">
        <w:tc>
          <w:tcPr>
            <w:tcW w:w="2254" w:type="dxa"/>
          </w:tcPr>
          <w:p w14:paraId="16617573" w14:textId="2DF49BB6" w:rsidR="000C2AC9" w:rsidRPr="00EE69E4" w:rsidRDefault="000C2AC9" w:rsidP="00EE69E4">
            <w:pPr>
              <w:jc w:val="both"/>
              <w:rPr>
                <w:rFonts w:ascii="Arial" w:hAnsi="Arial" w:cs="Arial"/>
                <w:sz w:val="21"/>
                <w:szCs w:val="21"/>
              </w:rPr>
            </w:pPr>
            <w:r w:rsidRPr="00EE69E4">
              <w:rPr>
                <w:rFonts w:ascii="Arial" w:hAnsi="Arial" w:cs="Arial"/>
                <w:sz w:val="21"/>
                <w:szCs w:val="21"/>
              </w:rPr>
              <w:t xml:space="preserve">Executive leadership team </w:t>
            </w:r>
          </w:p>
        </w:tc>
        <w:tc>
          <w:tcPr>
            <w:tcW w:w="2254" w:type="dxa"/>
          </w:tcPr>
          <w:p w14:paraId="33E38C6D" w14:textId="456E3EC8" w:rsidR="000C2AC9" w:rsidRPr="00EE69E4" w:rsidRDefault="000C2AC9" w:rsidP="00EE69E4">
            <w:pPr>
              <w:jc w:val="both"/>
              <w:rPr>
                <w:rFonts w:ascii="Arial" w:hAnsi="Arial" w:cs="Arial"/>
                <w:sz w:val="21"/>
                <w:szCs w:val="21"/>
              </w:rPr>
            </w:pPr>
            <w:r w:rsidRPr="00EE69E4">
              <w:rPr>
                <w:rFonts w:ascii="Arial" w:hAnsi="Arial" w:cs="Arial"/>
                <w:sz w:val="21"/>
                <w:szCs w:val="21"/>
              </w:rPr>
              <w:t>Provides strategic direction, funding and organisational support</w:t>
            </w:r>
          </w:p>
        </w:tc>
        <w:tc>
          <w:tcPr>
            <w:tcW w:w="2254" w:type="dxa"/>
          </w:tcPr>
          <w:p w14:paraId="3B8F0EA9" w14:textId="51BA137F" w:rsidR="000C2AC9" w:rsidRPr="00EE69E4" w:rsidRDefault="000C2AC9" w:rsidP="00EE69E4">
            <w:pPr>
              <w:jc w:val="both"/>
              <w:rPr>
                <w:rFonts w:ascii="Arial" w:hAnsi="Arial" w:cs="Arial"/>
                <w:sz w:val="21"/>
                <w:szCs w:val="21"/>
              </w:rPr>
            </w:pPr>
            <w:r w:rsidRPr="00EE69E4">
              <w:rPr>
                <w:rFonts w:ascii="Arial" w:hAnsi="Arial" w:cs="Arial"/>
                <w:sz w:val="21"/>
                <w:szCs w:val="21"/>
              </w:rPr>
              <w:t>High</w:t>
            </w:r>
          </w:p>
        </w:tc>
        <w:tc>
          <w:tcPr>
            <w:tcW w:w="2254" w:type="dxa"/>
          </w:tcPr>
          <w:p w14:paraId="7A3233CC" w14:textId="4C3F3968" w:rsidR="000C2AC9" w:rsidRPr="00EE69E4" w:rsidRDefault="000C2AC9" w:rsidP="00EE69E4">
            <w:pPr>
              <w:jc w:val="both"/>
              <w:rPr>
                <w:rFonts w:ascii="Arial" w:hAnsi="Arial" w:cs="Arial"/>
                <w:sz w:val="21"/>
                <w:szCs w:val="21"/>
              </w:rPr>
            </w:pPr>
            <w:r w:rsidRPr="00EE69E4">
              <w:rPr>
                <w:rFonts w:ascii="Arial" w:hAnsi="Arial" w:cs="Arial"/>
                <w:sz w:val="21"/>
                <w:szCs w:val="21"/>
              </w:rPr>
              <w:t>High</w:t>
            </w:r>
          </w:p>
        </w:tc>
      </w:tr>
      <w:tr w:rsidR="000C2AC9" w:rsidRPr="00EE69E4" w14:paraId="16687388" w14:textId="77777777" w:rsidTr="000C2AC9">
        <w:tc>
          <w:tcPr>
            <w:tcW w:w="2254" w:type="dxa"/>
          </w:tcPr>
          <w:p w14:paraId="7C096D81" w14:textId="32A777F7" w:rsidR="000C2AC9" w:rsidRPr="00EE69E4" w:rsidRDefault="000C2AC9" w:rsidP="00EE69E4">
            <w:pPr>
              <w:jc w:val="both"/>
              <w:rPr>
                <w:rFonts w:ascii="Arial" w:hAnsi="Arial" w:cs="Arial"/>
                <w:sz w:val="21"/>
                <w:szCs w:val="21"/>
              </w:rPr>
            </w:pPr>
            <w:r w:rsidRPr="00EE69E4">
              <w:rPr>
                <w:rFonts w:ascii="Arial" w:hAnsi="Arial" w:cs="Arial"/>
                <w:sz w:val="21"/>
                <w:szCs w:val="21"/>
              </w:rPr>
              <w:t>Clinical Directors and Service Managers</w:t>
            </w:r>
          </w:p>
        </w:tc>
        <w:tc>
          <w:tcPr>
            <w:tcW w:w="2254" w:type="dxa"/>
          </w:tcPr>
          <w:p w14:paraId="10BAE215" w14:textId="763A50C2" w:rsidR="000C2AC9" w:rsidRPr="00EE69E4" w:rsidRDefault="000C2AC9" w:rsidP="00EE69E4">
            <w:pPr>
              <w:jc w:val="both"/>
              <w:rPr>
                <w:rFonts w:ascii="Arial" w:hAnsi="Arial" w:cs="Arial"/>
                <w:sz w:val="21"/>
                <w:szCs w:val="21"/>
              </w:rPr>
            </w:pPr>
            <w:r w:rsidRPr="00EE69E4">
              <w:rPr>
                <w:rFonts w:ascii="Arial" w:hAnsi="Arial" w:cs="Arial"/>
                <w:sz w:val="21"/>
                <w:szCs w:val="21"/>
              </w:rPr>
              <w:t xml:space="preserve">Lead service-level </w:t>
            </w:r>
            <w:r w:rsidR="008B52C4" w:rsidRPr="00EE69E4">
              <w:rPr>
                <w:rFonts w:ascii="Arial" w:hAnsi="Arial" w:cs="Arial"/>
                <w:sz w:val="21"/>
                <w:szCs w:val="21"/>
              </w:rPr>
              <w:t>implementation</w:t>
            </w:r>
            <w:r w:rsidRPr="00EE69E4">
              <w:rPr>
                <w:rFonts w:ascii="Arial" w:hAnsi="Arial" w:cs="Arial"/>
                <w:sz w:val="21"/>
                <w:szCs w:val="21"/>
              </w:rPr>
              <w:t xml:space="preserve"> and operational change.</w:t>
            </w:r>
          </w:p>
        </w:tc>
        <w:tc>
          <w:tcPr>
            <w:tcW w:w="2254" w:type="dxa"/>
          </w:tcPr>
          <w:p w14:paraId="6C7FE89D" w14:textId="582137D3" w:rsidR="000C2AC9" w:rsidRPr="00EE69E4" w:rsidRDefault="000C2AC9" w:rsidP="00EE69E4">
            <w:pPr>
              <w:jc w:val="both"/>
              <w:rPr>
                <w:rFonts w:ascii="Arial" w:hAnsi="Arial" w:cs="Arial"/>
                <w:sz w:val="21"/>
                <w:szCs w:val="21"/>
              </w:rPr>
            </w:pPr>
            <w:r w:rsidRPr="00EE69E4">
              <w:rPr>
                <w:rFonts w:ascii="Arial" w:hAnsi="Arial" w:cs="Arial"/>
                <w:sz w:val="21"/>
                <w:szCs w:val="21"/>
              </w:rPr>
              <w:t>High</w:t>
            </w:r>
          </w:p>
        </w:tc>
        <w:tc>
          <w:tcPr>
            <w:tcW w:w="2254" w:type="dxa"/>
          </w:tcPr>
          <w:p w14:paraId="020BB697" w14:textId="33B3BFB7" w:rsidR="000C2AC9" w:rsidRPr="00EE69E4" w:rsidRDefault="000C2AC9" w:rsidP="00EE69E4">
            <w:pPr>
              <w:jc w:val="both"/>
              <w:rPr>
                <w:rFonts w:ascii="Arial" w:hAnsi="Arial" w:cs="Arial"/>
                <w:sz w:val="21"/>
                <w:szCs w:val="21"/>
              </w:rPr>
            </w:pPr>
            <w:r w:rsidRPr="00EE69E4">
              <w:rPr>
                <w:rFonts w:ascii="Arial" w:hAnsi="Arial" w:cs="Arial"/>
                <w:sz w:val="21"/>
                <w:szCs w:val="21"/>
              </w:rPr>
              <w:t>High</w:t>
            </w:r>
          </w:p>
        </w:tc>
      </w:tr>
      <w:tr w:rsidR="000C2AC9" w:rsidRPr="00EE69E4" w14:paraId="15B29674" w14:textId="77777777" w:rsidTr="000C2AC9">
        <w:tc>
          <w:tcPr>
            <w:tcW w:w="2254" w:type="dxa"/>
          </w:tcPr>
          <w:p w14:paraId="4024F67C" w14:textId="0B749362" w:rsidR="000C2AC9" w:rsidRPr="00EE69E4" w:rsidRDefault="000C2AC9" w:rsidP="00EE69E4">
            <w:pPr>
              <w:jc w:val="both"/>
              <w:rPr>
                <w:rFonts w:ascii="Arial" w:hAnsi="Arial" w:cs="Arial"/>
                <w:sz w:val="21"/>
                <w:szCs w:val="21"/>
              </w:rPr>
            </w:pPr>
            <w:r w:rsidRPr="00EE69E4">
              <w:rPr>
                <w:rFonts w:ascii="Arial" w:hAnsi="Arial" w:cs="Arial"/>
                <w:sz w:val="21"/>
                <w:szCs w:val="21"/>
              </w:rPr>
              <w:t>Medical Staff</w:t>
            </w:r>
          </w:p>
        </w:tc>
        <w:tc>
          <w:tcPr>
            <w:tcW w:w="2254" w:type="dxa"/>
          </w:tcPr>
          <w:p w14:paraId="6510C7DD" w14:textId="09637E3D" w:rsidR="000C2AC9" w:rsidRPr="00EE69E4" w:rsidRDefault="000C2AC9" w:rsidP="00EE69E4">
            <w:pPr>
              <w:jc w:val="both"/>
              <w:rPr>
                <w:rFonts w:ascii="Arial" w:hAnsi="Arial" w:cs="Arial"/>
                <w:sz w:val="21"/>
                <w:szCs w:val="21"/>
              </w:rPr>
            </w:pPr>
            <w:r w:rsidRPr="00EE69E4">
              <w:rPr>
                <w:rFonts w:ascii="Arial" w:hAnsi="Arial" w:cs="Arial"/>
                <w:sz w:val="21"/>
                <w:szCs w:val="21"/>
              </w:rPr>
              <w:t>Use digital systems for clinical decision-making and prescribing</w:t>
            </w:r>
          </w:p>
        </w:tc>
        <w:tc>
          <w:tcPr>
            <w:tcW w:w="2254" w:type="dxa"/>
          </w:tcPr>
          <w:p w14:paraId="4FD05ACD" w14:textId="0A162148" w:rsidR="000C2AC9" w:rsidRPr="00EE69E4" w:rsidRDefault="000C2AC9" w:rsidP="00EE69E4">
            <w:pPr>
              <w:jc w:val="both"/>
              <w:rPr>
                <w:rFonts w:ascii="Arial" w:hAnsi="Arial" w:cs="Arial"/>
                <w:sz w:val="21"/>
                <w:szCs w:val="21"/>
              </w:rPr>
            </w:pPr>
            <w:r w:rsidRPr="00EE69E4">
              <w:rPr>
                <w:rFonts w:ascii="Arial" w:hAnsi="Arial" w:cs="Arial"/>
                <w:sz w:val="21"/>
                <w:szCs w:val="21"/>
              </w:rPr>
              <w:t>Medium</w:t>
            </w:r>
          </w:p>
        </w:tc>
        <w:tc>
          <w:tcPr>
            <w:tcW w:w="2254" w:type="dxa"/>
          </w:tcPr>
          <w:p w14:paraId="07384B6F" w14:textId="57E3BCE0" w:rsidR="000C2AC9" w:rsidRPr="00EE69E4" w:rsidRDefault="000C2AC9" w:rsidP="00EE69E4">
            <w:pPr>
              <w:jc w:val="both"/>
              <w:rPr>
                <w:rFonts w:ascii="Arial" w:hAnsi="Arial" w:cs="Arial"/>
                <w:sz w:val="21"/>
                <w:szCs w:val="21"/>
              </w:rPr>
            </w:pPr>
            <w:r w:rsidRPr="00EE69E4">
              <w:rPr>
                <w:rFonts w:ascii="Arial" w:hAnsi="Arial" w:cs="Arial"/>
                <w:sz w:val="21"/>
                <w:szCs w:val="21"/>
              </w:rPr>
              <w:t>High</w:t>
            </w:r>
          </w:p>
        </w:tc>
      </w:tr>
      <w:tr w:rsidR="000C2AC9" w:rsidRPr="00EE69E4" w14:paraId="705C6C9F" w14:textId="77777777" w:rsidTr="000C2AC9">
        <w:tc>
          <w:tcPr>
            <w:tcW w:w="2254" w:type="dxa"/>
          </w:tcPr>
          <w:p w14:paraId="7F428B4C" w14:textId="7E1305A0" w:rsidR="000C2AC9" w:rsidRPr="00EE69E4" w:rsidRDefault="000C2AC9" w:rsidP="00EE69E4">
            <w:pPr>
              <w:jc w:val="both"/>
              <w:rPr>
                <w:rFonts w:ascii="Arial" w:hAnsi="Arial" w:cs="Arial"/>
                <w:sz w:val="21"/>
                <w:szCs w:val="21"/>
              </w:rPr>
            </w:pPr>
            <w:r w:rsidRPr="00EE69E4">
              <w:rPr>
                <w:rFonts w:ascii="Arial" w:hAnsi="Arial" w:cs="Arial"/>
                <w:sz w:val="21"/>
                <w:szCs w:val="21"/>
              </w:rPr>
              <w:t>Nurses</w:t>
            </w:r>
          </w:p>
        </w:tc>
        <w:tc>
          <w:tcPr>
            <w:tcW w:w="2254" w:type="dxa"/>
          </w:tcPr>
          <w:p w14:paraId="36E6D46D" w14:textId="6D9ABA6C" w:rsidR="000C2AC9" w:rsidRPr="00EE69E4" w:rsidRDefault="000C2AC9" w:rsidP="00EE69E4">
            <w:pPr>
              <w:jc w:val="both"/>
              <w:rPr>
                <w:rFonts w:ascii="Arial" w:hAnsi="Arial" w:cs="Arial"/>
                <w:sz w:val="21"/>
                <w:szCs w:val="21"/>
              </w:rPr>
            </w:pPr>
            <w:r w:rsidRPr="00EE69E4">
              <w:rPr>
                <w:rFonts w:ascii="Arial" w:hAnsi="Arial" w:cs="Arial"/>
                <w:sz w:val="21"/>
                <w:szCs w:val="21"/>
              </w:rPr>
              <w:t>Support medicine administration and patient care processes</w:t>
            </w:r>
          </w:p>
        </w:tc>
        <w:tc>
          <w:tcPr>
            <w:tcW w:w="2254" w:type="dxa"/>
          </w:tcPr>
          <w:p w14:paraId="50703024" w14:textId="7E87AA5C" w:rsidR="000C2AC9" w:rsidRPr="00EE69E4" w:rsidRDefault="000C2AC9" w:rsidP="00EE69E4">
            <w:pPr>
              <w:jc w:val="both"/>
              <w:rPr>
                <w:rFonts w:ascii="Arial" w:hAnsi="Arial" w:cs="Arial"/>
                <w:sz w:val="21"/>
                <w:szCs w:val="21"/>
              </w:rPr>
            </w:pPr>
            <w:r w:rsidRPr="00EE69E4">
              <w:rPr>
                <w:rFonts w:ascii="Arial" w:hAnsi="Arial" w:cs="Arial"/>
                <w:sz w:val="21"/>
                <w:szCs w:val="21"/>
              </w:rPr>
              <w:t>Medium</w:t>
            </w:r>
          </w:p>
        </w:tc>
        <w:tc>
          <w:tcPr>
            <w:tcW w:w="2254" w:type="dxa"/>
          </w:tcPr>
          <w:p w14:paraId="7AF3A70C" w14:textId="16F9F52E" w:rsidR="000C2AC9" w:rsidRPr="00EE69E4" w:rsidRDefault="000C2AC9" w:rsidP="00EE69E4">
            <w:pPr>
              <w:jc w:val="both"/>
              <w:rPr>
                <w:rFonts w:ascii="Arial" w:hAnsi="Arial" w:cs="Arial"/>
                <w:sz w:val="21"/>
                <w:szCs w:val="21"/>
              </w:rPr>
            </w:pPr>
            <w:r w:rsidRPr="00EE69E4">
              <w:rPr>
                <w:rFonts w:ascii="Arial" w:hAnsi="Arial" w:cs="Arial"/>
                <w:sz w:val="21"/>
                <w:szCs w:val="21"/>
              </w:rPr>
              <w:t>High</w:t>
            </w:r>
          </w:p>
        </w:tc>
      </w:tr>
      <w:tr w:rsidR="000C2AC9" w:rsidRPr="00EE69E4" w14:paraId="5E3F648C" w14:textId="77777777" w:rsidTr="000C2AC9">
        <w:tc>
          <w:tcPr>
            <w:tcW w:w="2254" w:type="dxa"/>
          </w:tcPr>
          <w:p w14:paraId="24BFF3F1" w14:textId="6A558A56" w:rsidR="000C2AC9" w:rsidRPr="00EE69E4" w:rsidRDefault="000C2AC9" w:rsidP="00EE69E4">
            <w:pPr>
              <w:jc w:val="both"/>
              <w:rPr>
                <w:rFonts w:ascii="Arial" w:hAnsi="Arial" w:cs="Arial"/>
                <w:sz w:val="21"/>
                <w:szCs w:val="21"/>
              </w:rPr>
            </w:pPr>
            <w:r w:rsidRPr="00EE69E4">
              <w:rPr>
                <w:rFonts w:ascii="Arial" w:hAnsi="Arial" w:cs="Arial"/>
                <w:sz w:val="21"/>
                <w:szCs w:val="21"/>
              </w:rPr>
              <w:lastRenderedPageBreak/>
              <w:t>Pharmacists</w:t>
            </w:r>
          </w:p>
        </w:tc>
        <w:tc>
          <w:tcPr>
            <w:tcW w:w="2254" w:type="dxa"/>
          </w:tcPr>
          <w:p w14:paraId="72FE38D8" w14:textId="45090C2B" w:rsidR="000C2AC9" w:rsidRPr="00EE69E4" w:rsidRDefault="000C2AC9" w:rsidP="00EE69E4">
            <w:pPr>
              <w:jc w:val="both"/>
              <w:rPr>
                <w:rFonts w:ascii="Arial" w:hAnsi="Arial" w:cs="Arial"/>
                <w:sz w:val="21"/>
                <w:szCs w:val="21"/>
              </w:rPr>
            </w:pPr>
            <w:r w:rsidRPr="00EE69E4">
              <w:rPr>
                <w:rFonts w:ascii="Arial" w:hAnsi="Arial" w:cs="Arial"/>
                <w:sz w:val="21"/>
                <w:szCs w:val="21"/>
              </w:rPr>
              <w:t xml:space="preserve">Ensure medication safety and </w:t>
            </w:r>
            <w:r w:rsidR="008B52C4" w:rsidRPr="00EE69E4">
              <w:rPr>
                <w:rFonts w:ascii="Arial" w:hAnsi="Arial" w:cs="Arial"/>
                <w:sz w:val="21"/>
                <w:szCs w:val="21"/>
              </w:rPr>
              <w:t>optimise</w:t>
            </w:r>
            <w:r w:rsidRPr="00EE69E4">
              <w:rPr>
                <w:rFonts w:ascii="Arial" w:hAnsi="Arial" w:cs="Arial"/>
                <w:sz w:val="21"/>
                <w:szCs w:val="21"/>
              </w:rPr>
              <w:t xml:space="preserve"> ePMA workflows</w:t>
            </w:r>
          </w:p>
        </w:tc>
        <w:tc>
          <w:tcPr>
            <w:tcW w:w="2254" w:type="dxa"/>
          </w:tcPr>
          <w:p w14:paraId="1DD79D93" w14:textId="7B0D723C" w:rsidR="000C2AC9" w:rsidRPr="00EE69E4" w:rsidRDefault="000C2AC9" w:rsidP="00EE69E4">
            <w:pPr>
              <w:jc w:val="both"/>
              <w:rPr>
                <w:rFonts w:ascii="Arial" w:hAnsi="Arial" w:cs="Arial"/>
                <w:sz w:val="21"/>
                <w:szCs w:val="21"/>
              </w:rPr>
            </w:pPr>
            <w:r w:rsidRPr="00EE69E4">
              <w:rPr>
                <w:rFonts w:ascii="Arial" w:hAnsi="Arial" w:cs="Arial"/>
                <w:sz w:val="21"/>
                <w:szCs w:val="21"/>
              </w:rPr>
              <w:t>High</w:t>
            </w:r>
          </w:p>
        </w:tc>
        <w:tc>
          <w:tcPr>
            <w:tcW w:w="2254" w:type="dxa"/>
          </w:tcPr>
          <w:p w14:paraId="73C4C17A" w14:textId="30229D01" w:rsidR="000C2AC9" w:rsidRPr="00EE69E4" w:rsidRDefault="000C2AC9" w:rsidP="00EE69E4">
            <w:pPr>
              <w:jc w:val="both"/>
              <w:rPr>
                <w:rFonts w:ascii="Arial" w:hAnsi="Arial" w:cs="Arial"/>
                <w:sz w:val="21"/>
                <w:szCs w:val="21"/>
              </w:rPr>
            </w:pPr>
            <w:r w:rsidRPr="00EE69E4">
              <w:rPr>
                <w:rFonts w:ascii="Arial" w:hAnsi="Arial" w:cs="Arial"/>
                <w:sz w:val="21"/>
                <w:szCs w:val="21"/>
              </w:rPr>
              <w:t>High</w:t>
            </w:r>
          </w:p>
        </w:tc>
      </w:tr>
      <w:tr w:rsidR="000C2AC9" w:rsidRPr="00EE69E4" w14:paraId="13BFA304" w14:textId="77777777" w:rsidTr="000C2AC9">
        <w:tc>
          <w:tcPr>
            <w:tcW w:w="2254" w:type="dxa"/>
          </w:tcPr>
          <w:p w14:paraId="4101392F" w14:textId="7F4BA6B0" w:rsidR="000C2AC9" w:rsidRPr="00EE69E4" w:rsidRDefault="000C2AC9" w:rsidP="00EE69E4">
            <w:pPr>
              <w:jc w:val="both"/>
              <w:rPr>
                <w:rFonts w:ascii="Arial" w:hAnsi="Arial" w:cs="Arial"/>
                <w:sz w:val="21"/>
                <w:szCs w:val="21"/>
              </w:rPr>
            </w:pPr>
            <w:r w:rsidRPr="00EE69E4">
              <w:rPr>
                <w:rFonts w:ascii="Arial" w:hAnsi="Arial" w:cs="Arial"/>
                <w:sz w:val="21"/>
                <w:szCs w:val="21"/>
              </w:rPr>
              <w:t xml:space="preserve">Allied Health </w:t>
            </w:r>
            <w:r w:rsidR="008B52C4" w:rsidRPr="00EE69E4">
              <w:rPr>
                <w:rFonts w:ascii="Arial" w:hAnsi="Arial" w:cs="Arial"/>
                <w:sz w:val="21"/>
                <w:szCs w:val="21"/>
              </w:rPr>
              <w:t>Professionals</w:t>
            </w:r>
          </w:p>
        </w:tc>
        <w:tc>
          <w:tcPr>
            <w:tcW w:w="2254" w:type="dxa"/>
          </w:tcPr>
          <w:p w14:paraId="66FB903F" w14:textId="2CB19473" w:rsidR="000C2AC9" w:rsidRPr="00EE69E4" w:rsidRDefault="000C2AC9" w:rsidP="00EE69E4">
            <w:pPr>
              <w:jc w:val="both"/>
              <w:rPr>
                <w:rFonts w:ascii="Arial" w:hAnsi="Arial" w:cs="Arial"/>
                <w:sz w:val="21"/>
                <w:szCs w:val="21"/>
              </w:rPr>
            </w:pPr>
            <w:r w:rsidRPr="00EE69E4">
              <w:rPr>
                <w:rFonts w:ascii="Arial" w:hAnsi="Arial" w:cs="Arial"/>
                <w:sz w:val="21"/>
                <w:szCs w:val="21"/>
              </w:rPr>
              <w:t>Contribute to multidisciplinary care documentation and communication</w:t>
            </w:r>
          </w:p>
        </w:tc>
        <w:tc>
          <w:tcPr>
            <w:tcW w:w="2254" w:type="dxa"/>
          </w:tcPr>
          <w:p w14:paraId="5BD9A85C" w14:textId="5068FACA" w:rsidR="000C2AC9" w:rsidRPr="00EE69E4" w:rsidRDefault="000C2AC9" w:rsidP="00EE69E4">
            <w:pPr>
              <w:jc w:val="both"/>
              <w:rPr>
                <w:rFonts w:ascii="Arial" w:hAnsi="Arial" w:cs="Arial"/>
                <w:sz w:val="21"/>
                <w:szCs w:val="21"/>
              </w:rPr>
            </w:pPr>
            <w:r w:rsidRPr="00EE69E4">
              <w:rPr>
                <w:rFonts w:ascii="Arial" w:hAnsi="Arial" w:cs="Arial"/>
                <w:sz w:val="21"/>
                <w:szCs w:val="21"/>
              </w:rPr>
              <w:t>Medium</w:t>
            </w:r>
          </w:p>
        </w:tc>
        <w:tc>
          <w:tcPr>
            <w:tcW w:w="2254" w:type="dxa"/>
          </w:tcPr>
          <w:p w14:paraId="481CCBB4" w14:textId="7838680F" w:rsidR="000C2AC9" w:rsidRPr="00EE69E4" w:rsidRDefault="000C2AC9" w:rsidP="00EE69E4">
            <w:pPr>
              <w:jc w:val="both"/>
              <w:rPr>
                <w:rFonts w:ascii="Arial" w:hAnsi="Arial" w:cs="Arial"/>
                <w:sz w:val="21"/>
                <w:szCs w:val="21"/>
              </w:rPr>
            </w:pPr>
            <w:r w:rsidRPr="00EE69E4">
              <w:rPr>
                <w:rFonts w:ascii="Arial" w:hAnsi="Arial" w:cs="Arial"/>
                <w:sz w:val="21"/>
                <w:szCs w:val="21"/>
              </w:rPr>
              <w:t>Medium</w:t>
            </w:r>
          </w:p>
        </w:tc>
      </w:tr>
      <w:tr w:rsidR="000C2AC9" w:rsidRPr="00EE69E4" w14:paraId="0DAE34AC" w14:textId="77777777" w:rsidTr="000C2AC9">
        <w:tc>
          <w:tcPr>
            <w:tcW w:w="2254" w:type="dxa"/>
          </w:tcPr>
          <w:p w14:paraId="39DD9623" w14:textId="60E6171B" w:rsidR="000C2AC9" w:rsidRPr="00EE69E4" w:rsidRDefault="000C2AC9" w:rsidP="00EE69E4">
            <w:pPr>
              <w:jc w:val="both"/>
              <w:rPr>
                <w:rFonts w:ascii="Arial" w:hAnsi="Arial" w:cs="Arial"/>
                <w:sz w:val="21"/>
                <w:szCs w:val="21"/>
              </w:rPr>
            </w:pPr>
            <w:r w:rsidRPr="00EE69E4">
              <w:rPr>
                <w:rFonts w:ascii="Arial" w:hAnsi="Arial" w:cs="Arial"/>
                <w:sz w:val="21"/>
                <w:szCs w:val="21"/>
              </w:rPr>
              <w:t>Healthcare scientists</w:t>
            </w:r>
          </w:p>
        </w:tc>
        <w:tc>
          <w:tcPr>
            <w:tcW w:w="2254" w:type="dxa"/>
          </w:tcPr>
          <w:p w14:paraId="04D593B6" w14:textId="110A696E" w:rsidR="000C2AC9" w:rsidRPr="00EE69E4" w:rsidRDefault="000C2AC9" w:rsidP="00EE69E4">
            <w:pPr>
              <w:jc w:val="both"/>
              <w:rPr>
                <w:rFonts w:ascii="Arial" w:hAnsi="Arial" w:cs="Arial"/>
                <w:sz w:val="21"/>
                <w:szCs w:val="21"/>
              </w:rPr>
            </w:pPr>
            <w:r w:rsidRPr="00EE69E4">
              <w:rPr>
                <w:rFonts w:ascii="Arial" w:hAnsi="Arial" w:cs="Arial"/>
                <w:sz w:val="21"/>
                <w:szCs w:val="21"/>
              </w:rPr>
              <w:t xml:space="preserve">Support </w:t>
            </w:r>
            <w:r w:rsidR="008B52C4" w:rsidRPr="00EE69E4">
              <w:rPr>
                <w:rFonts w:ascii="Arial" w:hAnsi="Arial" w:cs="Arial"/>
                <w:sz w:val="21"/>
                <w:szCs w:val="21"/>
              </w:rPr>
              <w:t>diagnostic</w:t>
            </w:r>
            <w:r w:rsidRPr="00EE69E4">
              <w:rPr>
                <w:rFonts w:ascii="Arial" w:hAnsi="Arial" w:cs="Arial"/>
                <w:sz w:val="21"/>
                <w:szCs w:val="21"/>
              </w:rPr>
              <w:t xml:space="preserve"> and clinical information systems</w:t>
            </w:r>
          </w:p>
        </w:tc>
        <w:tc>
          <w:tcPr>
            <w:tcW w:w="2254" w:type="dxa"/>
          </w:tcPr>
          <w:p w14:paraId="10905C2D" w14:textId="0ECC4A1D" w:rsidR="000C2AC9" w:rsidRPr="00EE69E4" w:rsidRDefault="000C2AC9" w:rsidP="00EE69E4">
            <w:pPr>
              <w:jc w:val="both"/>
              <w:rPr>
                <w:rFonts w:ascii="Arial" w:hAnsi="Arial" w:cs="Arial"/>
                <w:sz w:val="21"/>
                <w:szCs w:val="21"/>
              </w:rPr>
            </w:pPr>
            <w:r w:rsidRPr="00EE69E4">
              <w:rPr>
                <w:rFonts w:ascii="Arial" w:hAnsi="Arial" w:cs="Arial"/>
                <w:sz w:val="21"/>
                <w:szCs w:val="21"/>
              </w:rPr>
              <w:t>Medium</w:t>
            </w:r>
          </w:p>
        </w:tc>
        <w:tc>
          <w:tcPr>
            <w:tcW w:w="2254" w:type="dxa"/>
          </w:tcPr>
          <w:p w14:paraId="0D2CE086" w14:textId="1DF23B55" w:rsidR="000C2AC9" w:rsidRPr="00EE69E4" w:rsidRDefault="000C2AC9" w:rsidP="00EE69E4">
            <w:pPr>
              <w:jc w:val="both"/>
              <w:rPr>
                <w:rFonts w:ascii="Arial" w:hAnsi="Arial" w:cs="Arial"/>
                <w:sz w:val="21"/>
                <w:szCs w:val="21"/>
              </w:rPr>
            </w:pPr>
            <w:r w:rsidRPr="00EE69E4">
              <w:rPr>
                <w:rFonts w:ascii="Arial" w:hAnsi="Arial" w:cs="Arial"/>
                <w:sz w:val="21"/>
                <w:szCs w:val="21"/>
              </w:rPr>
              <w:t>Medium</w:t>
            </w:r>
          </w:p>
        </w:tc>
      </w:tr>
      <w:tr w:rsidR="000C2AC9" w:rsidRPr="00EE69E4" w14:paraId="6B6CE5DA" w14:textId="77777777" w:rsidTr="000C2AC9">
        <w:tc>
          <w:tcPr>
            <w:tcW w:w="2254" w:type="dxa"/>
          </w:tcPr>
          <w:p w14:paraId="0AE6406A" w14:textId="1C16A780" w:rsidR="000C2AC9" w:rsidRPr="00EE69E4" w:rsidRDefault="000C2AC9" w:rsidP="00EE69E4">
            <w:pPr>
              <w:jc w:val="both"/>
              <w:rPr>
                <w:rFonts w:ascii="Arial" w:hAnsi="Arial" w:cs="Arial"/>
                <w:sz w:val="21"/>
                <w:szCs w:val="21"/>
              </w:rPr>
            </w:pPr>
            <w:r w:rsidRPr="00EE69E4">
              <w:rPr>
                <w:rFonts w:ascii="Arial" w:hAnsi="Arial" w:cs="Arial"/>
                <w:sz w:val="21"/>
                <w:szCs w:val="21"/>
              </w:rPr>
              <w:t>Administrative staff</w:t>
            </w:r>
          </w:p>
        </w:tc>
        <w:tc>
          <w:tcPr>
            <w:tcW w:w="2254" w:type="dxa"/>
          </w:tcPr>
          <w:p w14:paraId="3E41CEB7" w14:textId="4A85AAD1" w:rsidR="000C2AC9" w:rsidRPr="00EE69E4" w:rsidRDefault="000C2AC9" w:rsidP="00EE69E4">
            <w:pPr>
              <w:jc w:val="both"/>
              <w:rPr>
                <w:rFonts w:ascii="Arial" w:hAnsi="Arial" w:cs="Arial"/>
                <w:sz w:val="21"/>
                <w:szCs w:val="21"/>
              </w:rPr>
            </w:pPr>
            <w:r w:rsidRPr="00EE69E4">
              <w:rPr>
                <w:rFonts w:ascii="Arial" w:hAnsi="Arial" w:cs="Arial"/>
                <w:sz w:val="21"/>
                <w:szCs w:val="21"/>
              </w:rPr>
              <w:t>Support scheduling, documentation and data management</w:t>
            </w:r>
          </w:p>
        </w:tc>
        <w:tc>
          <w:tcPr>
            <w:tcW w:w="2254" w:type="dxa"/>
          </w:tcPr>
          <w:p w14:paraId="7DA422C3" w14:textId="065A44CA" w:rsidR="000C2AC9" w:rsidRPr="00EE69E4" w:rsidRDefault="000C2AC9" w:rsidP="00EE69E4">
            <w:pPr>
              <w:jc w:val="both"/>
              <w:rPr>
                <w:rFonts w:ascii="Arial" w:hAnsi="Arial" w:cs="Arial"/>
                <w:sz w:val="21"/>
                <w:szCs w:val="21"/>
              </w:rPr>
            </w:pPr>
            <w:r w:rsidRPr="00EE69E4">
              <w:rPr>
                <w:rFonts w:ascii="Arial" w:hAnsi="Arial" w:cs="Arial"/>
                <w:sz w:val="21"/>
                <w:szCs w:val="21"/>
              </w:rPr>
              <w:t>Low</w:t>
            </w:r>
          </w:p>
        </w:tc>
        <w:tc>
          <w:tcPr>
            <w:tcW w:w="2254" w:type="dxa"/>
          </w:tcPr>
          <w:p w14:paraId="1CD67C57" w14:textId="54D217F4" w:rsidR="000C2AC9" w:rsidRPr="00EE69E4" w:rsidRDefault="000C2AC9" w:rsidP="00EE69E4">
            <w:pPr>
              <w:jc w:val="both"/>
              <w:rPr>
                <w:rFonts w:ascii="Arial" w:hAnsi="Arial" w:cs="Arial"/>
                <w:sz w:val="21"/>
                <w:szCs w:val="21"/>
              </w:rPr>
            </w:pPr>
            <w:r w:rsidRPr="00EE69E4">
              <w:rPr>
                <w:rFonts w:ascii="Arial" w:hAnsi="Arial" w:cs="Arial"/>
                <w:sz w:val="21"/>
                <w:szCs w:val="21"/>
              </w:rPr>
              <w:t>Medium</w:t>
            </w:r>
          </w:p>
        </w:tc>
      </w:tr>
      <w:tr w:rsidR="000C2AC9" w:rsidRPr="00EE69E4" w14:paraId="08DBF3EB" w14:textId="77777777" w:rsidTr="000C2AC9">
        <w:tc>
          <w:tcPr>
            <w:tcW w:w="2254" w:type="dxa"/>
          </w:tcPr>
          <w:p w14:paraId="673B4E0E" w14:textId="400874F9" w:rsidR="000C2AC9" w:rsidRPr="00EE69E4" w:rsidRDefault="000C2AC9" w:rsidP="00EE69E4">
            <w:pPr>
              <w:jc w:val="both"/>
              <w:rPr>
                <w:rFonts w:ascii="Arial" w:hAnsi="Arial" w:cs="Arial"/>
                <w:sz w:val="21"/>
                <w:szCs w:val="21"/>
              </w:rPr>
            </w:pPr>
            <w:r w:rsidRPr="00EE69E4">
              <w:rPr>
                <w:rFonts w:ascii="Arial" w:hAnsi="Arial" w:cs="Arial"/>
                <w:sz w:val="21"/>
                <w:szCs w:val="21"/>
              </w:rPr>
              <w:t>Digital Transformation Team</w:t>
            </w:r>
          </w:p>
        </w:tc>
        <w:tc>
          <w:tcPr>
            <w:tcW w:w="2254" w:type="dxa"/>
          </w:tcPr>
          <w:p w14:paraId="692E561C" w14:textId="20962AB8" w:rsidR="000C2AC9" w:rsidRPr="00EE69E4" w:rsidRDefault="000C2AC9" w:rsidP="00EE69E4">
            <w:pPr>
              <w:jc w:val="both"/>
              <w:rPr>
                <w:rFonts w:ascii="Arial" w:hAnsi="Arial" w:cs="Arial"/>
                <w:sz w:val="21"/>
                <w:szCs w:val="21"/>
              </w:rPr>
            </w:pPr>
            <w:r w:rsidRPr="00EE69E4">
              <w:rPr>
                <w:rFonts w:ascii="Arial" w:hAnsi="Arial" w:cs="Arial"/>
                <w:sz w:val="21"/>
                <w:szCs w:val="21"/>
              </w:rPr>
              <w:t>Manage project, delivery, training and change management</w:t>
            </w:r>
          </w:p>
        </w:tc>
        <w:tc>
          <w:tcPr>
            <w:tcW w:w="2254" w:type="dxa"/>
          </w:tcPr>
          <w:p w14:paraId="31AA6702" w14:textId="598DF7AC" w:rsidR="000C2AC9" w:rsidRPr="00EE69E4" w:rsidRDefault="008B52C4" w:rsidP="00EE69E4">
            <w:pPr>
              <w:jc w:val="both"/>
              <w:rPr>
                <w:rFonts w:ascii="Arial" w:hAnsi="Arial" w:cs="Arial"/>
                <w:sz w:val="21"/>
                <w:szCs w:val="21"/>
              </w:rPr>
            </w:pPr>
            <w:r w:rsidRPr="00EE69E4">
              <w:rPr>
                <w:rFonts w:ascii="Arial" w:hAnsi="Arial" w:cs="Arial"/>
                <w:sz w:val="21"/>
                <w:szCs w:val="21"/>
              </w:rPr>
              <w:t>High</w:t>
            </w:r>
          </w:p>
        </w:tc>
        <w:tc>
          <w:tcPr>
            <w:tcW w:w="2254" w:type="dxa"/>
          </w:tcPr>
          <w:p w14:paraId="713E94B6" w14:textId="11CA095A" w:rsidR="008B52C4" w:rsidRPr="00EE69E4" w:rsidRDefault="008B52C4" w:rsidP="00EE69E4">
            <w:pPr>
              <w:jc w:val="both"/>
              <w:rPr>
                <w:rFonts w:ascii="Arial" w:hAnsi="Arial" w:cs="Arial"/>
                <w:sz w:val="21"/>
                <w:szCs w:val="21"/>
              </w:rPr>
            </w:pPr>
            <w:r w:rsidRPr="00EE69E4">
              <w:rPr>
                <w:rFonts w:ascii="Arial" w:hAnsi="Arial" w:cs="Arial"/>
                <w:sz w:val="21"/>
                <w:szCs w:val="21"/>
              </w:rPr>
              <w:t>High</w:t>
            </w:r>
          </w:p>
        </w:tc>
      </w:tr>
      <w:tr w:rsidR="008B52C4" w:rsidRPr="00EE69E4" w14:paraId="0C60243B" w14:textId="77777777" w:rsidTr="000C2AC9">
        <w:tc>
          <w:tcPr>
            <w:tcW w:w="2254" w:type="dxa"/>
          </w:tcPr>
          <w:p w14:paraId="5488A365" w14:textId="63CFA4AC" w:rsidR="008B52C4" w:rsidRPr="00EE69E4" w:rsidRDefault="008B52C4" w:rsidP="00EE69E4">
            <w:pPr>
              <w:jc w:val="both"/>
              <w:rPr>
                <w:rFonts w:ascii="Arial" w:hAnsi="Arial" w:cs="Arial"/>
                <w:sz w:val="21"/>
                <w:szCs w:val="21"/>
              </w:rPr>
            </w:pPr>
            <w:r w:rsidRPr="00EE69E4">
              <w:rPr>
                <w:rFonts w:ascii="Arial" w:hAnsi="Arial" w:cs="Arial"/>
                <w:sz w:val="21"/>
                <w:szCs w:val="21"/>
              </w:rPr>
              <w:t>IT specialists</w:t>
            </w:r>
          </w:p>
        </w:tc>
        <w:tc>
          <w:tcPr>
            <w:tcW w:w="2254" w:type="dxa"/>
          </w:tcPr>
          <w:p w14:paraId="18F13615" w14:textId="4B8A650E" w:rsidR="008B52C4" w:rsidRPr="00EE69E4" w:rsidRDefault="008B52C4" w:rsidP="00EE69E4">
            <w:pPr>
              <w:jc w:val="both"/>
              <w:rPr>
                <w:rFonts w:ascii="Arial" w:hAnsi="Arial" w:cs="Arial"/>
                <w:sz w:val="21"/>
                <w:szCs w:val="21"/>
              </w:rPr>
            </w:pPr>
            <w:r w:rsidRPr="00EE69E4">
              <w:rPr>
                <w:rFonts w:ascii="Arial" w:hAnsi="Arial" w:cs="Arial"/>
                <w:sz w:val="21"/>
                <w:szCs w:val="21"/>
              </w:rPr>
              <w:t>Develop, maintain and support digital infrastructure</w:t>
            </w:r>
          </w:p>
        </w:tc>
        <w:tc>
          <w:tcPr>
            <w:tcW w:w="2254" w:type="dxa"/>
          </w:tcPr>
          <w:p w14:paraId="78B475AE" w14:textId="1C9F3789" w:rsidR="008B52C4" w:rsidRPr="00EE69E4" w:rsidRDefault="008B52C4" w:rsidP="00EE69E4">
            <w:pPr>
              <w:jc w:val="both"/>
              <w:rPr>
                <w:rFonts w:ascii="Arial" w:hAnsi="Arial" w:cs="Arial"/>
                <w:sz w:val="21"/>
                <w:szCs w:val="21"/>
              </w:rPr>
            </w:pPr>
            <w:r w:rsidRPr="00EE69E4">
              <w:rPr>
                <w:rFonts w:ascii="Arial" w:hAnsi="Arial" w:cs="Arial"/>
                <w:sz w:val="21"/>
                <w:szCs w:val="21"/>
              </w:rPr>
              <w:t>High</w:t>
            </w:r>
          </w:p>
        </w:tc>
        <w:tc>
          <w:tcPr>
            <w:tcW w:w="2254" w:type="dxa"/>
          </w:tcPr>
          <w:p w14:paraId="3E137AF0" w14:textId="0BC1DCEB" w:rsidR="008B52C4" w:rsidRPr="00EE69E4" w:rsidRDefault="008B52C4" w:rsidP="00EE69E4">
            <w:pPr>
              <w:jc w:val="both"/>
              <w:rPr>
                <w:rFonts w:ascii="Arial" w:hAnsi="Arial" w:cs="Arial"/>
                <w:sz w:val="21"/>
                <w:szCs w:val="21"/>
              </w:rPr>
            </w:pPr>
            <w:r w:rsidRPr="00EE69E4">
              <w:rPr>
                <w:rFonts w:ascii="Arial" w:hAnsi="Arial" w:cs="Arial"/>
                <w:sz w:val="21"/>
                <w:szCs w:val="21"/>
              </w:rPr>
              <w:t>High</w:t>
            </w:r>
          </w:p>
        </w:tc>
      </w:tr>
      <w:tr w:rsidR="008B52C4" w:rsidRPr="00EE69E4" w14:paraId="0E401759" w14:textId="77777777" w:rsidTr="000C2AC9">
        <w:tc>
          <w:tcPr>
            <w:tcW w:w="2254" w:type="dxa"/>
          </w:tcPr>
          <w:p w14:paraId="22706353" w14:textId="594A709D" w:rsidR="008B52C4" w:rsidRPr="00EE69E4" w:rsidRDefault="008B52C4" w:rsidP="00EE69E4">
            <w:pPr>
              <w:jc w:val="both"/>
              <w:rPr>
                <w:rFonts w:ascii="Arial" w:hAnsi="Arial" w:cs="Arial"/>
                <w:sz w:val="21"/>
                <w:szCs w:val="21"/>
              </w:rPr>
            </w:pPr>
            <w:r w:rsidRPr="00EE69E4">
              <w:rPr>
                <w:rFonts w:ascii="Arial" w:hAnsi="Arial" w:cs="Arial"/>
                <w:sz w:val="21"/>
                <w:szCs w:val="21"/>
              </w:rPr>
              <w:t>Information Governance Team</w:t>
            </w:r>
          </w:p>
        </w:tc>
        <w:tc>
          <w:tcPr>
            <w:tcW w:w="2254" w:type="dxa"/>
          </w:tcPr>
          <w:p w14:paraId="4C9F2006" w14:textId="18D5F643" w:rsidR="008B52C4" w:rsidRPr="00EE69E4" w:rsidRDefault="008B52C4" w:rsidP="00EE69E4">
            <w:pPr>
              <w:jc w:val="both"/>
              <w:rPr>
                <w:rFonts w:ascii="Arial" w:hAnsi="Arial" w:cs="Arial"/>
                <w:sz w:val="21"/>
                <w:szCs w:val="21"/>
              </w:rPr>
            </w:pPr>
            <w:r w:rsidRPr="00EE69E4">
              <w:rPr>
                <w:rFonts w:ascii="Arial" w:hAnsi="Arial" w:cs="Arial"/>
                <w:sz w:val="21"/>
                <w:szCs w:val="21"/>
              </w:rPr>
              <w:t>Ensure data protection, security and compliance</w:t>
            </w:r>
          </w:p>
        </w:tc>
        <w:tc>
          <w:tcPr>
            <w:tcW w:w="2254" w:type="dxa"/>
          </w:tcPr>
          <w:p w14:paraId="0F9C5ADA" w14:textId="37520A9C" w:rsidR="008B52C4" w:rsidRPr="00EE69E4" w:rsidRDefault="008B52C4" w:rsidP="00EE69E4">
            <w:pPr>
              <w:jc w:val="both"/>
              <w:rPr>
                <w:rFonts w:ascii="Arial" w:hAnsi="Arial" w:cs="Arial"/>
                <w:sz w:val="21"/>
                <w:szCs w:val="21"/>
              </w:rPr>
            </w:pPr>
            <w:r w:rsidRPr="00EE69E4">
              <w:rPr>
                <w:rFonts w:ascii="Arial" w:hAnsi="Arial" w:cs="Arial"/>
                <w:sz w:val="21"/>
                <w:szCs w:val="21"/>
              </w:rPr>
              <w:t>High</w:t>
            </w:r>
          </w:p>
        </w:tc>
        <w:tc>
          <w:tcPr>
            <w:tcW w:w="2254" w:type="dxa"/>
          </w:tcPr>
          <w:p w14:paraId="7C561A69" w14:textId="1DF1152A" w:rsidR="008B52C4" w:rsidRPr="00EE69E4" w:rsidRDefault="008B52C4" w:rsidP="00EE69E4">
            <w:pPr>
              <w:jc w:val="both"/>
              <w:rPr>
                <w:rFonts w:ascii="Arial" w:hAnsi="Arial" w:cs="Arial"/>
                <w:sz w:val="21"/>
                <w:szCs w:val="21"/>
              </w:rPr>
            </w:pPr>
            <w:r w:rsidRPr="00EE69E4">
              <w:rPr>
                <w:rFonts w:ascii="Arial" w:hAnsi="Arial" w:cs="Arial"/>
                <w:sz w:val="21"/>
                <w:szCs w:val="21"/>
              </w:rPr>
              <w:t>High</w:t>
            </w:r>
          </w:p>
        </w:tc>
      </w:tr>
    </w:tbl>
    <w:p w14:paraId="43A9C078" w14:textId="1667C9AE" w:rsidR="000C2AC9" w:rsidRPr="00EE69E4" w:rsidRDefault="00C36300" w:rsidP="00EE69E4">
      <w:pPr>
        <w:jc w:val="both"/>
        <w:rPr>
          <w:rFonts w:ascii="Arial" w:hAnsi="Arial" w:cs="Arial"/>
          <w:sz w:val="21"/>
          <w:szCs w:val="21"/>
        </w:rPr>
      </w:pPr>
      <w:r w:rsidRPr="00EE69E4">
        <w:rPr>
          <w:rFonts w:ascii="Arial" w:hAnsi="Arial" w:cs="Arial"/>
          <w:sz w:val="21"/>
          <w:szCs w:val="21"/>
        </w:rPr>
        <w:t>Table 1. Internal stakeholder analysis</w:t>
      </w:r>
    </w:p>
    <w:p w14:paraId="26B0C5FE" w14:textId="66A87A70" w:rsidR="00687E3C" w:rsidRPr="00EE69E4" w:rsidRDefault="00687E3C" w:rsidP="00EE69E4">
      <w:pPr>
        <w:jc w:val="both"/>
        <w:rPr>
          <w:rFonts w:ascii="Arial" w:hAnsi="Arial" w:cs="Arial"/>
          <w:sz w:val="21"/>
          <w:szCs w:val="21"/>
        </w:rPr>
      </w:pPr>
    </w:p>
    <w:p w14:paraId="686DFA5E" w14:textId="2EC8FDEB" w:rsidR="00687E3C" w:rsidRPr="00EE69E4" w:rsidRDefault="009C2F13" w:rsidP="00EE69E4">
      <w:pPr>
        <w:spacing w:after="0" w:line="300" w:lineRule="atLeast"/>
        <w:jc w:val="both"/>
        <w:rPr>
          <w:rFonts w:ascii="Arial" w:eastAsia="Times New Roman" w:hAnsi="Arial" w:cs="Arial"/>
          <w:sz w:val="21"/>
          <w:szCs w:val="21"/>
          <w:lang w:eastAsia="en-GB"/>
        </w:rPr>
      </w:pPr>
      <w:r w:rsidRPr="009C2F13">
        <w:rPr>
          <w:rFonts w:ascii="Arial" w:eastAsia="Times New Roman" w:hAnsi="Arial" w:cs="Arial"/>
          <w:sz w:val="21"/>
          <w:szCs w:val="21"/>
          <w:lang w:eastAsia="en-GB"/>
        </w:rPr>
        <w:t xml:space="preserve">External stakeholders also play a significant role in ABUHB's digital transformation strategy by influencing policy, governance, funding, regulation, and technological development. Table </w:t>
      </w:r>
      <w:r w:rsidRPr="00EE69E4">
        <w:rPr>
          <w:rFonts w:ascii="Arial" w:eastAsia="Times New Roman" w:hAnsi="Arial" w:cs="Arial"/>
          <w:sz w:val="21"/>
          <w:szCs w:val="21"/>
          <w:lang w:eastAsia="en-GB"/>
        </w:rPr>
        <w:t>2</w:t>
      </w:r>
      <w:r w:rsidRPr="009C2F13">
        <w:rPr>
          <w:rFonts w:ascii="Arial" w:eastAsia="Times New Roman" w:hAnsi="Arial" w:cs="Arial"/>
          <w:sz w:val="21"/>
          <w:szCs w:val="21"/>
          <w:lang w:eastAsia="en-GB"/>
        </w:rPr>
        <w:t xml:space="preserve"> outlines the key external stakeholders and their contribution to digital transformation within the Health Board.</w:t>
      </w:r>
    </w:p>
    <w:p w14:paraId="0C65735C" w14:textId="2B074A7E" w:rsidR="00C36300" w:rsidRPr="00EE69E4" w:rsidRDefault="00C36300" w:rsidP="00EE69E4">
      <w:pPr>
        <w:jc w:val="both"/>
        <w:rPr>
          <w:rFonts w:ascii="Arial" w:hAnsi="Arial" w:cs="Arial"/>
          <w:sz w:val="21"/>
          <w:szCs w:val="21"/>
        </w:rPr>
      </w:pPr>
    </w:p>
    <w:tbl>
      <w:tblPr>
        <w:tblStyle w:val="TableGrid"/>
        <w:tblW w:w="0" w:type="auto"/>
        <w:tblLook w:val="04A0" w:firstRow="1" w:lastRow="0" w:firstColumn="1" w:lastColumn="0" w:noHBand="0" w:noVBand="1"/>
      </w:tblPr>
      <w:tblGrid>
        <w:gridCol w:w="2254"/>
        <w:gridCol w:w="2254"/>
        <w:gridCol w:w="2254"/>
        <w:gridCol w:w="2254"/>
      </w:tblGrid>
      <w:tr w:rsidR="00C36300" w:rsidRPr="00EE69E4" w14:paraId="6C48BE7B" w14:textId="77777777" w:rsidTr="00C36300">
        <w:tc>
          <w:tcPr>
            <w:tcW w:w="2254" w:type="dxa"/>
          </w:tcPr>
          <w:p w14:paraId="59666BD4" w14:textId="737DA349" w:rsidR="00C36300" w:rsidRPr="00EE69E4" w:rsidRDefault="00C36300" w:rsidP="00EE69E4">
            <w:pPr>
              <w:jc w:val="both"/>
              <w:rPr>
                <w:rFonts w:ascii="Arial" w:hAnsi="Arial" w:cs="Arial"/>
                <w:sz w:val="21"/>
                <w:szCs w:val="21"/>
              </w:rPr>
            </w:pPr>
            <w:r w:rsidRPr="00EE69E4">
              <w:rPr>
                <w:rFonts w:ascii="Arial" w:hAnsi="Arial" w:cs="Arial"/>
                <w:sz w:val="21"/>
                <w:szCs w:val="21"/>
              </w:rPr>
              <w:t>Stakeholder</w:t>
            </w:r>
          </w:p>
        </w:tc>
        <w:tc>
          <w:tcPr>
            <w:tcW w:w="2254" w:type="dxa"/>
          </w:tcPr>
          <w:p w14:paraId="49439383" w14:textId="3406E9A4" w:rsidR="00C36300" w:rsidRPr="00EE69E4" w:rsidRDefault="00C36300" w:rsidP="00EE69E4">
            <w:pPr>
              <w:jc w:val="both"/>
              <w:rPr>
                <w:rFonts w:ascii="Arial" w:hAnsi="Arial" w:cs="Arial"/>
                <w:sz w:val="21"/>
                <w:szCs w:val="21"/>
              </w:rPr>
            </w:pPr>
            <w:r w:rsidRPr="00EE69E4">
              <w:rPr>
                <w:rFonts w:ascii="Arial" w:hAnsi="Arial" w:cs="Arial"/>
                <w:sz w:val="21"/>
                <w:szCs w:val="21"/>
              </w:rPr>
              <w:t>Role in Digital Transformation</w:t>
            </w:r>
          </w:p>
        </w:tc>
        <w:tc>
          <w:tcPr>
            <w:tcW w:w="2254" w:type="dxa"/>
          </w:tcPr>
          <w:p w14:paraId="407ED53E" w14:textId="425A7B26" w:rsidR="00C36300" w:rsidRPr="00EE69E4" w:rsidRDefault="00C36300" w:rsidP="00EE69E4">
            <w:pPr>
              <w:jc w:val="both"/>
              <w:rPr>
                <w:rFonts w:ascii="Arial" w:hAnsi="Arial" w:cs="Arial"/>
                <w:sz w:val="21"/>
                <w:szCs w:val="21"/>
              </w:rPr>
            </w:pPr>
            <w:r w:rsidRPr="00EE69E4">
              <w:rPr>
                <w:rFonts w:ascii="Arial" w:hAnsi="Arial" w:cs="Arial"/>
                <w:sz w:val="21"/>
                <w:szCs w:val="21"/>
              </w:rPr>
              <w:t>Influence</w:t>
            </w:r>
          </w:p>
        </w:tc>
        <w:tc>
          <w:tcPr>
            <w:tcW w:w="2254" w:type="dxa"/>
          </w:tcPr>
          <w:p w14:paraId="5CC77E65" w14:textId="2A8890FD" w:rsidR="00C36300" w:rsidRPr="00EE69E4" w:rsidRDefault="00C36300" w:rsidP="00EE69E4">
            <w:pPr>
              <w:jc w:val="both"/>
              <w:rPr>
                <w:rFonts w:ascii="Arial" w:hAnsi="Arial" w:cs="Arial"/>
                <w:sz w:val="21"/>
                <w:szCs w:val="21"/>
              </w:rPr>
            </w:pPr>
            <w:r w:rsidRPr="00EE69E4">
              <w:rPr>
                <w:rFonts w:ascii="Arial" w:hAnsi="Arial" w:cs="Arial"/>
                <w:sz w:val="21"/>
                <w:szCs w:val="21"/>
              </w:rPr>
              <w:t>Interest</w:t>
            </w:r>
          </w:p>
        </w:tc>
      </w:tr>
      <w:tr w:rsidR="00C36300" w:rsidRPr="00EE69E4" w14:paraId="0671CFF8" w14:textId="77777777" w:rsidTr="00C36300">
        <w:tc>
          <w:tcPr>
            <w:tcW w:w="2254" w:type="dxa"/>
          </w:tcPr>
          <w:p w14:paraId="3DC07410" w14:textId="0DC3245B" w:rsidR="00C36300" w:rsidRPr="00EE69E4" w:rsidRDefault="00C36300" w:rsidP="00EE69E4">
            <w:pPr>
              <w:jc w:val="both"/>
              <w:rPr>
                <w:rFonts w:ascii="Arial" w:hAnsi="Arial" w:cs="Arial"/>
                <w:sz w:val="21"/>
                <w:szCs w:val="21"/>
              </w:rPr>
            </w:pPr>
            <w:r w:rsidRPr="00EE69E4">
              <w:rPr>
                <w:rFonts w:ascii="Arial" w:hAnsi="Arial" w:cs="Arial"/>
                <w:sz w:val="21"/>
                <w:szCs w:val="21"/>
              </w:rPr>
              <w:t xml:space="preserve">DHCW </w:t>
            </w:r>
          </w:p>
        </w:tc>
        <w:tc>
          <w:tcPr>
            <w:tcW w:w="2254" w:type="dxa"/>
          </w:tcPr>
          <w:p w14:paraId="1B315B90" w14:textId="687CA652" w:rsidR="00C36300" w:rsidRPr="00EE69E4" w:rsidRDefault="00C36300" w:rsidP="00EE69E4">
            <w:pPr>
              <w:jc w:val="both"/>
              <w:rPr>
                <w:rFonts w:ascii="Arial" w:hAnsi="Arial" w:cs="Arial"/>
                <w:sz w:val="21"/>
                <w:szCs w:val="21"/>
              </w:rPr>
            </w:pPr>
            <w:r w:rsidRPr="00EE69E4">
              <w:rPr>
                <w:rFonts w:ascii="Arial" w:hAnsi="Arial" w:cs="Arial"/>
                <w:sz w:val="21"/>
                <w:szCs w:val="21"/>
              </w:rPr>
              <w:t>Natioanl digital infastructure and support</w:t>
            </w:r>
          </w:p>
        </w:tc>
        <w:tc>
          <w:tcPr>
            <w:tcW w:w="2254" w:type="dxa"/>
          </w:tcPr>
          <w:p w14:paraId="4F925D4E" w14:textId="0AD42077" w:rsidR="00C36300" w:rsidRPr="00EE69E4" w:rsidRDefault="00C36300" w:rsidP="00EE69E4">
            <w:pPr>
              <w:jc w:val="both"/>
              <w:rPr>
                <w:rFonts w:ascii="Arial" w:hAnsi="Arial" w:cs="Arial"/>
                <w:sz w:val="21"/>
                <w:szCs w:val="21"/>
              </w:rPr>
            </w:pPr>
            <w:r w:rsidRPr="00EE69E4">
              <w:rPr>
                <w:rFonts w:ascii="Arial" w:hAnsi="Arial" w:cs="Arial"/>
                <w:sz w:val="21"/>
                <w:szCs w:val="21"/>
              </w:rPr>
              <w:t>High</w:t>
            </w:r>
          </w:p>
        </w:tc>
        <w:tc>
          <w:tcPr>
            <w:tcW w:w="2254" w:type="dxa"/>
          </w:tcPr>
          <w:p w14:paraId="3D1269CE" w14:textId="470A71C6" w:rsidR="00C36300" w:rsidRPr="00EE69E4" w:rsidRDefault="00C36300" w:rsidP="00EE69E4">
            <w:pPr>
              <w:jc w:val="both"/>
              <w:rPr>
                <w:rFonts w:ascii="Arial" w:hAnsi="Arial" w:cs="Arial"/>
                <w:sz w:val="21"/>
                <w:szCs w:val="21"/>
              </w:rPr>
            </w:pPr>
            <w:r w:rsidRPr="00EE69E4">
              <w:rPr>
                <w:rFonts w:ascii="Arial" w:hAnsi="Arial" w:cs="Arial"/>
                <w:sz w:val="21"/>
                <w:szCs w:val="21"/>
              </w:rPr>
              <w:t>High</w:t>
            </w:r>
          </w:p>
        </w:tc>
      </w:tr>
      <w:tr w:rsidR="00C36300" w:rsidRPr="00EE69E4" w14:paraId="4B0D6649" w14:textId="77777777" w:rsidTr="00C36300">
        <w:tc>
          <w:tcPr>
            <w:tcW w:w="2254" w:type="dxa"/>
          </w:tcPr>
          <w:p w14:paraId="5743FF2F" w14:textId="50F99DD1" w:rsidR="00C36300" w:rsidRPr="00EE69E4" w:rsidRDefault="00C36300" w:rsidP="00EE69E4">
            <w:pPr>
              <w:jc w:val="both"/>
              <w:rPr>
                <w:rFonts w:ascii="Arial" w:hAnsi="Arial" w:cs="Arial"/>
                <w:sz w:val="21"/>
                <w:szCs w:val="21"/>
              </w:rPr>
            </w:pPr>
            <w:r w:rsidRPr="00EE69E4">
              <w:rPr>
                <w:rFonts w:ascii="Arial" w:hAnsi="Arial" w:cs="Arial"/>
                <w:sz w:val="21"/>
                <w:szCs w:val="21"/>
              </w:rPr>
              <w:t>Welsh Government</w:t>
            </w:r>
          </w:p>
        </w:tc>
        <w:tc>
          <w:tcPr>
            <w:tcW w:w="2254" w:type="dxa"/>
          </w:tcPr>
          <w:p w14:paraId="66A1A0B6" w14:textId="638B1CEF" w:rsidR="00C36300" w:rsidRPr="00EE69E4" w:rsidRDefault="00C36300" w:rsidP="00EE69E4">
            <w:pPr>
              <w:jc w:val="both"/>
              <w:rPr>
                <w:rFonts w:ascii="Arial" w:hAnsi="Arial" w:cs="Arial"/>
                <w:sz w:val="21"/>
                <w:szCs w:val="21"/>
              </w:rPr>
            </w:pPr>
            <w:r w:rsidRPr="00EE69E4">
              <w:rPr>
                <w:rFonts w:ascii="Arial" w:hAnsi="Arial" w:cs="Arial"/>
                <w:sz w:val="21"/>
                <w:szCs w:val="21"/>
              </w:rPr>
              <w:t>Policy direction, funding and strategy</w:t>
            </w:r>
          </w:p>
        </w:tc>
        <w:tc>
          <w:tcPr>
            <w:tcW w:w="2254" w:type="dxa"/>
          </w:tcPr>
          <w:p w14:paraId="619F62DF" w14:textId="4D6644A0" w:rsidR="00C36300" w:rsidRPr="00EE69E4" w:rsidRDefault="00C36300" w:rsidP="00EE69E4">
            <w:pPr>
              <w:jc w:val="both"/>
              <w:rPr>
                <w:rFonts w:ascii="Arial" w:hAnsi="Arial" w:cs="Arial"/>
                <w:sz w:val="21"/>
                <w:szCs w:val="21"/>
              </w:rPr>
            </w:pPr>
            <w:r w:rsidRPr="00EE69E4">
              <w:rPr>
                <w:rFonts w:ascii="Arial" w:hAnsi="Arial" w:cs="Arial"/>
                <w:sz w:val="21"/>
                <w:szCs w:val="21"/>
              </w:rPr>
              <w:t>High</w:t>
            </w:r>
          </w:p>
        </w:tc>
        <w:tc>
          <w:tcPr>
            <w:tcW w:w="2254" w:type="dxa"/>
          </w:tcPr>
          <w:p w14:paraId="3AA0EF69" w14:textId="52DF6BC2" w:rsidR="00C36300" w:rsidRPr="00EE69E4" w:rsidRDefault="00C36300" w:rsidP="00EE69E4">
            <w:pPr>
              <w:jc w:val="both"/>
              <w:rPr>
                <w:rFonts w:ascii="Arial" w:hAnsi="Arial" w:cs="Arial"/>
                <w:sz w:val="21"/>
                <w:szCs w:val="21"/>
              </w:rPr>
            </w:pPr>
            <w:r w:rsidRPr="00EE69E4">
              <w:rPr>
                <w:rFonts w:ascii="Arial" w:hAnsi="Arial" w:cs="Arial"/>
                <w:sz w:val="21"/>
                <w:szCs w:val="21"/>
              </w:rPr>
              <w:t>High</w:t>
            </w:r>
          </w:p>
        </w:tc>
      </w:tr>
      <w:tr w:rsidR="00C36300" w:rsidRPr="00EE69E4" w14:paraId="5AC5CDAB" w14:textId="77777777" w:rsidTr="00C36300">
        <w:tc>
          <w:tcPr>
            <w:tcW w:w="2254" w:type="dxa"/>
          </w:tcPr>
          <w:p w14:paraId="5C19E1E0" w14:textId="4040451A" w:rsidR="00C36300" w:rsidRPr="00EE69E4" w:rsidRDefault="00C36300" w:rsidP="00EE69E4">
            <w:pPr>
              <w:jc w:val="both"/>
              <w:rPr>
                <w:rFonts w:ascii="Arial" w:hAnsi="Arial" w:cs="Arial"/>
                <w:sz w:val="21"/>
                <w:szCs w:val="21"/>
              </w:rPr>
            </w:pPr>
            <w:r w:rsidRPr="00EE69E4">
              <w:rPr>
                <w:rFonts w:ascii="Arial" w:hAnsi="Arial" w:cs="Arial"/>
                <w:sz w:val="21"/>
                <w:szCs w:val="21"/>
              </w:rPr>
              <w:t>Care Inspectorate Wales</w:t>
            </w:r>
          </w:p>
        </w:tc>
        <w:tc>
          <w:tcPr>
            <w:tcW w:w="2254" w:type="dxa"/>
          </w:tcPr>
          <w:p w14:paraId="67FB22AB" w14:textId="2899F861" w:rsidR="00C36300" w:rsidRPr="00EE69E4" w:rsidRDefault="00C36300" w:rsidP="00EE69E4">
            <w:pPr>
              <w:jc w:val="both"/>
              <w:rPr>
                <w:rFonts w:ascii="Arial" w:hAnsi="Arial" w:cs="Arial"/>
                <w:sz w:val="21"/>
                <w:szCs w:val="21"/>
              </w:rPr>
            </w:pPr>
            <w:r w:rsidRPr="00EE69E4">
              <w:rPr>
                <w:rFonts w:ascii="Arial" w:hAnsi="Arial" w:cs="Arial"/>
                <w:sz w:val="21"/>
                <w:szCs w:val="21"/>
              </w:rPr>
              <w:t>Regulatory oversight and quality assurance</w:t>
            </w:r>
          </w:p>
        </w:tc>
        <w:tc>
          <w:tcPr>
            <w:tcW w:w="2254" w:type="dxa"/>
          </w:tcPr>
          <w:p w14:paraId="286DE139" w14:textId="6BCEC22C" w:rsidR="00C36300" w:rsidRPr="00EE69E4" w:rsidRDefault="00C36300" w:rsidP="00EE69E4">
            <w:pPr>
              <w:jc w:val="both"/>
              <w:rPr>
                <w:rFonts w:ascii="Arial" w:hAnsi="Arial" w:cs="Arial"/>
                <w:sz w:val="21"/>
                <w:szCs w:val="21"/>
              </w:rPr>
            </w:pPr>
            <w:r w:rsidRPr="00EE69E4">
              <w:rPr>
                <w:rFonts w:ascii="Arial" w:hAnsi="Arial" w:cs="Arial"/>
                <w:sz w:val="21"/>
                <w:szCs w:val="21"/>
              </w:rPr>
              <w:t>Medium</w:t>
            </w:r>
          </w:p>
        </w:tc>
        <w:tc>
          <w:tcPr>
            <w:tcW w:w="2254" w:type="dxa"/>
          </w:tcPr>
          <w:p w14:paraId="1A661F27" w14:textId="69E6DEF5" w:rsidR="00C36300" w:rsidRPr="00EE69E4" w:rsidRDefault="00C36300" w:rsidP="00EE69E4">
            <w:pPr>
              <w:jc w:val="both"/>
              <w:rPr>
                <w:rFonts w:ascii="Arial" w:hAnsi="Arial" w:cs="Arial"/>
                <w:sz w:val="21"/>
                <w:szCs w:val="21"/>
              </w:rPr>
            </w:pPr>
            <w:r w:rsidRPr="00EE69E4">
              <w:rPr>
                <w:rFonts w:ascii="Arial" w:hAnsi="Arial" w:cs="Arial"/>
                <w:sz w:val="21"/>
                <w:szCs w:val="21"/>
              </w:rPr>
              <w:t>Medium</w:t>
            </w:r>
          </w:p>
        </w:tc>
      </w:tr>
      <w:tr w:rsidR="00C36300" w:rsidRPr="00EE69E4" w14:paraId="5634E9D8" w14:textId="77777777" w:rsidTr="00C36300">
        <w:tc>
          <w:tcPr>
            <w:tcW w:w="2254" w:type="dxa"/>
          </w:tcPr>
          <w:p w14:paraId="7170034B" w14:textId="5E792B7C" w:rsidR="00C36300" w:rsidRPr="00EE69E4" w:rsidRDefault="00C36300" w:rsidP="00EE69E4">
            <w:pPr>
              <w:jc w:val="both"/>
              <w:rPr>
                <w:rFonts w:ascii="Arial" w:hAnsi="Arial" w:cs="Arial"/>
                <w:sz w:val="21"/>
                <w:szCs w:val="21"/>
              </w:rPr>
            </w:pPr>
            <w:r w:rsidRPr="00EE69E4">
              <w:rPr>
                <w:rFonts w:ascii="Arial" w:hAnsi="Arial" w:cs="Arial"/>
                <w:sz w:val="21"/>
                <w:szCs w:val="21"/>
              </w:rPr>
              <w:t>System Suppliers</w:t>
            </w:r>
          </w:p>
        </w:tc>
        <w:tc>
          <w:tcPr>
            <w:tcW w:w="2254" w:type="dxa"/>
          </w:tcPr>
          <w:p w14:paraId="713B3CD8" w14:textId="26C72380" w:rsidR="00C36300" w:rsidRPr="00EE69E4" w:rsidRDefault="00C36300" w:rsidP="00EE69E4">
            <w:pPr>
              <w:jc w:val="both"/>
              <w:rPr>
                <w:rFonts w:ascii="Arial" w:hAnsi="Arial" w:cs="Arial"/>
                <w:sz w:val="21"/>
                <w:szCs w:val="21"/>
              </w:rPr>
            </w:pPr>
            <w:r w:rsidRPr="00EE69E4">
              <w:rPr>
                <w:rFonts w:ascii="Arial" w:hAnsi="Arial" w:cs="Arial"/>
                <w:sz w:val="21"/>
                <w:szCs w:val="21"/>
              </w:rPr>
              <w:t>Development and support of digital systems</w:t>
            </w:r>
          </w:p>
        </w:tc>
        <w:tc>
          <w:tcPr>
            <w:tcW w:w="2254" w:type="dxa"/>
          </w:tcPr>
          <w:p w14:paraId="089A1A31" w14:textId="056D0B2A" w:rsidR="00C36300" w:rsidRPr="00EE69E4" w:rsidRDefault="00C36300" w:rsidP="00EE69E4">
            <w:pPr>
              <w:jc w:val="both"/>
              <w:rPr>
                <w:rFonts w:ascii="Arial" w:hAnsi="Arial" w:cs="Arial"/>
                <w:sz w:val="21"/>
                <w:szCs w:val="21"/>
              </w:rPr>
            </w:pPr>
            <w:r w:rsidRPr="00EE69E4">
              <w:rPr>
                <w:rFonts w:ascii="Arial" w:hAnsi="Arial" w:cs="Arial"/>
                <w:sz w:val="21"/>
                <w:szCs w:val="21"/>
              </w:rPr>
              <w:t>High</w:t>
            </w:r>
          </w:p>
        </w:tc>
        <w:tc>
          <w:tcPr>
            <w:tcW w:w="2254" w:type="dxa"/>
          </w:tcPr>
          <w:p w14:paraId="1AEB76AF" w14:textId="1A65075F" w:rsidR="00C36300" w:rsidRPr="00EE69E4" w:rsidRDefault="00C36300" w:rsidP="00EE69E4">
            <w:pPr>
              <w:jc w:val="both"/>
              <w:rPr>
                <w:rFonts w:ascii="Arial" w:hAnsi="Arial" w:cs="Arial"/>
                <w:sz w:val="21"/>
                <w:szCs w:val="21"/>
              </w:rPr>
            </w:pPr>
            <w:r w:rsidRPr="00EE69E4">
              <w:rPr>
                <w:rFonts w:ascii="Arial" w:hAnsi="Arial" w:cs="Arial"/>
                <w:sz w:val="21"/>
                <w:szCs w:val="21"/>
              </w:rPr>
              <w:t>High</w:t>
            </w:r>
          </w:p>
        </w:tc>
      </w:tr>
      <w:tr w:rsidR="00C36300" w:rsidRPr="00EE69E4" w14:paraId="7D5CE695" w14:textId="77777777" w:rsidTr="00C36300">
        <w:tc>
          <w:tcPr>
            <w:tcW w:w="2254" w:type="dxa"/>
          </w:tcPr>
          <w:p w14:paraId="46FBEE3E" w14:textId="276DC86F" w:rsidR="00C36300" w:rsidRPr="00EE69E4" w:rsidRDefault="00C36300" w:rsidP="00EE69E4">
            <w:pPr>
              <w:jc w:val="both"/>
              <w:rPr>
                <w:rFonts w:ascii="Arial" w:hAnsi="Arial" w:cs="Arial"/>
                <w:sz w:val="21"/>
                <w:szCs w:val="21"/>
              </w:rPr>
            </w:pPr>
            <w:r w:rsidRPr="00EE69E4">
              <w:rPr>
                <w:rFonts w:ascii="Arial" w:hAnsi="Arial" w:cs="Arial"/>
                <w:sz w:val="21"/>
                <w:szCs w:val="21"/>
              </w:rPr>
              <w:t>Integrated Care Partners</w:t>
            </w:r>
          </w:p>
        </w:tc>
        <w:tc>
          <w:tcPr>
            <w:tcW w:w="2254" w:type="dxa"/>
          </w:tcPr>
          <w:p w14:paraId="49EF9425" w14:textId="0200D6C4" w:rsidR="00C36300" w:rsidRPr="00EE69E4" w:rsidRDefault="00C36300" w:rsidP="00EE69E4">
            <w:pPr>
              <w:jc w:val="both"/>
              <w:rPr>
                <w:rFonts w:ascii="Arial" w:hAnsi="Arial" w:cs="Arial"/>
                <w:sz w:val="21"/>
                <w:szCs w:val="21"/>
              </w:rPr>
            </w:pPr>
            <w:r w:rsidRPr="00EE69E4">
              <w:rPr>
                <w:rFonts w:ascii="Arial" w:hAnsi="Arial" w:cs="Arial"/>
                <w:sz w:val="21"/>
                <w:szCs w:val="21"/>
              </w:rPr>
              <w:t>Informing sharing across healthcare services</w:t>
            </w:r>
          </w:p>
        </w:tc>
        <w:tc>
          <w:tcPr>
            <w:tcW w:w="2254" w:type="dxa"/>
          </w:tcPr>
          <w:p w14:paraId="07131E32" w14:textId="6A4549AA" w:rsidR="00C36300" w:rsidRPr="00EE69E4" w:rsidRDefault="00C36300" w:rsidP="00EE69E4">
            <w:pPr>
              <w:jc w:val="both"/>
              <w:rPr>
                <w:rFonts w:ascii="Arial" w:hAnsi="Arial" w:cs="Arial"/>
                <w:sz w:val="21"/>
                <w:szCs w:val="21"/>
              </w:rPr>
            </w:pPr>
            <w:r w:rsidRPr="00EE69E4">
              <w:rPr>
                <w:rFonts w:ascii="Arial" w:hAnsi="Arial" w:cs="Arial"/>
                <w:sz w:val="21"/>
                <w:szCs w:val="21"/>
              </w:rPr>
              <w:t>Medium</w:t>
            </w:r>
          </w:p>
        </w:tc>
        <w:tc>
          <w:tcPr>
            <w:tcW w:w="2254" w:type="dxa"/>
          </w:tcPr>
          <w:p w14:paraId="037A13F9" w14:textId="30DB2964" w:rsidR="00C36300" w:rsidRPr="00EE69E4" w:rsidRDefault="00C36300" w:rsidP="00EE69E4">
            <w:pPr>
              <w:jc w:val="both"/>
              <w:rPr>
                <w:rFonts w:ascii="Arial" w:hAnsi="Arial" w:cs="Arial"/>
                <w:sz w:val="21"/>
                <w:szCs w:val="21"/>
              </w:rPr>
            </w:pPr>
            <w:r w:rsidRPr="00EE69E4">
              <w:rPr>
                <w:rFonts w:ascii="Arial" w:hAnsi="Arial" w:cs="Arial"/>
                <w:sz w:val="21"/>
                <w:szCs w:val="21"/>
              </w:rPr>
              <w:t>High</w:t>
            </w:r>
          </w:p>
        </w:tc>
      </w:tr>
      <w:tr w:rsidR="00C36300" w:rsidRPr="00EE69E4" w14:paraId="0D7639BD" w14:textId="77777777" w:rsidTr="00C36300">
        <w:tc>
          <w:tcPr>
            <w:tcW w:w="2254" w:type="dxa"/>
          </w:tcPr>
          <w:p w14:paraId="7006EBFF" w14:textId="2F9F2D49" w:rsidR="00C36300" w:rsidRPr="00EE69E4" w:rsidRDefault="00C36300" w:rsidP="00EE69E4">
            <w:pPr>
              <w:jc w:val="both"/>
              <w:rPr>
                <w:rFonts w:ascii="Arial" w:hAnsi="Arial" w:cs="Arial"/>
                <w:sz w:val="21"/>
                <w:szCs w:val="21"/>
              </w:rPr>
            </w:pPr>
            <w:r w:rsidRPr="00EE69E4">
              <w:rPr>
                <w:rFonts w:ascii="Arial" w:hAnsi="Arial" w:cs="Arial"/>
                <w:sz w:val="21"/>
                <w:szCs w:val="21"/>
              </w:rPr>
              <w:t>Local Authorities</w:t>
            </w:r>
          </w:p>
        </w:tc>
        <w:tc>
          <w:tcPr>
            <w:tcW w:w="2254" w:type="dxa"/>
          </w:tcPr>
          <w:p w14:paraId="549877DE" w14:textId="029B545B" w:rsidR="00C36300" w:rsidRPr="00EE69E4" w:rsidRDefault="00C36300" w:rsidP="00EE69E4">
            <w:pPr>
              <w:jc w:val="both"/>
              <w:rPr>
                <w:rFonts w:ascii="Arial" w:hAnsi="Arial" w:cs="Arial"/>
                <w:sz w:val="21"/>
                <w:szCs w:val="21"/>
              </w:rPr>
            </w:pPr>
            <w:r w:rsidRPr="00EE69E4">
              <w:rPr>
                <w:rFonts w:ascii="Arial" w:hAnsi="Arial" w:cs="Arial"/>
                <w:sz w:val="21"/>
                <w:szCs w:val="21"/>
              </w:rPr>
              <w:t>Integrated health and social care initiatives</w:t>
            </w:r>
          </w:p>
        </w:tc>
        <w:tc>
          <w:tcPr>
            <w:tcW w:w="2254" w:type="dxa"/>
          </w:tcPr>
          <w:p w14:paraId="783B5E94" w14:textId="13D8D858" w:rsidR="00C36300" w:rsidRPr="00EE69E4" w:rsidRDefault="00C36300" w:rsidP="00EE69E4">
            <w:pPr>
              <w:jc w:val="both"/>
              <w:rPr>
                <w:rFonts w:ascii="Arial" w:hAnsi="Arial" w:cs="Arial"/>
                <w:sz w:val="21"/>
                <w:szCs w:val="21"/>
              </w:rPr>
            </w:pPr>
            <w:r w:rsidRPr="00EE69E4">
              <w:rPr>
                <w:rFonts w:ascii="Arial" w:hAnsi="Arial" w:cs="Arial"/>
                <w:sz w:val="21"/>
                <w:szCs w:val="21"/>
              </w:rPr>
              <w:t>Medium</w:t>
            </w:r>
          </w:p>
        </w:tc>
        <w:tc>
          <w:tcPr>
            <w:tcW w:w="2254" w:type="dxa"/>
          </w:tcPr>
          <w:p w14:paraId="18A8594A" w14:textId="652671DC" w:rsidR="00C36300" w:rsidRPr="00EE69E4" w:rsidRDefault="00C36300" w:rsidP="00EE69E4">
            <w:pPr>
              <w:jc w:val="both"/>
              <w:rPr>
                <w:rFonts w:ascii="Arial" w:hAnsi="Arial" w:cs="Arial"/>
                <w:sz w:val="21"/>
                <w:szCs w:val="21"/>
              </w:rPr>
            </w:pPr>
            <w:r w:rsidRPr="00EE69E4">
              <w:rPr>
                <w:rFonts w:ascii="Arial" w:hAnsi="Arial" w:cs="Arial"/>
                <w:sz w:val="21"/>
                <w:szCs w:val="21"/>
              </w:rPr>
              <w:t>High</w:t>
            </w:r>
          </w:p>
        </w:tc>
      </w:tr>
      <w:tr w:rsidR="00C36300" w:rsidRPr="00EE69E4" w14:paraId="4BE28C3E" w14:textId="77777777" w:rsidTr="00C36300">
        <w:tc>
          <w:tcPr>
            <w:tcW w:w="2254" w:type="dxa"/>
          </w:tcPr>
          <w:p w14:paraId="0B91B093" w14:textId="2A672E45" w:rsidR="00C36300" w:rsidRPr="00EE69E4" w:rsidRDefault="00C36300" w:rsidP="00EE69E4">
            <w:pPr>
              <w:jc w:val="both"/>
              <w:rPr>
                <w:rFonts w:ascii="Arial" w:hAnsi="Arial" w:cs="Arial"/>
                <w:sz w:val="21"/>
                <w:szCs w:val="21"/>
              </w:rPr>
            </w:pPr>
            <w:r w:rsidRPr="00EE69E4">
              <w:rPr>
                <w:rFonts w:ascii="Arial" w:hAnsi="Arial" w:cs="Arial"/>
                <w:sz w:val="21"/>
                <w:szCs w:val="21"/>
              </w:rPr>
              <w:t>Academic Institutions</w:t>
            </w:r>
          </w:p>
        </w:tc>
        <w:tc>
          <w:tcPr>
            <w:tcW w:w="2254" w:type="dxa"/>
          </w:tcPr>
          <w:p w14:paraId="6F2FB19E" w14:textId="457C7B9D" w:rsidR="00C36300" w:rsidRPr="00EE69E4" w:rsidRDefault="00C36300" w:rsidP="00EE69E4">
            <w:pPr>
              <w:jc w:val="both"/>
              <w:rPr>
                <w:rFonts w:ascii="Arial" w:hAnsi="Arial" w:cs="Arial"/>
                <w:sz w:val="21"/>
                <w:szCs w:val="21"/>
              </w:rPr>
            </w:pPr>
            <w:r w:rsidRPr="00EE69E4">
              <w:rPr>
                <w:rFonts w:ascii="Arial" w:hAnsi="Arial" w:cs="Arial"/>
                <w:sz w:val="21"/>
                <w:szCs w:val="21"/>
              </w:rPr>
              <w:t>Research, evaluation and workforce development</w:t>
            </w:r>
          </w:p>
        </w:tc>
        <w:tc>
          <w:tcPr>
            <w:tcW w:w="2254" w:type="dxa"/>
          </w:tcPr>
          <w:p w14:paraId="13BDFFC6" w14:textId="06F100D5" w:rsidR="00C36300" w:rsidRPr="00EE69E4" w:rsidRDefault="00C36300" w:rsidP="00EE69E4">
            <w:pPr>
              <w:jc w:val="both"/>
              <w:rPr>
                <w:rFonts w:ascii="Arial" w:hAnsi="Arial" w:cs="Arial"/>
                <w:sz w:val="21"/>
                <w:szCs w:val="21"/>
              </w:rPr>
            </w:pPr>
            <w:r w:rsidRPr="00EE69E4">
              <w:rPr>
                <w:rFonts w:ascii="Arial" w:hAnsi="Arial" w:cs="Arial"/>
                <w:sz w:val="21"/>
                <w:szCs w:val="21"/>
              </w:rPr>
              <w:t>Low</w:t>
            </w:r>
          </w:p>
        </w:tc>
        <w:tc>
          <w:tcPr>
            <w:tcW w:w="2254" w:type="dxa"/>
          </w:tcPr>
          <w:p w14:paraId="7B0A0EB1" w14:textId="15F66F0A" w:rsidR="00C36300" w:rsidRPr="00EE69E4" w:rsidRDefault="00C36300" w:rsidP="00EE69E4">
            <w:pPr>
              <w:jc w:val="both"/>
              <w:rPr>
                <w:rFonts w:ascii="Arial" w:hAnsi="Arial" w:cs="Arial"/>
                <w:sz w:val="21"/>
                <w:szCs w:val="21"/>
              </w:rPr>
            </w:pPr>
            <w:r w:rsidRPr="00EE69E4">
              <w:rPr>
                <w:rFonts w:ascii="Arial" w:hAnsi="Arial" w:cs="Arial"/>
                <w:sz w:val="21"/>
                <w:szCs w:val="21"/>
              </w:rPr>
              <w:t>Medium</w:t>
            </w:r>
          </w:p>
        </w:tc>
      </w:tr>
      <w:tr w:rsidR="009C2F13" w:rsidRPr="00EE69E4" w14:paraId="7CBD3F95" w14:textId="77777777" w:rsidTr="00C36300">
        <w:tc>
          <w:tcPr>
            <w:tcW w:w="2254" w:type="dxa"/>
          </w:tcPr>
          <w:p w14:paraId="53593036" w14:textId="766C5FFC" w:rsidR="009C2F13" w:rsidRPr="00EE69E4" w:rsidRDefault="009C2F13" w:rsidP="00EE69E4">
            <w:pPr>
              <w:jc w:val="both"/>
              <w:rPr>
                <w:rFonts w:ascii="Arial" w:hAnsi="Arial" w:cs="Arial"/>
                <w:sz w:val="21"/>
                <w:szCs w:val="21"/>
              </w:rPr>
            </w:pPr>
            <w:r w:rsidRPr="00EE69E4">
              <w:rPr>
                <w:rFonts w:ascii="Arial" w:hAnsi="Arial" w:cs="Arial"/>
                <w:sz w:val="21"/>
                <w:szCs w:val="21"/>
              </w:rPr>
              <w:t>Patients, carers and general public</w:t>
            </w:r>
          </w:p>
        </w:tc>
        <w:tc>
          <w:tcPr>
            <w:tcW w:w="2254" w:type="dxa"/>
          </w:tcPr>
          <w:p w14:paraId="1F9B6F05" w14:textId="55ADE4F1" w:rsidR="009C2F13" w:rsidRPr="00EE69E4" w:rsidRDefault="009C2F13" w:rsidP="00EE69E4">
            <w:pPr>
              <w:jc w:val="both"/>
              <w:rPr>
                <w:rFonts w:ascii="Arial" w:hAnsi="Arial" w:cs="Arial"/>
                <w:sz w:val="21"/>
                <w:szCs w:val="21"/>
              </w:rPr>
            </w:pPr>
            <w:r w:rsidRPr="00EE69E4">
              <w:rPr>
                <w:rFonts w:ascii="Arial" w:hAnsi="Arial" w:cs="Arial"/>
                <w:sz w:val="21"/>
                <w:szCs w:val="21"/>
              </w:rPr>
              <w:t xml:space="preserve">End users of digital health services who provide feedback on accessibility, </w:t>
            </w:r>
            <w:r w:rsidRPr="00EE69E4">
              <w:rPr>
                <w:rFonts w:ascii="Arial" w:hAnsi="Arial" w:cs="Arial"/>
                <w:sz w:val="21"/>
                <w:szCs w:val="21"/>
              </w:rPr>
              <w:lastRenderedPageBreak/>
              <w:t>useability and care experience.</w:t>
            </w:r>
          </w:p>
        </w:tc>
        <w:tc>
          <w:tcPr>
            <w:tcW w:w="2254" w:type="dxa"/>
          </w:tcPr>
          <w:p w14:paraId="28FEDFC5" w14:textId="4C628CC6" w:rsidR="009C2F13" w:rsidRPr="00EE69E4" w:rsidRDefault="009C2F13" w:rsidP="00EE69E4">
            <w:pPr>
              <w:jc w:val="both"/>
              <w:rPr>
                <w:rFonts w:ascii="Arial" w:hAnsi="Arial" w:cs="Arial"/>
                <w:sz w:val="21"/>
                <w:szCs w:val="21"/>
              </w:rPr>
            </w:pPr>
            <w:r w:rsidRPr="00EE69E4">
              <w:rPr>
                <w:rFonts w:ascii="Arial" w:hAnsi="Arial" w:cs="Arial"/>
                <w:sz w:val="21"/>
                <w:szCs w:val="21"/>
              </w:rPr>
              <w:lastRenderedPageBreak/>
              <w:t>Medium</w:t>
            </w:r>
          </w:p>
        </w:tc>
        <w:tc>
          <w:tcPr>
            <w:tcW w:w="2254" w:type="dxa"/>
          </w:tcPr>
          <w:p w14:paraId="54DB50F2" w14:textId="2067A457" w:rsidR="009C2F13" w:rsidRPr="00EE69E4" w:rsidRDefault="009C2F13" w:rsidP="00EE69E4">
            <w:pPr>
              <w:jc w:val="both"/>
              <w:rPr>
                <w:rFonts w:ascii="Arial" w:hAnsi="Arial" w:cs="Arial"/>
                <w:sz w:val="21"/>
                <w:szCs w:val="21"/>
              </w:rPr>
            </w:pPr>
            <w:r w:rsidRPr="00EE69E4">
              <w:rPr>
                <w:rFonts w:ascii="Arial" w:hAnsi="Arial" w:cs="Arial"/>
                <w:sz w:val="21"/>
                <w:szCs w:val="21"/>
              </w:rPr>
              <w:t>High</w:t>
            </w:r>
          </w:p>
        </w:tc>
      </w:tr>
    </w:tbl>
    <w:p w14:paraId="51C194D8" w14:textId="03B799BB" w:rsidR="00C36300" w:rsidRPr="00EE69E4" w:rsidRDefault="00C36300" w:rsidP="00EE69E4">
      <w:pPr>
        <w:jc w:val="both"/>
        <w:rPr>
          <w:rFonts w:ascii="Arial" w:hAnsi="Arial" w:cs="Arial"/>
          <w:sz w:val="21"/>
          <w:szCs w:val="21"/>
        </w:rPr>
      </w:pPr>
      <w:r w:rsidRPr="00EE69E4">
        <w:rPr>
          <w:rFonts w:ascii="Arial" w:hAnsi="Arial" w:cs="Arial"/>
          <w:sz w:val="21"/>
          <w:szCs w:val="21"/>
        </w:rPr>
        <w:t>Table 2. External stakeholder analysis</w:t>
      </w:r>
    </w:p>
    <w:p w14:paraId="135440CF"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The stakeholder analysis demonstrates that successful digital transformation within ABUHB depends on collaboration between a diverse range of internal and external stakeholders. Internal stakeholders are responsible for implementing and adopting digital technologies, with each professional group contributing specialist expertise. Pharmacists support medication safety and ePMA optimisation, clinicians shape prescribing workflows, nurses contribute to medicines administration processes, and digital teams ensure technical functionality and system integration. Executive leaders provide strategic direction, funding, and organisational support, while information governance teams ensure compliance with data protection and cybersecurity requirements. The successful implementation of digital initiatives therefore relies on multidisciplinary collaboration focused on improving patient safety, efficiency, and quality of care.</w:t>
      </w:r>
    </w:p>
    <w:p w14:paraId="22470318"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External stakeholders provide the strategic, regulatory, and technical framework within which transformation occurs. Digital Health and Care Wales (DHCW) and the Welsh Government influence policy, funding, and national digital priorities, while suppliers provide the digital infrastructure and ongoing system support required for implementation. Regulatory organisations provide assurance and accountability, and integrated care partners, local authorities, and academic institutions support information sharing, innovation, and workforce development.</w:t>
      </w:r>
    </w:p>
    <w:p w14:paraId="194E648C"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Patients, carers, and citizens are also key stakeholders and should be viewed as active partners rather than passive recipients of care. Their experiences of patient portals, virtual consultations, appointment systems, and remote monitoring technologies provide valuable insight into the accessibility, usability, and effectiveness of digital services. Meaningful patient involvement throughout design, implementation, and evaluation can help improve access to care, reduce digital inequalities, and ensure digital transformation remains person-centred.</w:t>
      </w:r>
    </w:p>
    <w:p w14:paraId="6F740481" w14:textId="5453993E" w:rsidR="00F92316" w:rsidRPr="00A37983" w:rsidRDefault="00F92316" w:rsidP="00A37983">
      <w:pPr>
        <w:pStyle w:val="NormalWeb"/>
        <w:spacing w:line="300" w:lineRule="atLeast"/>
        <w:jc w:val="both"/>
        <w:rPr>
          <w:rFonts w:ascii="Arial" w:hAnsi="Arial" w:cs="Arial"/>
          <w:sz w:val="21"/>
          <w:szCs w:val="21"/>
        </w:rPr>
      </w:pPr>
      <w:r w:rsidRPr="00F92316">
        <w:rPr>
          <w:rFonts w:ascii="Arial" w:hAnsi="Arial" w:cs="Arial"/>
          <w:sz w:val="21"/>
          <w:szCs w:val="21"/>
        </w:rPr>
        <w:t xml:space="preserve">ABUHB's strategy requires both multidisciplinary and interdisciplinary working. Multidisciplinary working enables professionals to contribute specialist knowledge, whereas interdisciplinary working promotes shared decision-making and collective problem-solving. This is particularly important for initiatives such as ePMA, which affect prescribing, medicines administration, documentation, governance, and patient safety simultaneously. From my experience, professional groups often have different priorities and terminology, with digital teams focusing on system functionality and clinicians prioritising workflow efficiency and patient safety. Effective implementation therefore requires shared objectives and mutual understanding. Although collaboration is associated with greater technology acceptance and implementation success, </w:t>
      </w:r>
      <w:r w:rsidRPr="00A37983">
        <w:rPr>
          <w:rFonts w:ascii="Arial" w:hAnsi="Arial" w:cs="Arial"/>
          <w:sz w:val="21"/>
          <w:szCs w:val="21"/>
        </w:rPr>
        <w:t>organisations must balance inclusive participation with the need to maintain project momentum.</w:t>
      </w:r>
    </w:p>
    <w:p w14:paraId="7CA41ED7" w14:textId="77777777" w:rsidR="00A37983" w:rsidRPr="00A37983" w:rsidRDefault="00A37983" w:rsidP="00A37983">
      <w:pPr>
        <w:spacing w:after="0" w:line="300" w:lineRule="atLeast"/>
        <w:jc w:val="both"/>
        <w:rPr>
          <w:rFonts w:ascii="Arial" w:eastAsia="Times New Roman" w:hAnsi="Arial" w:cs="Arial"/>
          <w:sz w:val="21"/>
          <w:szCs w:val="21"/>
          <w:lang w:eastAsia="en-GB"/>
        </w:rPr>
      </w:pPr>
      <w:r w:rsidRPr="00A37983">
        <w:rPr>
          <w:rFonts w:ascii="Arial" w:eastAsia="Times New Roman" w:hAnsi="Arial" w:cs="Arial"/>
          <w:sz w:val="21"/>
          <w:szCs w:val="21"/>
          <w:lang w:eastAsia="en-GB"/>
        </w:rPr>
        <w:t>Although collaboration is associated with greater technology acceptance and implementation success (Boonstra et al., 2021), it can be time-intensive and may delay decision-making where stakeholder priorities conflict. Healthcare organisations must therefore balance inclusivity with the need to maintain project momentum and achieve strategic objectives.</w:t>
      </w:r>
    </w:p>
    <w:p w14:paraId="262AC2A8" w14:textId="77777777" w:rsidR="00A37983" w:rsidRPr="00F92316" w:rsidRDefault="00A37983" w:rsidP="00F92316">
      <w:pPr>
        <w:pStyle w:val="NormalWeb"/>
        <w:spacing w:line="300" w:lineRule="atLeast"/>
        <w:jc w:val="both"/>
        <w:rPr>
          <w:rFonts w:ascii="Arial" w:hAnsi="Arial" w:cs="Arial"/>
          <w:sz w:val="21"/>
          <w:szCs w:val="21"/>
        </w:rPr>
      </w:pPr>
    </w:p>
    <w:p w14:paraId="6072FBD4" w14:textId="58583BB1" w:rsidR="00236CC8" w:rsidRPr="00EE69E4" w:rsidRDefault="00236CC8" w:rsidP="00EE69E4">
      <w:pPr>
        <w:pStyle w:val="NormalWeb"/>
        <w:spacing w:line="300" w:lineRule="atLeast"/>
        <w:jc w:val="both"/>
        <w:rPr>
          <w:rFonts w:ascii="Arial" w:hAnsi="Arial" w:cs="Arial"/>
          <w:b/>
          <w:bCs/>
          <w:sz w:val="21"/>
          <w:szCs w:val="21"/>
          <w:u w:val="single"/>
        </w:rPr>
      </w:pPr>
      <w:r w:rsidRPr="00EE69E4">
        <w:rPr>
          <w:rFonts w:ascii="Arial" w:hAnsi="Arial" w:cs="Arial"/>
          <w:b/>
          <w:bCs/>
          <w:sz w:val="21"/>
          <w:szCs w:val="21"/>
          <w:u w:val="single"/>
        </w:rPr>
        <w:lastRenderedPageBreak/>
        <w:t>Effective Stakeholder engagement</w:t>
      </w:r>
    </w:p>
    <w:p w14:paraId="63BD789E"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Healthcare professionals should be engaged throughout all stages of implementation rather than solely during deployment. Workshops, pilot projects, user testing, and digital champion programmes can encourage participation, ownership, and successful adoption. Involving frontline clinicians, nurses, and pharmacists during ePMA implementation would allow workflow issues, safety concerns, and usability challenges to be identified before wider rollout.</w:t>
      </w:r>
    </w:p>
    <w:p w14:paraId="76C931AB"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In my experience, staff are more receptive to change when they feel their expertise is genuinely valued. Resistance often arises not because individuals oppose technology but because they believe decisions have already been made without meaningful consultation. Effective engagement therefore requires early and continuous involvement. Furthermore, engagement can become tokenistic if feedback is collected but does not influence decision-making. Organisations must demonstrate how stakeholder feedback informs project development and implementation.</w:t>
      </w:r>
    </w:p>
    <w:p w14:paraId="1F835905"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Different stakeholder groups require different engagement approaches. Healthcare professionals benefit from workshops, training, and user testing, while agencies and regulators are more effectively engaged through formal governance, reporting, and assurance processes. Patients, carers, and citizens should be involved through consultation events, surveys, focus groups, and co-production activities.</w:t>
      </w:r>
    </w:p>
    <w:p w14:paraId="0CFADDE0" w14:textId="6FD5D7DF" w:rsid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Reflecting critically, engagement should occur both separately and collectively. Separate engagement allows stakeholders to discuss role-specific concerns, while collective engagement promotes shared understanding and alignment of objectives. For example, clinicians may identify workflow challenges, patients may highlight usability issues, and digital teams may focus on technical limitations. Combining these perspectives can help develop digital solutions that are clinically effective, technically feasible, and patient-centred.</w:t>
      </w:r>
    </w:p>
    <w:p w14:paraId="79C7835D" w14:textId="7FE04AEF" w:rsidR="00A37983" w:rsidRPr="00A37983" w:rsidRDefault="00A37983" w:rsidP="00A37983">
      <w:pPr>
        <w:spacing w:after="0" w:line="300" w:lineRule="atLeast"/>
        <w:jc w:val="both"/>
        <w:rPr>
          <w:rFonts w:ascii="Arial" w:eastAsia="Times New Roman" w:hAnsi="Arial" w:cs="Arial"/>
          <w:sz w:val="21"/>
          <w:szCs w:val="21"/>
          <w:lang w:eastAsia="en-GB"/>
        </w:rPr>
      </w:pPr>
      <w:r w:rsidRPr="00A37983">
        <w:rPr>
          <w:rFonts w:ascii="Arial" w:eastAsia="Times New Roman" w:hAnsi="Arial" w:cs="Arial"/>
          <w:sz w:val="21"/>
          <w:szCs w:val="21"/>
          <w:lang w:eastAsia="en-GB"/>
        </w:rPr>
        <w:t>Furthermore, the level of engagement required may vary throughout the project lifecycle. Stakeholders should be involved not only during system design and implementation but also during post-implementation evaluation to ensure that intended benefits are realised and unintended consequences are identified.</w:t>
      </w:r>
    </w:p>
    <w:p w14:paraId="6D6C0C1C" w14:textId="6AFB71B4" w:rsidR="000C2AC9" w:rsidRPr="00EE69E4" w:rsidRDefault="00EE69E4" w:rsidP="00EE69E4">
      <w:pPr>
        <w:pStyle w:val="NormalWeb"/>
        <w:spacing w:line="300" w:lineRule="atLeast"/>
        <w:jc w:val="both"/>
        <w:rPr>
          <w:rFonts w:ascii="Arial" w:hAnsi="Arial" w:cs="Arial"/>
          <w:b/>
          <w:bCs/>
          <w:sz w:val="21"/>
          <w:szCs w:val="21"/>
          <w:u w:val="single"/>
        </w:rPr>
      </w:pPr>
      <w:r w:rsidRPr="00EE69E4">
        <w:rPr>
          <w:rFonts w:ascii="Arial" w:hAnsi="Arial" w:cs="Arial"/>
          <w:b/>
          <w:bCs/>
          <w:sz w:val="21"/>
          <w:szCs w:val="21"/>
          <w:u w:val="single"/>
        </w:rPr>
        <w:t>Personal Experience</w:t>
      </w:r>
    </w:p>
    <w:p w14:paraId="4AAAC55C"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Throughout my professional practice, I have used a variety of communication methods, including face-to-face meetings, MDT discussions, emails, training sessions, and informal conversations. Their effectiveness varies according to context and stakeholder group.</w:t>
      </w:r>
    </w:p>
    <w:p w14:paraId="146228E0"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Face-to-face communication has often been the most effective approach when discussing complex clinical issues or service changes. MDT meetings provide opportunities for immediate clarification, collaborative discussion, and shared decision-making. However, larger meetings can sometimes limit participation from quieter individuals, potentially restricting valuable contributions.</w:t>
      </w:r>
    </w:p>
    <w:p w14:paraId="14C6D3AC"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Email communication is useful for disseminating information efficiently and maintaining a record of decisions. However, it is less effective when discussing complex issues requiring interpretation or negotiation, as misunderstandings can occur and opportunities for clarification are limited.</w:t>
      </w:r>
    </w:p>
    <w:p w14:paraId="2AB32D1A"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lastRenderedPageBreak/>
        <w:t>Training sessions and demonstrations are particularly valuable when introducing new technologies. Interactive training enables staff to gain practical experience, ask questions, and understand the rationale for change. In my experience, adoption is more successful when staff feel confident using new systems and understand their benefits.</w:t>
      </w:r>
    </w:p>
    <w:p w14:paraId="36D5FA17"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These experiences have demonstrated that no single communication method is effective in all situations. Successful engagement requires a combination of approaches tailored to stakeholder needs. Communication should also be viewed as a two-way process, with opportunities for feedback and participation rather than simple information dissemination. Effective digital transformation therefore depends on ongoing communication, engagement, clarification, and collaboration.</w:t>
      </w:r>
    </w:p>
    <w:p w14:paraId="4989969B" w14:textId="2B9577A2" w:rsidR="00EE69E4" w:rsidRPr="00EE69E4" w:rsidRDefault="00EE69E4" w:rsidP="00EE69E4">
      <w:pPr>
        <w:pStyle w:val="NormalWeb"/>
        <w:spacing w:line="300" w:lineRule="atLeast"/>
        <w:jc w:val="both"/>
        <w:rPr>
          <w:rFonts w:ascii="Arial" w:hAnsi="Arial" w:cs="Arial"/>
          <w:b/>
          <w:bCs/>
          <w:sz w:val="21"/>
          <w:szCs w:val="21"/>
          <w:u w:val="single"/>
        </w:rPr>
      </w:pPr>
      <w:r w:rsidRPr="00EE69E4">
        <w:rPr>
          <w:rFonts w:ascii="Arial" w:hAnsi="Arial" w:cs="Arial"/>
          <w:b/>
          <w:bCs/>
          <w:sz w:val="21"/>
          <w:szCs w:val="21"/>
          <w:u w:val="single"/>
        </w:rPr>
        <w:t>Balancing Consensus and Constructive Challenge</w:t>
      </w:r>
    </w:p>
    <w:p w14:paraId="04CAB9E4"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Achieving consensus is important because it promotes collaboration, shared ownership, and commitment to change. However, consensus can lead to groupthink if individuals prioritise agreement over critical evaluation. During digital transformation, this may result in concerns relating to workflow design, patient safety, usability, or training being overlooked.</w:t>
      </w:r>
    </w:p>
    <w:p w14:paraId="704A15A0"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From my experience, professional hierarchies can influence discussions, with senior clinicians, managers, or more assertive individuals contributing more frequently than others. However, frontline staff, including nurses, healthcare scientists, administrative staff, and junior clinicians, often identify practical challenges that may significantly affect system adoption and effectiveness.</w:t>
      </w:r>
    </w:p>
    <w:p w14:paraId="652C84FF"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Several strategies can help reduce the risk of groupthink. Skilled facilitation, structured discussions, anonymous surveys, and digital feedback tools can provide opportunities for quieter individuals to contribute. Creating psychological safety is equally important, ensuring stakeholders feel comfortable challenging decisions and raising concerns without fear of criticism.</w:t>
      </w:r>
    </w:p>
    <w:p w14:paraId="77F71DCC" w14:textId="77777777" w:rsidR="00F92316" w:rsidRPr="00F92316" w:rsidRDefault="00F92316" w:rsidP="00F92316">
      <w:pPr>
        <w:pStyle w:val="NormalWeb"/>
        <w:spacing w:line="300" w:lineRule="atLeast"/>
        <w:jc w:val="both"/>
        <w:rPr>
          <w:rFonts w:ascii="Arial" w:hAnsi="Arial" w:cs="Arial"/>
          <w:sz w:val="21"/>
          <w:szCs w:val="21"/>
        </w:rPr>
      </w:pPr>
      <w:r w:rsidRPr="00F92316">
        <w:rPr>
          <w:rFonts w:ascii="Arial" w:hAnsi="Arial" w:cs="Arial"/>
          <w:sz w:val="21"/>
          <w:szCs w:val="21"/>
        </w:rPr>
        <w:t>Reflecting critically, successful implementation of ABUHB's digital transformation strategy depends on balancing consensus with constructive challenge. While agreement is necessary to maintain momentum, stakeholders must also feel able to question assumptions and identify risks. Encouraging contributions from diverse professional groups, patients, and partner organisations can improve decision-making, strengthen engagement, and increase the likelihood that digital solutions are successfully adopted and sustained.</w:t>
      </w:r>
    </w:p>
    <w:p w14:paraId="4BB3F64F" w14:textId="10BE3B6A" w:rsidR="00EE69E4" w:rsidRPr="00EE69E4" w:rsidRDefault="00EE69E4" w:rsidP="00EE69E4">
      <w:pPr>
        <w:pStyle w:val="NormalWeb"/>
        <w:spacing w:line="300" w:lineRule="atLeast"/>
        <w:jc w:val="both"/>
        <w:rPr>
          <w:rFonts w:ascii="Arial" w:hAnsi="Arial" w:cs="Arial"/>
          <w:b/>
          <w:bCs/>
          <w:sz w:val="21"/>
          <w:szCs w:val="21"/>
          <w:u w:val="single"/>
        </w:rPr>
      </w:pPr>
      <w:r w:rsidRPr="00EE69E4">
        <w:rPr>
          <w:rFonts w:ascii="Arial" w:hAnsi="Arial" w:cs="Arial"/>
          <w:b/>
          <w:bCs/>
          <w:sz w:val="21"/>
          <w:szCs w:val="21"/>
          <w:u w:val="single"/>
        </w:rPr>
        <w:t>Conclusion</w:t>
      </w:r>
    </w:p>
    <w:p w14:paraId="09F6F714" w14:textId="77777777" w:rsidR="00F92316" w:rsidRPr="00F92316" w:rsidRDefault="00F92316" w:rsidP="00F92316">
      <w:pPr>
        <w:spacing w:after="0" w:line="300" w:lineRule="atLeast"/>
        <w:jc w:val="both"/>
        <w:rPr>
          <w:rFonts w:ascii="Arial" w:eastAsia="Times New Roman" w:hAnsi="Arial" w:cs="Arial"/>
          <w:sz w:val="21"/>
          <w:szCs w:val="21"/>
          <w:lang w:eastAsia="en-GB"/>
        </w:rPr>
      </w:pPr>
      <w:r w:rsidRPr="00F92316">
        <w:rPr>
          <w:rFonts w:ascii="Arial" w:eastAsia="Times New Roman" w:hAnsi="Arial" w:cs="Arial"/>
          <w:sz w:val="21"/>
          <w:szCs w:val="21"/>
          <w:lang w:eastAsia="en-GB"/>
        </w:rPr>
        <w:t>Successful implementation of ABUHB's digital transformation strategy depends on effective multidisciplinary and interdisciplinary collaboration between healthcare professionals, external agencies, regulators, patients, and citizens. While technology provides the tools for change, successful adoption relies on meaningful stakeholder engagement, effective communication, and inclusive decision-making. Reflecting on my own experience, communication methods should be tailored to different stakeholder groups and encourage participation rather than passive information sharing. By balancing consensus with constructive challenge and promoting patient-centred collaboration, ABUHB is more likely to achieve sustainable digital transformation that improves patient outcomes, staff experience, and service quality.</w:t>
      </w:r>
    </w:p>
    <w:p w14:paraId="6CFA176A" w14:textId="344CAD7B" w:rsidR="00EE69E4" w:rsidRDefault="00EE69E4" w:rsidP="00EE69E4">
      <w:pPr>
        <w:pStyle w:val="NormalWeb"/>
        <w:spacing w:line="300" w:lineRule="atLeast"/>
        <w:jc w:val="both"/>
        <w:rPr>
          <w:rFonts w:ascii="Arial" w:hAnsi="Arial" w:cs="Arial"/>
          <w:b/>
          <w:bCs/>
          <w:sz w:val="21"/>
          <w:szCs w:val="21"/>
          <w:u w:val="single"/>
        </w:rPr>
      </w:pPr>
      <w:r>
        <w:rPr>
          <w:rFonts w:ascii="Arial" w:hAnsi="Arial" w:cs="Arial"/>
          <w:b/>
          <w:bCs/>
          <w:sz w:val="21"/>
          <w:szCs w:val="21"/>
          <w:u w:val="single"/>
        </w:rPr>
        <w:lastRenderedPageBreak/>
        <w:t>References</w:t>
      </w:r>
    </w:p>
    <w:p w14:paraId="3CDCD976" w14:textId="23B8F9A0" w:rsidR="00EE69E4" w:rsidRDefault="00EE69E4" w:rsidP="00EE69E4">
      <w:pPr>
        <w:spacing w:after="0" w:line="300" w:lineRule="atLeast"/>
        <w:rPr>
          <w:rFonts w:ascii="Arial" w:eastAsia="Times New Roman" w:hAnsi="Arial" w:cs="Arial"/>
          <w:sz w:val="21"/>
          <w:szCs w:val="21"/>
          <w:lang w:eastAsia="en-GB"/>
        </w:rPr>
      </w:pPr>
      <w:r w:rsidRPr="00EE69E4">
        <w:rPr>
          <w:rFonts w:ascii="Arial" w:eastAsia="Times New Roman" w:hAnsi="Arial" w:cs="Arial"/>
          <w:sz w:val="21"/>
          <w:szCs w:val="21"/>
          <w:lang w:eastAsia="en-GB"/>
        </w:rPr>
        <w:t xml:space="preserve">Cresswell, K.M. and Sheikh, A. (2013) ‘Organizational issues in the implementation and adoption of health information technology innovations: an interpretative review’, </w:t>
      </w:r>
      <w:r w:rsidRPr="00EE69E4">
        <w:rPr>
          <w:rFonts w:ascii="Arial" w:eastAsia="Times New Roman" w:hAnsi="Arial" w:cs="Arial"/>
          <w:i/>
          <w:iCs/>
          <w:sz w:val="21"/>
          <w:szCs w:val="21"/>
          <w:lang w:eastAsia="en-GB"/>
        </w:rPr>
        <w:t>International Journal of Medical Informatics</w:t>
      </w:r>
      <w:r w:rsidRPr="00EE69E4">
        <w:rPr>
          <w:rFonts w:ascii="Arial" w:eastAsia="Times New Roman" w:hAnsi="Arial" w:cs="Arial"/>
          <w:sz w:val="21"/>
          <w:szCs w:val="21"/>
          <w:lang w:eastAsia="en-GB"/>
        </w:rPr>
        <w:t>, 82(5), pp. e73-e86. Available at: https://doi.org/10.1016/j.ijmedinf.2012.10.007 (Accessed: 2</w:t>
      </w:r>
      <w:r w:rsidRPr="00C93FF3">
        <w:rPr>
          <w:rFonts w:ascii="Arial" w:eastAsia="Times New Roman" w:hAnsi="Arial" w:cs="Arial"/>
          <w:sz w:val="21"/>
          <w:szCs w:val="21"/>
          <w:lang w:eastAsia="en-GB"/>
        </w:rPr>
        <w:t>3</w:t>
      </w:r>
      <w:r w:rsidRPr="00EE69E4">
        <w:rPr>
          <w:rFonts w:ascii="Arial" w:eastAsia="Times New Roman" w:hAnsi="Arial" w:cs="Arial"/>
          <w:sz w:val="21"/>
          <w:szCs w:val="21"/>
          <w:lang w:eastAsia="en-GB"/>
        </w:rPr>
        <w:t xml:space="preserve"> July 2026).</w:t>
      </w:r>
    </w:p>
    <w:p w14:paraId="0A4D2F7E" w14:textId="77777777" w:rsidR="00C93FF3" w:rsidRPr="00EE69E4" w:rsidRDefault="00C93FF3" w:rsidP="00EE69E4">
      <w:pPr>
        <w:spacing w:after="0" w:line="300" w:lineRule="atLeast"/>
        <w:rPr>
          <w:rFonts w:ascii="Arial" w:eastAsia="Times New Roman" w:hAnsi="Arial" w:cs="Arial"/>
          <w:sz w:val="21"/>
          <w:szCs w:val="21"/>
          <w:lang w:eastAsia="en-GB"/>
        </w:rPr>
      </w:pPr>
    </w:p>
    <w:p w14:paraId="4F290F12" w14:textId="765618BD" w:rsidR="00C93FF3" w:rsidRPr="00C93FF3" w:rsidRDefault="00C93FF3" w:rsidP="00C93FF3">
      <w:pPr>
        <w:rPr>
          <w:rFonts w:ascii="Arial" w:hAnsi="Arial" w:cs="Arial"/>
          <w:sz w:val="21"/>
          <w:szCs w:val="21"/>
        </w:rPr>
      </w:pPr>
      <w:r w:rsidRPr="00C93FF3">
        <w:rPr>
          <w:rFonts w:ascii="Arial" w:hAnsi="Arial" w:cs="Arial"/>
          <w:sz w:val="21"/>
          <w:szCs w:val="21"/>
        </w:rPr>
        <w:t xml:space="preserve">Audit Wales (2026) </w:t>
      </w:r>
      <w:r w:rsidRPr="00C93FF3">
        <w:rPr>
          <w:rStyle w:val="Emphasis"/>
          <w:rFonts w:ascii="Arial" w:hAnsi="Arial" w:cs="Arial"/>
          <w:sz w:val="21"/>
          <w:szCs w:val="21"/>
        </w:rPr>
        <w:t>Aneurin Bevan University Health Board: Digital Transformation</w:t>
      </w:r>
      <w:r w:rsidRPr="00C93FF3">
        <w:rPr>
          <w:rFonts w:ascii="Arial" w:hAnsi="Arial" w:cs="Arial"/>
          <w:sz w:val="21"/>
          <w:szCs w:val="21"/>
        </w:rPr>
        <w:t xml:space="preserve">. Cardiff: Audit Wales. Available at: https://www.audit.wales/sites/default/files/publications/5331A2026_Aneurin_Bevan_UHB_Digital_Transformation_Eng.pdf (Accessed: </w:t>
      </w:r>
      <w:r w:rsidRPr="00C93FF3">
        <w:rPr>
          <w:rFonts w:ascii="Arial" w:hAnsi="Arial" w:cs="Arial"/>
          <w:sz w:val="21"/>
          <w:szCs w:val="21"/>
        </w:rPr>
        <w:t>23</w:t>
      </w:r>
      <w:r w:rsidRPr="00C93FF3">
        <w:rPr>
          <w:rFonts w:ascii="Arial" w:hAnsi="Arial" w:cs="Arial"/>
          <w:sz w:val="21"/>
          <w:szCs w:val="21"/>
        </w:rPr>
        <w:t xml:space="preserve"> July 2026).</w:t>
      </w:r>
    </w:p>
    <w:p w14:paraId="168A37E5" w14:textId="77777777" w:rsidR="00C93FF3" w:rsidRDefault="00C93FF3" w:rsidP="00C93FF3">
      <w:pPr>
        <w:spacing w:after="0" w:line="300" w:lineRule="atLeast"/>
        <w:rPr>
          <w:rFonts w:ascii="Arial" w:eastAsia="Times New Roman" w:hAnsi="Arial" w:cs="Arial"/>
          <w:sz w:val="21"/>
          <w:szCs w:val="21"/>
          <w:lang w:eastAsia="en-GB"/>
        </w:rPr>
      </w:pPr>
      <w:r w:rsidRPr="00F72082">
        <w:rPr>
          <w:rFonts w:ascii="Arial" w:eastAsia="Times New Roman" w:hAnsi="Arial" w:cs="Arial"/>
          <w:sz w:val="21"/>
          <w:szCs w:val="21"/>
          <w:lang w:eastAsia="en-GB"/>
        </w:rPr>
        <w:t xml:space="preserve">Boonstra, A., Versluis, A. and Vos, J.F.J. (2021) ‘Implementing electronic health records in hospitals: a systematic literature review’, </w:t>
      </w:r>
      <w:r w:rsidRPr="00F72082">
        <w:rPr>
          <w:rFonts w:ascii="Arial" w:eastAsia="Times New Roman" w:hAnsi="Arial" w:cs="Arial"/>
          <w:i/>
          <w:iCs/>
          <w:sz w:val="21"/>
          <w:szCs w:val="21"/>
          <w:lang w:eastAsia="en-GB"/>
        </w:rPr>
        <w:t>BMC Health Services Research</w:t>
      </w:r>
      <w:r w:rsidRPr="00F72082">
        <w:rPr>
          <w:rFonts w:ascii="Arial" w:eastAsia="Times New Roman" w:hAnsi="Arial" w:cs="Arial"/>
          <w:sz w:val="21"/>
          <w:szCs w:val="21"/>
          <w:lang w:eastAsia="en-GB"/>
        </w:rPr>
        <w:t>, 21, p. 370. doi: 10.1186/s12913-021-06369-0.</w:t>
      </w:r>
    </w:p>
    <w:p w14:paraId="7CA80426" w14:textId="77777777" w:rsidR="00EE69E4" w:rsidRPr="00EE69E4" w:rsidRDefault="00EE69E4" w:rsidP="00EE69E4">
      <w:pPr>
        <w:pStyle w:val="NormalWeb"/>
        <w:spacing w:line="300" w:lineRule="atLeast"/>
        <w:jc w:val="both"/>
        <w:rPr>
          <w:rFonts w:ascii="Arial" w:hAnsi="Arial" w:cs="Arial"/>
          <w:b/>
          <w:bCs/>
          <w:sz w:val="21"/>
          <w:szCs w:val="21"/>
          <w:u w:val="single"/>
        </w:rPr>
      </w:pPr>
    </w:p>
    <w:sectPr w:rsidR="00EE69E4" w:rsidRPr="00EE69E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06343" w14:textId="77777777" w:rsidR="00C4563D" w:rsidRDefault="00C4563D" w:rsidP="000179A0">
      <w:pPr>
        <w:spacing w:after="0" w:line="240" w:lineRule="auto"/>
      </w:pPr>
      <w:r>
        <w:separator/>
      </w:r>
    </w:p>
  </w:endnote>
  <w:endnote w:type="continuationSeparator" w:id="0">
    <w:p w14:paraId="43A902F1" w14:textId="77777777" w:rsidR="00C4563D" w:rsidRDefault="00C4563D" w:rsidP="00017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A68E3" w14:textId="77777777" w:rsidR="000179A0" w:rsidRDefault="000179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556998"/>
      <w:docPartObj>
        <w:docPartGallery w:val="Page Numbers (Bottom of Page)"/>
        <w:docPartUnique/>
      </w:docPartObj>
    </w:sdtPr>
    <w:sdtContent>
      <w:p w14:paraId="0DA7A13F" w14:textId="5822D9FC" w:rsidR="000179A0" w:rsidRDefault="000179A0">
        <w:pPr>
          <w:pStyle w:val="Footer"/>
        </w:pPr>
        <w:r>
          <w:fldChar w:fldCharType="begin"/>
        </w:r>
        <w:r>
          <w:instrText>PAGE   \* MERGEFORMAT</w:instrText>
        </w:r>
        <w:r>
          <w:fldChar w:fldCharType="separate"/>
        </w:r>
        <w:r>
          <w:t>2</w:t>
        </w:r>
        <w:r>
          <w:fldChar w:fldCharType="end"/>
        </w:r>
      </w:p>
    </w:sdtContent>
  </w:sdt>
  <w:p w14:paraId="73EDA99D" w14:textId="77777777" w:rsidR="000179A0" w:rsidRDefault="000179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ABD94" w14:textId="77777777" w:rsidR="000179A0" w:rsidRDefault="00017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E1CEB" w14:textId="77777777" w:rsidR="00C4563D" w:rsidRDefault="00C4563D" w:rsidP="000179A0">
      <w:pPr>
        <w:spacing w:after="0" w:line="240" w:lineRule="auto"/>
      </w:pPr>
      <w:r>
        <w:separator/>
      </w:r>
    </w:p>
  </w:footnote>
  <w:footnote w:type="continuationSeparator" w:id="0">
    <w:p w14:paraId="1AF5378A" w14:textId="77777777" w:rsidR="00C4563D" w:rsidRDefault="00C4563D" w:rsidP="00017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CFE8E" w14:textId="77777777" w:rsidR="000179A0" w:rsidRDefault="000179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A5AB4" w14:textId="02F90C9C" w:rsidR="000179A0" w:rsidRDefault="000179A0">
    <w:pPr>
      <w:pStyle w:val="Header"/>
    </w:pPr>
    <w:r>
      <w:t>Jessica Kirkham-Jones 2512250</w:t>
    </w:r>
  </w:p>
  <w:p w14:paraId="162846F5" w14:textId="77777777" w:rsidR="000179A0" w:rsidRDefault="000179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F630C" w14:textId="77777777" w:rsidR="000179A0" w:rsidRDefault="000179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6A4"/>
    <w:rsid w:val="000179A0"/>
    <w:rsid w:val="000C2AC9"/>
    <w:rsid w:val="00236CC8"/>
    <w:rsid w:val="004D387B"/>
    <w:rsid w:val="005F34BF"/>
    <w:rsid w:val="00687E3C"/>
    <w:rsid w:val="007446C4"/>
    <w:rsid w:val="007809B3"/>
    <w:rsid w:val="008A01CA"/>
    <w:rsid w:val="008B52C4"/>
    <w:rsid w:val="009C2F13"/>
    <w:rsid w:val="00A37983"/>
    <w:rsid w:val="00B456A4"/>
    <w:rsid w:val="00BE3025"/>
    <w:rsid w:val="00C36300"/>
    <w:rsid w:val="00C4563D"/>
    <w:rsid w:val="00C93FF3"/>
    <w:rsid w:val="00DB790B"/>
    <w:rsid w:val="00EE69E4"/>
    <w:rsid w:val="00F92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02C60"/>
  <w15:chartTrackingRefBased/>
  <w15:docId w15:val="{68778761-659C-4083-9B68-DE5E6AB2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456A4"/>
    <w:rPr>
      <w:i/>
      <w:iCs/>
    </w:rPr>
  </w:style>
  <w:style w:type="table" w:styleId="TableGrid">
    <w:name w:val="Table Grid"/>
    <w:basedOn w:val="TableNormal"/>
    <w:uiPriority w:val="39"/>
    <w:rsid w:val="000C2A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F34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C2F13"/>
    <w:rPr>
      <w:b/>
      <w:bCs/>
    </w:rPr>
  </w:style>
  <w:style w:type="paragraph" w:styleId="Header">
    <w:name w:val="header"/>
    <w:basedOn w:val="Normal"/>
    <w:link w:val="HeaderChar"/>
    <w:uiPriority w:val="99"/>
    <w:unhideWhenUsed/>
    <w:rsid w:val="000179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9A0"/>
  </w:style>
  <w:style w:type="paragraph" w:styleId="Footer">
    <w:name w:val="footer"/>
    <w:basedOn w:val="Normal"/>
    <w:link w:val="FooterChar"/>
    <w:uiPriority w:val="99"/>
    <w:unhideWhenUsed/>
    <w:rsid w:val="000179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9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77366">
      <w:bodyDiv w:val="1"/>
      <w:marLeft w:val="0"/>
      <w:marRight w:val="0"/>
      <w:marTop w:val="0"/>
      <w:marBottom w:val="0"/>
      <w:divBdr>
        <w:top w:val="none" w:sz="0" w:space="0" w:color="auto"/>
        <w:left w:val="none" w:sz="0" w:space="0" w:color="auto"/>
        <w:bottom w:val="none" w:sz="0" w:space="0" w:color="auto"/>
        <w:right w:val="none" w:sz="0" w:space="0" w:color="auto"/>
      </w:divBdr>
      <w:divsChild>
        <w:div w:id="682823257">
          <w:marLeft w:val="0"/>
          <w:marRight w:val="0"/>
          <w:marTop w:val="0"/>
          <w:marBottom w:val="0"/>
          <w:divBdr>
            <w:top w:val="none" w:sz="0" w:space="0" w:color="auto"/>
            <w:left w:val="none" w:sz="0" w:space="0" w:color="auto"/>
            <w:bottom w:val="none" w:sz="0" w:space="0" w:color="auto"/>
            <w:right w:val="none" w:sz="0" w:space="0" w:color="auto"/>
          </w:divBdr>
        </w:div>
      </w:divsChild>
    </w:div>
    <w:div w:id="99303013">
      <w:bodyDiv w:val="1"/>
      <w:marLeft w:val="0"/>
      <w:marRight w:val="0"/>
      <w:marTop w:val="0"/>
      <w:marBottom w:val="0"/>
      <w:divBdr>
        <w:top w:val="none" w:sz="0" w:space="0" w:color="auto"/>
        <w:left w:val="none" w:sz="0" w:space="0" w:color="auto"/>
        <w:bottom w:val="none" w:sz="0" w:space="0" w:color="auto"/>
        <w:right w:val="none" w:sz="0" w:space="0" w:color="auto"/>
      </w:divBdr>
      <w:divsChild>
        <w:div w:id="1814591229">
          <w:marLeft w:val="0"/>
          <w:marRight w:val="0"/>
          <w:marTop w:val="0"/>
          <w:marBottom w:val="0"/>
          <w:divBdr>
            <w:top w:val="none" w:sz="0" w:space="0" w:color="auto"/>
            <w:left w:val="none" w:sz="0" w:space="0" w:color="auto"/>
            <w:bottom w:val="none" w:sz="0" w:space="0" w:color="auto"/>
            <w:right w:val="none" w:sz="0" w:space="0" w:color="auto"/>
          </w:divBdr>
        </w:div>
      </w:divsChild>
    </w:div>
    <w:div w:id="152793929">
      <w:bodyDiv w:val="1"/>
      <w:marLeft w:val="0"/>
      <w:marRight w:val="0"/>
      <w:marTop w:val="0"/>
      <w:marBottom w:val="0"/>
      <w:divBdr>
        <w:top w:val="none" w:sz="0" w:space="0" w:color="auto"/>
        <w:left w:val="none" w:sz="0" w:space="0" w:color="auto"/>
        <w:bottom w:val="none" w:sz="0" w:space="0" w:color="auto"/>
        <w:right w:val="none" w:sz="0" w:space="0" w:color="auto"/>
      </w:divBdr>
      <w:divsChild>
        <w:div w:id="1560820840">
          <w:marLeft w:val="0"/>
          <w:marRight w:val="0"/>
          <w:marTop w:val="0"/>
          <w:marBottom w:val="0"/>
          <w:divBdr>
            <w:top w:val="none" w:sz="0" w:space="0" w:color="auto"/>
            <w:left w:val="none" w:sz="0" w:space="0" w:color="auto"/>
            <w:bottom w:val="none" w:sz="0" w:space="0" w:color="auto"/>
            <w:right w:val="none" w:sz="0" w:space="0" w:color="auto"/>
          </w:divBdr>
        </w:div>
      </w:divsChild>
    </w:div>
    <w:div w:id="185289006">
      <w:bodyDiv w:val="1"/>
      <w:marLeft w:val="0"/>
      <w:marRight w:val="0"/>
      <w:marTop w:val="0"/>
      <w:marBottom w:val="0"/>
      <w:divBdr>
        <w:top w:val="none" w:sz="0" w:space="0" w:color="auto"/>
        <w:left w:val="none" w:sz="0" w:space="0" w:color="auto"/>
        <w:bottom w:val="none" w:sz="0" w:space="0" w:color="auto"/>
        <w:right w:val="none" w:sz="0" w:space="0" w:color="auto"/>
      </w:divBdr>
      <w:divsChild>
        <w:div w:id="1010258766">
          <w:marLeft w:val="0"/>
          <w:marRight w:val="0"/>
          <w:marTop w:val="0"/>
          <w:marBottom w:val="0"/>
          <w:divBdr>
            <w:top w:val="none" w:sz="0" w:space="0" w:color="auto"/>
            <w:left w:val="none" w:sz="0" w:space="0" w:color="auto"/>
            <w:bottom w:val="none" w:sz="0" w:space="0" w:color="auto"/>
            <w:right w:val="none" w:sz="0" w:space="0" w:color="auto"/>
          </w:divBdr>
        </w:div>
      </w:divsChild>
    </w:div>
    <w:div w:id="263609216">
      <w:bodyDiv w:val="1"/>
      <w:marLeft w:val="0"/>
      <w:marRight w:val="0"/>
      <w:marTop w:val="0"/>
      <w:marBottom w:val="0"/>
      <w:divBdr>
        <w:top w:val="none" w:sz="0" w:space="0" w:color="auto"/>
        <w:left w:val="none" w:sz="0" w:space="0" w:color="auto"/>
        <w:bottom w:val="none" w:sz="0" w:space="0" w:color="auto"/>
        <w:right w:val="none" w:sz="0" w:space="0" w:color="auto"/>
      </w:divBdr>
      <w:divsChild>
        <w:div w:id="1091705481">
          <w:marLeft w:val="0"/>
          <w:marRight w:val="0"/>
          <w:marTop w:val="0"/>
          <w:marBottom w:val="0"/>
          <w:divBdr>
            <w:top w:val="none" w:sz="0" w:space="0" w:color="auto"/>
            <w:left w:val="none" w:sz="0" w:space="0" w:color="auto"/>
            <w:bottom w:val="none" w:sz="0" w:space="0" w:color="auto"/>
            <w:right w:val="none" w:sz="0" w:space="0" w:color="auto"/>
          </w:divBdr>
        </w:div>
      </w:divsChild>
    </w:div>
    <w:div w:id="266350946">
      <w:bodyDiv w:val="1"/>
      <w:marLeft w:val="0"/>
      <w:marRight w:val="0"/>
      <w:marTop w:val="0"/>
      <w:marBottom w:val="0"/>
      <w:divBdr>
        <w:top w:val="none" w:sz="0" w:space="0" w:color="auto"/>
        <w:left w:val="none" w:sz="0" w:space="0" w:color="auto"/>
        <w:bottom w:val="none" w:sz="0" w:space="0" w:color="auto"/>
        <w:right w:val="none" w:sz="0" w:space="0" w:color="auto"/>
      </w:divBdr>
      <w:divsChild>
        <w:div w:id="498886553">
          <w:marLeft w:val="0"/>
          <w:marRight w:val="0"/>
          <w:marTop w:val="0"/>
          <w:marBottom w:val="0"/>
          <w:divBdr>
            <w:top w:val="none" w:sz="0" w:space="0" w:color="auto"/>
            <w:left w:val="none" w:sz="0" w:space="0" w:color="auto"/>
            <w:bottom w:val="none" w:sz="0" w:space="0" w:color="auto"/>
            <w:right w:val="none" w:sz="0" w:space="0" w:color="auto"/>
          </w:divBdr>
        </w:div>
      </w:divsChild>
    </w:div>
    <w:div w:id="390278273">
      <w:bodyDiv w:val="1"/>
      <w:marLeft w:val="0"/>
      <w:marRight w:val="0"/>
      <w:marTop w:val="0"/>
      <w:marBottom w:val="0"/>
      <w:divBdr>
        <w:top w:val="none" w:sz="0" w:space="0" w:color="auto"/>
        <w:left w:val="none" w:sz="0" w:space="0" w:color="auto"/>
        <w:bottom w:val="none" w:sz="0" w:space="0" w:color="auto"/>
        <w:right w:val="none" w:sz="0" w:space="0" w:color="auto"/>
      </w:divBdr>
      <w:divsChild>
        <w:div w:id="252398861">
          <w:marLeft w:val="0"/>
          <w:marRight w:val="0"/>
          <w:marTop w:val="0"/>
          <w:marBottom w:val="0"/>
          <w:divBdr>
            <w:top w:val="none" w:sz="0" w:space="0" w:color="auto"/>
            <w:left w:val="none" w:sz="0" w:space="0" w:color="auto"/>
            <w:bottom w:val="none" w:sz="0" w:space="0" w:color="auto"/>
            <w:right w:val="none" w:sz="0" w:space="0" w:color="auto"/>
          </w:divBdr>
        </w:div>
      </w:divsChild>
    </w:div>
    <w:div w:id="474643261">
      <w:bodyDiv w:val="1"/>
      <w:marLeft w:val="0"/>
      <w:marRight w:val="0"/>
      <w:marTop w:val="0"/>
      <w:marBottom w:val="0"/>
      <w:divBdr>
        <w:top w:val="none" w:sz="0" w:space="0" w:color="auto"/>
        <w:left w:val="none" w:sz="0" w:space="0" w:color="auto"/>
        <w:bottom w:val="none" w:sz="0" w:space="0" w:color="auto"/>
        <w:right w:val="none" w:sz="0" w:space="0" w:color="auto"/>
      </w:divBdr>
      <w:divsChild>
        <w:div w:id="1464808726">
          <w:marLeft w:val="0"/>
          <w:marRight w:val="0"/>
          <w:marTop w:val="0"/>
          <w:marBottom w:val="0"/>
          <w:divBdr>
            <w:top w:val="none" w:sz="0" w:space="0" w:color="auto"/>
            <w:left w:val="none" w:sz="0" w:space="0" w:color="auto"/>
            <w:bottom w:val="none" w:sz="0" w:space="0" w:color="auto"/>
            <w:right w:val="none" w:sz="0" w:space="0" w:color="auto"/>
          </w:divBdr>
        </w:div>
      </w:divsChild>
    </w:div>
    <w:div w:id="639460029">
      <w:bodyDiv w:val="1"/>
      <w:marLeft w:val="0"/>
      <w:marRight w:val="0"/>
      <w:marTop w:val="0"/>
      <w:marBottom w:val="0"/>
      <w:divBdr>
        <w:top w:val="none" w:sz="0" w:space="0" w:color="auto"/>
        <w:left w:val="none" w:sz="0" w:space="0" w:color="auto"/>
        <w:bottom w:val="none" w:sz="0" w:space="0" w:color="auto"/>
        <w:right w:val="none" w:sz="0" w:space="0" w:color="auto"/>
      </w:divBdr>
      <w:divsChild>
        <w:div w:id="2120756668">
          <w:marLeft w:val="0"/>
          <w:marRight w:val="0"/>
          <w:marTop w:val="0"/>
          <w:marBottom w:val="0"/>
          <w:divBdr>
            <w:top w:val="none" w:sz="0" w:space="0" w:color="auto"/>
            <w:left w:val="none" w:sz="0" w:space="0" w:color="auto"/>
            <w:bottom w:val="none" w:sz="0" w:space="0" w:color="auto"/>
            <w:right w:val="none" w:sz="0" w:space="0" w:color="auto"/>
          </w:divBdr>
        </w:div>
      </w:divsChild>
    </w:div>
    <w:div w:id="664478067">
      <w:bodyDiv w:val="1"/>
      <w:marLeft w:val="0"/>
      <w:marRight w:val="0"/>
      <w:marTop w:val="0"/>
      <w:marBottom w:val="0"/>
      <w:divBdr>
        <w:top w:val="none" w:sz="0" w:space="0" w:color="auto"/>
        <w:left w:val="none" w:sz="0" w:space="0" w:color="auto"/>
        <w:bottom w:val="none" w:sz="0" w:space="0" w:color="auto"/>
        <w:right w:val="none" w:sz="0" w:space="0" w:color="auto"/>
      </w:divBdr>
      <w:divsChild>
        <w:div w:id="374695167">
          <w:marLeft w:val="0"/>
          <w:marRight w:val="0"/>
          <w:marTop w:val="0"/>
          <w:marBottom w:val="0"/>
          <w:divBdr>
            <w:top w:val="none" w:sz="0" w:space="0" w:color="auto"/>
            <w:left w:val="none" w:sz="0" w:space="0" w:color="auto"/>
            <w:bottom w:val="none" w:sz="0" w:space="0" w:color="auto"/>
            <w:right w:val="none" w:sz="0" w:space="0" w:color="auto"/>
          </w:divBdr>
        </w:div>
      </w:divsChild>
    </w:div>
    <w:div w:id="791509866">
      <w:bodyDiv w:val="1"/>
      <w:marLeft w:val="0"/>
      <w:marRight w:val="0"/>
      <w:marTop w:val="0"/>
      <w:marBottom w:val="0"/>
      <w:divBdr>
        <w:top w:val="none" w:sz="0" w:space="0" w:color="auto"/>
        <w:left w:val="none" w:sz="0" w:space="0" w:color="auto"/>
        <w:bottom w:val="none" w:sz="0" w:space="0" w:color="auto"/>
        <w:right w:val="none" w:sz="0" w:space="0" w:color="auto"/>
      </w:divBdr>
      <w:divsChild>
        <w:div w:id="1504465897">
          <w:marLeft w:val="0"/>
          <w:marRight w:val="0"/>
          <w:marTop w:val="0"/>
          <w:marBottom w:val="0"/>
          <w:divBdr>
            <w:top w:val="none" w:sz="0" w:space="0" w:color="auto"/>
            <w:left w:val="none" w:sz="0" w:space="0" w:color="auto"/>
            <w:bottom w:val="none" w:sz="0" w:space="0" w:color="auto"/>
            <w:right w:val="none" w:sz="0" w:space="0" w:color="auto"/>
          </w:divBdr>
        </w:div>
      </w:divsChild>
    </w:div>
    <w:div w:id="820778765">
      <w:bodyDiv w:val="1"/>
      <w:marLeft w:val="0"/>
      <w:marRight w:val="0"/>
      <w:marTop w:val="0"/>
      <w:marBottom w:val="0"/>
      <w:divBdr>
        <w:top w:val="none" w:sz="0" w:space="0" w:color="auto"/>
        <w:left w:val="none" w:sz="0" w:space="0" w:color="auto"/>
        <w:bottom w:val="none" w:sz="0" w:space="0" w:color="auto"/>
        <w:right w:val="none" w:sz="0" w:space="0" w:color="auto"/>
      </w:divBdr>
      <w:divsChild>
        <w:div w:id="502941572">
          <w:marLeft w:val="0"/>
          <w:marRight w:val="0"/>
          <w:marTop w:val="0"/>
          <w:marBottom w:val="0"/>
          <w:divBdr>
            <w:top w:val="none" w:sz="0" w:space="0" w:color="auto"/>
            <w:left w:val="none" w:sz="0" w:space="0" w:color="auto"/>
            <w:bottom w:val="none" w:sz="0" w:space="0" w:color="auto"/>
            <w:right w:val="none" w:sz="0" w:space="0" w:color="auto"/>
          </w:divBdr>
        </w:div>
      </w:divsChild>
    </w:div>
    <w:div w:id="822770779">
      <w:bodyDiv w:val="1"/>
      <w:marLeft w:val="0"/>
      <w:marRight w:val="0"/>
      <w:marTop w:val="0"/>
      <w:marBottom w:val="0"/>
      <w:divBdr>
        <w:top w:val="none" w:sz="0" w:space="0" w:color="auto"/>
        <w:left w:val="none" w:sz="0" w:space="0" w:color="auto"/>
        <w:bottom w:val="none" w:sz="0" w:space="0" w:color="auto"/>
        <w:right w:val="none" w:sz="0" w:space="0" w:color="auto"/>
      </w:divBdr>
      <w:divsChild>
        <w:div w:id="169495512">
          <w:marLeft w:val="0"/>
          <w:marRight w:val="0"/>
          <w:marTop w:val="0"/>
          <w:marBottom w:val="0"/>
          <w:divBdr>
            <w:top w:val="none" w:sz="0" w:space="0" w:color="auto"/>
            <w:left w:val="none" w:sz="0" w:space="0" w:color="auto"/>
            <w:bottom w:val="none" w:sz="0" w:space="0" w:color="auto"/>
            <w:right w:val="none" w:sz="0" w:space="0" w:color="auto"/>
          </w:divBdr>
          <w:divsChild>
            <w:div w:id="933977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17978008">
      <w:bodyDiv w:val="1"/>
      <w:marLeft w:val="0"/>
      <w:marRight w:val="0"/>
      <w:marTop w:val="0"/>
      <w:marBottom w:val="0"/>
      <w:divBdr>
        <w:top w:val="none" w:sz="0" w:space="0" w:color="auto"/>
        <w:left w:val="none" w:sz="0" w:space="0" w:color="auto"/>
        <w:bottom w:val="none" w:sz="0" w:space="0" w:color="auto"/>
        <w:right w:val="none" w:sz="0" w:space="0" w:color="auto"/>
      </w:divBdr>
      <w:divsChild>
        <w:div w:id="2084717848">
          <w:marLeft w:val="0"/>
          <w:marRight w:val="0"/>
          <w:marTop w:val="0"/>
          <w:marBottom w:val="0"/>
          <w:divBdr>
            <w:top w:val="none" w:sz="0" w:space="0" w:color="auto"/>
            <w:left w:val="none" w:sz="0" w:space="0" w:color="auto"/>
            <w:bottom w:val="none" w:sz="0" w:space="0" w:color="auto"/>
            <w:right w:val="none" w:sz="0" w:space="0" w:color="auto"/>
          </w:divBdr>
        </w:div>
      </w:divsChild>
    </w:div>
    <w:div w:id="938561414">
      <w:bodyDiv w:val="1"/>
      <w:marLeft w:val="0"/>
      <w:marRight w:val="0"/>
      <w:marTop w:val="0"/>
      <w:marBottom w:val="0"/>
      <w:divBdr>
        <w:top w:val="none" w:sz="0" w:space="0" w:color="auto"/>
        <w:left w:val="none" w:sz="0" w:space="0" w:color="auto"/>
        <w:bottom w:val="none" w:sz="0" w:space="0" w:color="auto"/>
        <w:right w:val="none" w:sz="0" w:space="0" w:color="auto"/>
      </w:divBdr>
      <w:divsChild>
        <w:div w:id="295911396">
          <w:marLeft w:val="0"/>
          <w:marRight w:val="0"/>
          <w:marTop w:val="0"/>
          <w:marBottom w:val="0"/>
          <w:divBdr>
            <w:top w:val="none" w:sz="0" w:space="0" w:color="auto"/>
            <w:left w:val="none" w:sz="0" w:space="0" w:color="auto"/>
            <w:bottom w:val="none" w:sz="0" w:space="0" w:color="auto"/>
            <w:right w:val="none" w:sz="0" w:space="0" w:color="auto"/>
          </w:divBdr>
        </w:div>
      </w:divsChild>
    </w:div>
    <w:div w:id="1053238265">
      <w:bodyDiv w:val="1"/>
      <w:marLeft w:val="0"/>
      <w:marRight w:val="0"/>
      <w:marTop w:val="0"/>
      <w:marBottom w:val="0"/>
      <w:divBdr>
        <w:top w:val="none" w:sz="0" w:space="0" w:color="auto"/>
        <w:left w:val="none" w:sz="0" w:space="0" w:color="auto"/>
        <w:bottom w:val="none" w:sz="0" w:space="0" w:color="auto"/>
        <w:right w:val="none" w:sz="0" w:space="0" w:color="auto"/>
      </w:divBdr>
      <w:divsChild>
        <w:div w:id="846217682">
          <w:marLeft w:val="0"/>
          <w:marRight w:val="0"/>
          <w:marTop w:val="0"/>
          <w:marBottom w:val="0"/>
          <w:divBdr>
            <w:top w:val="none" w:sz="0" w:space="0" w:color="auto"/>
            <w:left w:val="none" w:sz="0" w:space="0" w:color="auto"/>
            <w:bottom w:val="none" w:sz="0" w:space="0" w:color="auto"/>
            <w:right w:val="none" w:sz="0" w:space="0" w:color="auto"/>
          </w:divBdr>
        </w:div>
      </w:divsChild>
    </w:div>
    <w:div w:id="1162503011">
      <w:bodyDiv w:val="1"/>
      <w:marLeft w:val="0"/>
      <w:marRight w:val="0"/>
      <w:marTop w:val="0"/>
      <w:marBottom w:val="0"/>
      <w:divBdr>
        <w:top w:val="none" w:sz="0" w:space="0" w:color="auto"/>
        <w:left w:val="none" w:sz="0" w:space="0" w:color="auto"/>
        <w:bottom w:val="none" w:sz="0" w:space="0" w:color="auto"/>
        <w:right w:val="none" w:sz="0" w:space="0" w:color="auto"/>
      </w:divBdr>
      <w:divsChild>
        <w:div w:id="2140949831">
          <w:marLeft w:val="0"/>
          <w:marRight w:val="0"/>
          <w:marTop w:val="0"/>
          <w:marBottom w:val="0"/>
          <w:divBdr>
            <w:top w:val="none" w:sz="0" w:space="0" w:color="auto"/>
            <w:left w:val="none" w:sz="0" w:space="0" w:color="auto"/>
            <w:bottom w:val="none" w:sz="0" w:space="0" w:color="auto"/>
            <w:right w:val="none" w:sz="0" w:space="0" w:color="auto"/>
          </w:divBdr>
        </w:div>
      </w:divsChild>
    </w:div>
    <w:div w:id="1297294280">
      <w:bodyDiv w:val="1"/>
      <w:marLeft w:val="0"/>
      <w:marRight w:val="0"/>
      <w:marTop w:val="0"/>
      <w:marBottom w:val="0"/>
      <w:divBdr>
        <w:top w:val="none" w:sz="0" w:space="0" w:color="auto"/>
        <w:left w:val="none" w:sz="0" w:space="0" w:color="auto"/>
        <w:bottom w:val="none" w:sz="0" w:space="0" w:color="auto"/>
        <w:right w:val="none" w:sz="0" w:space="0" w:color="auto"/>
      </w:divBdr>
      <w:divsChild>
        <w:div w:id="817039813">
          <w:marLeft w:val="0"/>
          <w:marRight w:val="0"/>
          <w:marTop w:val="0"/>
          <w:marBottom w:val="0"/>
          <w:divBdr>
            <w:top w:val="none" w:sz="0" w:space="0" w:color="auto"/>
            <w:left w:val="none" w:sz="0" w:space="0" w:color="auto"/>
            <w:bottom w:val="none" w:sz="0" w:space="0" w:color="auto"/>
            <w:right w:val="none" w:sz="0" w:space="0" w:color="auto"/>
          </w:divBdr>
        </w:div>
      </w:divsChild>
    </w:div>
    <w:div w:id="1309090087">
      <w:bodyDiv w:val="1"/>
      <w:marLeft w:val="0"/>
      <w:marRight w:val="0"/>
      <w:marTop w:val="0"/>
      <w:marBottom w:val="0"/>
      <w:divBdr>
        <w:top w:val="none" w:sz="0" w:space="0" w:color="auto"/>
        <w:left w:val="none" w:sz="0" w:space="0" w:color="auto"/>
        <w:bottom w:val="none" w:sz="0" w:space="0" w:color="auto"/>
        <w:right w:val="none" w:sz="0" w:space="0" w:color="auto"/>
      </w:divBdr>
      <w:divsChild>
        <w:div w:id="1643924611">
          <w:marLeft w:val="0"/>
          <w:marRight w:val="0"/>
          <w:marTop w:val="0"/>
          <w:marBottom w:val="0"/>
          <w:divBdr>
            <w:top w:val="none" w:sz="0" w:space="0" w:color="auto"/>
            <w:left w:val="none" w:sz="0" w:space="0" w:color="auto"/>
            <w:bottom w:val="none" w:sz="0" w:space="0" w:color="auto"/>
            <w:right w:val="none" w:sz="0" w:space="0" w:color="auto"/>
          </w:divBdr>
        </w:div>
      </w:divsChild>
    </w:div>
    <w:div w:id="1420055475">
      <w:bodyDiv w:val="1"/>
      <w:marLeft w:val="0"/>
      <w:marRight w:val="0"/>
      <w:marTop w:val="0"/>
      <w:marBottom w:val="0"/>
      <w:divBdr>
        <w:top w:val="none" w:sz="0" w:space="0" w:color="auto"/>
        <w:left w:val="none" w:sz="0" w:space="0" w:color="auto"/>
        <w:bottom w:val="none" w:sz="0" w:space="0" w:color="auto"/>
        <w:right w:val="none" w:sz="0" w:space="0" w:color="auto"/>
      </w:divBdr>
      <w:divsChild>
        <w:div w:id="669065437">
          <w:marLeft w:val="0"/>
          <w:marRight w:val="0"/>
          <w:marTop w:val="0"/>
          <w:marBottom w:val="0"/>
          <w:divBdr>
            <w:top w:val="none" w:sz="0" w:space="0" w:color="auto"/>
            <w:left w:val="none" w:sz="0" w:space="0" w:color="auto"/>
            <w:bottom w:val="none" w:sz="0" w:space="0" w:color="auto"/>
            <w:right w:val="none" w:sz="0" w:space="0" w:color="auto"/>
          </w:divBdr>
        </w:div>
      </w:divsChild>
    </w:div>
    <w:div w:id="1528130426">
      <w:bodyDiv w:val="1"/>
      <w:marLeft w:val="0"/>
      <w:marRight w:val="0"/>
      <w:marTop w:val="0"/>
      <w:marBottom w:val="0"/>
      <w:divBdr>
        <w:top w:val="none" w:sz="0" w:space="0" w:color="auto"/>
        <w:left w:val="none" w:sz="0" w:space="0" w:color="auto"/>
        <w:bottom w:val="none" w:sz="0" w:space="0" w:color="auto"/>
        <w:right w:val="none" w:sz="0" w:space="0" w:color="auto"/>
      </w:divBdr>
      <w:divsChild>
        <w:div w:id="2130009003">
          <w:marLeft w:val="0"/>
          <w:marRight w:val="0"/>
          <w:marTop w:val="0"/>
          <w:marBottom w:val="0"/>
          <w:divBdr>
            <w:top w:val="none" w:sz="0" w:space="0" w:color="auto"/>
            <w:left w:val="none" w:sz="0" w:space="0" w:color="auto"/>
            <w:bottom w:val="none" w:sz="0" w:space="0" w:color="auto"/>
            <w:right w:val="none" w:sz="0" w:space="0" w:color="auto"/>
          </w:divBdr>
        </w:div>
      </w:divsChild>
    </w:div>
    <w:div w:id="1766681118">
      <w:bodyDiv w:val="1"/>
      <w:marLeft w:val="0"/>
      <w:marRight w:val="0"/>
      <w:marTop w:val="0"/>
      <w:marBottom w:val="0"/>
      <w:divBdr>
        <w:top w:val="none" w:sz="0" w:space="0" w:color="auto"/>
        <w:left w:val="none" w:sz="0" w:space="0" w:color="auto"/>
        <w:bottom w:val="none" w:sz="0" w:space="0" w:color="auto"/>
        <w:right w:val="none" w:sz="0" w:space="0" w:color="auto"/>
      </w:divBdr>
      <w:divsChild>
        <w:div w:id="1947732562">
          <w:marLeft w:val="0"/>
          <w:marRight w:val="0"/>
          <w:marTop w:val="0"/>
          <w:marBottom w:val="0"/>
          <w:divBdr>
            <w:top w:val="none" w:sz="0" w:space="0" w:color="auto"/>
            <w:left w:val="none" w:sz="0" w:space="0" w:color="auto"/>
            <w:bottom w:val="none" w:sz="0" w:space="0" w:color="auto"/>
            <w:right w:val="none" w:sz="0" w:space="0" w:color="auto"/>
          </w:divBdr>
        </w:div>
      </w:divsChild>
    </w:div>
    <w:div w:id="1834638783">
      <w:bodyDiv w:val="1"/>
      <w:marLeft w:val="0"/>
      <w:marRight w:val="0"/>
      <w:marTop w:val="0"/>
      <w:marBottom w:val="0"/>
      <w:divBdr>
        <w:top w:val="none" w:sz="0" w:space="0" w:color="auto"/>
        <w:left w:val="none" w:sz="0" w:space="0" w:color="auto"/>
        <w:bottom w:val="none" w:sz="0" w:space="0" w:color="auto"/>
        <w:right w:val="none" w:sz="0" w:space="0" w:color="auto"/>
      </w:divBdr>
      <w:divsChild>
        <w:div w:id="902178625">
          <w:marLeft w:val="0"/>
          <w:marRight w:val="0"/>
          <w:marTop w:val="0"/>
          <w:marBottom w:val="0"/>
          <w:divBdr>
            <w:top w:val="none" w:sz="0" w:space="0" w:color="auto"/>
            <w:left w:val="none" w:sz="0" w:space="0" w:color="auto"/>
            <w:bottom w:val="none" w:sz="0" w:space="0" w:color="auto"/>
            <w:right w:val="none" w:sz="0" w:space="0" w:color="auto"/>
          </w:divBdr>
        </w:div>
      </w:divsChild>
    </w:div>
    <w:div w:id="1835292281">
      <w:bodyDiv w:val="1"/>
      <w:marLeft w:val="0"/>
      <w:marRight w:val="0"/>
      <w:marTop w:val="0"/>
      <w:marBottom w:val="0"/>
      <w:divBdr>
        <w:top w:val="none" w:sz="0" w:space="0" w:color="auto"/>
        <w:left w:val="none" w:sz="0" w:space="0" w:color="auto"/>
        <w:bottom w:val="none" w:sz="0" w:space="0" w:color="auto"/>
        <w:right w:val="none" w:sz="0" w:space="0" w:color="auto"/>
      </w:divBdr>
      <w:divsChild>
        <w:div w:id="2067996150">
          <w:marLeft w:val="0"/>
          <w:marRight w:val="0"/>
          <w:marTop w:val="0"/>
          <w:marBottom w:val="0"/>
          <w:divBdr>
            <w:top w:val="none" w:sz="0" w:space="0" w:color="auto"/>
            <w:left w:val="none" w:sz="0" w:space="0" w:color="auto"/>
            <w:bottom w:val="none" w:sz="0" w:space="0" w:color="auto"/>
            <w:right w:val="none" w:sz="0" w:space="0" w:color="auto"/>
          </w:divBdr>
        </w:div>
      </w:divsChild>
    </w:div>
    <w:div w:id="1920433575">
      <w:bodyDiv w:val="1"/>
      <w:marLeft w:val="0"/>
      <w:marRight w:val="0"/>
      <w:marTop w:val="0"/>
      <w:marBottom w:val="0"/>
      <w:divBdr>
        <w:top w:val="none" w:sz="0" w:space="0" w:color="auto"/>
        <w:left w:val="none" w:sz="0" w:space="0" w:color="auto"/>
        <w:bottom w:val="none" w:sz="0" w:space="0" w:color="auto"/>
        <w:right w:val="none" w:sz="0" w:space="0" w:color="auto"/>
      </w:divBdr>
      <w:divsChild>
        <w:div w:id="2044818126">
          <w:marLeft w:val="0"/>
          <w:marRight w:val="0"/>
          <w:marTop w:val="0"/>
          <w:marBottom w:val="0"/>
          <w:divBdr>
            <w:top w:val="none" w:sz="0" w:space="0" w:color="auto"/>
            <w:left w:val="none" w:sz="0" w:space="0" w:color="auto"/>
            <w:bottom w:val="none" w:sz="0" w:space="0" w:color="auto"/>
            <w:right w:val="none" w:sz="0" w:space="0" w:color="auto"/>
          </w:divBdr>
        </w:div>
      </w:divsChild>
    </w:div>
    <w:div w:id="1984843441">
      <w:bodyDiv w:val="1"/>
      <w:marLeft w:val="0"/>
      <w:marRight w:val="0"/>
      <w:marTop w:val="0"/>
      <w:marBottom w:val="0"/>
      <w:divBdr>
        <w:top w:val="none" w:sz="0" w:space="0" w:color="auto"/>
        <w:left w:val="none" w:sz="0" w:space="0" w:color="auto"/>
        <w:bottom w:val="none" w:sz="0" w:space="0" w:color="auto"/>
        <w:right w:val="none" w:sz="0" w:space="0" w:color="auto"/>
      </w:divBdr>
      <w:divsChild>
        <w:div w:id="638533189">
          <w:marLeft w:val="0"/>
          <w:marRight w:val="0"/>
          <w:marTop w:val="0"/>
          <w:marBottom w:val="0"/>
          <w:divBdr>
            <w:top w:val="none" w:sz="0" w:space="0" w:color="auto"/>
            <w:left w:val="none" w:sz="0" w:space="0" w:color="auto"/>
            <w:bottom w:val="none" w:sz="0" w:space="0" w:color="auto"/>
            <w:right w:val="none" w:sz="0" w:space="0" w:color="auto"/>
          </w:divBdr>
        </w:div>
      </w:divsChild>
    </w:div>
    <w:div w:id="2061973103">
      <w:bodyDiv w:val="1"/>
      <w:marLeft w:val="0"/>
      <w:marRight w:val="0"/>
      <w:marTop w:val="0"/>
      <w:marBottom w:val="0"/>
      <w:divBdr>
        <w:top w:val="none" w:sz="0" w:space="0" w:color="auto"/>
        <w:left w:val="none" w:sz="0" w:space="0" w:color="auto"/>
        <w:bottom w:val="none" w:sz="0" w:space="0" w:color="auto"/>
        <w:right w:val="none" w:sz="0" w:space="0" w:color="auto"/>
      </w:divBdr>
      <w:divsChild>
        <w:div w:id="1772360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6</Pages>
  <Words>2177</Words>
  <Characters>12410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Kirkham-jones (Aneurin Bevan UHB - Sleep Clinic)</dc:creator>
  <cp:keywords/>
  <dc:description/>
  <cp:lastModifiedBy>Jessica Kirkham-jones (Aneurin Bevan UHB - Sleep Clinic)</cp:lastModifiedBy>
  <cp:revision>6</cp:revision>
  <dcterms:created xsi:type="dcterms:W3CDTF">2026-07-24T10:47:00Z</dcterms:created>
  <dcterms:modified xsi:type="dcterms:W3CDTF">2026-07-24T14:15:00Z</dcterms:modified>
</cp:coreProperties>
</file>