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6389795"/>
        <w:docPartObj>
          <w:docPartGallery w:val="Cover Pages"/>
          <w:docPartUnique/>
        </w:docPartObj>
      </w:sdtPr>
      <w:sdtEndPr/>
      <w:sdtContent>
        <w:p w14:paraId="2922AC31" w14:textId="3D6043AC" w:rsidR="009360CE" w:rsidRDefault="009360CE">
          <w:r>
            <w:rPr>
              <w:noProof/>
            </w:rPr>
            <mc:AlternateContent>
              <mc:Choice Requires="wps">
                <w:drawing>
                  <wp:anchor distT="0" distB="0" distL="114300" distR="114300" simplePos="0" relativeHeight="251664384" behindDoc="0" locked="0" layoutInCell="1" allowOverlap="1" wp14:anchorId="3234A7A6" wp14:editId="291048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BDC9B12" w14:textId="4013BEF3" w:rsidR="009360CE" w:rsidRDefault="0089057F">
                                <w:pPr>
                                  <w:pStyle w:val="NoSpacing"/>
                                  <w:rPr>
                                    <w:color w:val="44546A" w:themeColor="text2"/>
                                  </w:rPr>
                                </w:pPr>
                                <w:sdt>
                                  <w:sdtPr>
                                    <w:rPr>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360CE">
                                      <w:rPr>
                                        <w:color w:val="44546A" w:themeColor="text2"/>
                                      </w:rPr>
                                      <w:t>Ahmed Abdi (2312731)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234A7A6"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BDC9B12" w14:textId="4013BEF3" w:rsidR="009360CE" w:rsidRDefault="0089057F">
                          <w:pPr>
                            <w:pStyle w:val="NoSpacing"/>
                            <w:rPr>
                              <w:color w:val="44546A" w:themeColor="text2"/>
                            </w:rPr>
                          </w:pPr>
                          <w:sdt>
                            <w:sdtPr>
                              <w:rPr>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360CE">
                                <w:rPr>
                                  <w:color w:val="44546A" w:themeColor="text2"/>
                                </w:rPr>
                                <w:t>Ahmed Abdi (2312731)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0BDDF62" wp14:editId="3F2FAF95">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04DDF82" w14:textId="77777777" w:rsidR="009360CE" w:rsidRDefault="009360C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BDDF62"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04DDF82" w14:textId="77777777" w:rsidR="009360CE" w:rsidRDefault="009360C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36FC012" wp14:editId="11283D5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C8FAA2" w14:textId="0E366B4B" w:rsidR="009360CE" w:rsidRDefault="009360CE">
                                <w:pPr>
                                  <w:spacing w:before="240"/>
                                  <w:jc w:val="center"/>
                                  <w:rPr>
                                    <w:color w:val="FFFFFF" w:themeColor="background1"/>
                                  </w:rPr>
                                </w:pPr>
                                <w:r w:rsidRPr="009360CE">
                                  <w:rPr>
                                    <w:b/>
                                    <w:color w:val="FFFFFF" w:themeColor="background1"/>
                                  </w:rPr>
                                  <w:t>Data Warehousing &amp; Data Mining</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36FC012"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DC8FAA2" w14:textId="0E366B4B" w:rsidR="009360CE" w:rsidRDefault="009360CE">
                          <w:pPr>
                            <w:spacing w:before="240"/>
                            <w:jc w:val="center"/>
                            <w:rPr>
                              <w:color w:val="FFFFFF" w:themeColor="background1"/>
                            </w:rPr>
                          </w:pPr>
                          <w:r w:rsidRPr="009360CE">
                            <w:rPr>
                              <w:b/>
                              <w:color w:val="FFFFFF" w:themeColor="background1"/>
                            </w:rPr>
                            <w:t>Data Warehousing &amp; Data Mining</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FC530E7" wp14:editId="5AF1FE0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33712E8"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0AA88BE" wp14:editId="794C97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65195FB"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A655E9D" wp14:editId="6DEB6EB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38BA46E" w14:textId="51262353" w:rsidR="009360CE" w:rsidRDefault="009360CE">
                                    <w:pPr>
                                      <w:spacing w:line="240" w:lineRule="auto"/>
                                      <w:rPr>
                                        <w:rFonts w:asciiTheme="majorHAnsi" w:eastAsiaTheme="majorEastAsia" w:hAnsiTheme="majorHAnsi" w:cstheme="majorBidi"/>
                                        <w:color w:val="4472C4" w:themeColor="accent1"/>
                                        <w:sz w:val="72"/>
                                        <w:szCs w:val="72"/>
                                      </w:rPr>
                                    </w:pPr>
                                    <w:r w:rsidRPr="009360CE">
                                      <w:rPr>
                                        <w:rFonts w:asciiTheme="majorHAnsi" w:eastAsiaTheme="majorEastAsia" w:hAnsiTheme="majorHAnsi" w:cstheme="majorBidi"/>
                                        <w:color w:val="4472C4" w:themeColor="accent1"/>
                                        <w:sz w:val="72"/>
                                        <w:szCs w:val="72"/>
                                      </w:rPr>
                                      <w:t xml:space="preserve">Dr Nouh </w:t>
                                    </w:r>
                                    <w:proofErr w:type="spellStart"/>
                                    <w:r w:rsidRPr="009360CE">
                                      <w:rPr>
                                        <w:rFonts w:asciiTheme="majorHAnsi" w:eastAsiaTheme="majorEastAsia" w:hAnsiTheme="majorHAnsi" w:cstheme="majorBidi"/>
                                        <w:color w:val="4472C4" w:themeColor="accent1"/>
                                        <w:sz w:val="72"/>
                                        <w:szCs w:val="72"/>
                                      </w:rPr>
                                      <w:t>Elmitwally</w:t>
                                    </w:r>
                                    <w:proofErr w:type="spellEnd"/>
                                  </w:p>
                                </w:sdtContent>
                              </w:sdt>
                              <w:sdt>
                                <w:sdtPr>
                                  <w:rPr>
                                    <w:rFonts w:asciiTheme="majorHAnsi" w:eastAsiaTheme="majorEastAsia" w:hAnsiTheme="majorHAnsi" w:cstheme="majorBidi"/>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F2FEAED" w14:textId="7A6D289D" w:rsidR="009360CE" w:rsidRDefault="009360CE">
                                    <w:pPr>
                                      <w:rPr>
                                        <w:rFonts w:asciiTheme="majorHAnsi" w:eastAsiaTheme="majorEastAsia" w:hAnsiTheme="majorHAnsi" w:cstheme="majorBidi"/>
                                        <w:color w:val="44546A" w:themeColor="text2"/>
                                        <w:sz w:val="32"/>
                                        <w:szCs w:val="32"/>
                                      </w:rPr>
                                    </w:pPr>
                                    <w:r>
                                      <w:rPr>
                                        <w:rFonts w:asciiTheme="majorHAnsi" w:eastAsiaTheme="majorEastAsia" w:hAnsiTheme="majorHAnsi" w:cstheme="majorBidi"/>
                                        <w:color w:val="44546A" w:themeColor="text2"/>
                                        <w:sz w:val="32"/>
                                        <w:szCs w:val="32"/>
                                      </w:rPr>
                                      <w:t>Ahmed Abdi</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A655E9D"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38BA46E" w14:textId="51262353" w:rsidR="009360CE" w:rsidRDefault="009360CE">
                              <w:pPr>
                                <w:spacing w:line="240" w:lineRule="auto"/>
                                <w:rPr>
                                  <w:rFonts w:asciiTheme="majorHAnsi" w:eastAsiaTheme="majorEastAsia" w:hAnsiTheme="majorHAnsi" w:cstheme="majorBidi"/>
                                  <w:color w:val="4472C4" w:themeColor="accent1"/>
                                  <w:sz w:val="72"/>
                                  <w:szCs w:val="72"/>
                                </w:rPr>
                              </w:pPr>
                              <w:r w:rsidRPr="009360CE">
                                <w:rPr>
                                  <w:rFonts w:asciiTheme="majorHAnsi" w:eastAsiaTheme="majorEastAsia" w:hAnsiTheme="majorHAnsi" w:cstheme="majorBidi"/>
                                  <w:color w:val="4472C4" w:themeColor="accent1"/>
                                  <w:sz w:val="72"/>
                                  <w:szCs w:val="72"/>
                                </w:rPr>
                                <w:t xml:space="preserve">Dr Nouh </w:t>
                              </w:r>
                              <w:proofErr w:type="spellStart"/>
                              <w:r w:rsidRPr="009360CE">
                                <w:rPr>
                                  <w:rFonts w:asciiTheme="majorHAnsi" w:eastAsiaTheme="majorEastAsia" w:hAnsiTheme="majorHAnsi" w:cstheme="majorBidi"/>
                                  <w:color w:val="4472C4" w:themeColor="accent1"/>
                                  <w:sz w:val="72"/>
                                  <w:szCs w:val="72"/>
                                </w:rPr>
                                <w:t>Elmitwally</w:t>
                              </w:r>
                              <w:proofErr w:type="spellEnd"/>
                            </w:p>
                          </w:sdtContent>
                        </w:sdt>
                        <w:sdt>
                          <w:sdtPr>
                            <w:rPr>
                              <w:rFonts w:asciiTheme="majorHAnsi" w:eastAsiaTheme="majorEastAsia" w:hAnsiTheme="majorHAnsi" w:cstheme="majorBidi"/>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F2FEAED" w14:textId="7A6D289D" w:rsidR="009360CE" w:rsidRDefault="009360CE">
                              <w:pPr>
                                <w:rPr>
                                  <w:rFonts w:asciiTheme="majorHAnsi" w:eastAsiaTheme="majorEastAsia" w:hAnsiTheme="majorHAnsi" w:cstheme="majorBidi"/>
                                  <w:color w:val="44546A" w:themeColor="text2"/>
                                  <w:sz w:val="32"/>
                                  <w:szCs w:val="32"/>
                                </w:rPr>
                              </w:pPr>
                              <w:r>
                                <w:rPr>
                                  <w:rFonts w:asciiTheme="majorHAnsi" w:eastAsiaTheme="majorEastAsia" w:hAnsiTheme="majorHAnsi" w:cstheme="majorBidi"/>
                                  <w:color w:val="44546A" w:themeColor="text2"/>
                                  <w:sz w:val="32"/>
                                  <w:szCs w:val="32"/>
                                </w:rPr>
                                <w:t>Ahmed Abdi</w:t>
                              </w:r>
                            </w:p>
                          </w:sdtContent>
                        </w:sdt>
                      </w:txbxContent>
                    </v:textbox>
                    <w10:wrap type="square" anchorx="page" anchory="page"/>
                  </v:shape>
                </w:pict>
              </mc:Fallback>
            </mc:AlternateContent>
          </w:r>
        </w:p>
        <w:p w14:paraId="485A4E86" w14:textId="77777777" w:rsidR="00A22111" w:rsidRDefault="009360CE" w:rsidP="007B7A65">
          <w:r>
            <w:br w:type="page"/>
          </w:r>
        </w:p>
        <w:sdt>
          <w:sdtPr>
            <w:id w:val="159181895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C763601" w14:textId="75C8B267" w:rsidR="00A22111" w:rsidRDefault="00A22111">
              <w:pPr>
                <w:pStyle w:val="TOCHeading"/>
              </w:pPr>
              <w:r>
                <w:t>Contents</w:t>
              </w:r>
            </w:p>
            <w:p w14:paraId="70B479B3" w14:textId="36050F7F" w:rsidR="00A22111" w:rsidRDefault="00A22111">
              <w:pPr>
                <w:pStyle w:val="TOC1"/>
                <w:tabs>
                  <w:tab w:val="right" w:leader="dot" w:pos="9016"/>
                </w:tabs>
                <w:rPr>
                  <w:noProof/>
                </w:rPr>
              </w:pPr>
              <w:r>
                <w:fldChar w:fldCharType="begin"/>
              </w:r>
              <w:r>
                <w:instrText xml:space="preserve"> TOC \o "1-3" \h \z \u </w:instrText>
              </w:r>
              <w:r>
                <w:fldChar w:fldCharType="separate"/>
              </w:r>
              <w:hyperlink w:anchor="_Toc223950445" w:history="1">
                <w:r w:rsidRPr="00541AF9">
                  <w:rPr>
                    <w:rStyle w:val="Hyperlink"/>
                    <w:noProof/>
                  </w:rPr>
                  <w:t>Introduction</w:t>
                </w:r>
                <w:r>
                  <w:rPr>
                    <w:noProof/>
                    <w:webHidden/>
                  </w:rPr>
                  <w:tab/>
                </w:r>
                <w:r>
                  <w:rPr>
                    <w:noProof/>
                    <w:webHidden/>
                  </w:rPr>
                  <w:fldChar w:fldCharType="begin"/>
                </w:r>
                <w:r>
                  <w:rPr>
                    <w:noProof/>
                    <w:webHidden/>
                  </w:rPr>
                  <w:instrText xml:space="preserve"> PAGEREF _Toc223950445 \h </w:instrText>
                </w:r>
                <w:r>
                  <w:rPr>
                    <w:noProof/>
                    <w:webHidden/>
                  </w:rPr>
                </w:r>
                <w:r>
                  <w:rPr>
                    <w:noProof/>
                    <w:webHidden/>
                  </w:rPr>
                  <w:fldChar w:fldCharType="separate"/>
                </w:r>
                <w:r>
                  <w:rPr>
                    <w:noProof/>
                    <w:webHidden/>
                  </w:rPr>
                  <w:t>1</w:t>
                </w:r>
                <w:r>
                  <w:rPr>
                    <w:noProof/>
                    <w:webHidden/>
                  </w:rPr>
                  <w:fldChar w:fldCharType="end"/>
                </w:r>
              </w:hyperlink>
            </w:p>
            <w:p w14:paraId="56ADC1EF" w14:textId="09300160" w:rsidR="00A22111" w:rsidRDefault="00A22111">
              <w:pPr>
                <w:pStyle w:val="TOC2"/>
                <w:tabs>
                  <w:tab w:val="right" w:leader="dot" w:pos="9016"/>
                </w:tabs>
                <w:rPr>
                  <w:noProof/>
                </w:rPr>
              </w:pPr>
              <w:hyperlink w:anchor="_Toc223950446" w:history="1">
                <w:r w:rsidRPr="00541AF9">
                  <w:rPr>
                    <w:rStyle w:val="Hyperlink"/>
                    <w:noProof/>
                  </w:rPr>
                  <w:t>Comprehending Online Transaction Processing</w:t>
                </w:r>
                <w:r>
                  <w:rPr>
                    <w:noProof/>
                    <w:webHidden/>
                  </w:rPr>
                  <w:tab/>
                </w:r>
                <w:r>
                  <w:rPr>
                    <w:noProof/>
                    <w:webHidden/>
                  </w:rPr>
                  <w:fldChar w:fldCharType="begin"/>
                </w:r>
                <w:r>
                  <w:rPr>
                    <w:noProof/>
                    <w:webHidden/>
                  </w:rPr>
                  <w:instrText xml:space="preserve"> PAGEREF _Toc223950446 \h </w:instrText>
                </w:r>
                <w:r>
                  <w:rPr>
                    <w:noProof/>
                    <w:webHidden/>
                  </w:rPr>
                </w:r>
                <w:r>
                  <w:rPr>
                    <w:noProof/>
                    <w:webHidden/>
                  </w:rPr>
                  <w:fldChar w:fldCharType="separate"/>
                </w:r>
                <w:r>
                  <w:rPr>
                    <w:noProof/>
                    <w:webHidden/>
                  </w:rPr>
                  <w:t>1</w:t>
                </w:r>
                <w:r>
                  <w:rPr>
                    <w:noProof/>
                    <w:webHidden/>
                  </w:rPr>
                  <w:fldChar w:fldCharType="end"/>
                </w:r>
              </w:hyperlink>
            </w:p>
            <w:p w14:paraId="62F5DC0B" w14:textId="5E3325EB" w:rsidR="00A22111" w:rsidRDefault="00A22111">
              <w:pPr>
                <w:pStyle w:val="TOC3"/>
                <w:tabs>
                  <w:tab w:val="right" w:leader="dot" w:pos="9016"/>
                </w:tabs>
                <w:rPr>
                  <w:noProof/>
                </w:rPr>
              </w:pPr>
              <w:hyperlink w:anchor="_Toc223950447" w:history="1">
                <w:r w:rsidRPr="00541AF9">
                  <w:rPr>
                    <w:rStyle w:val="Hyperlink"/>
                    <w:noProof/>
                  </w:rPr>
                  <w:t>Comprehending Data Warehouses A central repository for integrated, historical, and subject-oriented data used in analytics is called a data warehouse (DW). In contrast to OLTP, DWs support sophisticated analytical queries across massive datasets and employ denormalised schemas. Strategic planning, reporting, and long-term trend analysis all depend on them.  According to recent research, OLTP and OLAP/DW systems have "distinct purposes" and are unable to effectively manage both transactional and analytical workloads at the same time.[2]</w:t>
                </w:r>
                <w:r>
                  <w:rPr>
                    <w:noProof/>
                    <w:webHidden/>
                  </w:rPr>
                  <w:tab/>
                </w:r>
                <w:r>
                  <w:rPr>
                    <w:noProof/>
                    <w:webHidden/>
                  </w:rPr>
                  <w:fldChar w:fldCharType="begin"/>
                </w:r>
                <w:r>
                  <w:rPr>
                    <w:noProof/>
                    <w:webHidden/>
                  </w:rPr>
                  <w:instrText xml:space="preserve"> PAGEREF _Toc223950447 \h </w:instrText>
                </w:r>
                <w:r>
                  <w:rPr>
                    <w:noProof/>
                    <w:webHidden/>
                  </w:rPr>
                </w:r>
                <w:r>
                  <w:rPr>
                    <w:noProof/>
                    <w:webHidden/>
                  </w:rPr>
                  <w:fldChar w:fldCharType="separate"/>
                </w:r>
                <w:r>
                  <w:rPr>
                    <w:noProof/>
                    <w:webHidden/>
                  </w:rPr>
                  <w:t>2</w:t>
                </w:r>
                <w:r>
                  <w:rPr>
                    <w:noProof/>
                    <w:webHidden/>
                  </w:rPr>
                  <w:fldChar w:fldCharType="end"/>
                </w:r>
              </w:hyperlink>
            </w:p>
            <w:p w14:paraId="7E0281F3" w14:textId="6A64EF84" w:rsidR="00A22111" w:rsidRDefault="00A22111">
              <w:r>
                <w:rPr>
                  <w:b/>
                  <w:bCs/>
                </w:rPr>
                <w:fldChar w:fldCharType="end"/>
              </w:r>
            </w:p>
          </w:sdtContent>
        </w:sdt>
        <w:p w14:paraId="057B38E8" w14:textId="77777777" w:rsidR="00A22111" w:rsidRDefault="00A22111" w:rsidP="007B7A65"/>
        <w:p w14:paraId="1590927F" w14:textId="77777777" w:rsidR="00A22111" w:rsidRDefault="00A22111" w:rsidP="007B7A65"/>
        <w:p w14:paraId="31332CA7" w14:textId="77777777" w:rsidR="00A22111" w:rsidRDefault="00A22111" w:rsidP="007B7A65"/>
        <w:p w14:paraId="54B7EE4B" w14:textId="77777777" w:rsidR="00A22111" w:rsidRDefault="00A22111" w:rsidP="007B7A65"/>
        <w:p w14:paraId="4328AF23" w14:textId="77777777" w:rsidR="00A22111" w:rsidRDefault="00A22111" w:rsidP="007B7A65"/>
        <w:p w14:paraId="213CC480" w14:textId="77777777" w:rsidR="00A22111" w:rsidRDefault="00A22111" w:rsidP="007B7A65"/>
        <w:p w14:paraId="622AC0B0" w14:textId="77777777" w:rsidR="00A22111" w:rsidRDefault="00A22111" w:rsidP="007B7A65"/>
        <w:p w14:paraId="4F268D97" w14:textId="77777777" w:rsidR="00A22111" w:rsidRDefault="00A22111" w:rsidP="007B7A65"/>
        <w:p w14:paraId="47B4934D" w14:textId="77777777" w:rsidR="00A22111" w:rsidRDefault="00A22111" w:rsidP="007B7A65"/>
        <w:p w14:paraId="529F88D0" w14:textId="77777777" w:rsidR="00A22111" w:rsidRDefault="00A22111" w:rsidP="007B7A65"/>
        <w:p w14:paraId="3A559C33" w14:textId="77777777" w:rsidR="00A22111" w:rsidRDefault="00A22111" w:rsidP="007B7A65"/>
        <w:p w14:paraId="15ACFF57" w14:textId="77777777" w:rsidR="00A22111" w:rsidRDefault="00A22111" w:rsidP="007B7A65"/>
        <w:p w14:paraId="3AEA0497" w14:textId="77777777" w:rsidR="00A22111" w:rsidRDefault="00A22111" w:rsidP="007B7A65"/>
        <w:p w14:paraId="001B22F3" w14:textId="77777777" w:rsidR="00A22111" w:rsidRDefault="00A22111" w:rsidP="007B7A65"/>
        <w:p w14:paraId="7CA37103" w14:textId="77777777" w:rsidR="00A22111" w:rsidRDefault="00A22111" w:rsidP="007B7A65"/>
        <w:p w14:paraId="210D2E59" w14:textId="77777777" w:rsidR="00A22111" w:rsidRDefault="00A22111" w:rsidP="007B7A65"/>
        <w:p w14:paraId="018FBD79" w14:textId="77777777" w:rsidR="00A22111" w:rsidRDefault="00A22111" w:rsidP="007B7A65"/>
        <w:p w14:paraId="2AF052A5" w14:textId="77777777" w:rsidR="00A22111" w:rsidRDefault="00A22111" w:rsidP="007B7A65"/>
        <w:p w14:paraId="59088E45" w14:textId="77777777" w:rsidR="00A22111" w:rsidRDefault="00A22111" w:rsidP="007B7A65"/>
        <w:p w14:paraId="10113360" w14:textId="77777777" w:rsidR="00A22111" w:rsidRDefault="00A22111" w:rsidP="007B7A65"/>
        <w:p w14:paraId="675867EC" w14:textId="77777777" w:rsidR="00A22111" w:rsidRDefault="00A22111" w:rsidP="007B7A65"/>
        <w:p w14:paraId="28BB2E24" w14:textId="77777777" w:rsidR="00A22111" w:rsidRDefault="00A22111" w:rsidP="007B7A65"/>
        <w:p w14:paraId="47609379" w14:textId="6342D274" w:rsidR="00424FAF" w:rsidRPr="00A22111" w:rsidRDefault="00424FAF" w:rsidP="007B7A65">
          <w:bookmarkStart w:id="0" w:name="_Toc223950445"/>
          <w:r w:rsidRPr="00424FAF">
            <w:rPr>
              <w:rStyle w:val="Heading1Char"/>
            </w:rPr>
            <w:lastRenderedPageBreak/>
            <w:t>Introduction</w:t>
          </w:r>
          <w:bookmarkEnd w:id="0"/>
          <w:r w:rsidRPr="00424FAF">
            <w:br/>
            <w:t>Organisations rely on both data warehouses and Online Transaction Processing (OLTP) systems to address specific operational and analytical needs in today's data-driven economy. OLTP systems oversee quick, real-time transactional workloads, guaranteeing data efficiency and integrity for routine tasks like donation processing, scheduling, and listener interaction. Data warehouses, on the other hand, compile historical and topic-specific data to facilitate sophisticated analytical queries, strategic planning, and decision-making. Designing a data architecture that maximises both operational efficiency and analytical insight requires an understanding of the distinctions between these systems as well as the function of ETL procedures, source systems, and dimensional modelling.</w:t>
          </w:r>
        </w:p>
      </w:sdtContent>
    </w:sdt>
    <w:p w14:paraId="12CF805F" w14:textId="77777777" w:rsidR="00424FAF" w:rsidRDefault="00424FAF" w:rsidP="007B7A65">
      <w:pPr>
        <w:rPr>
          <w:b/>
          <w:bCs/>
          <w:u w:val="single"/>
        </w:rPr>
      </w:pPr>
    </w:p>
    <w:p w14:paraId="16C59ABB" w14:textId="5F06614C" w:rsidR="007B7A65" w:rsidRPr="007B7A65" w:rsidRDefault="007B7A65" w:rsidP="007B7A65">
      <w:bookmarkStart w:id="1" w:name="_Toc223950446"/>
      <w:r w:rsidRPr="00A22111">
        <w:rPr>
          <w:rStyle w:val="Heading2Char"/>
        </w:rPr>
        <w:t>Comprehending Online Transaction Processing</w:t>
      </w:r>
      <w:bookmarkEnd w:id="1"/>
      <w:r w:rsidRPr="007B7A65">
        <w:rPr>
          <w:b/>
          <w:bCs/>
          <w:u w:val="single"/>
        </w:rPr>
        <w:br/>
      </w:r>
      <w:r w:rsidRPr="007B7A65">
        <w:t>Fast, real-time transactional workloads, such updating listener records, handling donations, or recording streaming sessions, are supported by OLTP systems. To guarantee data speed and integrity, they employ highly normalised schemas. OLTP is perfect for routine radio tasks like scheduling or membership maintenance since it is built for short, straightforward queries and high concurrency.</w:t>
      </w:r>
    </w:p>
    <w:p w14:paraId="30EA00CD" w14:textId="6298E076" w:rsidR="007B7A65" w:rsidRDefault="007B7A65" w:rsidP="007B7A65">
      <w:r w:rsidRPr="007B7A65">
        <w:t>Modern educational sources highlight this difference between analytical systems and OLTP, pointing out that data warehousing facilitates decision-making while OLTP manages "everyday business transactions."</w:t>
      </w:r>
      <w:r>
        <w:t>[1]</w:t>
      </w:r>
    </w:p>
    <w:p w14:paraId="69F31E95" w14:textId="77777777" w:rsidR="007B7A65" w:rsidRPr="007B7A65" w:rsidRDefault="007B7A65" w:rsidP="00A22111">
      <w:pPr>
        <w:pStyle w:val="Heading3"/>
      </w:pPr>
    </w:p>
    <w:p w14:paraId="2CAF51D4" w14:textId="0DB509C1" w:rsidR="007B7A65" w:rsidRPr="007B7A65" w:rsidRDefault="007B7A65" w:rsidP="00A22111">
      <w:pPr>
        <w:pStyle w:val="Heading3"/>
      </w:pPr>
      <w:bookmarkStart w:id="2" w:name="_Toc223950447"/>
      <w:r w:rsidRPr="007B7A65">
        <w:t>Comprehending Data Warehouses</w:t>
      </w:r>
      <w:r w:rsidRPr="007B7A65">
        <w:br/>
        <w:t xml:space="preserve">A central repository for integrated, historical, and subject-oriented data used in analytics is called a data warehouse (DW). In contrast to OLTP, DWs support sophisticated analytical queries across massive datasets and employ </w:t>
      </w:r>
      <w:proofErr w:type="spellStart"/>
      <w:r w:rsidRPr="007B7A65">
        <w:t>denormalised</w:t>
      </w:r>
      <w:proofErr w:type="spellEnd"/>
      <w:r w:rsidRPr="007B7A65">
        <w:t xml:space="preserve"> schemas. Strategic planning, reporting, and long-term trend analysis all depend on them.</w:t>
      </w:r>
      <w:r w:rsidRPr="007B7A65">
        <w:br/>
      </w:r>
      <w:r w:rsidRPr="007B7A65">
        <w:br/>
        <w:t>According to recent research, OLTP and OLAP/DW systems have "distinct purposes" and are unable to effectively manage both transactional and analytical workloads at the same time.</w:t>
      </w:r>
      <w:r>
        <w:t>[2]</w:t>
      </w:r>
      <w:bookmarkEnd w:id="2"/>
    </w:p>
    <w:p w14:paraId="3F53BB65" w14:textId="77777777" w:rsidR="007B7A65" w:rsidRPr="007B7A65" w:rsidRDefault="007B7A65" w:rsidP="007B7A65"/>
    <w:tbl>
      <w:tblPr>
        <w:tblStyle w:val="TableGrid"/>
        <w:tblW w:w="0" w:type="auto"/>
        <w:tblLook w:val="04A0" w:firstRow="1" w:lastRow="0" w:firstColumn="1" w:lastColumn="0" w:noHBand="0" w:noVBand="1"/>
      </w:tblPr>
      <w:tblGrid>
        <w:gridCol w:w="3005"/>
        <w:gridCol w:w="3005"/>
        <w:gridCol w:w="3006"/>
      </w:tblGrid>
      <w:tr w:rsidR="00B06CCC" w14:paraId="7BB9F42B" w14:textId="77777777" w:rsidTr="00B06CCC">
        <w:tc>
          <w:tcPr>
            <w:tcW w:w="3005" w:type="dxa"/>
          </w:tcPr>
          <w:p w14:paraId="05AD9485" w14:textId="2DCF6D8E" w:rsidR="00B06CCC" w:rsidRDefault="00B06CCC" w:rsidP="00B06CCC">
            <w:r w:rsidRPr="00B06CCC">
              <w:t>OLTP vs. Data Warehouse (Comparison)</w:t>
            </w:r>
          </w:p>
        </w:tc>
        <w:tc>
          <w:tcPr>
            <w:tcW w:w="3005" w:type="dxa"/>
          </w:tcPr>
          <w:p w14:paraId="6F276B56" w14:textId="74E3B6B0" w:rsidR="00B06CCC" w:rsidRDefault="00B06CCC" w:rsidP="00B06CCC">
            <w:r w:rsidRPr="00B06CCC">
              <w:t>OLTP</w:t>
            </w:r>
          </w:p>
        </w:tc>
        <w:tc>
          <w:tcPr>
            <w:tcW w:w="3006" w:type="dxa"/>
          </w:tcPr>
          <w:p w14:paraId="564DA4D9" w14:textId="0C4AD1DB" w:rsidR="00B06CCC" w:rsidRDefault="00B06CCC" w:rsidP="00B06CCC">
            <w:r w:rsidRPr="00B06CCC">
              <w:t>Data Warehouse</w:t>
            </w:r>
          </w:p>
        </w:tc>
      </w:tr>
      <w:tr w:rsidR="00B06CCC" w14:paraId="20644848" w14:textId="77777777" w:rsidTr="00B06CCC">
        <w:tc>
          <w:tcPr>
            <w:tcW w:w="3005" w:type="dxa"/>
          </w:tcPr>
          <w:p w14:paraId="5DC1F64D" w14:textId="77777777" w:rsidR="00B06CCC" w:rsidRPr="00B06CCC" w:rsidRDefault="00B06CCC" w:rsidP="00B06CCC">
            <w:r w:rsidRPr="00B06CCC">
              <w:t>Goals</w:t>
            </w:r>
          </w:p>
          <w:p w14:paraId="27D8FF92" w14:textId="77777777" w:rsidR="00B06CCC" w:rsidRDefault="00B06CCC" w:rsidP="00B06CCC"/>
        </w:tc>
        <w:tc>
          <w:tcPr>
            <w:tcW w:w="3005" w:type="dxa"/>
          </w:tcPr>
          <w:p w14:paraId="19240FCF" w14:textId="77777777" w:rsidR="00B06CCC" w:rsidRPr="00B06CCC" w:rsidRDefault="00B06CCC" w:rsidP="00B06CCC">
            <w:r w:rsidRPr="00B06CCC">
              <w:t>Tasks related to operations</w:t>
            </w:r>
          </w:p>
          <w:p w14:paraId="4AD157E2" w14:textId="77777777" w:rsidR="00B06CCC" w:rsidRDefault="00B06CCC" w:rsidP="00B06CCC"/>
        </w:tc>
        <w:tc>
          <w:tcPr>
            <w:tcW w:w="3006" w:type="dxa"/>
          </w:tcPr>
          <w:p w14:paraId="5C255CC1" w14:textId="4176E802" w:rsidR="00B06CCC" w:rsidRDefault="00B06CCC" w:rsidP="00B06CCC">
            <w:r w:rsidRPr="00B06CCC">
              <w:t>Strategic analytics</w:t>
            </w:r>
          </w:p>
        </w:tc>
      </w:tr>
      <w:tr w:rsidR="00B06CCC" w14:paraId="31F4F6DD" w14:textId="77777777" w:rsidTr="00B06CCC">
        <w:tc>
          <w:tcPr>
            <w:tcW w:w="3005" w:type="dxa"/>
          </w:tcPr>
          <w:p w14:paraId="4235C8C6" w14:textId="3510A2C8" w:rsidR="00B06CCC" w:rsidRDefault="00B06CCC" w:rsidP="00B06CCC">
            <w:pPr>
              <w:tabs>
                <w:tab w:val="center" w:pos="1394"/>
              </w:tabs>
            </w:pPr>
            <w:r w:rsidRPr="00B06CCC">
              <w:t>Data</w:t>
            </w:r>
          </w:p>
        </w:tc>
        <w:tc>
          <w:tcPr>
            <w:tcW w:w="3005" w:type="dxa"/>
          </w:tcPr>
          <w:p w14:paraId="24642CDF" w14:textId="447AF1D3" w:rsidR="00B06CCC" w:rsidRDefault="00B06CCC" w:rsidP="00B06CCC">
            <w:r w:rsidRPr="00B06CCC">
              <w:t>Current, real</w:t>
            </w:r>
            <w:r w:rsidRPr="00B06CCC">
              <w:noBreakHyphen/>
              <w:t>time</w:t>
            </w:r>
          </w:p>
        </w:tc>
        <w:tc>
          <w:tcPr>
            <w:tcW w:w="3006" w:type="dxa"/>
          </w:tcPr>
          <w:p w14:paraId="321A31CB" w14:textId="3DFCCBB1" w:rsidR="00B06CCC" w:rsidRDefault="00B06CCC" w:rsidP="00B06CCC">
            <w:r w:rsidRPr="00B06CCC">
              <w:t>Historical, aggregated</w:t>
            </w:r>
          </w:p>
        </w:tc>
      </w:tr>
      <w:tr w:rsidR="00B06CCC" w14:paraId="1D2B8EA2" w14:textId="77777777" w:rsidTr="00B06CCC">
        <w:tc>
          <w:tcPr>
            <w:tcW w:w="3005" w:type="dxa"/>
          </w:tcPr>
          <w:p w14:paraId="1DAF4604" w14:textId="5C98C778" w:rsidR="00B06CCC" w:rsidRDefault="00B06CCC" w:rsidP="00B06CCC">
            <w:r w:rsidRPr="00B06CCC">
              <w:t>Schema</w:t>
            </w:r>
          </w:p>
        </w:tc>
        <w:tc>
          <w:tcPr>
            <w:tcW w:w="3005" w:type="dxa"/>
          </w:tcPr>
          <w:p w14:paraId="681DD71A" w14:textId="568A0086" w:rsidR="00B06CCC" w:rsidRDefault="00B06CCC" w:rsidP="00B06CCC">
            <w:r w:rsidRPr="00B06CCC">
              <w:t>Normalised</w:t>
            </w:r>
          </w:p>
        </w:tc>
        <w:tc>
          <w:tcPr>
            <w:tcW w:w="3006" w:type="dxa"/>
          </w:tcPr>
          <w:p w14:paraId="5BD1DD81" w14:textId="1C9F3E22" w:rsidR="00B06CCC" w:rsidRDefault="00B06CCC" w:rsidP="00B06CCC">
            <w:proofErr w:type="spellStart"/>
            <w:r w:rsidRPr="00B06CCC">
              <w:t>Denormalised</w:t>
            </w:r>
            <w:proofErr w:type="spellEnd"/>
          </w:p>
        </w:tc>
      </w:tr>
      <w:tr w:rsidR="00B06CCC" w14:paraId="032EBACF" w14:textId="77777777" w:rsidTr="00B06CCC">
        <w:tc>
          <w:tcPr>
            <w:tcW w:w="3005" w:type="dxa"/>
          </w:tcPr>
          <w:p w14:paraId="1FB37B1E" w14:textId="01A56772" w:rsidR="00B06CCC" w:rsidRPr="00B06CCC" w:rsidRDefault="00283699" w:rsidP="00B06CCC">
            <w:r w:rsidRPr="00283699">
              <w:t>Queries</w:t>
            </w:r>
          </w:p>
        </w:tc>
        <w:tc>
          <w:tcPr>
            <w:tcW w:w="3005" w:type="dxa"/>
          </w:tcPr>
          <w:p w14:paraId="4386EF63" w14:textId="0C20671C" w:rsidR="00B06CCC" w:rsidRPr="00B06CCC" w:rsidRDefault="00283699" w:rsidP="00B06CCC">
            <w:r w:rsidRPr="00283699">
              <w:t>Short, simple</w:t>
            </w:r>
          </w:p>
        </w:tc>
        <w:tc>
          <w:tcPr>
            <w:tcW w:w="3006" w:type="dxa"/>
          </w:tcPr>
          <w:p w14:paraId="2A9A795D" w14:textId="664EA890" w:rsidR="00B06CCC" w:rsidRPr="00B06CCC" w:rsidRDefault="00283699" w:rsidP="00B06CCC">
            <w:r w:rsidRPr="00283699">
              <w:t>Long, complex</w:t>
            </w:r>
          </w:p>
        </w:tc>
      </w:tr>
      <w:tr w:rsidR="00283699" w14:paraId="6F1EFDEF" w14:textId="77777777" w:rsidTr="00B06CCC">
        <w:tc>
          <w:tcPr>
            <w:tcW w:w="3005" w:type="dxa"/>
          </w:tcPr>
          <w:p w14:paraId="59D7E0FE" w14:textId="72D3125D" w:rsidR="00283699" w:rsidRPr="00283699" w:rsidRDefault="00283699" w:rsidP="00B06CCC">
            <w:r w:rsidRPr="00283699">
              <w:t>Users</w:t>
            </w:r>
          </w:p>
        </w:tc>
        <w:tc>
          <w:tcPr>
            <w:tcW w:w="3005" w:type="dxa"/>
          </w:tcPr>
          <w:p w14:paraId="49DF43BE" w14:textId="3BB97212" w:rsidR="00283699" w:rsidRPr="00283699" w:rsidRDefault="00283699" w:rsidP="00B06CCC">
            <w:r w:rsidRPr="00283699">
              <w:t>Staff, operators</w:t>
            </w:r>
          </w:p>
        </w:tc>
        <w:tc>
          <w:tcPr>
            <w:tcW w:w="3006" w:type="dxa"/>
          </w:tcPr>
          <w:p w14:paraId="1536B734" w14:textId="3AD1CD9F" w:rsidR="00283699" w:rsidRPr="00283699" w:rsidRDefault="00283699" w:rsidP="00B06CCC">
            <w:r w:rsidRPr="00283699">
              <w:t>Analysts, managers</w:t>
            </w:r>
            <w:r>
              <w:t xml:space="preserve"> [3]</w:t>
            </w:r>
          </w:p>
        </w:tc>
      </w:tr>
    </w:tbl>
    <w:p w14:paraId="614E2C17" w14:textId="6704E6A5" w:rsidR="00AC7A1A" w:rsidRDefault="00AC7A1A" w:rsidP="00B06CCC"/>
    <w:p w14:paraId="7006AA4E" w14:textId="77777777" w:rsidR="00283699" w:rsidRDefault="00283699" w:rsidP="00B06CCC"/>
    <w:p w14:paraId="552E4CD8" w14:textId="77777777" w:rsidR="00283699" w:rsidRPr="00283699" w:rsidRDefault="00283699" w:rsidP="00A22111">
      <w:pPr>
        <w:pStyle w:val="Heading4"/>
      </w:pPr>
      <w:r w:rsidRPr="00283699">
        <w:lastRenderedPageBreak/>
        <w:t>A Data Warehouse's Advantages for Recovery Radio</w:t>
      </w:r>
    </w:p>
    <w:p w14:paraId="0B292617" w14:textId="26BA18A7" w:rsidR="00283699" w:rsidRDefault="00283699" w:rsidP="00283699">
      <w:r w:rsidRPr="00283699">
        <w:t>Recovery Radio's capacity to manage listener interaction, make data-driven decisions, and streamline operations would all be greatly improved with a data warehouse.</w:t>
      </w:r>
    </w:p>
    <w:p w14:paraId="70977BE2" w14:textId="77777777" w:rsidR="00283699" w:rsidRDefault="00283699" w:rsidP="00283699">
      <w:pPr>
        <w:rPr>
          <w:u w:val="single"/>
        </w:rPr>
      </w:pPr>
      <w:r w:rsidRPr="00283699">
        <w:rPr>
          <w:u w:val="single"/>
        </w:rPr>
        <w:t>Integrated Analytics to Improve Decision-Making</w:t>
      </w:r>
      <w:r w:rsidRPr="00283699">
        <w:rPr>
          <w:u w:val="single"/>
        </w:rPr>
        <w:br/>
        <w:t>A DW compiles information from:</w:t>
      </w:r>
    </w:p>
    <w:p w14:paraId="09D2917C" w14:textId="77777777" w:rsidR="00283699" w:rsidRDefault="00283699" w:rsidP="00283699">
      <w:pPr>
        <w:pStyle w:val="ListParagraph"/>
        <w:numPr>
          <w:ilvl w:val="0"/>
          <w:numId w:val="1"/>
        </w:numPr>
      </w:pPr>
      <w:r w:rsidRPr="00283699">
        <w:t>Platforms for streaming</w:t>
      </w:r>
    </w:p>
    <w:p w14:paraId="5694F92C" w14:textId="77777777" w:rsidR="00283699" w:rsidRDefault="00283699" w:rsidP="00283699">
      <w:pPr>
        <w:pStyle w:val="ListParagraph"/>
        <w:numPr>
          <w:ilvl w:val="0"/>
          <w:numId w:val="1"/>
        </w:numPr>
      </w:pPr>
      <w:r w:rsidRPr="00283699">
        <w:t>Social media</w:t>
      </w:r>
    </w:p>
    <w:p w14:paraId="47A78AF3" w14:textId="77777777" w:rsidR="00283699" w:rsidRDefault="00283699" w:rsidP="00283699">
      <w:pPr>
        <w:pStyle w:val="ListParagraph"/>
        <w:numPr>
          <w:ilvl w:val="0"/>
          <w:numId w:val="1"/>
        </w:numPr>
      </w:pPr>
      <w:r w:rsidRPr="00283699">
        <w:t>Demographics of listeners</w:t>
      </w:r>
    </w:p>
    <w:p w14:paraId="2B656F2F" w14:textId="77777777" w:rsidR="00283699" w:rsidRDefault="00283699" w:rsidP="00283699">
      <w:pPr>
        <w:pStyle w:val="ListParagraph"/>
        <w:numPr>
          <w:ilvl w:val="0"/>
          <w:numId w:val="1"/>
        </w:numPr>
      </w:pPr>
      <w:r w:rsidRPr="00283699">
        <w:t>Systems for fundraising</w:t>
      </w:r>
    </w:p>
    <w:p w14:paraId="380F1648" w14:textId="77777777" w:rsidR="00283699" w:rsidRPr="00283699" w:rsidRDefault="00283699" w:rsidP="00283699">
      <w:pPr>
        <w:pStyle w:val="ListParagraph"/>
        <w:numPr>
          <w:ilvl w:val="0"/>
          <w:numId w:val="1"/>
        </w:numPr>
      </w:pPr>
      <w:r w:rsidRPr="00283699">
        <w:t>Performance of the program</w:t>
      </w:r>
      <w:r>
        <w:t xml:space="preserve"> [4]</w:t>
      </w:r>
    </w:p>
    <w:p w14:paraId="053CCEE2" w14:textId="77777777" w:rsidR="00283699" w:rsidRDefault="00283699" w:rsidP="00283699">
      <w:pPr>
        <w:pStyle w:val="ListParagraph"/>
        <w:rPr>
          <w:rFonts w:ascii="Times New Roman" w:eastAsia="Times New Roman" w:hAnsi="Times New Roman" w:cs="Times New Roman"/>
          <w:kern w:val="0"/>
          <w:sz w:val="24"/>
          <w:szCs w:val="24"/>
          <w:lang w:eastAsia="en-GB"/>
          <w14:ligatures w14:val="none"/>
        </w:rPr>
      </w:pPr>
    </w:p>
    <w:p w14:paraId="170B6E94" w14:textId="77777777" w:rsidR="00283699" w:rsidRDefault="00283699" w:rsidP="00283699">
      <w:pPr>
        <w:pStyle w:val="ListParagraph"/>
        <w:rPr>
          <w:rFonts w:ascii="Times New Roman" w:eastAsia="Times New Roman" w:hAnsi="Times New Roman" w:cs="Times New Roman"/>
          <w:kern w:val="0"/>
          <w:sz w:val="24"/>
          <w:szCs w:val="24"/>
          <w:lang w:eastAsia="en-GB"/>
          <w14:ligatures w14:val="none"/>
        </w:rPr>
      </w:pPr>
    </w:p>
    <w:p w14:paraId="40C9DB01" w14:textId="77777777" w:rsidR="00283699" w:rsidRDefault="00283699" w:rsidP="00283699">
      <w:pPr>
        <w:pStyle w:val="ListParagraph"/>
        <w:rPr>
          <w:rFonts w:ascii="Times New Roman" w:eastAsia="Times New Roman" w:hAnsi="Times New Roman" w:cs="Times New Roman"/>
          <w:kern w:val="0"/>
          <w:sz w:val="24"/>
          <w:szCs w:val="24"/>
          <w:lang w:eastAsia="en-GB"/>
          <w14:ligatures w14:val="none"/>
        </w:rPr>
      </w:pPr>
    </w:p>
    <w:p w14:paraId="46C6BB02" w14:textId="77777777" w:rsidR="00283699" w:rsidRDefault="00283699" w:rsidP="00283699">
      <w:pPr>
        <w:pStyle w:val="ListParagraph"/>
        <w:rPr>
          <w:b/>
          <w:bCs/>
          <w:u w:val="single"/>
        </w:rPr>
      </w:pPr>
      <w:r w:rsidRPr="00283699">
        <w:rPr>
          <w:b/>
          <w:bCs/>
          <w:u w:val="single"/>
        </w:rPr>
        <w:t>Effectiveness of Operations</w:t>
      </w:r>
      <w:r w:rsidRPr="00283699">
        <w:rPr>
          <w:b/>
          <w:bCs/>
          <w:u w:val="single"/>
        </w:rPr>
        <w:br/>
        <w:t>Analytics and OLTP separation:</w:t>
      </w:r>
    </w:p>
    <w:p w14:paraId="63B61F71" w14:textId="77777777" w:rsidR="00283699" w:rsidRDefault="00283699" w:rsidP="00283699">
      <w:pPr>
        <w:pStyle w:val="ListParagraph"/>
        <w:numPr>
          <w:ilvl w:val="0"/>
          <w:numId w:val="1"/>
        </w:numPr>
      </w:pPr>
      <w:r w:rsidRPr="00283699">
        <w:t>lessens the strain on running systems</w:t>
      </w:r>
    </w:p>
    <w:p w14:paraId="158AC1AA" w14:textId="77777777" w:rsidR="00283699" w:rsidRDefault="00283699" w:rsidP="00283699">
      <w:pPr>
        <w:pStyle w:val="ListParagraph"/>
        <w:numPr>
          <w:ilvl w:val="0"/>
          <w:numId w:val="1"/>
        </w:numPr>
      </w:pPr>
      <w:r w:rsidRPr="00283699">
        <w:t>enhances the functionality of the system</w:t>
      </w:r>
    </w:p>
    <w:p w14:paraId="1E0ECF2B" w14:textId="77DA766F" w:rsidR="00283699" w:rsidRDefault="00283699" w:rsidP="00283699">
      <w:pPr>
        <w:pStyle w:val="ListParagraph"/>
        <w:numPr>
          <w:ilvl w:val="0"/>
          <w:numId w:val="1"/>
        </w:numPr>
      </w:pPr>
      <w:r w:rsidRPr="00283699">
        <w:t>makes automatic reporting possible.</w:t>
      </w:r>
      <w:r w:rsidR="000C46F1">
        <w:t>[4]</w:t>
      </w:r>
    </w:p>
    <w:p w14:paraId="206AC9FA" w14:textId="77777777" w:rsidR="00283699" w:rsidRDefault="00283699" w:rsidP="00283699">
      <w:pPr>
        <w:pStyle w:val="ListParagraph"/>
      </w:pPr>
    </w:p>
    <w:p w14:paraId="2FF56658" w14:textId="77777777" w:rsidR="00283699" w:rsidRDefault="00283699" w:rsidP="00283699">
      <w:pPr>
        <w:pStyle w:val="ListParagraph"/>
      </w:pPr>
    </w:p>
    <w:p w14:paraId="4DE40AE2" w14:textId="77777777" w:rsidR="000C46F1" w:rsidRPr="000C46F1" w:rsidRDefault="000C46F1" w:rsidP="000C46F1">
      <w:pPr>
        <w:pStyle w:val="ListParagraph"/>
        <w:rPr>
          <w:b/>
          <w:bCs/>
          <w:u w:val="single"/>
        </w:rPr>
      </w:pPr>
      <w:r w:rsidRPr="000C46F1">
        <w:rPr>
          <w:b/>
          <w:bCs/>
          <w:u w:val="single"/>
        </w:rPr>
        <w:t>The ETL process, source systems, and data warehouse architecture</w:t>
      </w:r>
    </w:p>
    <w:p w14:paraId="1E708890" w14:textId="44991AA0" w:rsidR="00800D16" w:rsidRPr="00800D16" w:rsidRDefault="00800D16" w:rsidP="00800D16">
      <w:pPr>
        <w:pStyle w:val="ListParagraph"/>
      </w:pPr>
      <w:r w:rsidRPr="00800D16">
        <w:t>The structural basis for integrating, storing, and analysing organisational data is provided by a data warehouse architecture. According to Oracle, a data warehouse is a system created especially for analytical processing, allowing businesses to segregate analytical workloads from transactional operations and combine data from many sources. The warehouse is crucial for long-term reporting and business intelligence since this division guarantees that analytical queries do not impede daily operational performance.</w:t>
      </w:r>
      <w:r w:rsidR="00132046">
        <w:t>[5]</w:t>
      </w:r>
    </w:p>
    <w:p w14:paraId="3B5D3B20" w14:textId="77777777" w:rsidR="00283699" w:rsidRDefault="00283699" w:rsidP="00283699">
      <w:pPr>
        <w:pStyle w:val="ListParagraph"/>
      </w:pPr>
    </w:p>
    <w:p w14:paraId="3C779E9D" w14:textId="77777777" w:rsidR="003806CE" w:rsidRPr="003806CE" w:rsidRDefault="003806CE" w:rsidP="003806CE">
      <w:pPr>
        <w:pStyle w:val="ListParagraph"/>
        <w:rPr>
          <w:u w:val="single"/>
        </w:rPr>
      </w:pPr>
      <w:r w:rsidRPr="003806CE">
        <w:rPr>
          <w:u w:val="single"/>
        </w:rPr>
        <w:t>Systems of Origin in a Data Warehouse Setting</w:t>
      </w:r>
    </w:p>
    <w:p w14:paraId="74F0BC9C" w14:textId="77777777" w:rsidR="003806CE" w:rsidRPr="003806CE" w:rsidRDefault="003806CE" w:rsidP="00283699">
      <w:pPr>
        <w:pStyle w:val="ListParagraph"/>
      </w:pPr>
    </w:p>
    <w:p w14:paraId="459869B8" w14:textId="175E98D3" w:rsidR="00FC0D68" w:rsidRPr="00FC0D68" w:rsidRDefault="00FC0D68" w:rsidP="00FC0D68">
      <w:pPr>
        <w:pStyle w:val="ListParagraph"/>
      </w:pPr>
      <w:r w:rsidRPr="00FC0D68">
        <w:t xml:space="preserve">Every piece of data that enters the warehouse comes from source systems. Operational databases, cloud apps, third-party APIs, and flat files are a few examples of these systems. ETL pipelines usually connect to several source systems and extract data in structured or semi-structured formats before preparing it for analytical use, according to </w:t>
      </w:r>
      <w:r w:rsidRPr="00FC0D68">
        <w:t>SQL Shack</w:t>
      </w:r>
      <w:r w:rsidRPr="00FC0D68">
        <w:t>. There are two types of these systems: internal and external.</w:t>
      </w:r>
      <w:r>
        <w:t>[5]</w:t>
      </w:r>
    </w:p>
    <w:p w14:paraId="7090A80D" w14:textId="77777777" w:rsidR="003806CE" w:rsidRDefault="003806CE" w:rsidP="00283699">
      <w:pPr>
        <w:pStyle w:val="ListParagraph"/>
        <w:rPr>
          <w:b/>
          <w:bCs/>
          <w:u w:val="single"/>
        </w:rPr>
      </w:pPr>
    </w:p>
    <w:p w14:paraId="348EB20B" w14:textId="77777777" w:rsidR="003806CE" w:rsidRPr="003806CE" w:rsidRDefault="003806CE" w:rsidP="00283699">
      <w:pPr>
        <w:pStyle w:val="ListParagraph"/>
      </w:pPr>
    </w:p>
    <w:p w14:paraId="27705BAD" w14:textId="77777777" w:rsidR="003806CE" w:rsidRPr="003806CE" w:rsidRDefault="003806CE" w:rsidP="003806CE">
      <w:pPr>
        <w:pStyle w:val="ListParagraph"/>
        <w:rPr>
          <w:u w:val="single"/>
        </w:rPr>
      </w:pPr>
      <w:r w:rsidRPr="003806CE">
        <w:rPr>
          <w:u w:val="single"/>
        </w:rPr>
        <w:t>Systems of Internal Source</w:t>
      </w:r>
    </w:p>
    <w:p w14:paraId="647F29CD" w14:textId="6669FC7C" w:rsidR="0000272F" w:rsidRDefault="0000272F" w:rsidP="00E72C18">
      <w:r w:rsidRPr="0000272F">
        <w:t>Systems of Internal Source</w:t>
      </w:r>
      <w:r w:rsidRPr="0000272F">
        <w:br/>
        <w:t>The operational technologies utilised in Recovery Radio's day-to-day operations make of internal systems. High-volume transactional data reflecting real-time processes is produced by these systems. Examples consist of:</w:t>
      </w:r>
    </w:p>
    <w:p w14:paraId="311963C0" w14:textId="77777777" w:rsidR="0000272F" w:rsidRDefault="0000272F" w:rsidP="0000272F">
      <w:pPr>
        <w:pStyle w:val="ListParagraph"/>
        <w:numPr>
          <w:ilvl w:val="0"/>
          <w:numId w:val="1"/>
        </w:numPr>
      </w:pPr>
      <w:r w:rsidRPr="0000272F">
        <w:t>Program schedules and playlist logs are stored by broadcast management systems.</w:t>
      </w:r>
    </w:p>
    <w:p w14:paraId="05E6D2B1" w14:textId="77777777" w:rsidR="0000272F" w:rsidRDefault="0000272F" w:rsidP="0000272F">
      <w:pPr>
        <w:pStyle w:val="ListParagraph"/>
        <w:numPr>
          <w:ilvl w:val="0"/>
          <w:numId w:val="1"/>
        </w:numPr>
      </w:pPr>
      <w:r w:rsidRPr="0000272F">
        <w:t>Platforms for audience engagement, like song request systems</w:t>
      </w:r>
    </w:p>
    <w:p w14:paraId="2A98084C" w14:textId="77777777" w:rsidR="00E72C18" w:rsidRDefault="0000272F" w:rsidP="0000272F">
      <w:pPr>
        <w:pStyle w:val="ListParagraph"/>
        <w:numPr>
          <w:ilvl w:val="0"/>
          <w:numId w:val="1"/>
        </w:numPr>
      </w:pPr>
      <w:r w:rsidRPr="0000272F">
        <w:t>CRM and ERP systems are examples of enterprise applications.</w:t>
      </w:r>
    </w:p>
    <w:p w14:paraId="7CE7AC11" w14:textId="77777777" w:rsidR="00E72C18" w:rsidRDefault="0000272F" w:rsidP="0000272F">
      <w:pPr>
        <w:pStyle w:val="ListParagraph"/>
        <w:numPr>
          <w:ilvl w:val="0"/>
          <w:numId w:val="1"/>
        </w:numPr>
      </w:pPr>
      <w:r w:rsidRPr="0000272F">
        <w:lastRenderedPageBreak/>
        <w:t>CSV and Excel spreadsheets are examples of flat files.</w:t>
      </w:r>
    </w:p>
    <w:p w14:paraId="74B152DA" w14:textId="2BD1D8BC" w:rsidR="0000272F" w:rsidRPr="0000272F" w:rsidRDefault="00E72C18" w:rsidP="0000272F">
      <w:pPr>
        <w:pStyle w:val="ListParagraph"/>
        <w:numPr>
          <w:ilvl w:val="0"/>
          <w:numId w:val="1"/>
        </w:numPr>
      </w:pPr>
      <w:r w:rsidRPr="0000272F">
        <w:t>Data Camp</w:t>
      </w:r>
      <w:r w:rsidR="0000272F" w:rsidRPr="0000272F">
        <w:t xml:space="preserve"> emphasises that </w:t>
      </w:r>
      <w:r w:rsidRPr="0000272F">
        <w:t>to</w:t>
      </w:r>
      <w:r w:rsidR="0000272F" w:rsidRPr="0000272F">
        <w:t xml:space="preserve"> offer long-term analytics and reporting, internal systems frequently generate structured, high-velocity data that needs to be merged into a warehouse.</w:t>
      </w:r>
      <w:r>
        <w:t>[6]</w:t>
      </w:r>
    </w:p>
    <w:p w14:paraId="4883E611" w14:textId="77777777" w:rsidR="00283699" w:rsidRDefault="00283699" w:rsidP="00283699">
      <w:pPr>
        <w:pStyle w:val="ListParagraph"/>
      </w:pPr>
    </w:p>
    <w:p w14:paraId="26434B4E" w14:textId="77777777" w:rsidR="00283699" w:rsidRDefault="00283699" w:rsidP="00283699">
      <w:pPr>
        <w:pStyle w:val="ListParagraph"/>
      </w:pPr>
    </w:p>
    <w:p w14:paraId="1C385FFA" w14:textId="77777777" w:rsidR="003E310A" w:rsidRDefault="003E310A" w:rsidP="003E310A">
      <w:pPr>
        <w:pStyle w:val="ListParagraph"/>
        <w:numPr>
          <w:ilvl w:val="0"/>
          <w:numId w:val="1"/>
        </w:numPr>
      </w:pPr>
      <w:r w:rsidRPr="003E310A">
        <w:rPr>
          <w:u w:val="single"/>
        </w:rPr>
        <w:t>Systems of External Sources</w:t>
      </w:r>
      <w:r w:rsidRPr="003E310A">
        <w:br/>
        <w:t>Internal datasets are enhanced by additional data from external systems. The value of outside sources increases as Recovery Radio grows. Among them are:</w:t>
      </w:r>
    </w:p>
    <w:p w14:paraId="34BAAEC9" w14:textId="77777777" w:rsidR="003E310A" w:rsidRDefault="003E310A" w:rsidP="003E310A">
      <w:pPr>
        <w:pStyle w:val="ListParagraph"/>
        <w:numPr>
          <w:ilvl w:val="0"/>
          <w:numId w:val="1"/>
        </w:numPr>
      </w:pPr>
      <w:r w:rsidRPr="003E310A">
        <w:t>Chart rankings and other music industry datasets</w:t>
      </w:r>
    </w:p>
    <w:p w14:paraId="6B15B008" w14:textId="77777777" w:rsidR="003E310A" w:rsidRDefault="003E310A" w:rsidP="003E310A">
      <w:pPr>
        <w:pStyle w:val="ListParagraph"/>
        <w:numPr>
          <w:ilvl w:val="0"/>
          <w:numId w:val="1"/>
        </w:numPr>
      </w:pPr>
      <w:r w:rsidRPr="003E310A">
        <w:t>Analytics on social media that record listener sentiment</w:t>
      </w:r>
    </w:p>
    <w:p w14:paraId="42D01980" w14:textId="77777777" w:rsidR="003E310A" w:rsidRDefault="003E310A" w:rsidP="003E310A">
      <w:pPr>
        <w:pStyle w:val="ListParagraph"/>
        <w:numPr>
          <w:ilvl w:val="0"/>
          <w:numId w:val="1"/>
        </w:numPr>
      </w:pPr>
      <w:r w:rsidRPr="003E310A">
        <w:t>Market research studies that provide demographic information</w:t>
      </w:r>
    </w:p>
    <w:p w14:paraId="41714F2A" w14:textId="77777777" w:rsidR="003E310A" w:rsidRDefault="003E310A" w:rsidP="003E310A">
      <w:pPr>
        <w:pStyle w:val="ListParagraph"/>
        <w:numPr>
          <w:ilvl w:val="0"/>
          <w:numId w:val="1"/>
        </w:numPr>
      </w:pPr>
      <w:r w:rsidRPr="003E310A">
        <w:t>Third-party streaming services that offer information about listener habits</w:t>
      </w:r>
    </w:p>
    <w:p w14:paraId="00F36BE1" w14:textId="563D27FD" w:rsidR="003E310A" w:rsidRPr="003E310A" w:rsidRDefault="003E310A" w:rsidP="003E310A">
      <w:pPr>
        <w:pStyle w:val="ListParagraph"/>
        <w:numPr>
          <w:ilvl w:val="0"/>
          <w:numId w:val="1"/>
        </w:numPr>
      </w:pPr>
      <w:r w:rsidRPr="003E310A">
        <w:t xml:space="preserve">External data frequently arrives in mismatched formats, according to </w:t>
      </w:r>
      <w:proofErr w:type="spellStart"/>
      <w:r w:rsidRPr="003E310A">
        <w:t>Airbyte</w:t>
      </w:r>
      <w:proofErr w:type="spellEnd"/>
      <w:r w:rsidRPr="003E310A">
        <w:t>, and must be cleaned and validated before being integrated into the warehouse.</w:t>
      </w:r>
      <w:r w:rsidR="00501E54">
        <w:t>[7]</w:t>
      </w:r>
    </w:p>
    <w:p w14:paraId="28AB11AA" w14:textId="77777777" w:rsidR="00283699" w:rsidRDefault="00283699" w:rsidP="00283699">
      <w:pPr>
        <w:pStyle w:val="ListParagraph"/>
      </w:pPr>
    </w:p>
    <w:p w14:paraId="75B4BCFA" w14:textId="0BEBCCD1" w:rsidR="00A87140" w:rsidRPr="00A87140" w:rsidRDefault="007C2EAD" w:rsidP="00A87140">
      <w:pPr>
        <w:pStyle w:val="ListParagraph"/>
      </w:pPr>
      <w:r w:rsidRPr="00A22111">
        <w:rPr>
          <w:rStyle w:val="Heading5Char"/>
        </w:rPr>
        <w:t>ETL-Based Data Warehouse Architecture</w:t>
      </w:r>
      <w:r w:rsidRPr="007C2EAD">
        <w:br/>
      </w:r>
      <w:r w:rsidR="00A87140" w:rsidRPr="00A87140">
        <w:t xml:space="preserve">In a typical data warehouse design, multiple levels control the data flow from source systems to end-user analytical tools. The data source layer, staging area, ETL layer, data warehouse repository, and presentation layer are typical examples of these layers. Organisations can combine data from several operational systems into a centralised analytical environment thanks to these structures. </w:t>
      </w:r>
      <w:proofErr w:type="gramStart"/>
      <w:r w:rsidR="00A87140" w:rsidRPr="00A87140">
        <w:t>In order to</w:t>
      </w:r>
      <w:proofErr w:type="gramEnd"/>
      <w:r w:rsidR="00A87140" w:rsidRPr="00A87140">
        <w:t xml:space="preserve"> improve processing and storage capacity as data volumes rise, modern architectural models place a strong focus on modularity and scalability [</w:t>
      </w:r>
      <w:r w:rsidR="00C04851">
        <w:t>8</w:t>
      </w:r>
      <w:r w:rsidR="00A87140" w:rsidRPr="00A87140">
        <w:t>], [</w:t>
      </w:r>
      <w:r w:rsidR="00C04851">
        <w:t>9</w:t>
      </w:r>
      <w:r w:rsidR="00A87140" w:rsidRPr="00A87140">
        <w:t>].</w:t>
      </w:r>
    </w:p>
    <w:p w14:paraId="01F951EF" w14:textId="1CBD398E" w:rsidR="000173F5" w:rsidRPr="000173F5" w:rsidRDefault="000173F5" w:rsidP="000173F5">
      <w:pPr>
        <w:pStyle w:val="ListParagraph"/>
      </w:pPr>
      <w:r w:rsidRPr="000173F5">
        <w:t>Recovery Radio's design makes it easier for data to move from operational systems to management's analytical dashboards. The ETL process plays a major role in ensuring that data entering the warehouse is correct, consistent, and compliant with business requirements. ETL pipelines assist businesses in combining disparate data sources while preserving analytical system control and dependability [</w:t>
      </w:r>
      <w:r w:rsidR="00230A3A">
        <w:t>8</w:t>
      </w:r>
      <w:r w:rsidRPr="000173F5">
        <w:t>].</w:t>
      </w:r>
    </w:p>
    <w:p w14:paraId="4F9B066F" w14:textId="31C2C546" w:rsidR="0051783A" w:rsidRDefault="0051783A" w:rsidP="00A87140">
      <w:pPr>
        <w:pStyle w:val="ListParagraph"/>
      </w:pPr>
    </w:p>
    <w:p w14:paraId="69075D39" w14:textId="77777777" w:rsidR="00283699" w:rsidRPr="00027D07" w:rsidRDefault="00283699" w:rsidP="00283699">
      <w:pPr>
        <w:pStyle w:val="ListParagraph"/>
        <w:rPr>
          <w:b/>
          <w:bCs/>
          <w:u w:val="single"/>
        </w:rPr>
      </w:pPr>
    </w:p>
    <w:p w14:paraId="217F9400" w14:textId="2609C7F2" w:rsidR="001A76B2" w:rsidRPr="001A76B2" w:rsidRDefault="00027D07" w:rsidP="001A76B2">
      <w:pPr>
        <w:pStyle w:val="ListParagraph"/>
      </w:pPr>
      <w:r w:rsidRPr="00027D07">
        <w:rPr>
          <w:b/>
          <w:bCs/>
          <w:u w:val="single"/>
        </w:rPr>
        <w:t>The ETL Procedure</w:t>
      </w:r>
      <w:r w:rsidRPr="00027D07">
        <w:br/>
      </w:r>
      <w:r w:rsidR="001A76B2" w:rsidRPr="001A76B2">
        <w:t>The ETL (Extract, Transform, Load) process is the primary technique used to get data ready for analysis. It ensures that data from multiple sources will be standardised and integrated into a single repository. Because it oversees data integration, transformation, and quality control prior to analytical processing, research indicates that ETL is an essential part of data warehousing [</w:t>
      </w:r>
      <w:r w:rsidR="00230A3A">
        <w:t>10</w:t>
      </w:r>
      <w:r w:rsidR="001A76B2" w:rsidRPr="001A76B2">
        <w:t>].</w:t>
      </w:r>
    </w:p>
    <w:p w14:paraId="0383DA81" w14:textId="365D7B39" w:rsidR="00027D07" w:rsidRDefault="00027D07" w:rsidP="00027D07">
      <w:pPr>
        <w:pStyle w:val="ListParagraph"/>
      </w:pPr>
    </w:p>
    <w:p w14:paraId="48A79051" w14:textId="77777777" w:rsidR="00381FD4" w:rsidRDefault="00381FD4" w:rsidP="00381FD4">
      <w:pPr>
        <w:pStyle w:val="ListParagraph"/>
        <w:rPr>
          <w:b/>
          <w:bCs/>
          <w:u w:val="single"/>
        </w:rPr>
      </w:pPr>
    </w:p>
    <w:p w14:paraId="1E594EBA" w14:textId="0EC584DA" w:rsidR="00467878" w:rsidRDefault="00381FD4" w:rsidP="00467878">
      <w:pPr>
        <w:pStyle w:val="ListParagraph"/>
      </w:pPr>
      <w:r w:rsidRPr="00381FD4">
        <w:rPr>
          <w:b/>
          <w:bCs/>
          <w:u w:val="single"/>
        </w:rPr>
        <w:t>Extraction</w:t>
      </w:r>
      <w:r w:rsidRPr="00381FD4">
        <w:br/>
      </w:r>
      <w:r w:rsidR="00467878" w:rsidRPr="00467878">
        <w:t>Gathering data from internal and external source systems and moving it to a temporary staging area is known as data extraction. This phase ensures that operational systems are not impacted by analytical workloads. According to studies, depending on the needs of the business and the amount of data being processed, extraction can be carried out utilising complete loads, incremental loads, or real-time data streams [</w:t>
      </w:r>
      <w:r w:rsidR="00230A3A">
        <w:t>11</w:t>
      </w:r>
      <w:r w:rsidR="00467878" w:rsidRPr="00467878">
        <w:t>].</w:t>
      </w:r>
      <w:r w:rsidR="00467878" w:rsidRPr="00467878">
        <w:br/>
      </w:r>
      <w:r w:rsidR="00467878" w:rsidRPr="00467878">
        <w:br/>
        <w:t xml:space="preserve">To prevent interference with live broadcasting systems, Recovery Radio extracts playlist logs, </w:t>
      </w:r>
      <w:r w:rsidR="00467878" w:rsidRPr="00467878">
        <w:lastRenderedPageBreak/>
        <w:t>listener interactions, and CRM records into a staging environment. This strategy guarantees that operational performance is unaffected by analytical procedures.</w:t>
      </w:r>
    </w:p>
    <w:p w14:paraId="77BED013" w14:textId="77777777" w:rsidR="00467878" w:rsidRDefault="00467878" w:rsidP="00467878">
      <w:pPr>
        <w:pStyle w:val="ListParagraph"/>
        <w:rPr>
          <w:b/>
          <w:bCs/>
          <w:u w:val="single"/>
        </w:rPr>
      </w:pPr>
    </w:p>
    <w:p w14:paraId="663F9C43" w14:textId="0C4F8EFC" w:rsidR="00C05D05" w:rsidRDefault="00E13900" w:rsidP="00205D6D">
      <w:pPr>
        <w:pStyle w:val="ListParagraph"/>
      </w:pPr>
      <w:r w:rsidRPr="00E13900">
        <w:rPr>
          <w:b/>
          <w:bCs/>
          <w:u w:val="single"/>
        </w:rPr>
        <w:t>Transformation</w:t>
      </w:r>
    </w:p>
    <w:p w14:paraId="78A73E59" w14:textId="77777777" w:rsidR="00AB69C9" w:rsidRDefault="00AB69C9" w:rsidP="00AB69C9">
      <w:pPr>
        <w:pStyle w:val="ListParagraph"/>
        <w:numPr>
          <w:ilvl w:val="0"/>
          <w:numId w:val="1"/>
        </w:numPr>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Transformation is the most difficult stage of the ETL process. In accordance with established business standards, data is cleaned, verified, standardised, and integrated during this phase. Typical transformation tasks consist of:</w:t>
      </w:r>
    </w:p>
    <w:p w14:paraId="2FC13FF5" w14:textId="77777777" w:rsidR="00AB69C9" w:rsidRDefault="00AB69C9" w:rsidP="00AB69C9">
      <w:pPr>
        <w:pStyle w:val="ListParagraph"/>
        <w:numPr>
          <w:ilvl w:val="0"/>
          <w:numId w:val="1"/>
        </w:numPr>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Removing duplicates and fixing discrepancies</w:t>
      </w:r>
    </w:p>
    <w:p w14:paraId="3985468A" w14:textId="77777777" w:rsidR="00AB69C9" w:rsidRDefault="00AB69C9" w:rsidP="00AB69C9">
      <w:pPr>
        <w:pStyle w:val="ListParagraph"/>
        <w:numPr>
          <w:ilvl w:val="0"/>
          <w:numId w:val="1"/>
        </w:numPr>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Standardising standards like genre categories and date/time</w:t>
      </w:r>
    </w:p>
    <w:p w14:paraId="3B9932B3" w14:textId="77777777" w:rsidR="00AB69C9" w:rsidRDefault="00AB69C9" w:rsidP="00AB69C9">
      <w:pPr>
        <w:pStyle w:val="ListParagraph"/>
        <w:numPr>
          <w:ilvl w:val="0"/>
          <w:numId w:val="1"/>
        </w:numPr>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Combining datasets from various sources</w:t>
      </w:r>
    </w:p>
    <w:p w14:paraId="2C3E7C2B" w14:textId="77777777" w:rsidR="00AB69C9" w:rsidRDefault="00AB69C9" w:rsidP="00AB69C9">
      <w:pPr>
        <w:pStyle w:val="ListParagraph"/>
        <w:numPr>
          <w:ilvl w:val="0"/>
          <w:numId w:val="1"/>
        </w:numPr>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Using business logic (e.g., determining listener engagement scores)</w:t>
      </w:r>
    </w:p>
    <w:p w14:paraId="5847DBFE" w14:textId="77777777" w:rsidR="00AB69C9" w:rsidRDefault="00AB69C9" w:rsidP="00AB69C9">
      <w:pPr>
        <w:pStyle w:val="ListParagraph"/>
        <w:numPr>
          <w:ilvl w:val="0"/>
          <w:numId w:val="1"/>
        </w:numPr>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According to academic research, the transformation phase enhances data quality and guarantees that data kept in the warehouse is appropriate for trustworthy</w:t>
      </w:r>
    </w:p>
    <w:p w14:paraId="12ABD7C7" w14:textId="321B9E24" w:rsidR="008F05E1" w:rsidRDefault="00AB69C9" w:rsidP="008F05E1">
      <w:pPr>
        <w:pStyle w:val="ListParagraph"/>
        <w:rPr>
          <w:rFonts w:eastAsia="Times New Roman" w:cstheme="minorHAnsi"/>
          <w:kern w:val="0"/>
          <w:sz w:val="24"/>
          <w:szCs w:val="24"/>
          <w:lang w:eastAsia="en-GB"/>
          <w14:ligatures w14:val="none"/>
        </w:rPr>
      </w:pPr>
      <w:r w:rsidRPr="00AB69C9">
        <w:rPr>
          <w:rFonts w:eastAsia="Times New Roman" w:cstheme="minorHAnsi"/>
          <w:kern w:val="0"/>
          <w:sz w:val="24"/>
          <w:szCs w:val="24"/>
          <w:lang w:eastAsia="en-GB"/>
          <w14:ligatures w14:val="none"/>
        </w:rPr>
        <w:t>analytics and reporting [</w:t>
      </w:r>
      <w:r w:rsidR="00230A3A">
        <w:rPr>
          <w:rFonts w:eastAsia="Times New Roman" w:cstheme="minorHAnsi"/>
          <w:kern w:val="0"/>
          <w:sz w:val="24"/>
          <w:szCs w:val="24"/>
          <w:lang w:eastAsia="en-GB"/>
          <w14:ligatures w14:val="none"/>
        </w:rPr>
        <w:t>12</w:t>
      </w:r>
      <w:r w:rsidRPr="00AB69C9">
        <w:rPr>
          <w:rFonts w:eastAsia="Times New Roman" w:cstheme="minorHAnsi"/>
          <w:kern w:val="0"/>
          <w:sz w:val="24"/>
          <w:szCs w:val="24"/>
          <w:lang w:eastAsia="en-GB"/>
          <w14:ligatures w14:val="none"/>
        </w:rPr>
        <w:t xml:space="preserve">]. </w:t>
      </w:r>
    </w:p>
    <w:p w14:paraId="6AD4D7B4" w14:textId="004C858B" w:rsidR="00AB69C9" w:rsidRPr="008F05E1" w:rsidRDefault="00AB69C9" w:rsidP="008F05E1">
      <w:pPr>
        <w:pStyle w:val="ListParagraph"/>
        <w:rPr>
          <w:rFonts w:eastAsia="Times New Roman" w:cstheme="minorHAnsi"/>
          <w:kern w:val="0"/>
          <w:sz w:val="24"/>
          <w:szCs w:val="24"/>
          <w:lang w:eastAsia="en-GB"/>
          <w14:ligatures w14:val="none"/>
        </w:rPr>
      </w:pPr>
      <w:r w:rsidRPr="008F05E1">
        <w:rPr>
          <w:rFonts w:eastAsia="Times New Roman" w:cstheme="minorHAnsi"/>
          <w:kern w:val="0"/>
          <w:sz w:val="24"/>
          <w:szCs w:val="24"/>
          <w:lang w:eastAsia="en-GB"/>
          <w14:ligatures w14:val="none"/>
        </w:rPr>
        <w:t>This stage guarantees that Recovery Radio can compare and analyse data from playlists, social media activity, and market research datasets in a consistent manner.</w:t>
      </w:r>
    </w:p>
    <w:p w14:paraId="518A7A2A" w14:textId="77777777" w:rsidR="00205D6D" w:rsidRPr="00AB69C9" w:rsidRDefault="00205D6D" w:rsidP="00205D6D">
      <w:pPr>
        <w:pStyle w:val="ListParagraph"/>
        <w:rPr>
          <w:rFonts w:eastAsia="Times New Roman" w:cstheme="minorHAnsi"/>
          <w:kern w:val="0"/>
          <w:sz w:val="24"/>
          <w:szCs w:val="24"/>
          <w:lang w:eastAsia="en-GB"/>
          <w14:ligatures w14:val="none"/>
        </w:rPr>
      </w:pPr>
    </w:p>
    <w:p w14:paraId="70234FD5" w14:textId="77777777" w:rsidR="00121087" w:rsidRDefault="00C05D05" w:rsidP="00C04851">
      <w:pPr>
        <w:spacing w:after="0" w:line="240" w:lineRule="auto"/>
        <w:rPr>
          <w:rFonts w:cstheme="minorHAnsi"/>
        </w:rPr>
      </w:pPr>
      <w:r w:rsidRPr="00C05D05">
        <w:rPr>
          <w:rFonts w:eastAsia="Times New Roman" w:cstheme="minorHAnsi"/>
          <w:b/>
          <w:bCs/>
          <w:kern w:val="0"/>
          <w:u w:val="single"/>
          <w:lang w:eastAsia="en-GB"/>
          <w14:ligatures w14:val="none"/>
        </w:rPr>
        <w:t>The loading</w:t>
      </w:r>
      <w:r w:rsidRPr="00C05D05">
        <w:rPr>
          <w:rFonts w:eastAsia="Times New Roman" w:cstheme="minorHAnsi"/>
          <w:kern w:val="0"/>
          <w:u w:val="single"/>
          <w:lang w:eastAsia="en-GB"/>
          <w14:ligatures w14:val="none"/>
        </w:rPr>
        <w:br/>
      </w:r>
    </w:p>
    <w:p w14:paraId="0C685F92" w14:textId="68751E96" w:rsidR="00C04851" w:rsidRPr="00C04851" w:rsidRDefault="00C04851" w:rsidP="00C04851">
      <w:pPr>
        <w:spacing w:after="0" w:line="240" w:lineRule="auto"/>
        <w:rPr>
          <w:rFonts w:cstheme="minorHAnsi"/>
        </w:rPr>
      </w:pPr>
      <w:r w:rsidRPr="00C04851">
        <w:rPr>
          <w:rFonts w:cstheme="minorHAnsi"/>
        </w:rPr>
        <w:t>Loading is the last step, which entails adding the converted data to the primary data warehouse repository. Either a complete initial load or sporadic incremental updates that just add new or updated records can be used for loading. According to research, timing ETL loads during off-peak times can help maintain steady system performance and minimise system resource use [</w:t>
      </w:r>
      <w:r w:rsidR="00121087">
        <w:rPr>
          <w:rFonts w:cstheme="minorHAnsi"/>
        </w:rPr>
        <w:t>10</w:t>
      </w:r>
      <w:r w:rsidRPr="00C04851">
        <w:rPr>
          <w:rFonts w:cstheme="minorHAnsi"/>
        </w:rPr>
        <w:t>], [</w:t>
      </w:r>
      <w:r w:rsidR="009E775C">
        <w:rPr>
          <w:rFonts w:cstheme="minorHAnsi"/>
        </w:rPr>
        <w:t>13</w:t>
      </w:r>
      <w:r w:rsidRPr="00C04851">
        <w:rPr>
          <w:rFonts w:cstheme="minorHAnsi"/>
        </w:rPr>
        <w:t>].</w:t>
      </w:r>
      <w:r w:rsidRPr="00C04851">
        <w:rPr>
          <w:rFonts w:cstheme="minorHAnsi"/>
        </w:rPr>
        <w:br/>
      </w:r>
      <w:r w:rsidRPr="00C04851">
        <w:rPr>
          <w:rFonts w:cstheme="minorHAnsi"/>
        </w:rPr>
        <w:br/>
        <w:t>After loading, verification tests are usually used to make sure the data has been transported correctly and to guarantee referential integrity. The loading procedure for Recovery Radio guarantees that managers may obtain current data on donor activity, program performance, and listening habits without interfering with live broadcasting systems.</w:t>
      </w:r>
    </w:p>
    <w:p w14:paraId="5CCB41DA" w14:textId="1B2720CF" w:rsidR="00E13900" w:rsidRPr="00C05D05" w:rsidRDefault="00E13900" w:rsidP="00C04851">
      <w:pPr>
        <w:spacing w:after="0" w:line="240" w:lineRule="auto"/>
        <w:rPr>
          <w:rFonts w:cstheme="minorHAnsi"/>
        </w:rPr>
      </w:pPr>
    </w:p>
    <w:p w14:paraId="6B1C277B" w14:textId="00961E80" w:rsidR="00283699" w:rsidRDefault="00C30E52" w:rsidP="00A22111">
      <w:pPr>
        <w:pStyle w:val="Heading5"/>
      </w:pPr>
      <w:r w:rsidRPr="00C30E52">
        <w:t>Data Marts for Specific Management Data</w:t>
      </w:r>
    </w:p>
    <w:p w14:paraId="652FD4B2" w14:textId="0CE2E4D5" w:rsidR="0064795E" w:rsidRPr="0064795E" w:rsidRDefault="0064795E" w:rsidP="0064795E">
      <w:r w:rsidRPr="0064795E">
        <w:t xml:space="preserve">Data marts are specialised subsets of a data warehouse created to meet the analytical requirements of </w:t>
      </w:r>
      <w:r w:rsidR="00BF7A30" w:rsidRPr="0064795E">
        <w:t>organisational</w:t>
      </w:r>
      <w:r w:rsidRPr="0064795E">
        <w:t xml:space="preserve"> divisions. Data marts offer a targeted view of pertinent information designed for specific company tasks like finance, marketing, or operations, in contrast to a central data warehouse that holds enterprise-wide data. Data marts facilitate quicker query performance and give managers access to valuable insights without having to navigate the entire warehouse environment by arranging data in a subject-oriented structure [</w:t>
      </w:r>
      <w:r w:rsidR="00515FD5">
        <w:t>14</w:t>
      </w:r>
      <w:r w:rsidRPr="0064795E">
        <w:t>], [</w:t>
      </w:r>
      <w:r w:rsidR="00515FD5">
        <w:t>15</w:t>
      </w:r>
      <w:r w:rsidRPr="0064795E">
        <w:t>].</w:t>
      </w:r>
    </w:p>
    <w:p w14:paraId="5D029590" w14:textId="6B3C6FA4" w:rsidR="00C30E52" w:rsidRDefault="00BF7A30" w:rsidP="00C30E52">
      <w:r w:rsidRPr="00BF7A30">
        <w:t xml:space="preserve">Data marts can help various management jobs at Recovery Radio Ltd. by providing specific analytical information. For instance, the finance department may utilise a Finance Data Mart to track royalties paid to music licensing companies, assess earnings from advertising campaigns, and keep an eye on operating expenses. In a similar vein, the programming staff can use a Programming Data Mart to assess program performance across various hospitals or broadcast channels, identify popular music genres, and study listener engagement patterns. Each department </w:t>
      </w:r>
      <w:r w:rsidRPr="00BF7A30">
        <w:t>can</w:t>
      </w:r>
      <w:r w:rsidRPr="00BF7A30">
        <w:t xml:space="preserve"> make well-informed judgements based on precise and pertinent facts thanks to these targeted datasets [</w:t>
      </w:r>
      <w:r w:rsidR="00515FD5">
        <w:t>16</w:t>
      </w:r>
      <w:r w:rsidRPr="00BF7A30">
        <w:t>].</w:t>
      </w:r>
    </w:p>
    <w:p w14:paraId="2E26BBE8" w14:textId="0CC3E5AE" w:rsidR="00283699" w:rsidRDefault="001F0005" w:rsidP="00A22111">
      <w:r w:rsidRPr="001F0005">
        <w:t xml:space="preserve">Dimensional modelling, in which fact tables hold quantifiable events and dimension tables offer descriptive context, is commonly used to generate data marts from the central data warehouse. This </w:t>
      </w:r>
      <w:r w:rsidRPr="001F0005">
        <w:lastRenderedPageBreak/>
        <w:t>structure streamlines reporting procedures and increases the effectiveness of analytical queries. Dependent data marts, which are constructed directly from a central warehouse, also guarantee that all departments rely on integrated and consistent data, avoiding disparities between reports produced by various teams [1</w:t>
      </w:r>
      <w:r w:rsidR="00911336">
        <w:t>7</w:t>
      </w:r>
      <w:r w:rsidRPr="001F0005">
        <w:t>]</w:t>
      </w:r>
    </w:p>
    <w:p w14:paraId="62A379F6" w14:textId="77777777" w:rsidR="00283699" w:rsidRDefault="00283699" w:rsidP="00283699">
      <w:pPr>
        <w:pStyle w:val="ListParagraph"/>
      </w:pPr>
    </w:p>
    <w:p w14:paraId="4C2A634E" w14:textId="77777777" w:rsidR="00283699" w:rsidRDefault="00283699" w:rsidP="00283699">
      <w:pPr>
        <w:pStyle w:val="ListParagraph"/>
      </w:pPr>
    </w:p>
    <w:p w14:paraId="3960C9F1" w14:textId="3364E36A" w:rsidR="00283699" w:rsidRPr="00C11F6F" w:rsidRDefault="0065380E" w:rsidP="00A22111">
      <w:pPr>
        <w:pStyle w:val="Heading6"/>
      </w:pPr>
      <w:r w:rsidRPr="00C11F6F">
        <w:t>Normalised vs. Dimensional Structure and Star Schema</w:t>
      </w:r>
    </w:p>
    <w:p w14:paraId="3A556D55" w14:textId="2E7D5F64" w:rsidR="00C11F6F" w:rsidRPr="00C11F6F" w:rsidRDefault="00C11F6F" w:rsidP="00C11F6F">
      <w:r w:rsidRPr="00C11F6F">
        <w:t>Selecting the right data structure for storing and accessing big datasets is crucial to data warehouse design. Normalised (OLTP-style) structures and dimensional (OLAP-style) structures are two popular methods. When building a data warehouse to enable analytics, reporting, and departmental data marts, it is essential to comprehend the distinctions [</w:t>
      </w:r>
      <w:r w:rsidR="005572C2">
        <w:t>1</w:t>
      </w:r>
      <w:r w:rsidR="00911336">
        <w:t>8</w:t>
      </w:r>
      <w:r w:rsidRPr="00C11F6F">
        <w:t>].</w:t>
      </w:r>
    </w:p>
    <w:p w14:paraId="4E6CC251" w14:textId="071931B3" w:rsidR="000F4E62" w:rsidRPr="000F4E62" w:rsidRDefault="000F4E62" w:rsidP="000F4E62">
      <w:r w:rsidRPr="000F4E62">
        <w:rPr>
          <w:u w:val="single"/>
        </w:rPr>
        <w:t>Normalised Organization</w:t>
      </w:r>
      <w:r w:rsidRPr="000F4E62">
        <w:br/>
        <w:t>To reduce redundancy and preserve data integrity, normalised structures—which are frequently utilised in OLTP systems—store data in several linked tables. Foreign keys are used to maintain relationships between entities, and each table usually represents a single entity. Normalisation guarantees consistent updates and saves store space, but it is not the best option for analytical queries. Complex joins, sluggish query speed, and ineffective reporting can result from aggregating data over several tables [</w:t>
      </w:r>
      <w:r w:rsidR="005572C2">
        <w:t>1</w:t>
      </w:r>
      <w:r w:rsidR="00911336">
        <w:t>9</w:t>
      </w:r>
      <w:r w:rsidRPr="000F4E62">
        <w:t xml:space="preserve">]. For instance, it would be computationally costly to combine numerous transactional tables </w:t>
      </w:r>
      <w:r w:rsidRPr="000F4E62">
        <w:t>to</w:t>
      </w:r>
      <w:r w:rsidRPr="000F4E62">
        <w:t xml:space="preserve"> track the entire playtime of a specific song across several hospitals in an OLTP system.</w:t>
      </w:r>
    </w:p>
    <w:p w14:paraId="1957E94E" w14:textId="3914814A" w:rsidR="00BA2E4D" w:rsidRPr="00BA2E4D" w:rsidRDefault="00BA2E4D" w:rsidP="00BA2E4D">
      <w:r w:rsidRPr="00BA2E4D">
        <w:rPr>
          <w:u w:val="single"/>
        </w:rPr>
        <w:t>Dimensional Organization</w:t>
      </w:r>
      <w:r w:rsidRPr="00BA2E4D">
        <w:br/>
        <w:t>Dimensional structures, on the other hand, are intended for analytical analysis. They divide the data into dimension tables, which offer descriptive context for analysis, and fact tables, which include quantitative measures. Because it minimises complicated joins and enables quick data aggregation and slicing, this model is highly suited for query performance. Dimensional modelling also simplifies reporting and enables the creation of data marts tailored to departmental needs [</w:t>
      </w:r>
      <w:r w:rsidR="00867FCA">
        <w:t>20</w:t>
      </w:r>
      <w:r w:rsidRPr="00BA2E4D">
        <w:t>], [</w:t>
      </w:r>
      <w:r w:rsidR="00867FCA">
        <w:t>21</w:t>
      </w:r>
      <w:r w:rsidRPr="00BA2E4D">
        <w:t>].</w:t>
      </w:r>
    </w:p>
    <w:p w14:paraId="2086184B" w14:textId="4016A9FC" w:rsidR="00B8084D" w:rsidRPr="00B8084D" w:rsidRDefault="00B8084D" w:rsidP="00B8084D">
      <w:r w:rsidRPr="00B8084D">
        <w:rPr>
          <w:u w:val="single"/>
        </w:rPr>
        <w:t>Star Schema</w:t>
      </w:r>
      <w:r w:rsidRPr="00B8084D">
        <w:br/>
        <w:t>The most popular dimensional modelling method is the star schema. A star schema is shaped like a star, with linked dimension tables encircling a core fact table. Attributes that characterise the facts, such as time, program, track, or advertising information, are included in each dimension table. While dimensions collect descriptive information like song title, artist, genre, program time, and hospital location, the fact table for Recovery Radio Ltd. might hold quantifiable events like song play counts, revenue, and royalties. This architecture lowers complexity, facilitates quick analytical queries, and increases the effectiveness of reporting across several departments [</w:t>
      </w:r>
      <w:r w:rsidR="00472D89">
        <w:t>16</w:t>
      </w:r>
      <w:r w:rsidRPr="00B8084D">
        <w:t>], [</w:t>
      </w:r>
      <w:r w:rsidR="00472D89">
        <w:t>17</w:t>
      </w:r>
      <w:r w:rsidRPr="00B8084D">
        <w:t>].</w:t>
      </w:r>
    </w:p>
    <w:p w14:paraId="33721A23" w14:textId="68437669" w:rsidR="00BB5540" w:rsidRPr="00BB5540" w:rsidRDefault="00BB5540" w:rsidP="00BB5540">
      <w:r w:rsidRPr="00BB5540">
        <w:t>Recovery Radio can combine operational and external data into a logical analytical framework by using a dimensional structure with a star schema. It guarantees consistent, trustworthy insights for management decision-making, improves query efficiency for BI tools, and makes departmental data marts easier to create [</w:t>
      </w:r>
      <w:r w:rsidR="00472D89">
        <w:t>1</w:t>
      </w:r>
      <w:r w:rsidR="00867FCA">
        <w:t>9</w:t>
      </w:r>
      <w:r w:rsidRPr="00BB5540">
        <w:t>], [</w:t>
      </w:r>
      <w:r w:rsidR="00867FCA">
        <w:t>2</w:t>
      </w:r>
      <w:r w:rsidR="00831A08">
        <w:t>0</w:t>
      </w:r>
      <w:r w:rsidRPr="00BB5540">
        <w:t>].</w:t>
      </w:r>
    </w:p>
    <w:p w14:paraId="372F0E4E" w14:textId="77777777" w:rsidR="00283699" w:rsidRDefault="00283699" w:rsidP="00C11F6F"/>
    <w:p w14:paraId="19EA19B9" w14:textId="77777777" w:rsidR="00283699" w:rsidRDefault="00283699" w:rsidP="00283699">
      <w:pPr>
        <w:pStyle w:val="ListParagraph"/>
      </w:pPr>
    </w:p>
    <w:p w14:paraId="4D630545" w14:textId="77777777" w:rsidR="00283699" w:rsidRDefault="00283699" w:rsidP="00283699">
      <w:pPr>
        <w:pStyle w:val="ListParagraph"/>
      </w:pPr>
    </w:p>
    <w:p w14:paraId="349B89D5" w14:textId="77777777" w:rsidR="00B661C5" w:rsidRPr="00B661C5" w:rsidRDefault="00B661C5" w:rsidP="00A22111">
      <w:pPr>
        <w:pStyle w:val="Heading7"/>
      </w:pPr>
      <w:r w:rsidRPr="00B661C5">
        <w:t>Development Plan for the Suggested Data Warehouse Solution for Recovery Radio</w:t>
      </w:r>
    </w:p>
    <w:p w14:paraId="52E78491" w14:textId="77777777" w:rsidR="00C92BFB" w:rsidRPr="00C92BFB" w:rsidRDefault="00C92BFB" w:rsidP="00C92BFB">
      <w:pPr>
        <w:rPr>
          <w:u w:val="single"/>
        </w:rPr>
      </w:pPr>
      <w:r w:rsidRPr="00C92BFB">
        <w:rPr>
          <w:u w:val="single"/>
        </w:rPr>
        <w:t>2.1 Identification of the Source System</w:t>
      </w:r>
    </w:p>
    <w:p w14:paraId="23D75FB3" w14:textId="7AE789AA" w:rsidR="002A1F8B" w:rsidRDefault="00C92BFB" w:rsidP="002A1F8B">
      <w:r w:rsidRPr="002A1F8B">
        <w:lastRenderedPageBreak/>
        <w:t>To</w:t>
      </w:r>
      <w:r w:rsidR="002A1F8B" w:rsidRPr="002A1F8B">
        <w:t xml:space="preserve"> facilitate analytics, reporting, and operational decision-making, DHL's new data warehouse will combine data from several internal and external platforms. Internal sources include the Transportation Management System (TMS) for routing and delivery performance, the Order Management System (OMS) for tracking shipments and customer orders, the Warehouse Management System (WMS) for inventory levels and storage activities, and financial systems for invoices, payments, and cost analysis. External sources include third-party shipping and customs databases, partner logistics networks for tracking shipments across companies, and client portals that offer information on consumer interactions and feedback. DHL can maximise supply chain efficiency and customer service by combining various sources into the data warehouse, which guarantees a centralised, accurate, and consistent repository that enables executive dashboards, operational KPIs, and strategic decision-making [</w:t>
      </w:r>
      <w:r w:rsidR="00404402">
        <w:t>22</w:t>
      </w:r>
      <w:r w:rsidR="002A1F8B" w:rsidRPr="002A1F8B">
        <w:t>], [2</w:t>
      </w:r>
      <w:r w:rsidR="00404402">
        <w:t>3</w:t>
      </w:r>
      <w:r w:rsidR="002A1F8B" w:rsidRPr="002A1F8B">
        <w:t>].</w:t>
      </w:r>
    </w:p>
    <w:p w14:paraId="582D4D3A" w14:textId="028EC694" w:rsidR="00EA5439" w:rsidRPr="00916FA3" w:rsidRDefault="00916FA3" w:rsidP="002A1F8B">
      <w:pPr>
        <w:rPr>
          <w:u w:val="single"/>
        </w:rPr>
      </w:pPr>
      <w:r w:rsidRPr="00916FA3">
        <w:rPr>
          <w:u w:val="single"/>
        </w:rPr>
        <w:t>Star Schema Design</w:t>
      </w:r>
    </w:p>
    <w:p w14:paraId="75A13F5C" w14:textId="366D0010" w:rsidR="00104914" w:rsidRPr="00104914" w:rsidRDefault="00104914" w:rsidP="00104914">
      <w:r w:rsidRPr="00104914">
        <w:t xml:space="preserve">A dimensional star schema is the best design for DHL's data warehouse </w:t>
      </w:r>
      <w:proofErr w:type="gramStart"/>
      <w:r w:rsidRPr="00104914">
        <w:t>in order to</w:t>
      </w:r>
      <w:proofErr w:type="gramEnd"/>
      <w:r w:rsidRPr="00104914">
        <w:t xml:space="preserve"> facilitate analytical queries and reporting on financial indicators, operational performance, and logistics. A star structure ensures fast query efficiency and straightforward reporting by separating fact tables, which include quantifiable occurrences, from dimension tables, which offer descriptive context [</w:t>
      </w:r>
      <w:r w:rsidR="00914814">
        <w:t>2</w:t>
      </w:r>
      <w:r w:rsidR="009044F0">
        <w:t>4</w:t>
      </w:r>
      <w:r w:rsidRPr="00104914">
        <w:t>], [2</w:t>
      </w:r>
      <w:r w:rsidR="00914814">
        <w:t>5</w:t>
      </w:r>
      <w:r w:rsidRPr="00104914">
        <w:t>].</w:t>
      </w:r>
    </w:p>
    <w:p w14:paraId="562468EC" w14:textId="02267D6C" w:rsidR="00EA5439" w:rsidRPr="00EA5439" w:rsidRDefault="00EA5439" w:rsidP="00EA5439">
      <w:r w:rsidRPr="00EA5439">
        <w:rPr>
          <w:u w:val="single"/>
        </w:rPr>
        <w:t>Central Information Tables</w:t>
      </w:r>
      <w:r w:rsidRPr="00EA5439">
        <w:rPr>
          <w:u w:val="single"/>
        </w:rPr>
        <w:br/>
      </w:r>
      <w:r w:rsidRPr="00EA5439">
        <w:br/>
      </w:r>
      <w:proofErr w:type="spellStart"/>
      <w:r w:rsidRPr="00EA5439">
        <w:t>Fact_Shipment</w:t>
      </w:r>
      <w:proofErr w:type="spellEnd"/>
      <w:r w:rsidRPr="00EA5439">
        <w:t>: Individual shipping occurrences are kept in this main fact table. Shipment weight, delivery time, shipping cost, income, delay time, and returns are important metrics. Dimensions like clients, packages, means of transportation, and time are linked to by foreign keys.</w:t>
      </w:r>
      <w:r w:rsidRPr="00EA5439">
        <w:br/>
      </w:r>
      <w:r w:rsidRPr="00EA5439">
        <w:br/>
      </w:r>
      <w:proofErr w:type="spellStart"/>
      <w:r w:rsidRPr="00EA5439">
        <w:t>Fact_DeliveryPerformance</w:t>
      </w:r>
      <w:proofErr w:type="spellEnd"/>
      <w:r w:rsidRPr="00EA5439">
        <w:t>: This table compiles important operational indicators at several levels of detail, including daily, weekly, and monthly performance. The percentage of on-time deliveries, average travel time, cost per delivery, and total shipments processed are among the metrics. Executive dashboards and KPI tracking are supported by aggregation without being overloaded with specific shipping data [</w:t>
      </w:r>
      <w:r w:rsidR="00914814">
        <w:t>26</w:t>
      </w:r>
      <w:r w:rsidRPr="00EA5439">
        <w:t>].</w:t>
      </w:r>
    </w:p>
    <w:p w14:paraId="67B071ED" w14:textId="77777777" w:rsidR="006032D7" w:rsidRPr="006032D7" w:rsidRDefault="006032D7" w:rsidP="006032D7">
      <w:r w:rsidRPr="006032D7">
        <w:rPr>
          <w:u w:val="single"/>
        </w:rPr>
        <w:t>Tables of Dimensions</w:t>
      </w:r>
      <w:r w:rsidRPr="006032D7">
        <w:rPr>
          <w:u w:val="single"/>
        </w:rPr>
        <w:br/>
      </w:r>
      <w:r w:rsidRPr="006032D7">
        <w:br/>
        <w:t xml:space="preserve">Client ID, firm name, contact information, service level agreements (SLAs), and geographic location are all stored in </w:t>
      </w:r>
      <w:proofErr w:type="spellStart"/>
      <w:r w:rsidRPr="006032D7">
        <w:t>Dim_Client</w:t>
      </w:r>
      <w:proofErr w:type="spellEnd"/>
      <w:r w:rsidRPr="006032D7">
        <w:t>. This makes it possible to analyse client segment-specific revenue, shipping volume, and service quality.</w:t>
      </w:r>
      <w:r w:rsidRPr="006032D7">
        <w:br/>
      </w:r>
      <w:r w:rsidRPr="006032D7">
        <w:br/>
      </w:r>
      <w:proofErr w:type="spellStart"/>
      <w:r w:rsidRPr="006032D7">
        <w:t>Dim_Package</w:t>
      </w:r>
      <w:proofErr w:type="spellEnd"/>
      <w:r w:rsidRPr="006032D7">
        <w:t>: Gathers information about a package, including its ID, weight, dimensions, type, declared value, and priority level.</w:t>
      </w:r>
      <w:r w:rsidRPr="006032D7">
        <w:br/>
      </w:r>
      <w:r w:rsidRPr="006032D7">
        <w:br/>
      </w:r>
      <w:proofErr w:type="spellStart"/>
      <w:r w:rsidRPr="006032D7">
        <w:t>Dim_Vehicle</w:t>
      </w:r>
      <w:proofErr w:type="spellEnd"/>
      <w:r w:rsidRPr="006032D7">
        <w:t>: Contains the vehicle ID, type (truck, van, aeroplane), capacity, and maintenance schedule for DHL transport vehicles.</w:t>
      </w:r>
      <w:r w:rsidRPr="006032D7">
        <w:br/>
      </w:r>
      <w:r w:rsidRPr="006032D7">
        <w:br/>
      </w:r>
      <w:proofErr w:type="spellStart"/>
      <w:r w:rsidRPr="006032D7">
        <w:t>Dim_Location</w:t>
      </w:r>
      <w:proofErr w:type="spellEnd"/>
      <w:r w:rsidRPr="006032D7">
        <w:t>: Contains information on the origin, destination, and intermediate hub locations, including postal code, city, region, and country.</w:t>
      </w:r>
      <w:r w:rsidRPr="006032D7">
        <w:br/>
      </w:r>
      <w:r w:rsidRPr="006032D7">
        <w:br/>
      </w:r>
      <w:proofErr w:type="spellStart"/>
      <w:r w:rsidRPr="006032D7">
        <w:t>Dim_ServiceType</w:t>
      </w:r>
      <w:proofErr w:type="spellEnd"/>
      <w:r w:rsidRPr="006032D7">
        <w:t>: This metadata table, which enables segmentation and comparison among service offerings, describes the type of shipment service (express, standard, freight, international).</w:t>
      </w:r>
      <w:r w:rsidRPr="006032D7">
        <w:br/>
      </w:r>
      <w:r w:rsidRPr="006032D7">
        <w:br/>
      </w:r>
      <w:proofErr w:type="spellStart"/>
      <w:r w:rsidRPr="006032D7">
        <w:lastRenderedPageBreak/>
        <w:t>Dim_Time</w:t>
      </w:r>
      <w:proofErr w:type="spellEnd"/>
      <w:r w:rsidRPr="006032D7">
        <w:t>: This standard time dimension allows trend analysis and period-over-period comparisons by supporting analysis by day, week, month, quarter, and year.</w:t>
      </w:r>
    </w:p>
    <w:p w14:paraId="632E6E6C" w14:textId="530F36BA" w:rsidR="00A70045" w:rsidRPr="00A70045" w:rsidRDefault="00A70045" w:rsidP="00A70045">
      <w:r w:rsidRPr="00A70045">
        <w:rPr>
          <w:u w:val="single"/>
        </w:rPr>
        <w:t>Summary and Aggregate Tables</w:t>
      </w:r>
      <w:r w:rsidRPr="00A70045">
        <w:br/>
        <w:t xml:space="preserve">Aggregate tables store precomputed metrics to increase reporting efficiency. </w:t>
      </w:r>
      <w:proofErr w:type="spellStart"/>
      <w:r w:rsidRPr="00A70045">
        <w:t>Aggregate_MonthlyDelivery</w:t>
      </w:r>
      <w:proofErr w:type="spellEnd"/>
      <w:r w:rsidRPr="00A70045">
        <w:t>, for example, provides a monthly summary of total shipments, average transit time, on-time delivery percentage, and total income for each client, service type, and location. For dashboards and management reporting, these tables shorten query execution times [2</w:t>
      </w:r>
      <w:r w:rsidR="00B57BD7">
        <w:t>5</w:t>
      </w:r>
      <w:r w:rsidRPr="00A70045">
        <w:t>], [</w:t>
      </w:r>
      <w:r w:rsidR="00B57BD7">
        <w:t>27</w:t>
      </w:r>
      <w:r w:rsidRPr="00A70045">
        <w:t>].</w:t>
      </w:r>
    </w:p>
    <w:p w14:paraId="6D1FBA48" w14:textId="74A59101" w:rsidR="00130437" w:rsidRDefault="00130437" w:rsidP="00130437">
      <w:r w:rsidRPr="00130437">
        <w:rPr>
          <w:rStyle w:val="Heading8Char"/>
        </w:rPr>
        <w:t>Master Data and Metadata Integration</w:t>
      </w:r>
      <w:r w:rsidRPr="00130437">
        <w:br/>
        <w:t>Clients and cars are examples of master data that guarantee descriptive characteristics are the same in every fact table. Service kinds, SLA levels, and shipping rules are examples of metadata tables that offer a framework for analytical queries that support precise and relevant reporting. For instance, linking a shipment to its SLA guarantees that performance measures, such as cost per SLA category or delivery delay, may be efficiently tracked.</w:t>
      </w:r>
    </w:p>
    <w:p w14:paraId="71CA2640" w14:textId="4B472F55" w:rsidR="00F82DCB" w:rsidRDefault="00C67A8A" w:rsidP="00F82DCB">
      <w:pPr>
        <w:ind w:left="360"/>
      </w:pPr>
      <w:r w:rsidRPr="00F82DCB">
        <w:rPr>
          <w:u w:val="single"/>
        </w:rPr>
        <w:t>Schema Advantages for DHL</w:t>
      </w:r>
      <w:r w:rsidRPr="00C67A8A">
        <w:br/>
        <w:t>Several analytical use cases for DHL are supported by this star schema, including</w:t>
      </w:r>
    </w:p>
    <w:p w14:paraId="6DDD359A" w14:textId="77777777" w:rsidR="00F82DCB" w:rsidRDefault="00C67A8A" w:rsidP="00F82DCB">
      <w:pPr>
        <w:pStyle w:val="ListParagraph"/>
        <w:numPr>
          <w:ilvl w:val="0"/>
          <w:numId w:val="3"/>
        </w:numPr>
      </w:pPr>
      <w:r w:rsidRPr="00C67A8A">
        <w:t>Operational Analysis: Tracking delivery delays, hub performance, and truck utilisation.</w:t>
      </w:r>
    </w:p>
    <w:p w14:paraId="46B22433" w14:textId="565E848D" w:rsidR="00F82DCB" w:rsidRDefault="00C67A8A" w:rsidP="00F82DCB">
      <w:pPr>
        <w:pStyle w:val="ListParagraph"/>
        <w:numPr>
          <w:ilvl w:val="0"/>
          <w:numId w:val="3"/>
        </w:numPr>
      </w:pPr>
      <w:r w:rsidRPr="00C67A8A">
        <w:t>Customer analysis is the process of assessing revenue, service quality, and shipment volume by customer or area</w:t>
      </w:r>
    </w:p>
    <w:p w14:paraId="08778AAF" w14:textId="77777777" w:rsidR="00F82DCB" w:rsidRDefault="00C67A8A" w:rsidP="00F82DCB">
      <w:pPr>
        <w:pStyle w:val="ListParagraph"/>
        <w:numPr>
          <w:ilvl w:val="0"/>
          <w:numId w:val="3"/>
        </w:numPr>
      </w:pPr>
      <w:r w:rsidRPr="00C67A8A">
        <w:t>Financial Analysis: Combining shipping earnings, expenses, and profitability from many locations and service categories.</w:t>
      </w:r>
    </w:p>
    <w:p w14:paraId="1C06BFA1" w14:textId="77777777" w:rsidR="00F82DCB" w:rsidRDefault="00C67A8A" w:rsidP="00F82DCB">
      <w:pPr>
        <w:pStyle w:val="ListParagraph"/>
        <w:numPr>
          <w:ilvl w:val="0"/>
          <w:numId w:val="3"/>
        </w:numPr>
      </w:pPr>
      <w:r w:rsidRPr="00C67A8A">
        <w:t>Strategic planning includes demand forecasts, fleet allocation optimisation, and the identification of underperforming routes.</w:t>
      </w:r>
    </w:p>
    <w:p w14:paraId="1ED3FAD1" w14:textId="77777777" w:rsidR="006F1F07" w:rsidRDefault="00C67A8A" w:rsidP="006F1F07">
      <w:pPr>
        <w:pStyle w:val="ListParagraph"/>
        <w:numPr>
          <w:ilvl w:val="0"/>
          <w:numId w:val="3"/>
        </w:numPr>
      </w:pPr>
      <w:r w:rsidRPr="00C67A8A">
        <w:t xml:space="preserve">A versatile, scalable, and high-performing architecture is provided by the dimensional structure with </w:t>
      </w:r>
      <w:r w:rsidR="00F82DCB" w:rsidRPr="00C67A8A">
        <w:t>centre</w:t>
      </w:r>
      <w:r w:rsidRPr="00C67A8A">
        <w:t xml:space="preserve"> fact tables and surrounding dimensions. Dashboards, reports, and data marts for finance, operations, and senior management can use it because it supports aggregate analysis and allows for comprehensive event-level data [</w:t>
      </w:r>
      <w:r w:rsidR="009044F0">
        <w:t>24</w:t>
      </w:r>
      <w:r w:rsidRPr="00C67A8A">
        <w:t>], [</w:t>
      </w:r>
      <w:r w:rsidR="009044F0">
        <w:t>26</w:t>
      </w:r>
      <w:r w:rsidRPr="00C67A8A">
        <w:t>].</w:t>
      </w:r>
    </w:p>
    <w:p w14:paraId="5FE3BDCB" w14:textId="77777777" w:rsidR="009341E8" w:rsidRDefault="009341E8" w:rsidP="009341E8">
      <w:pPr>
        <w:pStyle w:val="ListParagraph"/>
      </w:pPr>
    </w:p>
    <w:p w14:paraId="59F02F89" w14:textId="77777777" w:rsidR="009341E8" w:rsidRDefault="006F1F07" w:rsidP="00A22111">
      <w:pPr>
        <w:pStyle w:val="Heading9"/>
      </w:pPr>
      <w:r w:rsidRPr="009341E8">
        <w:t>Data Marts and Schema</w:t>
      </w:r>
    </w:p>
    <w:p w14:paraId="335723CB" w14:textId="4DC53EEB" w:rsidR="00283699" w:rsidRDefault="009341E8" w:rsidP="005F1B1A">
      <w:pPr>
        <w:rPr>
          <w:b/>
          <w:bCs/>
          <w:u w:val="single"/>
        </w:rPr>
      </w:pPr>
      <w:r w:rsidRPr="009341E8">
        <w:t xml:space="preserve">DHL's data warehouse can be separated into subject-oriented data marts, each of which focuses on </w:t>
      </w:r>
      <w:proofErr w:type="gramStart"/>
      <w:r w:rsidRPr="009341E8">
        <w:t>particular business</w:t>
      </w:r>
      <w:proofErr w:type="gramEnd"/>
      <w:r w:rsidRPr="009341E8">
        <w:t xml:space="preserve"> functions, to assist departmental decision-making. Data marts give departments like Finance, Operations, and Client Services with customised analytical datasets by extracting pertinent subsets from the central warehouse [</w:t>
      </w:r>
      <w:r w:rsidR="00CD1B6C">
        <w:t>2</w:t>
      </w:r>
      <w:r w:rsidR="00765A78">
        <w:t>7</w:t>
      </w:r>
      <w:r w:rsidRPr="009341E8">
        <w:t>], [</w:t>
      </w:r>
      <w:r w:rsidR="00765A78">
        <w:t>28</w:t>
      </w:r>
      <w:r w:rsidRPr="009341E8">
        <w:t>].</w:t>
      </w:r>
      <w:r w:rsidRPr="009341E8">
        <w:br/>
      </w:r>
      <w:r w:rsidRPr="009341E8">
        <w:br/>
        <w:t xml:space="preserve">Finance Data Mart: Transaction ID, shipment cost, revenue, discounts, and tax information are among the financial facts and related dimensions that are contained in this mart. Revenue may be analysed by client, service, region, and time thanks to dimension tables like </w:t>
      </w:r>
      <w:proofErr w:type="spellStart"/>
      <w:r w:rsidRPr="009341E8">
        <w:t>Dim_Client</w:t>
      </w:r>
      <w:proofErr w:type="spellEnd"/>
      <w:r w:rsidRPr="009341E8">
        <w:t xml:space="preserve">, </w:t>
      </w:r>
      <w:proofErr w:type="spellStart"/>
      <w:r w:rsidRPr="009341E8">
        <w:t>Dim_Time</w:t>
      </w:r>
      <w:proofErr w:type="spellEnd"/>
      <w:r w:rsidRPr="009341E8">
        <w:t xml:space="preserve">, </w:t>
      </w:r>
      <w:proofErr w:type="spellStart"/>
      <w:r w:rsidRPr="009341E8">
        <w:t>Dim_ServiceType</w:t>
      </w:r>
      <w:proofErr w:type="spellEnd"/>
      <w:r w:rsidRPr="009341E8">
        <w:t xml:space="preserve">, and </w:t>
      </w:r>
      <w:proofErr w:type="spellStart"/>
      <w:r w:rsidRPr="009341E8">
        <w:t>Dim_Location</w:t>
      </w:r>
      <w:proofErr w:type="spellEnd"/>
      <w:r w:rsidRPr="009341E8">
        <w:t>. Budgeting and profitability analysis are supported by aggregated metrics including monthly revenue, cost per shipment, and profit margins [</w:t>
      </w:r>
      <w:r w:rsidR="00765A78">
        <w:t>29</w:t>
      </w:r>
      <w:r w:rsidRPr="009341E8">
        <w:t>].</w:t>
      </w:r>
    </w:p>
    <w:p w14:paraId="40AC72BF" w14:textId="77777777" w:rsidR="005F1B1A" w:rsidRDefault="005F1B1A" w:rsidP="005F1B1A">
      <w:pPr>
        <w:rPr>
          <w:b/>
          <w:bCs/>
          <w:u w:val="single"/>
        </w:rPr>
      </w:pPr>
    </w:p>
    <w:p w14:paraId="5D2FC35A" w14:textId="77777777" w:rsidR="005F1B1A" w:rsidRDefault="005F1B1A" w:rsidP="005F1B1A">
      <w:r w:rsidRPr="005F1B1A">
        <w:rPr>
          <w:u w:val="single"/>
        </w:rPr>
        <w:t>Operations Data</w:t>
      </w:r>
      <w:r w:rsidRPr="005F1B1A">
        <w:t xml:space="preserve"> Mart</w:t>
      </w:r>
    </w:p>
    <w:p w14:paraId="05AEBEBA" w14:textId="57530BDF" w:rsidR="005F1B1A" w:rsidRDefault="005F1B1A" w:rsidP="005F1B1A">
      <w:r w:rsidRPr="005F1B1A">
        <w:t xml:space="preserve"> Designed to track logistics performance, this mart contains shipment-level information including truck usage, delivery duration, and instances of delays. </w:t>
      </w:r>
      <w:proofErr w:type="spellStart"/>
      <w:r w:rsidRPr="005F1B1A">
        <w:t>Dim_Vehicle</w:t>
      </w:r>
      <w:proofErr w:type="spellEnd"/>
      <w:r w:rsidRPr="005F1B1A">
        <w:t xml:space="preserve">, </w:t>
      </w:r>
      <w:proofErr w:type="spellStart"/>
      <w:r w:rsidRPr="005F1B1A">
        <w:t>Dim_Location</w:t>
      </w:r>
      <w:proofErr w:type="spellEnd"/>
      <w:r w:rsidRPr="005F1B1A">
        <w:t xml:space="preserve">, </w:t>
      </w:r>
      <w:proofErr w:type="spellStart"/>
      <w:r w:rsidRPr="005F1B1A">
        <w:t>Dim_Time</w:t>
      </w:r>
      <w:proofErr w:type="spellEnd"/>
      <w:r w:rsidRPr="005F1B1A">
        <w:t xml:space="preserve">, and </w:t>
      </w:r>
      <w:proofErr w:type="spellStart"/>
      <w:r w:rsidRPr="005F1B1A">
        <w:lastRenderedPageBreak/>
        <w:t>Dim_ServiceType</w:t>
      </w:r>
      <w:proofErr w:type="spellEnd"/>
      <w:r w:rsidRPr="005F1B1A">
        <w:t xml:space="preserve"> are examples of dimensions. </w:t>
      </w:r>
      <w:proofErr w:type="gramStart"/>
      <w:r w:rsidRPr="005F1B1A">
        <w:t>In order to</w:t>
      </w:r>
      <w:proofErr w:type="gramEnd"/>
      <w:r w:rsidRPr="005F1B1A">
        <w:t xml:space="preserve"> help operational optimisation and resource planning, aggregate tables provide a summary of weekly or monthly delivery performance, average transit times, and route efficiency [</w:t>
      </w:r>
      <w:r w:rsidR="00765A78">
        <w:t>28</w:t>
      </w:r>
      <w:r w:rsidRPr="005F1B1A">
        <w:t>], [</w:t>
      </w:r>
      <w:r w:rsidR="00765A78">
        <w:t>30</w:t>
      </w:r>
      <w:r w:rsidRPr="005F1B1A">
        <w:t>].</w:t>
      </w:r>
      <w:r w:rsidRPr="005F1B1A">
        <w:br/>
      </w:r>
    </w:p>
    <w:p w14:paraId="17CE0467" w14:textId="72DF9046" w:rsidR="005F1B1A" w:rsidRDefault="005F1B1A" w:rsidP="00A22111">
      <w:pPr>
        <w:pStyle w:val="Heading9"/>
      </w:pPr>
      <w:r w:rsidRPr="005F1B1A">
        <w:br/>
        <w:t>Client Services Data Mart</w:t>
      </w:r>
    </w:p>
    <w:p w14:paraId="4A18E23D" w14:textId="2CDC0EB6" w:rsidR="002B1AC1" w:rsidRDefault="005F1B1A" w:rsidP="002B1AC1">
      <w:r w:rsidRPr="005F1B1A">
        <w:t>This mart offers information on complaints, customer interactions, and service-level compliance. While dimensions record customer profiles, time, and service types, fact tables cover shipment queries, returns, and SLA compliance. Managers can target service improvements and increase customer satisfaction by analysing indicators like complaint rates, average response times, and service-level performance [</w:t>
      </w:r>
      <w:r w:rsidR="00765A78">
        <w:t>28</w:t>
      </w:r>
      <w:r w:rsidRPr="005F1B1A">
        <w:t>], [</w:t>
      </w:r>
      <w:r w:rsidR="00765A78">
        <w:t>30</w:t>
      </w:r>
      <w:r w:rsidRPr="005F1B1A">
        <w:t>].</w:t>
      </w:r>
    </w:p>
    <w:p w14:paraId="63D52911" w14:textId="40403B12" w:rsidR="002B1AC1" w:rsidRPr="002B1AC1" w:rsidRDefault="002B1AC1" w:rsidP="002B1AC1">
      <w:r w:rsidRPr="002B1AC1">
        <w:t>DHL guarantees that every department has quick, precise, and useful insights while keeping uniformity with the central warehouse by organising data marts using fact tables and pertinent dimensions. Throughout the organization, this design encourages effective reporting, KPI tracking, and strategic decision-making [</w:t>
      </w:r>
      <w:r w:rsidR="00765A78">
        <w:t>29</w:t>
      </w:r>
      <w:r w:rsidRPr="002B1AC1">
        <w:t>], [</w:t>
      </w:r>
      <w:r w:rsidR="00765A78">
        <w:t>31</w:t>
      </w:r>
      <w:r w:rsidRPr="002B1AC1">
        <w:t>].</w:t>
      </w:r>
    </w:p>
    <w:p w14:paraId="0925B629" w14:textId="77777777" w:rsidR="000511C8" w:rsidRPr="000511C8" w:rsidRDefault="000511C8" w:rsidP="000511C8">
      <w:r w:rsidRPr="000511C8">
        <w:rPr>
          <w:rStyle w:val="Heading9Char"/>
        </w:rPr>
        <w:t>Plan for ETL</w:t>
      </w:r>
      <w:r w:rsidRPr="000511C8">
        <w:rPr>
          <w:b/>
          <w:bCs/>
          <w:u w:val="single"/>
        </w:rPr>
        <w:br/>
      </w:r>
      <w:r w:rsidRPr="000511C8">
        <w:rPr>
          <w:b/>
          <w:bCs/>
          <w:u w:val="single"/>
        </w:rPr>
        <w:br/>
      </w:r>
      <w:r w:rsidRPr="000511C8">
        <w:t>To guarantee accurate, consistent, and analytics-ready data, a streamlined ETL plan for DHL describes data sources, transformations, and target tables.</w:t>
      </w:r>
    </w:p>
    <w:tbl>
      <w:tblPr>
        <w:tblStyle w:val="GridTable4"/>
        <w:tblW w:w="0" w:type="auto"/>
        <w:tblLook w:val="04A0" w:firstRow="1" w:lastRow="0" w:firstColumn="1" w:lastColumn="0" w:noHBand="0" w:noVBand="1"/>
      </w:tblPr>
      <w:tblGrid>
        <w:gridCol w:w="2573"/>
        <w:gridCol w:w="1503"/>
        <w:gridCol w:w="4940"/>
      </w:tblGrid>
      <w:tr w:rsidR="002E673B" w:rsidRPr="002E673B" w14:paraId="7F8FAA52" w14:textId="77777777" w:rsidTr="002E67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BB2E7" w14:textId="77777777" w:rsidR="002E673B" w:rsidRPr="002E673B" w:rsidRDefault="002E673B" w:rsidP="002E673B">
            <w:pPr>
              <w:spacing w:after="160" w:line="259" w:lineRule="auto"/>
              <w:rPr>
                <w:u w:val="single"/>
              </w:rPr>
            </w:pPr>
            <w:r w:rsidRPr="002E673B">
              <w:rPr>
                <w:u w:val="single"/>
              </w:rPr>
              <w:t>Target Table</w:t>
            </w:r>
          </w:p>
        </w:tc>
        <w:tc>
          <w:tcPr>
            <w:tcW w:w="0" w:type="auto"/>
            <w:hideMark/>
          </w:tcPr>
          <w:p w14:paraId="608B3623" w14:textId="77777777" w:rsidR="002E673B" w:rsidRPr="002E673B" w:rsidRDefault="002E673B" w:rsidP="002E673B">
            <w:pPr>
              <w:spacing w:after="160" w:line="259" w:lineRule="auto"/>
              <w:cnfStyle w:val="100000000000" w:firstRow="1" w:lastRow="0" w:firstColumn="0" w:lastColumn="0" w:oddVBand="0" w:evenVBand="0" w:oddHBand="0" w:evenHBand="0" w:firstRowFirstColumn="0" w:firstRowLastColumn="0" w:lastRowFirstColumn="0" w:lastRowLastColumn="0"/>
              <w:rPr>
                <w:u w:val="single"/>
              </w:rPr>
            </w:pPr>
            <w:r w:rsidRPr="002E673B">
              <w:rPr>
                <w:u w:val="single"/>
              </w:rPr>
              <w:t>Source Systems</w:t>
            </w:r>
          </w:p>
        </w:tc>
        <w:tc>
          <w:tcPr>
            <w:tcW w:w="0" w:type="auto"/>
            <w:hideMark/>
          </w:tcPr>
          <w:p w14:paraId="57A8BE0C" w14:textId="77777777" w:rsidR="002E673B" w:rsidRPr="002E673B" w:rsidRDefault="002E673B" w:rsidP="002E673B">
            <w:pPr>
              <w:spacing w:after="160" w:line="259" w:lineRule="auto"/>
              <w:cnfStyle w:val="100000000000" w:firstRow="1" w:lastRow="0" w:firstColumn="0" w:lastColumn="0" w:oddVBand="0" w:evenVBand="0" w:oddHBand="0" w:evenHBand="0" w:firstRowFirstColumn="0" w:firstRowLastColumn="0" w:lastRowFirstColumn="0" w:lastRowLastColumn="0"/>
              <w:rPr>
                <w:u w:val="single"/>
              </w:rPr>
            </w:pPr>
            <w:r w:rsidRPr="002E673B">
              <w:rPr>
                <w:u w:val="single"/>
              </w:rPr>
              <w:t>Transformations</w:t>
            </w:r>
          </w:p>
        </w:tc>
      </w:tr>
      <w:tr w:rsidR="002E673B" w:rsidRPr="002E673B" w14:paraId="4359CB00" w14:textId="77777777" w:rsidTr="002E6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6156F" w14:textId="77777777" w:rsidR="002E673B" w:rsidRPr="002E673B" w:rsidRDefault="002E673B" w:rsidP="002E673B">
            <w:pPr>
              <w:spacing w:after="160" w:line="259" w:lineRule="auto"/>
              <w:rPr>
                <w:b w:val="0"/>
                <w:bCs w:val="0"/>
              </w:rPr>
            </w:pPr>
            <w:proofErr w:type="spellStart"/>
            <w:r w:rsidRPr="002E673B">
              <w:rPr>
                <w:b w:val="0"/>
                <w:bCs w:val="0"/>
              </w:rPr>
              <w:t>Fact_Shipment</w:t>
            </w:r>
            <w:proofErr w:type="spellEnd"/>
          </w:p>
        </w:tc>
        <w:tc>
          <w:tcPr>
            <w:tcW w:w="0" w:type="auto"/>
            <w:hideMark/>
          </w:tcPr>
          <w:p w14:paraId="43F110BA" w14:textId="77777777" w:rsidR="002E673B" w:rsidRPr="002E673B" w:rsidRDefault="002E673B" w:rsidP="002E673B">
            <w:pPr>
              <w:spacing w:after="160" w:line="259" w:lineRule="auto"/>
              <w:cnfStyle w:val="000000100000" w:firstRow="0" w:lastRow="0" w:firstColumn="0" w:lastColumn="0" w:oddVBand="0" w:evenVBand="0" w:oddHBand="1" w:evenHBand="0" w:firstRowFirstColumn="0" w:firstRowLastColumn="0" w:lastRowFirstColumn="0" w:lastRowLastColumn="0"/>
            </w:pPr>
            <w:r w:rsidRPr="002E673B">
              <w:t>OMS, TMS, WMS</w:t>
            </w:r>
          </w:p>
        </w:tc>
        <w:tc>
          <w:tcPr>
            <w:tcW w:w="0" w:type="auto"/>
            <w:hideMark/>
          </w:tcPr>
          <w:p w14:paraId="1E1D80A6" w14:textId="77777777" w:rsidR="00FF6480" w:rsidRPr="00FF6480" w:rsidRDefault="00FF6480" w:rsidP="00FF6480">
            <w:pPr>
              <w:spacing w:after="160" w:line="259" w:lineRule="auto"/>
              <w:cnfStyle w:val="000000100000" w:firstRow="0" w:lastRow="0" w:firstColumn="0" w:lastColumn="0" w:oddVBand="0" w:evenVBand="0" w:oddHBand="1" w:evenHBand="0" w:firstRowFirstColumn="0" w:firstRowLastColumn="0" w:lastRowFirstColumn="0" w:lastRowLastColumn="0"/>
            </w:pPr>
            <w:r w:rsidRPr="00FF6480">
              <w:t>Eliminate duplicates, verify shipment IDs, standardise dates, and determine arrival time</w:t>
            </w:r>
          </w:p>
          <w:p w14:paraId="121B7B67" w14:textId="06CA68A7" w:rsidR="002E673B" w:rsidRPr="002E673B" w:rsidRDefault="002E673B" w:rsidP="002E673B">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2E673B" w:rsidRPr="002E673B" w14:paraId="056E67B6" w14:textId="77777777" w:rsidTr="002E673B">
        <w:tc>
          <w:tcPr>
            <w:cnfStyle w:val="001000000000" w:firstRow="0" w:lastRow="0" w:firstColumn="1" w:lastColumn="0" w:oddVBand="0" w:evenVBand="0" w:oddHBand="0" w:evenHBand="0" w:firstRowFirstColumn="0" w:firstRowLastColumn="0" w:lastRowFirstColumn="0" w:lastRowLastColumn="0"/>
            <w:tcW w:w="0" w:type="auto"/>
            <w:hideMark/>
          </w:tcPr>
          <w:p w14:paraId="66CD9BC2" w14:textId="77777777" w:rsidR="002E673B" w:rsidRPr="002E673B" w:rsidRDefault="002E673B" w:rsidP="002E673B">
            <w:pPr>
              <w:spacing w:after="160" w:line="259" w:lineRule="auto"/>
              <w:rPr>
                <w:b w:val="0"/>
                <w:bCs w:val="0"/>
              </w:rPr>
            </w:pPr>
            <w:proofErr w:type="spellStart"/>
            <w:r w:rsidRPr="002E673B">
              <w:rPr>
                <w:b w:val="0"/>
                <w:bCs w:val="0"/>
              </w:rPr>
              <w:t>Fact_DeliveryPerformance</w:t>
            </w:r>
            <w:proofErr w:type="spellEnd"/>
          </w:p>
        </w:tc>
        <w:tc>
          <w:tcPr>
            <w:tcW w:w="0" w:type="auto"/>
            <w:hideMark/>
          </w:tcPr>
          <w:p w14:paraId="78DD5CBB" w14:textId="77777777" w:rsidR="002E673B" w:rsidRPr="002E673B" w:rsidRDefault="002E673B" w:rsidP="002E673B">
            <w:pPr>
              <w:spacing w:after="160" w:line="259" w:lineRule="auto"/>
              <w:cnfStyle w:val="000000000000" w:firstRow="0" w:lastRow="0" w:firstColumn="0" w:lastColumn="0" w:oddVBand="0" w:evenVBand="0" w:oddHBand="0" w:evenHBand="0" w:firstRowFirstColumn="0" w:firstRowLastColumn="0" w:lastRowFirstColumn="0" w:lastRowLastColumn="0"/>
            </w:pPr>
            <w:r w:rsidRPr="002E673B">
              <w:t>OMS, TMS</w:t>
            </w:r>
          </w:p>
        </w:tc>
        <w:tc>
          <w:tcPr>
            <w:tcW w:w="0" w:type="auto"/>
            <w:hideMark/>
          </w:tcPr>
          <w:p w14:paraId="026951D5" w14:textId="77777777" w:rsidR="00176267" w:rsidRPr="00176267" w:rsidRDefault="00176267" w:rsidP="00176267">
            <w:pPr>
              <w:spacing w:after="160" w:line="259" w:lineRule="auto"/>
              <w:cnfStyle w:val="000000000000" w:firstRow="0" w:lastRow="0" w:firstColumn="0" w:lastColumn="0" w:oddVBand="0" w:evenVBand="0" w:oddHBand="0" w:evenHBand="0" w:firstRowFirstColumn="0" w:firstRowLastColumn="0" w:lastRowFirstColumn="0" w:lastRowLastColumn="0"/>
            </w:pPr>
            <w:r w:rsidRPr="00176267">
              <w:t>Compute the percentage of on-time delivery, aggregate daily metrics into weekly or monthly reports, and add SLA data.</w:t>
            </w:r>
          </w:p>
          <w:p w14:paraId="5F3B6A6B" w14:textId="5B87C3A4" w:rsidR="002E673B" w:rsidRPr="002E673B" w:rsidRDefault="002E673B" w:rsidP="002E673B">
            <w:pPr>
              <w:spacing w:after="160" w:line="259" w:lineRule="auto"/>
              <w:cnfStyle w:val="000000000000" w:firstRow="0" w:lastRow="0" w:firstColumn="0" w:lastColumn="0" w:oddVBand="0" w:evenVBand="0" w:oddHBand="0" w:evenHBand="0" w:firstRowFirstColumn="0" w:firstRowLastColumn="0" w:lastRowFirstColumn="0" w:lastRowLastColumn="0"/>
            </w:pPr>
          </w:p>
        </w:tc>
      </w:tr>
      <w:tr w:rsidR="002E673B" w:rsidRPr="002E673B" w14:paraId="04DE47EB" w14:textId="77777777" w:rsidTr="002E6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8D669D" w14:textId="77777777" w:rsidR="002E673B" w:rsidRPr="002E673B" w:rsidRDefault="002E673B" w:rsidP="002E673B">
            <w:pPr>
              <w:spacing w:after="160" w:line="259" w:lineRule="auto"/>
              <w:rPr>
                <w:b w:val="0"/>
                <w:bCs w:val="0"/>
              </w:rPr>
            </w:pPr>
            <w:proofErr w:type="spellStart"/>
            <w:r w:rsidRPr="002E673B">
              <w:rPr>
                <w:b w:val="0"/>
                <w:bCs w:val="0"/>
              </w:rPr>
              <w:t>Dim_Client</w:t>
            </w:r>
            <w:proofErr w:type="spellEnd"/>
          </w:p>
        </w:tc>
        <w:tc>
          <w:tcPr>
            <w:tcW w:w="0" w:type="auto"/>
            <w:hideMark/>
          </w:tcPr>
          <w:p w14:paraId="06A68967" w14:textId="77777777" w:rsidR="002E673B" w:rsidRPr="002E673B" w:rsidRDefault="002E673B" w:rsidP="002E673B">
            <w:pPr>
              <w:spacing w:after="160" w:line="259" w:lineRule="auto"/>
              <w:cnfStyle w:val="000000100000" w:firstRow="0" w:lastRow="0" w:firstColumn="0" w:lastColumn="0" w:oddVBand="0" w:evenVBand="0" w:oddHBand="1" w:evenHBand="0" w:firstRowFirstColumn="0" w:firstRowLastColumn="0" w:lastRowFirstColumn="0" w:lastRowLastColumn="0"/>
            </w:pPr>
            <w:r w:rsidRPr="002E673B">
              <w:t>Client portals, OMS</w:t>
            </w:r>
          </w:p>
        </w:tc>
        <w:tc>
          <w:tcPr>
            <w:tcW w:w="0" w:type="auto"/>
            <w:hideMark/>
          </w:tcPr>
          <w:p w14:paraId="5816D71A" w14:textId="77777777" w:rsidR="00D82FC6" w:rsidRPr="00D82FC6" w:rsidRDefault="00D82FC6" w:rsidP="00D82FC6">
            <w:pPr>
              <w:spacing w:after="160" w:line="259" w:lineRule="auto"/>
              <w:cnfStyle w:val="000000100000" w:firstRow="0" w:lastRow="0" w:firstColumn="0" w:lastColumn="0" w:oddVBand="0" w:evenVBand="0" w:oddHBand="1" w:evenHBand="0" w:firstRowFirstColumn="0" w:firstRowLastColumn="0" w:lastRowFirstColumn="0" w:lastRowLastColumn="0"/>
            </w:pPr>
            <w:r w:rsidRPr="00D82FC6">
              <w:t>Clean addresses, standardise client IDs, and include segment and region information.</w:t>
            </w:r>
          </w:p>
          <w:p w14:paraId="3DF1EB57" w14:textId="5AB7CBEB" w:rsidR="002E673B" w:rsidRPr="002E673B" w:rsidRDefault="002E673B" w:rsidP="002E673B">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2E673B" w:rsidRPr="002E673B" w14:paraId="21A1D5C8" w14:textId="77777777" w:rsidTr="002E673B">
        <w:tc>
          <w:tcPr>
            <w:cnfStyle w:val="001000000000" w:firstRow="0" w:lastRow="0" w:firstColumn="1" w:lastColumn="0" w:oddVBand="0" w:evenVBand="0" w:oddHBand="0" w:evenHBand="0" w:firstRowFirstColumn="0" w:firstRowLastColumn="0" w:lastRowFirstColumn="0" w:lastRowLastColumn="0"/>
            <w:tcW w:w="0" w:type="auto"/>
            <w:hideMark/>
          </w:tcPr>
          <w:p w14:paraId="5E79B7A5" w14:textId="77777777" w:rsidR="002E673B" w:rsidRPr="002E673B" w:rsidRDefault="002E673B" w:rsidP="002E673B">
            <w:pPr>
              <w:spacing w:after="160" w:line="259" w:lineRule="auto"/>
              <w:rPr>
                <w:b w:val="0"/>
                <w:bCs w:val="0"/>
              </w:rPr>
            </w:pPr>
            <w:proofErr w:type="spellStart"/>
            <w:r w:rsidRPr="002E673B">
              <w:rPr>
                <w:b w:val="0"/>
                <w:bCs w:val="0"/>
              </w:rPr>
              <w:t>Dim_Vehicle</w:t>
            </w:r>
            <w:proofErr w:type="spellEnd"/>
          </w:p>
        </w:tc>
        <w:tc>
          <w:tcPr>
            <w:tcW w:w="0" w:type="auto"/>
            <w:hideMark/>
          </w:tcPr>
          <w:p w14:paraId="7E871466" w14:textId="77777777" w:rsidR="002E673B" w:rsidRPr="002E673B" w:rsidRDefault="002E673B" w:rsidP="002E673B">
            <w:pPr>
              <w:spacing w:after="160" w:line="259" w:lineRule="auto"/>
              <w:cnfStyle w:val="000000000000" w:firstRow="0" w:lastRow="0" w:firstColumn="0" w:lastColumn="0" w:oddVBand="0" w:evenVBand="0" w:oddHBand="0" w:evenHBand="0" w:firstRowFirstColumn="0" w:firstRowLastColumn="0" w:lastRowFirstColumn="0" w:lastRowLastColumn="0"/>
            </w:pPr>
            <w:r w:rsidRPr="002E673B">
              <w:t>WMS, TMS</w:t>
            </w:r>
          </w:p>
        </w:tc>
        <w:tc>
          <w:tcPr>
            <w:tcW w:w="0" w:type="auto"/>
            <w:hideMark/>
          </w:tcPr>
          <w:p w14:paraId="017939CA" w14:textId="77777777" w:rsidR="00D82FC6" w:rsidRPr="00D82FC6" w:rsidRDefault="00D82FC6" w:rsidP="00D82FC6">
            <w:pPr>
              <w:spacing w:after="160" w:line="259" w:lineRule="auto"/>
              <w:cnfStyle w:val="000000000000" w:firstRow="0" w:lastRow="0" w:firstColumn="0" w:lastColumn="0" w:oddVBand="0" w:evenVBand="0" w:oddHBand="0" w:evenHBand="0" w:firstRowFirstColumn="0" w:firstRowLastColumn="0" w:lastRowFirstColumn="0" w:lastRowLastColumn="0"/>
            </w:pPr>
            <w:r w:rsidRPr="00D82FC6">
              <w:t>Verify car IDs, standardise car models, and add capacity and status.</w:t>
            </w:r>
          </w:p>
          <w:p w14:paraId="1F2676A2" w14:textId="395B5FDB" w:rsidR="002E673B" w:rsidRPr="002E673B" w:rsidRDefault="002E673B" w:rsidP="002E673B">
            <w:pPr>
              <w:spacing w:after="160" w:line="259" w:lineRule="auto"/>
              <w:cnfStyle w:val="000000000000" w:firstRow="0" w:lastRow="0" w:firstColumn="0" w:lastColumn="0" w:oddVBand="0" w:evenVBand="0" w:oddHBand="0" w:evenHBand="0" w:firstRowFirstColumn="0" w:firstRowLastColumn="0" w:lastRowFirstColumn="0" w:lastRowLastColumn="0"/>
            </w:pPr>
          </w:p>
        </w:tc>
      </w:tr>
      <w:tr w:rsidR="002E673B" w:rsidRPr="002E673B" w14:paraId="66A31CBA" w14:textId="77777777" w:rsidTr="002E67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932495" w14:textId="77777777" w:rsidR="002E673B" w:rsidRPr="002E673B" w:rsidRDefault="002E673B" w:rsidP="002E673B">
            <w:pPr>
              <w:spacing w:after="160" w:line="259" w:lineRule="auto"/>
              <w:rPr>
                <w:b w:val="0"/>
                <w:bCs w:val="0"/>
              </w:rPr>
            </w:pPr>
            <w:proofErr w:type="spellStart"/>
            <w:r w:rsidRPr="002E673B">
              <w:rPr>
                <w:b w:val="0"/>
                <w:bCs w:val="0"/>
              </w:rPr>
              <w:t>Dim_Time</w:t>
            </w:r>
            <w:proofErr w:type="spellEnd"/>
          </w:p>
        </w:tc>
        <w:tc>
          <w:tcPr>
            <w:tcW w:w="0" w:type="auto"/>
            <w:hideMark/>
          </w:tcPr>
          <w:p w14:paraId="1FEF5A8C" w14:textId="77777777" w:rsidR="002E673B" w:rsidRPr="002E673B" w:rsidRDefault="002E673B" w:rsidP="002E673B">
            <w:pPr>
              <w:spacing w:after="160" w:line="259" w:lineRule="auto"/>
              <w:cnfStyle w:val="000000100000" w:firstRow="0" w:lastRow="0" w:firstColumn="0" w:lastColumn="0" w:oddVBand="0" w:evenVBand="0" w:oddHBand="1" w:evenHBand="0" w:firstRowFirstColumn="0" w:firstRowLastColumn="0" w:lastRowFirstColumn="0" w:lastRowLastColumn="0"/>
            </w:pPr>
            <w:r w:rsidRPr="002E673B">
              <w:t>System timestamps</w:t>
            </w:r>
          </w:p>
        </w:tc>
        <w:tc>
          <w:tcPr>
            <w:tcW w:w="0" w:type="auto"/>
            <w:hideMark/>
          </w:tcPr>
          <w:p w14:paraId="160B5A2D" w14:textId="77777777" w:rsidR="00D909F9" w:rsidRPr="00D909F9" w:rsidRDefault="00D909F9" w:rsidP="00D909F9">
            <w:pPr>
              <w:spacing w:after="160" w:line="259" w:lineRule="auto"/>
              <w:cnfStyle w:val="000000100000" w:firstRow="0" w:lastRow="0" w:firstColumn="0" w:lastColumn="0" w:oddVBand="0" w:evenVBand="0" w:oddHBand="1" w:evenHBand="0" w:firstRowFirstColumn="0" w:firstRowLastColumn="0" w:lastRowFirstColumn="0" w:lastRowLastColumn="0"/>
            </w:pPr>
            <w:r w:rsidRPr="00D909F9">
              <w:t>Take out the day, week, month, quarter, and year.</w:t>
            </w:r>
          </w:p>
          <w:p w14:paraId="3C716E59" w14:textId="0E2E01E5" w:rsidR="002E673B" w:rsidRPr="002E673B" w:rsidRDefault="002E673B" w:rsidP="002E673B">
            <w:pPr>
              <w:spacing w:after="160" w:line="259" w:lineRule="auto"/>
              <w:cnfStyle w:val="000000100000" w:firstRow="0" w:lastRow="0" w:firstColumn="0" w:lastColumn="0" w:oddVBand="0" w:evenVBand="0" w:oddHBand="1" w:evenHBand="0" w:firstRowFirstColumn="0" w:firstRowLastColumn="0" w:lastRowFirstColumn="0" w:lastRowLastColumn="0"/>
            </w:pPr>
          </w:p>
        </w:tc>
      </w:tr>
      <w:tr w:rsidR="002E673B" w:rsidRPr="002E673B" w14:paraId="48382C47" w14:textId="77777777" w:rsidTr="002E673B">
        <w:tc>
          <w:tcPr>
            <w:cnfStyle w:val="001000000000" w:firstRow="0" w:lastRow="0" w:firstColumn="1" w:lastColumn="0" w:oddVBand="0" w:evenVBand="0" w:oddHBand="0" w:evenHBand="0" w:firstRowFirstColumn="0" w:firstRowLastColumn="0" w:lastRowFirstColumn="0" w:lastRowLastColumn="0"/>
            <w:tcW w:w="0" w:type="auto"/>
            <w:hideMark/>
          </w:tcPr>
          <w:p w14:paraId="1A9207F4" w14:textId="77777777" w:rsidR="002E673B" w:rsidRPr="002E673B" w:rsidRDefault="002E673B" w:rsidP="002E673B">
            <w:pPr>
              <w:spacing w:after="160" w:line="259" w:lineRule="auto"/>
              <w:rPr>
                <w:b w:val="0"/>
                <w:bCs w:val="0"/>
              </w:rPr>
            </w:pPr>
            <w:proofErr w:type="spellStart"/>
            <w:r w:rsidRPr="002E673B">
              <w:rPr>
                <w:b w:val="0"/>
                <w:bCs w:val="0"/>
              </w:rPr>
              <w:t>Dim_ServiceType</w:t>
            </w:r>
            <w:proofErr w:type="spellEnd"/>
          </w:p>
        </w:tc>
        <w:tc>
          <w:tcPr>
            <w:tcW w:w="0" w:type="auto"/>
            <w:hideMark/>
          </w:tcPr>
          <w:p w14:paraId="6F47E332" w14:textId="77777777" w:rsidR="002E673B" w:rsidRPr="002E673B" w:rsidRDefault="002E673B" w:rsidP="002E673B">
            <w:pPr>
              <w:spacing w:after="160" w:line="259" w:lineRule="auto"/>
              <w:cnfStyle w:val="000000000000" w:firstRow="0" w:lastRow="0" w:firstColumn="0" w:lastColumn="0" w:oddVBand="0" w:evenVBand="0" w:oddHBand="0" w:evenHBand="0" w:firstRowFirstColumn="0" w:firstRowLastColumn="0" w:lastRowFirstColumn="0" w:lastRowLastColumn="0"/>
            </w:pPr>
            <w:r w:rsidRPr="002E673B">
              <w:t>OMS, TMS</w:t>
            </w:r>
          </w:p>
        </w:tc>
        <w:tc>
          <w:tcPr>
            <w:tcW w:w="0" w:type="auto"/>
            <w:hideMark/>
          </w:tcPr>
          <w:p w14:paraId="757F7BC4" w14:textId="77777777" w:rsidR="007645CE" w:rsidRPr="007645CE" w:rsidRDefault="007645CE" w:rsidP="007645CE">
            <w:pPr>
              <w:spacing w:after="160" w:line="259" w:lineRule="auto"/>
              <w:cnfStyle w:val="000000000000" w:firstRow="0" w:lastRow="0" w:firstColumn="0" w:lastColumn="0" w:oddVBand="0" w:evenVBand="0" w:oddHBand="0" w:evenHBand="0" w:firstRowFirstColumn="0" w:firstRowLastColumn="0" w:lastRowFirstColumn="0" w:lastRowLastColumn="0"/>
            </w:pPr>
            <w:r w:rsidRPr="007645CE">
              <w:t>Standardise service descriptions and codes.</w:t>
            </w:r>
          </w:p>
          <w:p w14:paraId="33E3E0E9" w14:textId="40DCE665" w:rsidR="002E673B" w:rsidRPr="002E673B" w:rsidRDefault="002E673B" w:rsidP="002E673B">
            <w:pPr>
              <w:spacing w:after="160" w:line="259" w:lineRule="auto"/>
              <w:cnfStyle w:val="000000000000" w:firstRow="0" w:lastRow="0" w:firstColumn="0" w:lastColumn="0" w:oddVBand="0" w:evenVBand="0" w:oddHBand="0" w:evenHBand="0" w:firstRowFirstColumn="0" w:firstRowLastColumn="0" w:lastRowFirstColumn="0" w:lastRowLastColumn="0"/>
            </w:pPr>
          </w:p>
        </w:tc>
      </w:tr>
    </w:tbl>
    <w:p w14:paraId="32FC8064" w14:textId="77777777" w:rsidR="00283699" w:rsidRPr="00C12C6D" w:rsidRDefault="00283699" w:rsidP="00A230B5"/>
    <w:p w14:paraId="2643D68F" w14:textId="04AB8E27" w:rsidR="00C12C6D" w:rsidRPr="00C12C6D" w:rsidRDefault="00C12C6D" w:rsidP="00C12C6D">
      <w:r w:rsidRPr="00C12C6D">
        <w:t>After extracting data from operational and external sources, this ETL pipeline cleans, enriches, and aggregates it before loading it into fact and dimension tables. Timely analytics are supported and minimal disturbance to operational systems is ensured by planned batch processing and parallel extraction [</w:t>
      </w:r>
      <w:r>
        <w:t>3</w:t>
      </w:r>
      <w:r w:rsidR="005B3A91">
        <w:t>2</w:t>
      </w:r>
      <w:r w:rsidRPr="00C12C6D">
        <w:t>], [</w:t>
      </w:r>
      <w:r>
        <w:t>3</w:t>
      </w:r>
      <w:r w:rsidR="005B3A91">
        <w:t>3</w:t>
      </w:r>
      <w:r w:rsidRPr="00C12C6D">
        <w:t>].</w:t>
      </w:r>
    </w:p>
    <w:p w14:paraId="3E7714E4" w14:textId="77777777" w:rsidR="00DE1DE8" w:rsidRPr="00DE1DE8" w:rsidRDefault="00DE1DE8" w:rsidP="00DE1DE8">
      <w:r w:rsidRPr="00DE1DE8">
        <w:rPr>
          <w:rStyle w:val="Heading9Char"/>
        </w:rPr>
        <w:t>Governance and Data Quality</w:t>
      </w:r>
      <w:r w:rsidRPr="00DE1DE8">
        <w:rPr>
          <w:rStyle w:val="Heading9Char"/>
        </w:rPr>
        <w:br/>
      </w:r>
      <w:r w:rsidRPr="00DE1DE8">
        <w:rPr>
          <w:b/>
          <w:bCs/>
          <w:u w:val="single"/>
        </w:rPr>
        <w:br/>
      </w:r>
      <w:r w:rsidRPr="00DE1DE8">
        <w:lastRenderedPageBreak/>
        <w:t>During ETL and continuing warehouse operations, it is essential to guarantee data quality and strong governance. Accuracy (accurate shipment, customer, and financial data), uniformity between dimensions and fact tables, and adherence to legal requirements like GDPR are important factors to take into account. While audit logs monitor changes and ETL success, access control guarantees that only authorised workers can read sensitive information. The reliability and credibility of DHL's analytical outputs are maintained by the implementation of validation procedures, standardisation, and monitoring frameworks [1], [2].</w:t>
      </w:r>
    </w:p>
    <w:p w14:paraId="20CF59D8" w14:textId="77777777" w:rsidR="00A22111" w:rsidRPr="00A22111" w:rsidRDefault="00A22111" w:rsidP="00A22111">
      <w:r w:rsidRPr="00A22111">
        <w:rPr>
          <w:rStyle w:val="Heading9Char"/>
        </w:rPr>
        <w:t>In conclusion</w:t>
      </w:r>
      <w:r w:rsidRPr="00A22111">
        <w:rPr>
          <w:rStyle w:val="Heading9Char"/>
        </w:rPr>
        <w:br/>
      </w:r>
      <w:r w:rsidRPr="00A22111">
        <w:t>Organisations like Recovery Radio and DHL may convert raw transactional and external data into actionable insights by putting in place a well-designed data warehouse with ETL pipelines, dimensional modelling, and targeted data marts. Separating OLTP and analytical workloads ensures operational systems remain efficient while managers gain timely, accurate, and comprehensive views for decision-making. Proper governance, data quality controls, and star schema design further enhance reliability and performance, enabling organisations to leverage data strategically for reporting, forecasting, and operational optimisation.</w:t>
      </w:r>
    </w:p>
    <w:p w14:paraId="25499C44" w14:textId="77777777" w:rsidR="00C12C6D" w:rsidRPr="00DE1DE8" w:rsidRDefault="00C12C6D" w:rsidP="00A230B5"/>
    <w:p w14:paraId="05F440FB" w14:textId="77777777" w:rsidR="00283699" w:rsidRPr="002E673B" w:rsidRDefault="00283699" w:rsidP="00283699">
      <w:pPr>
        <w:pStyle w:val="ListParagraph"/>
      </w:pPr>
    </w:p>
    <w:p w14:paraId="258ABE7C" w14:textId="2DDE78F6" w:rsidR="00283699" w:rsidRPr="00515FD5" w:rsidRDefault="00283699" w:rsidP="00283699">
      <w:pPr>
        <w:pStyle w:val="ListParagraph"/>
        <w:rPr>
          <w:b/>
          <w:bCs/>
          <w:u w:val="single"/>
        </w:rPr>
      </w:pPr>
      <w:r w:rsidRPr="00515FD5">
        <w:rPr>
          <w:b/>
          <w:bCs/>
          <w:u w:val="single"/>
        </w:rPr>
        <w:t>REFERENCES</w:t>
      </w:r>
    </w:p>
    <w:p w14:paraId="23486755" w14:textId="288CF6B0" w:rsidR="00283699" w:rsidRDefault="00283699" w:rsidP="00283699">
      <w:pPr>
        <w:pStyle w:val="ListParagraph"/>
      </w:pPr>
      <w:r w:rsidRPr="00283699">
        <w:rPr>
          <w:b/>
          <w:bCs/>
        </w:rPr>
        <w:t>[1]</w:t>
      </w:r>
      <w:r w:rsidRPr="00283699">
        <w:t xml:space="preserve"> </w:t>
      </w:r>
      <w:proofErr w:type="spellStart"/>
      <w:r w:rsidRPr="00283699">
        <w:t>GeeksforGeeks</w:t>
      </w:r>
      <w:proofErr w:type="spellEnd"/>
      <w:r w:rsidRPr="00283699">
        <w:t xml:space="preserve">, “Difference between Data Warehousing and Online Transaction Processing (OLTP),” </w:t>
      </w:r>
      <w:proofErr w:type="spellStart"/>
      <w:r w:rsidRPr="00283699">
        <w:rPr>
          <w:i/>
          <w:iCs/>
        </w:rPr>
        <w:t>GeeksforGeeks</w:t>
      </w:r>
      <w:proofErr w:type="spellEnd"/>
      <w:r w:rsidRPr="00283699">
        <w:t xml:space="preserve">, Jul. 2025. </w:t>
      </w:r>
      <w:hyperlink r:id="rId9" w:history="1">
        <w:r w:rsidRPr="00283699">
          <w:rPr>
            <w:rStyle w:val="Hyperlink"/>
          </w:rPr>
          <w:t xml:space="preserve">Difference between Data Warehousing and Online transaction processing (OLTP) - </w:t>
        </w:r>
        <w:proofErr w:type="spellStart"/>
        <w:r w:rsidRPr="00283699">
          <w:rPr>
            <w:rStyle w:val="Hyperlink"/>
          </w:rPr>
          <w:t>GeeksforGeeks</w:t>
        </w:r>
        <w:proofErr w:type="spellEnd"/>
      </w:hyperlink>
    </w:p>
    <w:p w14:paraId="68ADE6F6" w14:textId="7A9A7B14" w:rsidR="00283699" w:rsidRDefault="00283699" w:rsidP="00283699">
      <w:pPr>
        <w:pStyle w:val="ListParagraph"/>
      </w:pPr>
      <w:r w:rsidRPr="00283699">
        <w:rPr>
          <w:b/>
          <w:bCs/>
        </w:rPr>
        <w:t>[2]</w:t>
      </w:r>
      <w:r w:rsidRPr="00283699">
        <w:t xml:space="preserve"> B. Monteiro, “OLTP, OLAP, and Data Warehousing: A Beginner’s Guide,” </w:t>
      </w:r>
      <w:r w:rsidRPr="00283699">
        <w:rPr>
          <w:i/>
          <w:iCs/>
        </w:rPr>
        <w:t>LinkedIn Articles</w:t>
      </w:r>
      <w:r w:rsidRPr="00283699">
        <w:t xml:space="preserve">, Feb. 2025. </w:t>
      </w:r>
      <w:hyperlink r:id="rId10" w:history="1">
        <w:r w:rsidRPr="00283699">
          <w:rPr>
            <w:rStyle w:val="Hyperlink"/>
          </w:rPr>
          <w:t>OLTP, OLAP, and Data Warehousing: A Beginner’s Guide</w:t>
        </w:r>
      </w:hyperlink>
    </w:p>
    <w:p w14:paraId="6FD7F517" w14:textId="30A366A8" w:rsidR="00283699" w:rsidRDefault="00283699" w:rsidP="00283699">
      <w:pPr>
        <w:pStyle w:val="ListParagraph"/>
      </w:pPr>
      <w:r>
        <w:t xml:space="preserve">[3] </w:t>
      </w:r>
      <w:r w:rsidRPr="00283699">
        <w:t xml:space="preserve">V. Khanna, “Data Warehouse 10: OLTP vs Data Warehouse,” </w:t>
      </w:r>
      <w:r w:rsidRPr="00283699">
        <w:rPr>
          <w:i/>
          <w:iCs/>
        </w:rPr>
        <w:t>SlideShare</w:t>
      </w:r>
      <w:r w:rsidRPr="00283699">
        <w:t xml:space="preserve">, 2023. </w:t>
      </w:r>
      <w:hyperlink r:id="rId11" w:history="1">
        <w:r w:rsidRPr="00283699">
          <w:rPr>
            <w:rStyle w:val="Hyperlink"/>
          </w:rPr>
          <w:t xml:space="preserve">Data warehouse 10 </w:t>
        </w:r>
        <w:proofErr w:type="spellStart"/>
        <w:r w:rsidRPr="00283699">
          <w:rPr>
            <w:rStyle w:val="Hyperlink"/>
          </w:rPr>
          <w:t>oltp</w:t>
        </w:r>
        <w:proofErr w:type="spellEnd"/>
        <w:r w:rsidRPr="00283699">
          <w:rPr>
            <w:rStyle w:val="Hyperlink"/>
          </w:rPr>
          <w:t xml:space="preserve"> vs </w:t>
        </w:r>
        <w:proofErr w:type="spellStart"/>
        <w:r w:rsidRPr="00283699">
          <w:rPr>
            <w:rStyle w:val="Hyperlink"/>
          </w:rPr>
          <w:t>datawarehouse</w:t>
        </w:r>
        <w:proofErr w:type="spellEnd"/>
        <w:r w:rsidRPr="00283699">
          <w:rPr>
            <w:rStyle w:val="Hyperlink"/>
          </w:rPr>
          <w:t xml:space="preserve"> | PPTX</w:t>
        </w:r>
      </w:hyperlink>
    </w:p>
    <w:p w14:paraId="21F46F62" w14:textId="462E5187" w:rsidR="00283699" w:rsidRDefault="000C46F1" w:rsidP="00283699">
      <w:pPr>
        <w:pStyle w:val="ListParagraph"/>
      </w:pPr>
      <w:r w:rsidRPr="000C46F1">
        <w:rPr>
          <w:b/>
          <w:bCs/>
        </w:rPr>
        <w:t>[</w:t>
      </w:r>
      <w:r>
        <w:rPr>
          <w:b/>
          <w:bCs/>
        </w:rPr>
        <w:t>4</w:t>
      </w:r>
      <w:r w:rsidRPr="000C46F1">
        <w:rPr>
          <w:b/>
          <w:bCs/>
        </w:rPr>
        <w:t>]</w:t>
      </w:r>
      <w:r w:rsidRPr="000C46F1">
        <w:t xml:space="preserve"> S. Singh, “Data Warehousing Vs. OLTP: Architecting </w:t>
      </w:r>
      <w:proofErr w:type="gramStart"/>
      <w:r w:rsidRPr="000C46F1">
        <w:t>For</w:t>
      </w:r>
      <w:proofErr w:type="gramEnd"/>
      <w:r w:rsidRPr="000C46F1">
        <w:t xml:space="preserve"> Different Use Cases,” </w:t>
      </w:r>
      <w:proofErr w:type="spellStart"/>
      <w:r w:rsidRPr="000C46F1">
        <w:rPr>
          <w:i/>
          <w:iCs/>
        </w:rPr>
        <w:t>MindStick</w:t>
      </w:r>
      <w:proofErr w:type="spellEnd"/>
      <w:r w:rsidRPr="000C46F1">
        <w:t xml:space="preserve">, Nov. 2024. </w:t>
      </w:r>
      <w:hyperlink r:id="rId12" w:history="1">
        <w:r w:rsidRPr="000C46F1">
          <w:rPr>
            <w:rStyle w:val="Hyperlink"/>
          </w:rPr>
          <w:t xml:space="preserve">Data Warehousing Vs. OLTP: Architecting </w:t>
        </w:r>
        <w:proofErr w:type="gramStart"/>
        <w:r w:rsidRPr="000C46F1">
          <w:rPr>
            <w:rStyle w:val="Hyperlink"/>
          </w:rPr>
          <w:t>For</w:t>
        </w:r>
        <w:proofErr w:type="gramEnd"/>
        <w:r w:rsidRPr="000C46F1">
          <w:rPr>
            <w:rStyle w:val="Hyperlink"/>
          </w:rPr>
          <w:t xml:space="preserve"> Different Use Cases – </w:t>
        </w:r>
        <w:proofErr w:type="spellStart"/>
        <w:r w:rsidRPr="000C46F1">
          <w:rPr>
            <w:rStyle w:val="Hyperlink"/>
          </w:rPr>
          <w:t>MindStick</w:t>
        </w:r>
        <w:proofErr w:type="spellEnd"/>
      </w:hyperlink>
    </w:p>
    <w:p w14:paraId="4FE63A25" w14:textId="6620E6D3" w:rsidR="000C46F1" w:rsidRPr="00283699" w:rsidRDefault="000C46F1" w:rsidP="00283699">
      <w:pPr>
        <w:pStyle w:val="ListParagraph"/>
      </w:pPr>
      <w:r>
        <w:t xml:space="preserve">[5] </w:t>
      </w:r>
      <w:r w:rsidRPr="000C46F1">
        <w:t xml:space="preserve">S. Singh, “Data Warehousing Vs. OLTP: Architecting For Different Use Cases,” </w:t>
      </w:r>
      <w:proofErr w:type="spellStart"/>
      <w:r w:rsidRPr="000C46F1">
        <w:rPr>
          <w:i/>
          <w:iCs/>
        </w:rPr>
        <w:t>MindStick</w:t>
      </w:r>
      <w:proofErr w:type="spellEnd"/>
      <w:r w:rsidRPr="000C46F1">
        <w:t>, Nov. 2024</w:t>
      </w:r>
      <w:hyperlink r:id="rId13" w:history="1">
        <w:r w:rsidRPr="000C46F1">
          <w:rPr>
            <w:rStyle w:val="Hyperlink"/>
          </w:rPr>
          <w:t xml:space="preserve">Data Warehousing Vs. OLTP: Architecting For Different Use Cases – </w:t>
        </w:r>
        <w:proofErr w:type="spellStart"/>
        <w:r w:rsidRPr="000C46F1">
          <w:rPr>
            <w:rStyle w:val="Hyperlink"/>
          </w:rPr>
          <w:t>MindStick</w:t>
        </w:r>
        <w:proofErr w:type="spellEnd"/>
      </w:hyperlink>
    </w:p>
    <w:p w14:paraId="4EF906C0" w14:textId="77777777" w:rsidR="00283699" w:rsidRPr="00283699" w:rsidRDefault="00283699" w:rsidP="00283699">
      <w:pPr>
        <w:pStyle w:val="ListParagraph"/>
      </w:pPr>
    </w:p>
    <w:p w14:paraId="092F85C1" w14:textId="77777777" w:rsidR="00501E54" w:rsidRDefault="00501E54" w:rsidP="00283699">
      <w:pPr>
        <w:pStyle w:val="ListParagraph"/>
      </w:pPr>
      <w:r w:rsidRPr="00501E54">
        <w:t>[</w:t>
      </w:r>
      <w:r>
        <w:t>5</w:t>
      </w:r>
      <w:r w:rsidRPr="00501E54">
        <w:t xml:space="preserve">] Oracle, “Introduction to Data Warehousing Concepts,” </w:t>
      </w:r>
      <w:r w:rsidRPr="00501E54">
        <w:rPr>
          <w:i/>
          <w:iCs/>
        </w:rPr>
        <w:t xml:space="preserve">Oracle Help </w:t>
      </w:r>
      <w:proofErr w:type="spellStart"/>
      <w:r w:rsidRPr="00501E54">
        <w:rPr>
          <w:i/>
          <w:iCs/>
        </w:rPr>
        <w:t>Center</w:t>
      </w:r>
      <w:proofErr w:type="spellEnd"/>
      <w:r w:rsidRPr="00501E54">
        <w:t>, 2024. [</w:t>
      </w:r>
    </w:p>
    <w:p w14:paraId="588C8BDF" w14:textId="77777777" w:rsidR="00501E54" w:rsidRDefault="00501E54" w:rsidP="00283699">
      <w:pPr>
        <w:pStyle w:val="ListParagraph"/>
      </w:pPr>
      <w:r>
        <w:t>[6</w:t>
      </w:r>
      <w:r w:rsidRPr="00501E54">
        <w:t xml:space="preserve">] </w:t>
      </w:r>
      <w:proofErr w:type="spellStart"/>
      <w:r w:rsidRPr="00501E54">
        <w:t>DataCamp</w:t>
      </w:r>
      <w:proofErr w:type="spellEnd"/>
      <w:r w:rsidRPr="00501E54">
        <w:t xml:space="preserve">, “Data Warehouse Architecture: Trends, Tools, and Techniques,” </w:t>
      </w:r>
      <w:proofErr w:type="spellStart"/>
      <w:r w:rsidRPr="00501E54">
        <w:rPr>
          <w:i/>
          <w:iCs/>
        </w:rPr>
        <w:t>DataCamp</w:t>
      </w:r>
      <w:proofErr w:type="spellEnd"/>
      <w:r w:rsidRPr="00501E54">
        <w:t xml:space="preserve">, 2025. </w:t>
      </w:r>
    </w:p>
    <w:p w14:paraId="4FACDB48" w14:textId="58EC5E45" w:rsidR="00283699" w:rsidRDefault="00501E54" w:rsidP="00283699">
      <w:pPr>
        <w:pStyle w:val="ListParagraph"/>
      </w:pPr>
      <w:r w:rsidRPr="00501E54">
        <w:t>[</w:t>
      </w:r>
      <w:r>
        <w:t>7</w:t>
      </w:r>
      <w:r w:rsidRPr="00501E54">
        <w:t xml:space="preserve">] A. Das, “An Overview of ETL and ELT Architecture,” </w:t>
      </w:r>
      <w:proofErr w:type="spellStart"/>
      <w:r w:rsidRPr="00501E54">
        <w:rPr>
          <w:i/>
          <w:iCs/>
        </w:rPr>
        <w:t>SQLShack</w:t>
      </w:r>
      <w:proofErr w:type="spellEnd"/>
      <w:r w:rsidRPr="00501E54">
        <w:t>, 2020.</w:t>
      </w:r>
    </w:p>
    <w:p w14:paraId="2E33240E" w14:textId="0CD716A9" w:rsidR="002E2E74" w:rsidRPr="002E2E74" w:rsidRDefault="002E2E74" w:rsidP="002E2E74">
      <w:pPr>
        <w:pStyle w:val="ListParagraph"/>
      </w:pPr>
      <w:r w:rsidRPr="002E2E74">
        <w:rPr>
          <w:b/>
          <w:bCs/>
        </w:rPr>
        <w:t>[</w:t>
      </w:r>
      <w:r>
        <w:rPr>
          <w:b/>
          <w:bCs/>
        </w:rPr>
        <w:t>8</w:t>
      </w:r>
      <w:r w:rsidRPr="002E2E74">
        <w:rPr>
          <w:b/>
          <w:bCs/>
        </w:rPr>
        <w:t>]</w:t>
      </w:r>
      <w:r w:rsidRPr="002E2E74">
        <w:t xml:space="preserve"> M. Armbrust </w:t>
      </w:r>
      <w:r w:rsidRPr="002E2E74">
        <w:rPr>
          <w:i/>
          <w:iCs/>
        </w:rPr>
        <w:t>et al.</w:t>
      </w:r>
      <w:r w:rsidRPr="002E2E74">
        <w:t xml:space="preserve">, “Delta Lake: High-Performance ACID Table Storage over Cloud Object Stores,” </w:t>
      </w:r>
      <w:r w:rsidRPr="002E2E74">
        <w:rPr>
          <w:i/>
          <w:iCs/>
        </w:rPr>
        <w:t>Proceedings of the VLDB Endowment</w:t>
      </w:r>
      <w:r w:rsidRPr="002E2E74">
        <w:t>, vol. 13, no. 12, pp. 3411–3424, 2020.</w:t>
      </w:r>
    </w:p>
    <w:p w14:paraId="7AFB0C04" w14:textId="6973547D" w:rsidR="002E2E74" w:rsidRPr="002E2E74" w:rsidRDefault="002E2E74" w:rsidP="002E2E74">
      <w:pPr>
        <w:pStyle w:val="ListParagraph"/>
      </w:pPr>
      <w:r w:rsidRPr="002E2E74">
        <w:rPr>
          <w:b/>
          <w:bCs/>
        </w:rPr>
        <w:t>[</w:t>
      </w:r>
      <w:r>
        <w:rPr>
          <w:b/>
          <w:bCs/>
        </w:rPr>
        <w:t>9</w:t>
      </w:r>
      <w:r w:rsidRPr="002E2E74">
        <w:rPr>
          <w:b/>
          <w:bCs/>
        </w:rPr>
        <w:t>]</w:t>
      </w:r>
      <w:r w:rsidRPr="002E2E74">
        <w:t xml:space="preserve"> A. A. Al-Zahrani and A. Al-Khalifa, “Data warehouse architecture and design: A review,” </w:t>
      </w:r>
      <w:r w:rsidRPr="002E2E74">
        <w:rPr>
          <w:i/>
          <w:iCs/>
        </w:rPr>
        <w:t>International Journal of Advanced Computer Science and Applications</w:t>
      </w:r>
      <w:r w:rsidRPr="002E2E74">
        <w:t>, vol. 11, no. 3, pp. 1–9, 2020.</w:t>
      </w:r>
    </w:p>
    <w:p w14:paraId="0C08FAFB" w14:textId="3AC26833" w:rsidR="002E2E74" w:rsidRPr="002E2E74" w:rsidRDefault="002E2E74" w:rsidP="002E2E74">
      <w:pPr>
        <w:pStyle w:val="ListParagraph"/>
      </w:pPr>
      <w:r w:rsidRPr="002E2E74">
        <w:rPr>
          <w:b/>
          <w:bCs/>
        </w:rPr>
        <w:t>[</w:t>
      </w:r>
      <w:r>
        <w:rPr>
          <w:b/>
          <w:bCs/>
        </w:rPr>
        <w:t>10</w:t>
      </w:r>
      <w:r w:rsidRPr="002E2E74">
        <w:rPr>
          <w:b/>
          <w:bCs/>
        </w:rPr>
        <w:t>]</w:t>
      </w:r>
      <w:r w:rsidRPr="002E2E74">
        <w:t xml:space="preserve"> N. Biswas, A. Sarkar, and K. C. Mondal, “Efficient incremental loading in ETL processing for real-time data integration,” </w:t>
      </w:r>
      <w:r w:rsidRPr="002E2E74">
        <w:rPr>
          <w:i/>
          <w:iCs/>
        </w:rPr>
        <w:t>Innovations in Systems and Software Engineering</w:t>
      </w:r>
      <w:r w:rsidRPr="002E2E74">
        <w:t>, vol. 16, pp. 53–61, 2020.</w:t>
      </w:r>
    </w:p>
    <w:p w14:paraId="4F9116AC" w14:textId="15DBA5F0" w:rsidR="002E2E74" w:rsidRPr="002E2E74" w:rsidRDefault="002E2E74" w:rsidP="002E2E74">
      <w:pPr>
        <w:pStyle w:val="ListParagraph"/>
      </w:pPr>
      <w:r w:rsidRPr="002E2E74">
        <w:rPr>
          <w:b/>
          <w:bCs/>
        </w:rPr>
        <w:t>[</w:t>
      </w:r>
      <w:r>
        <w:rPr>
          <w:b/>
          <w:bCs/>
        </w:rPr>
        <w:t>11</w:t>
      </w:r>
      <w:r w:rsidRPr="002E2E74">
        <w:rPr>
          <w:b/>
          <w:bCs/>
        </w:rPr>
        <w:t>]</w:t>
      </w:r>
      <w:r w:rsidRPr="002E2E74">
        <w:t xml:space="preserve"> M. Khan </w:t>
      </w:r>
      <w:r w:rsidRPr="002E2E74">
        <w:rPr>
          <w:i/>
          <w:iCs/>
        </w:rPr>
        <w:t>et al.</w:t>
      </w:r>
      <w:r w:rsidRPr="002E2E74">
        <w:t xml:space="preserve">, “ETL maturity model for data warehouse systems: A CMMI-compliant framework,” </w:t>
      </w:r>
      <w:r w:rsidRPr="002E2E74">
        <w:rPr>
          <w:i/>
          <w:iCs/>
        </w:rPr>
        <w:t>Computers, Materials &amp; Continua</w:t>
      </w:r>
      <w:r w:rsidRPr="002E2E74">
        <w:t>, vol. 74, no. 1, pp. 1–20, 2023.</w:t>
      </w:r>
    </w:p>
    <w:p w14:paraId="0C1F93C3" w14:textId="233BC2A4" w:rsidR="002E2E74" w:rsidRPr="002E2E74" w:rsidRDefault="002E2E74" w:rsidP="002E2E74">
      <w:pPr>
        <w:pStyle w:val="ListParagraph"/>
      </w:pPr>
      <w:r w:rsidRPr="002E2E74">
        <w:rPr>
          <w:b/>
          <w:bCs/>
        </w:rPr>
        <w:t>[</w:t>
      </w:r>
      <w:r>
        <w:rPr>
          <w:b/>
          <w:bCs/>
        </w:rPr>
        <w:t>12</w:t>
      </w:r>
      <w:r w:rsidRPr="002E2E74">
        <w:rPr>
          <w:b/>
          <w:bCs/>
        </w:rPr>
        <w:t>]</w:t>
      </w:r>
      <w:r w:rsidRPr="002E2E74">
        <w:t xml:space="preserve"> L. Dinesh and K. G. Devi, “Hybrid optimisation of ETL processes in cloud data warehouse architecture,” </w:t>
      </w:r>
      <w:r w:rsidRPr="002E2E74">
        <w:rPr>
          <w:i/>
          <w:iCs/>
        </w:rPr>
        <w:t>Journal of Cloud Computing</w:t>
      </w:r>
      <w:r w:rsidRPr="002E2E74">
        <w:t>, vol. 13, no. 1, 2024.</w:t>
      </w:r>
    </w:p>
    <w:p w14:paraId="32745A0F" w14:textId="2C14FA3F" w:rsidR="002E2E74" w:rsidRPr="002E2E74" w:rsidRDefault="002E2E74" w:rsidP="002E2E74">
      <w:pPr>
        <w:pStyle w:val="ListParagraph"/>
      </w:pPr>
      <w:r w:rsidRPr="002E2E74">
        <w:rPr>
          <w:b/>
          <w:bCs/>
        </w:rPr>
        <w:lastRenderedPageBreak/>
        <w:t>[</w:t>
      </w:r>
      <w:r>
        <w:rPr>
          <w:b/>
          <w:bCs/>
        </w:rPr>
        <w:t>13</w:t>
      </w:r>
      <w:r w:rsidRPr="002E2E74">
        <w:rPr>
          <w:b/>
          <w:bCs/>
        </w:rPr>
        <w:t>]</w:t>
      </w:r>
      <w:r w:rsidRPr="002E2E74">
        <w:t xml:space="preserve"> D. Agrawal, S. Das, and A. El Abbadi, “Big data and cloud computing: Current state and future opportunities,” </w:t>
      </w:r>
      <w:r w:rsidRPr="002E2E74">
        <w:rPr>
          <w:i/>
          <w:iCs/>
        </w:rPr>
        <w:t>Proceedings of the VLDB Endowment</w:t>
      </w:r>
      <w:r w:rsidRPr="002E2E74">
        <w:t>, vol. 14, no. 12, pp. 2895–2900, 2021.</w:t>
      </w:r>
    </w:p>
    <w:p w14:paraId="1CE5F0E9" w14:textId="6D8879E8" w:rsidR="00E04EAB" w:rsidRPr="00E04EAB" w:rsidRDefault="00E04EAB" w:rsidP="00E04EAB">
      <w:pPr>
        <w:pStyle w:val="ListParagraph"/>
      </w:pPr>
      <w:r w:rsidRPr="00E04EAB">
        <w:rPr>
          <w:b/>
          <w:bCs/>
        </w:rPr>
        <w:t>[</w:t>
      </w:r>
      <w:r>
        <w:rPr>
          <w:b/>
          <w:bCs/>
        </w:rPr>
        <w:t>14</w:t>
      </w:r>
      <w:r w:rsidRPr="00E04EAB">
        <w:rPr>
          <w:b/>
          <w:bCs/>
        </w:rPr>
        <w:t>]</w:t>
      </w:r>
      <w:r w:rsidRPr="00E04EAB">
        <w:t xml:space="preserve"> A. A. Al-Zahrani and A. Al-Khalifa, “Data warehouse architecture and design: A review,” </w:t>
      </w:r>
      <w:r w:rsidRPr="00E04EAB">
        <w:rPr>
          <w:i/>
          <w:iCs/>
        </w:rPr>
        <w:t>International Journal of Advanced Computer Science and Applications</w:t>
      </w:r>
      <w:r w:rsidRPr="00E04EAB">
        <w:t>, vol. 11, no. 3, pp. 1–9, 2020.</w:t>
      </w:r>
    </w:p>
    <w:p w14:paraId="3C57C9A0" w14:textId="0EE1BEB2" w:rsidR="00E04EAB" w:rsidRPr="00E04EAB" w:rsidRDefault="00E04EAB" w:rsidP="00E04EAB">
      <w:pPr>
        <w:pStyle w:val="ListParagraph"/>
      </w:pPr>
      <w:r w:rsidRPr="00E04EAB">
        <w:rPr>
          <w:b/>
          <w:bCs/>
        </w:rPr>
        <w:t>[</w:t>
      </w:r>
      <w:r>
        <w:rPr>
          <w:b/>
          <w:bCs/>
        </w:rPr>
        <w:t>15]</w:t>
      </w:r>
      <w:r w:rsidRPr="00E04EAB">
        <w:t xml:space="preserve"> M. Khan </w:t>
      </w:r>
      <w:r w:rsidRPr="00E04EAB">
        <w:rPr>
          <w:i/>
          <w:iCs/>
        </w:rPr>
        <w:t>et al.</w:t>
      </w:r>
      <w:r w:rsidRPr="00E04EAB">
        <w:t xml:space="preserve">, “ETL maturity model for data warehouse systems: A CMMI-compliant framework,” </w:t>
      </w:r>
      <w:r w:rsidRPr="00E04EAB">
        <w:rPr>
          <w:i/>
          <w:iCs/>
        </w:rPr>
        <w:t>Computers, Materials &amp; Continua</w:t>
      </w:r>
      <w:r w:rsidRPr="00E04EAB">
        <w:t>, vol. 74, no. 1, pp. 1–20, 2023.</w:t>
      </w:r>
    </w:p>
    <w:p w14:paraId="0EDED4B2" w14:textId="41B0EA5E" w:rsidR="00E04EAB" w:rsidRPr="00E04EAB" w:rsidRDefault="00E04EAB" w:rsidP="00E04EAB">
      <w:pPr>
        <w:pStyle w:val="ListParagraph"/>
      </w:pPr>
      <w:r w:rsidRPr="00E04EAB">
        <w:rPr>
          <w:b/>
          <w:bCs/>
        </w:rPr>
        <w:t>[</w:t>
      </w:r>
      <w:r>
        <w:rPr>
          <w:b/>
          <w:bCs/>
        </w:rPr>
        <w:t>16</w:t>
      </w:r>
      <w:r w:rsidRPr="00E04EAB">
        <w:rPr>
          <w:b/>
          <w:bCs/>
        </w:rPr>
        <w:t>]</w:t>
      </w:r>
      <w:r w:rsidRPr="00E04EAB">
        <w:t xml:space="preserve"> N. Biswas, A. Sarkar, and K. C. Mondal, “Efficient incremental loading in ETL processing for real-time data integration,” </w:t>
      </w:r>
      <w:r w:rsidRPr="00E04EAB">
        <w:rPr>
          <w:i/>
          <w:iCs/>
        </w:rPr>
        <w:t>Innovations in Systems and Software Engineering</w:t>
      </w:r>
      <w:r w:rsidRPr="00E04EAB">
        <w:t>, vol. 16, pp. 53–61, 2020.</w:t>
      </w:r>
    </w:p>
    <w:p w14:paraId="159274C7" w14:textId="71749E8F" w:rsidR="00E04EAB" w:rsidRPr="00E04EAB" w:rsidRDefault="00E04EAB" w:rsidP="00E04EAB">
      <w:pPr>
        <w:pStyle w:val="ListParagraph"/>
      </w:pPr>
      <w:r w:rsidRPr="00E04EAB">
        <w:rPr>
          <w:b/>
          <w:bCs/>
        </w:rPr>
        <w:t>[</w:t>
      </w:r>
      <w:r w:rsidR="00515FD5">
        <w:rPr>
          <w:b/>
          <w:bCs/>
        </w:rPr>
        <w:t>17</w:t>
      </w:r>
      <w:r w:rsidRPr="00E04EAB">
        <w:rPr>
          <w:b/>
          <w:bCs/>
        </w:rPr>
        <w:t>]</w:t>
      </w:r>
      <w:r w:rsidRPr="00E04EAB">
        <w:t xml:space="preserve"> L. Dinesh and K. G. Devi, “Hybrid optimisation of ETL processes in cloud data warehouse architecture,” </w:t>
      </w:r>
      <w:r w:rsidRPr="00E04EAB">
        <w:rPr>
          <w:i/>
          <w:iCs/>
        </w:rPr>
        <w:t>Journal of Cloud Computing</w:t>
      </w:r>
      <w:r w:rsidRPr="00E04EAB">
        <w:t>, vol. 13, no. 1, 2024.</w:t>
      </w:r>
    </w:p>
    <w:p w14:paraId="0AC4DF69" w14:textId="128A83B4" w:rsidR="00831A08" w:rsidRPr="00831A08" w:rsidRDefault="00831A08" w:rsidP="00831A08">
      <w:pPr>
        <w:pStyle w:val="ListParagraph"/>
      </w:pPr>
      <w:r w:rsidRPr="00831A08">
        <w:rPr>
          <w:b/>
          <w:bCs/>
        </w:rPr>
        <w:t>[</w:t>
      </w:r>
      <w:r>
        <w:rPr>
          <w:b/>
          <w:bCs/>
        </w:rPr>
        <w:t>18</w:t>
      </w:r>
      <w:r w:rsidRPr="00831A08">
        <w:rPr>
          <w:b/>
          <w:bCs/>
        </w:rPr>
        <w:t>]</w:t>
      </w:r>
      <w:r w:rsidRPr="00831A08">
        <w:t xml:space="preserve"> A. A. Al-Zahrani and A. Al-Khalifa, “Data warehouse architecture and design: A review,” </w:t>
      </w:r>
      <w:r w:rsidRPr="00831A08">
        <w:rPr>
          <w:i/>
          <w:iCs/>
        </w:rPr>
        <w:t>International Journal of Advanced Computer Science and Applications</w:t>
      </w:r>
      <w:r w:rsidRPr="00831A08">
        <w:t>, vol. 11, no. 3, pp. 1–9, 2020.</w:t>
      </w:r>
    </w:p>
    <w:p w14:paraId="3DBB7B8A" w14:textId="6A023B08" w:rsidR="00831A08" w:rsidRPr="00831A08" w:rsidRDefault="00831A08" w:rsidP="00831A08">
      <w:pPr>
        <w:pStyle w:val="ListParagraph"/>
      </w:pPr>
      <w:r w:rsidRPr="00831A08">
        <w:rPr>
          <w:b/>
          <w:bCs/>
        </w:rPr>
        <w:t>[</w:t>
      </w:r>
      <w:r>
        <w:rPr>
          <w:b/>
          <w:bCs/>
        </w:rPr>
        <w:t>19</w:t>
      </w:r>
      <w:r w:rsidRPr="00831A08">
        <w:rPr>
          <w:b/>
          <w:bCs/>
        </w:rPr>
        <w:t>]</w:t>
      </w:r>
      <w:r w:rsidRPr="00831A08">
        <w:t xml:space="preserve"> M. Khan </w:t>
      </w:r>
      <w:r w:rsidRPr="00831A08">
        <w:rPr>
          <w:i/>
          <w:iCs/>
        </w:rPr>
        <w:t>et al.</w:t>
      </w:r>
      <w:r w:rsidRPr="00831A08">
        <w:t xml:space="preserve">, “ETL maturity model for data warehouse systems: A CMMI-compliant framework,” </w:t>
      </w:r>
      <w:r w:rsidRPr="00831A08">
        <w:rPr>
          <w:i/>
          <w:iCs/>
        </w:rPr>
        <w:t>Computers, Materials &amp; Continua</w:t>
      </w:r>
      <w:r w:rsidRPr="00831A08">
        <w:t>, vol. 74, no. 1, pp. 1–20, 2023.</w:t>
      </w:r>
    </w:p>
    <w:p w14:paraId="5C7F2B8B" w14:textId="0189A643" w:rsidR="00831A08" w:rsidRPr="00831A08" w:rsidRDefault="00831A08" w:rsidP="00831A08">
      <w:pPr>
        <w:pStyle w:val="ListParagraph"/>
      </w:pPr>
      <w:r w:rsidRPr="00831A08">
        <w:rPr>
          <w:b/>
          <w:bCs/>
        </w:rPr>
        <w:t>[</w:t>
      </w:r>
      <w:r>
        <w:rPr>
          <w:b/>
          <w:bCs/>
        </w:rPr>
        <w:t>20</w:t>
      </w:r>
      <w:r w:rsidRPr="00831A08">
        <w:rPr>
          <w:b/>
          <w:bCs/>
        </w:rPr>
        <w:t>]</w:t>
      </w:r>
      <w:r w:rsidRPr="00831A08">
        <w:t xml:space="preserve"> N. Biswas, A. Sarkar, and K. C. Mondal, “Efficient incremental loading in ETL processing for real-time data integration,” </w:t>
      </w:r>
      <w:r w:rsidRPr="00831A08">
        <w:rPr>
          <w:i/>
          <w:iCs/>
        </w:rPr>
        <w:t>Innovations in Systems and Software Engineering</w:t>
      </w:r>
      <w:r w:rsidRPr="00831A08">
        <w:t>, vol. 16, pp. 53–61, 2020.</w:t>
      </w:r>
    </w:p>
    <w:p w14:paraId="15B663E4" w14:textId="62EC2337" w:rsidR="00831A08" w:rsidRPr="00831A08" w:rsidRDefault="00831A08" w:rsidP="00831A08">
      <w:pPr>
        <w:pStyle w:val="ListParagraph"/>
      </w:pPr>
      <w:r w:rsidRPr="00831A08">
        <w:rPr>
          <w:b/>
          <w:bCs/>
        </w:rPr>
        <w:t>[</w:t>
      </w:r>
      <w:r>
        <w:rPr>
          <w:b/>
          <w:bCs/>
        </w:rPr>
        <w:t>21</w:t>
      </w:r>
      <w:r w:rsidRPr="00831A08">
        <w:rPr>
          <w:b/>
          <w:bCs/>
        </w:rPr>
        <w:t>]</w:t>
      </w:r>
      <w:r w:rsidRPr="00831A08">
        <w:t xml:space="preserve"> L. Dinesh and K. G. Devi, “Hybrid optimisation of ETL processes in cloud data warehouse architecture,” </w:t>
      </w:r>
      <w:r w:rsidRPr="00831A08">
        <w:rPr>
          <w:i/>
          <w:iCs/>
        </w:rPr>
        <w:t>Journal of Cloud Computing</w:t>
      </w:r>
      <w:r w:rsidRPr="00831A08">
        <w:t>, vol. 13, no. 1, 2024.</w:t>
      </w:r>
    </w:p>
    <w:p w14:paraId="6AAB4D43" w14:textId="3E84FC1E" w:rsidR="00017C76" w:rsidRPr="00017C76" w:rsidRDefault="00017C76" w:rsidP="00017C76">
      <w:pPr>
        <w:pStyle w:val="ListParagraph"/>
      </w:pPr>
      <w:r w:rsidRPr="00017C76">
        <w:rPr>
          <w:b/>
          <w:bCs/>
        </w:rPr>
        <w:t>[</w:t>
      </w:r>
      <w:r w:rsidR="00404402">
        <w:rPr>
          <w:b/>
          <w:bCs/>
        </w:rPr>
        <w:t>22</w:t>
      </w:r>
      <w:r w:rsidRPr="00017C76">
        <w:rPr>
          <w:b/>
          <w:bCs/>
        </w:rPr>
        <w:t>]</w:t>
      </w:r>
      <w:r w:rsidRPr="00017C76">
        <w:t xml:space="preserve"> A. A. Al-Zahrani and A. Al-Khalifa, “Data warehouse architecture and design: A review,” </w:t>
      </w:r>
      <w:r w:rsidRPr="00017C76">
        <w:rPr>
          <w:i/>
          <w:iCs/>
        </w:rPr>
        <w:t>International Journal of Advanced Computer Science and Applications</w:t>
      </w:r>
      <w:r w:rsidRPr="00017C76">
        <w:t>, vol. 11, no. 3, pp. 1–9, 2020.</w:t>
      </w:r>
    </w:p>
    <w:p w14:paraId="48BFEDBD" w14:textId="0EC8E2A5" w:rsidR="00017C76" w:rsidRPr="00017C76" w:rsidRDefault="00017C76" w:rsidP="00017C76">
      <w:pPr>
        <w:pStyle w:val="ListParagraph"/>
      </w:pPr>
      <w:r w:rsidRPr="00017C76">
        <w:rPr>
          <w:b/>
          <w:bCs/>
        </w:rPr>
        <w:t>[2</w:t>
      </w:r>
      <w:r w:rsidR="00404402">
        <w:rPr>
          <w:b/>
          <w:bCs/>
        </w:rPr>
        <w:t>3</w:t>
      </w:r>
      <w:r w:rsidRPr="00017C76">
        <w:rPr>
          <w:b/>
          <w:bCs/>
        </w:rPr>
        <w:t>]</w:t>
      </w:r>
      <w:r w:rsidRPr="00017C76">
        <w:t xml:space="preserve"> M. Khan </w:t>
      </w:r>
      <w:r w:rsidRPr="00017C76">
        <w:rPr>
          <w:i/>
          <w:iCs/>
        </w:rPr>
        <w:t>et al.</w:t>
      </w:r>
      <w:r w:rsidRPr="00017C76">
        <w:t xml:space="preserve">, “ETL maturity model for data warehouse systems: A CMMI-compliant framework,” </w:t>
      </w:r>
      <w:r w:rsidRPr="00017C76">
        <w:rPr>
          <w:i/>
          <w:iCs/>
        </w:rPr>
        <w:t>Computers, Materials &amp; Continua</w:t>
      </w:r>
      <w:r w:rsidRPr="00017C76">
        <w:t>, vol. 74, no. 1, pp. 1–20, 2023.</w:t>
      </w:r>
    </w:p>
    <w:p w14:paraId="2C4C1F58" w14:textId="263B60F8" w:rsidR="00914814" w:rsidRPr="00914814" w:rsidRDefault="00914814" w:rsidP="00914814">
      <w:pPr>
        <w:pStyle w:val="ListParagraph"/>
      </w:pPr>
      <w:r w:rsidRPr="00914814">
        <w:rPr>
          <w:b/>
          <w:bCs/>
        </w:rPr>
        <w:t>[</w:t>
      </w:r>
      <w:r w:rsidR="009044F0">
        <w:rPr>
          <w:b/>
          <w:bCs/>
        </w:rPr>
        <w:t>24</w:t>
      </w:r>
      <w:r w:rsidRPr="00914814">
        <w:rPr>
          <w:b/>
          <w:bCs/>
        </w:rPr>
        <w:t>]</w:t>
      </w:r>
      <w:r w:rsidRPr="00914814">
        <w:t xml:space="preserve"> A. A. Al-Zahrani and A. Al-Khalifa, “Data warehouse architecture and design: A review,” </w:t>
      </w:r>
      <w:r w:rsidRPr="00914814">
        <w:rPr>
          <w:i/>
          <w:iCs/>
        </w:rPr>
        <w:t>International Journal of Advanced Computer Science and Applications</w:t>
      </w:r>
      <w:r w:rsidRPr="00914814">
        <w:t>, vol. 11, no. 3, pp. 1–9, 2020.</w:t>
      </w:r>
    </w:p>
    <w:p w14:paraId="7F5B2F5B" w14:textId="5F3B884F" w:rsidR="00914814" w:rsidRPr="00914814" w:rsidRDefault="00914814" w:rsidP="00914814">
      <w:pPr>
        <w:pStyle w:val="ListParagraph"/>
      </w:pPr>
      <w:r w:rsidRPr="00914814">
        <w:rPr>
          <w:b/>
          <w:bCs/>
        </w:rPr>
        <w:t>[2</w:t>
      </w:r>
      <w:r w:rsidR="009044F0">
        <w:rPr>
          <w:b/>
          <w:bCs/>
        </w:rPr>
        <w:t>5</w:t>
      </w:r>
      <w:r w:rsidRPr="00914814">
        <w:t xml:space="preserve"> M. Khan </w:t>
      </w:r>
      <w:r w:rsidRPr="00914814">
        <w:rPr>
          <w:i/>
          <w:iCs/>
        </w:rPr>
        <w:t>et al.</w:t>
      </w:r>
      <w:r w:rsidRPr="00914814">
        <w:t xml:space="preserve">, “ETL maturity model for data warehouse systems: A CMMI-compliant framework,” </w:t>
      </w:r>
      <w:r w:rsidRPr="00914814">
        <w:rPr>
          <w:i/>
          <w:iCs/>
        </w:rPr>
        <w:t>Computers, Materials &amp; Continua</w:t>
      </w:r>
      <w:r w:rsidRPr="00914814">
        <w:t>, vol. 74, no. 1, pp. 1–20, 2023.</w:t>
      </w:r>
    </w:p>
    <w:p w14:paraId="6834C5B2" w14:textId="2388D2EC" w:rsidR="00914814" w:rsidRPr="00914814" w:rsidRDefault="00914814" w:rsidP="00914814">
      <w:pPr>
        <w:pStyle w:val="ListParagraph"/>
      </w:pPr>
      <w:r w:rsidRPr="00914814">
        <w:rPr>
          <w:b/>
          <w:bCs/>
        </w:rPr>
        <w:t>[</w:t>
      </w:r>
      <w:r w:rsidR="009044F0">
        <w:rPr>
          <w:b/>
          <w:bCs/>
        </w:rPr>
        <w:t>26</w:t>
      </w:r>
      <w:r w:rsidRPr="00914814">
        <w:rPr>
          <w:b/>
          <w:bCs/>
        </w:rPr>
        <w:t>]</w:t>
      </w:r>
      <w:r w:rsidRPr="00914814">
        <w:t xml:space="preserve"> N. Biswas, A. Sarkar, and K. C. Mondal, “Efficient incremental loading in ETL processing for real-time data integration,” </w:t>
      </w:r>
      <w:r w:rsidRPr="00914814">
        <w:rPr>
          <w:i/>
          <w:iCs/>
        </w:rPr>
        <w:t>Innovations in Systems and Software Engineering</w:t>
      </w:r>
      <w:r w:rsidRPr="00914814">
        <w:t>, vol. 16, pp. 53–61, 2020.</w:t>
      </w:r>
    </w:p>
    <w:p w14:paraId="4B911F72" w14:textId="5B95150B" w:rsidR="00914814" w:rsidRPr="00914814" w:rsidRDefault="00914814" w:rsidP="00914814">
      <w:pPr>
        <w:pStyle w:val="ListParagraph"/>
      </w:pPr>
      <w:r w:rsidRPr="00914814">
        <w:rPr>
          <w:b/>
          <w:bCs/>
        </w:rPr>
        <w:t>[</w:t>
      </w:r>
      <w:r w:rsidR="009044F0">
        <w:rPr>
          <w:b/>
          <w:bCs/>
        </w:rPr>
        <w:t>27</w:t>
      </w:r>
      <w:r w:rsidRPr="00914814">
        <w:rPr>
          <w:b/>
          <w:bCs/>
        </w:rPr>
        <w:t>]</w:t>
      </w:r>
      <w:r w:rsidRPr="00914814">
        <w:t xml:space="preserve"> L. Dinesh and K. G. Devi, “Hybrid optimisation of ETL processes in cloud data warehouse architecture,” </w:t>
      </w:r>
      <w:r w:rsidRPr="00914814">
        <w:rPr>
          <w:i/>
          <w:iCs/>
        </w:rPr>
        <w:t>Journal of Cloud Computing</w:t>
      </w:r>
      <w:r w:rsidRPr="00914814">
        <w:t>, vol. 13, no. 1, 2024.</w:t>
      </w:r>
    </w:p>
    <w:p w14:paraId="13FB5CD9" w14:textId="77777777" w:rsidR="00914814" w:rsidRDefault="00914814" w:rsidP="00911336">
      <w:pPr>
        <w:pStyle w:val="ListParagraph"/>
      </w:pPr>
    </w:p>
    <w:p w14:paraId="794D9E22" w14:textId="1EE08099" w:rsidR="00CD1B6C" w:rsidRPr="00CD1B6C" w:rsidRDefault="00CD1B6C" w:rsidP="00CD1B6C">
      <w:pPr>
        <w:pStyle w:val="ListParagraph"/>
      </w:pPr>
      <w:r w:rsidRPr="00CD1B6C">
        <w:rPr>
          <w:b/>
          <w:bCs/>
        </w:rPr>
        <w:t>[</w:t>
      </w:r>
      <w:r>
        <w:rPr>
          <w:b/>
          <w:bCs/>
        </w:rPr>
        <w:t>28</w:t>
      </w:r>
      <w:r w:rsidRPr="00CD1B6C">
        <w:rPr>
          <w:b/>
          <w:bCs/>
        </w:rPr>
        <w:t>]</w:t>
      </w:r>
      <w:r w:rsidRPr="00CD1B6C">
        <w:t xml:space="preserve"> A. A. Al-Zahrani and A. Al-Khalifa, “Data warehouse architecture and design: A review,” </w:t>
      </w:r>
      <w:r w:rsidRPr="00CD1B6C">
        <w:rPr>
          <w:i/>
          <w:iCs/>
        </w:rPr>
        <w:t>International Journal of Advanced Computer Science and Applications</w:t>
      </w:r>
      <w:r w:rsidRPr="00CD1B6C">
        <w:t>, vol. 11, no. 3, pp. 1–9, 2020.</w:t>
      </w:r>
    </w:p>
    <w:p w14:paraId="31B87989" w14:textId="7B2703FE" w:rsidR="00CD1B6C" w:rsidRPr="00CD1B6C" w:rsidRDefault="00CD1B6C" w:rsidP="00CD1B6C">
      <w:pPr>
        <w:pStyle w:val="ListParagraph"/>
      </w:pPr>
      <w:r w:rsidRPr="00CD1B6C">
        <w:rPr>
          <w:b/>
          <w:bCs/>
        </w:rPr>
        <w:t>[2</w:t>
      </w:r>
      <w:r w:rsidR="00765A78">
        <w:rPr>
          <w:b/>
          <w:bCs/>
        </w:rPr>
        <w:t>9</w:t>
      </w:r>
      <w:r w:rsidRPr="00CD1B6C">
        <w:rPr>
          <w:b/>
          <w:bCs/>
        </w:rPr>
        <w:t>]</w:t>
      </w:r>
      <w:r w:rsidRPr="00CD1B6C">
        <w:t xml:space="preserve"> M. Khan </w:t>
      </w:r>
      <w:r w:rsidRPr="00CD1B6C">
        <w:rPr>
          <w:i/>
          <w:iCs/>
        </w:rPr>
        <w:t>et al.</w:t>
      </w:r>
      <w:r w:rsidRPr="00CD1B6C">
        <w:t xml:space="preserve">, “ETL maturity model for data warehouse systems: A CMMI-compliant framework,” </w:t>
      </w:r>
      <w:r w:rsidRPr="00CD1B6C">
        <w:rPr>
          <w:i/>
          <w:iCs/>
        </w:rPr>
        <w:t>Computers, Materials &amp; Continua</w:t>
      </w:r>
      <w:r w:rsidRPr="00CD1B6C">
        <w:t>, vol. 74, no. 1, pp. 1–20, 2023.</w:t>
      </w:r>
    </w:p>
    <w:p w14:paraId="0D1B47ED" w14:textId="22D11B0A" w:rsidR="00CD1B6C" w:rsidRPr="00CD1B6C" w:rsidRDefault="00CD1B6C" w:rsidP="00CD1B6C">
      <w:pPr>
        <w:pStyle w:val="ListParagraph"/>
      </w:pPr>
      <w:r w:rsidRPr="00CD1B6C">
        <w:rPr>
          <w:b/>
          <w:bCs/>
        </w:rPr>
        <w:t>[3</w:t>
      </w:r>
      <w:r w:rsidR="00765A78">
        <w:rPr>
          <w:b/>
          <w:bCs/>
        </w:rPr>
        <w:t>0</w:t>
      </w:r>
      <w:r w:rsidRPr="00CD1B6C">
        <w:rPr>
          <w:b/>
          <w:bCs/>
        </w:rPr>
        <w:t>]</w:t>
      </w:r>
      <w:r w:rsidRPr="00CD1B6C">
        <w:t xml:space="preserve"> N. Biswas, A. Sarkar, and K. C. Mondal, “Efficient incremental loading in ETL processing for real-time data integration,” </w:t>
      </w:r>
      <w:r w:rsidRPr="00CD1B6C">
        <w:rPr>
          <w:i/>
          <w:iCs/>
        </w:rPr>
        <w:t>Innovations in Systems and Software Engineering</w:t>
      </w:r>
      <w:r w:rsidRPr="00CD1B6C">
        <w:t>, vol. 16, pp. 53–61, 2020.</w:t>
      </w:r>
    </w:p>
    <w:p w14:paraId="6AA309B0" w14:textId="7772B936" w:rsidR="00CD1B6C" w:rsidRPr="00CD1B6C" w:rsidRDefault="00CD1B6C" w:rsidP="00CD1B6C">
      <w:pPr>
        <w:pStyle w:val="ListParagraph"/>
      </w:pPr>
      <w:r w:rsidRPr="00CD1B6C">
        <w:rPr>
          <w:b/>
          <w:bCs/>
        </w:rPr>
        <w:lastRenderedPageBreak/>
        <w:t>[</w:t>
      </w:r>
      <w:r w:rsidR="00765A78">
        <w:rPr>
          <w:b/>
          <w:bCs/>
        </w:rPr>
        <w:t>31</w:t>
      </w:r>
      <w:r w:rsidRPr="00CD1B6C">
        <w:rPr>
          <w:b/>
          <w:bCs/>
        </w:rPr>
        <w:t>]</w:t>
      </w:r>
      <w:r w:rsidRPr="00CD1B6C">
        <w:t xml:space="preserve"> L. Dinesh and K. G. Devi, “Hybrid optimisation of ETL processes in cloud data warehouse architecture,” </w:t>
      </w:r>
      <w:r w:rsidRPr="00CD1B6C">
        <w:rPr>
          <w:i/>
          <w:iCs/>
        </w:rPr>
        <w:t>Journal of Cloud Computing</w:t>
      </w:r>
      <w:r w:rsidRPr="00CD1B6C">
        <w:t>, vol. 13, no. 1, 2024.</w:t>
      </w:r>
    </w:p>
    <w:p w14:paraId="0C0D5296" w14:textId="115FAFD2" w:rsidR="005B3A91" w:rsidRPr="005B3A91" w:rsidRDefault="005B3A91" w:rsidP="005B3A91">
      <w:pPr>
        <w:pStyle w:val="ListParagraph"/>
      </w:pPr>
      <w:r w:rsidRPr="005B3A91">
        <w:rPr>
          <w:b/>
          <w:bCs/>
        </w:rPr>
        <w:t>[</w:t>
      </w:r>
      <w:r>
        <w:rPr>
          <w:b/>
          <w:bCs/>
        </w:rPr>
        <w:t>32</w:t>
      </w:r>
      <w:r w:rsidRPr="005B3A91">
        <w:rPr>
          <w:b/>
          <w:bCs/>
        </w:rPr>
        <w:t>]</w:t>
      </w:r>
      <w:r w:rsidRPr="005B3A91">
        <w:t xml:space="preserve"> N. Biswas, A. Sarkar, and K. C. Mondal, “Efficient incremental loading in ETL processing for real-time data integration,” </w:t>
      </w:r>
      <w:r w:rsidRPr="005B3A91">
        <w:rPr>
          <w:i/>
          <w:iCs/>
        </w:rPr>
        <w:t>Innovations in Systems and Software Engineering</w:t>
      </w:r>
      <w:r w:rsidRPr="005B3A91">
        <w:t>, vol. 16, pp. 53–61, 2020.</w:t>
      </w:r>
    </w:p>
    <w:p w14:paraId="7625F9B0" w14:textId="1D1B7ABF" w:rsidR="005B3A91" w:rsidRPr="005B3A91" w:rsidRDefault="005B3A91" w:rsidP="005B3A91">
      <w:pPr>
        <w:pStyle w:val="ListParagraph"/>
      </w:pPr>
      <w:r w:rsidRPr="005B3A91">
        <w:rPr>
          <w:b/>
          <w:bCs/>
        </w:rPr>
        <w:t>[</w:t>
      </w:r>
      <w:r>
        <w:rPr>
          <w:b/>
          <w:bCs/>
        </w:rPr>
        <w:t>33</w:t>
      </w:r>
      <w:r w:rsidRPr="005B3A91">
        <w:rPr>
          <w:b/>
          <w:bCs/>
        </w:rPr>
        <w:t>]</w:t>
      </w:r>
      <w:r w:rsidRPr="005B3A91">
        <w:t xml:space="preserve"> L. Dinesh and K. G. Devi, “Hybrid optimisation of ETL processes in cloud data warehouse architecture,” </w:t>
      </w:r>
      <w:r w:rsidRPr="005B3A91">
        <w:rPr>
          <w:i/>
          <w:iCs/>
        </w:rPr>
        <w:t>Journal of Cloud Computing</w:t>
      </w:r>
      <w:r w:rsidRPr="005B3A91">
        <w:t>, vol. 13, no. 1, 2024.</w:t>
      </w:r>
    </w:p>
    <w:p w14:paraId="4C893DD9" w14:textId="1F959549" w:rsidR="002E0A67" w:rsidRPr="002E0A67" w:rsidRDefault="002E0A67" w:rsidP="002E0A67">
      <w:pPr>
        <w:pStyle w:val="ListParagraph"/>
      </w:pPr>
      <w:r w:rsidRPr="002E0A67">
        <w:rPr>
          <w:b/>
          <w:bCs/>
        </w:rPr>
        <w:t>[</w:t>
      </w:r>
      <w:r>
        <w:rPr>
          <w:b/>
          <w:bCs/>
        </w:rPr>
        <w:t>34</w:t>
      </w:r>
      <w:r w:rsidRPr="002E0A67">
        <w:rPr>
          <w:b/>
          <w:bCs/>
        </w:rPr>
        <w:t>]</w:t>
      </w:r>
      <w:r w:rsidRPr="002E0A67">
        <w:t xml:space="preserve"> A. A. Al-Zahrani and A. Al-Khalifa, “Data warehouse architecture and design: A review,” </w:t>
      </w:r>
      <w:r w:rsidRPr="002E0A67">
        <w:rPr>
          <w:i/>
          <w:iCs/>
        </w:rPr>
        <w:t>International Journal of Advanced Computer Science and Applications</w:t>
      </w:r>
      <w:r w:rsidRPr="002E0A67">
        <w:t>, vol. 11, no. 3, pp. 1–9, 2020.</w:t>
      </w:r>
    </w:p>
    <w:p w14:paraId="48167F81" w14:textId="7B2B0C49" w:rsidR="002E0A67" w:rsidRPr="002E0A67" w:rsidRDefault="002E0A67" w:rsidP="002E0A67">
      <w:pPr>
        <w:pStyle w:val="ListParagraph"/>
      </w:pPr>
      <w:r w:rsidRPr="002E0A67">
        <w:rPr>
          <w:b/>
          <w:bCs/>
        </w:rPr>
        <w:t>[</w:t>
      </w:r>
      <w:r>
        <w:rPr>
          <w:b/>
          <w:bCs/>
        </w:rPr>
        <w:t>35</w:t>
      </w:r>
      <w:r w:rsidRPr="002E0A67">
        <w:rPr>
          <w:b/>
          <w:bCs/>
        </w:rPr>
        <w:t>]</w:t>
      </w:r>
      <w:r w:rsidRPr="002E0A67">
        <w:t xml:space="preserve"> M. Khan </w:t>
      </w:r>
      <w:r w:rsidRPr="002E0A67">
        <w:rPr>
          <w:i/>
          <w:iCs/>
        </w:rPr>
        <w:t>et al.</w:t>
      </w:r>
      <w:r w:rsidRPr="002E0A67">
        <w:t xml:space="preserve">, “ETL maturity model for data warehouse systems: A CMMI-compliant framework,” </w:t>
      </w:r>
      <w:r w:rsidRPr="002E0A67">
        <w:rPr>
          <w:i/>
          <w:iCs/>
        </w:rPr>
        <w:t>Computers, Materials &amp; Continua</w:t>
      </w:r>
      <w:r w:rsidRPr="002E0A67">
        <w:t>, vol. 74, no. 1, pp. 1–20, 2023.</w:t>
      </w:r>
    </w:p>
    <w:p w14:paraId="749172E8" w14:textId="77777777" w:rsidR="00CD1B6C" w:rsidRDefault="00CD1B6C" w:rsidP="00911336">
      <w:pPr>
        <w:pStyle w:val="ListParagraph"/>
      </w:pPr>
    </w:p>
    <w:sectPr w:rsidR="00CD1B6C" w:rsidSect="009360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A1C41"/>
    <w:multiLevelType w:val="hybridMultilevel"/>
    <w:tmpl w:val="633A3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F2DD2"/>
    <w:multiLevelType w:val="hybridMultilevel"/>
    <w:tmpl w:val="31249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113391"/>
    <w:multiLevelType w:val="hybridMultilevel"/>
    <w:tmpl w:val="F85C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054595">
    <w:abstractNumId w:val="2"/>
  </w:num>
  <w:num w:numId="2" w16cid:durableId="1063331896">
    <w:abstractNumId w:val="0"/>
  </w:num>
  <w:num w:numId="3" w16cid:durableId="394087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CE"/>
    <w:rsid w:val="0000272F"/>
    <w:rsid w:val="000173F5"/>
    <w:rsid w:val="00017C76"/>
    <w:rsid w:val="00027D07"/>
    <w:rsid w:val="000511C8"/>
    <w:rsid w:val="000C46F1"/>
    <w:rsid w:val="000F4E62"/>
    <w:rsid w:val="00104914"/>
    <w:rsid w:val="00121087"/>
    <w:rsid w:val="00130437"/>
    <w:rsid w:val="00132046"/>
    <w:rsid w:val="00176267"/>
    <w:rsid w:val="001A76B2"/>
    <w:rsid w:val="001F0005"/>
    <w:rsid w:val="00205D6D"/>
    <w:rsid w:val="00230A3A"/>
    <w:rsid w:val="00283699"/>
    <w:rsid w:val="002A1F8B"/>
    <w:rsid w:val="002B1AC1"/>
    <w:rsid w:val="002E0A67"/>
    <w:rsid w:val="002E2E74"/>
    <w:rsid w:val="002E673B"/>
    <w:rsid w:val="00342EFC"/>
    <w:rsid w:val="003806CE"/>
    <w:rsid w:val="00381FD4"/>
    <w:rsid w:val="003E310A"/>
    <w:rsid w:val="00404402"/>
    <w:rsid w:val="00424FAF"/>
    <w:rsid w:val="00467878"/>
    <w:rsid w:val="00472D89"/>
    <w:rsid w:val="00501E54"/>
    <w:rsid w:val="00515FD5"/>
    <w:rsid w:val="0051783A"/>
    <w:rsid w:val="005572C2"/>
    <w:rsid w:val="00577E85"/>
    <w:rsid w:val="005A2F55"/>
    <w:rsid w:val="005B3A91"/>
    <w:rsid w:val="005F1B1A"/>
    <w:rsid w:val="006032D7"/>
    <w:rsid w:val="0064795E"/>
    <w:rsid w:val="0065380E"/>
    <w:rsid w:val="006F1F07"/>
    <w:rsid w:val="007645CE"/>
    <w:rsid w:val="00765A78"/>
    <w:rsid w:val="007B7A65"/>
    <w:rsid w:val="007C2EAD"/>
    <w:rsid w:val="00800D16"/>
    <w:rsid w:val="00831A08"/>
    <w:rsid w:val="00867FCA"/>
    <w:rsid w:val="0089057F"/>
    <w:rsid w:val="008F05E1"/>
    <w:rsid w:val="009044F0"/>
    <w:rsid w:val="00911336"/>
    <w:rsid w:val="00914814"/>
    <w:rsid w:val="00916FA3"/>
    <w:rsid w:val="009341E8"/>
    <w:rsid w:val="009360CE"/>
    <w:rsid w:val="009C151E"/>
    <w:rsid w:val="009E775C"/>
    <w:rsid w:val="00A22111"/>
    <w:rsid w:val="00A230B5"/>
    <w:rsid w:val="00A33D4A"/>
    <w:rsid w:val="00A70045"/>
    <w:rsid w:val="00A87140"/>
    <w:rsid w:val="00AB69C9"/>
    <w:rsid w:val="00AC7A1A"/>
    <w:rsid w:val="00AD5A68"/>
    <w:rsid w:val="00B06CCC"/>
    <w:rsid w:val="00B57BD7"/>
    <w:rsid w:val="00B661C5"/>
    <w:rsid w:val="00B8084D"/>
    <w:rsid w:val="00BA2E4D"/>
    <w:rsid w:val="00BB5540"/>
    <w:rsid w:val="00BF1B43"/>
    <w:rsid w:val="00BF7A30"/>
    <w:rsid w:val="00C04851"/>
    <w:rsid w:val="00C05D05"/>
    <w:rsid w:val="00C11F6F"/>
    <w:rsid w:val="00C12C6D"/>
    <w:rsid w:val="00C30E52"/>
    <w:rsid w:val="00C3367D"/>
    <w:rsid w:val="00C67A8A"/>
    <w:rsid w:val="00C92BFB"/>
    <w:rsid w:val="00CD1B6C"/>
    <w:rsid w:val="00D82FC6"/>
    <w:rsid w:val="00D909F9"/>
    <w:rsid w:val="00DE1DE8"/>
    <w:rsid w:val="00DF0BA7"/>
    <w:rsid w:val="00E04EAB"/>
    <w:rsid w:val="00E13900"/>
    <w:rsid w:val="00E72C18"/>
    <w:rsid w:val="00EA5439"/>
    <w:rsid w:val="00F0271A"/>
    <w:rsid w:val="00F82DCB"/>
    <w:rsid w:val="00F853B0"/>
    <w:rsid w:val="00FC0D68"/>
    <w:rsid w:val="00FF6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959B"/>
  <w15:chartTrackingRefBased/>
  <w15:docId w15:val="{25DA12DD-0ABA-4409-8E64-AB4B3C0A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0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360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36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360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360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36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936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936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936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0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360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360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360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360CE"/>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36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9360C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936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9360CE"/>
    <w:rPr>
      <w:rFonts w:eastAsiaTheme="majorEastAsia" w:cstheme="majorBidi"/>
      <w:color w:val="272727" w:themeColor="text1" w:themeTint="D8"/>
    </w:rPr>
  </w:style>
  <w:style w:type="paragraph" w:styleId="Title">
    <w:name w:val="Title"/>
    <w:basedOn w:val="Normal"/>
    <w:next w:val="Normal"/>
    <w:link w:val="TitleChar"/>
    <w:uiPriority w:val="10"/>
    <w:qFormat/>
    <w:rsid w:val="00936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0CE"/>
    <w:pPr>
      <w:spacing w:before="160"/>
      <w:jc w:val="center"/>
    </w:pPr>
    <w:rPr>
      <w:i/>
      <w:iCs/>
      <w:color w:val="404040" w:themeColor="text1" w:themeTint="BF"/>
    </w:rPr>
  </w:style>
  <w:style w:type="character" w:customStyle="1" w:styleId="QuoteChar">
    <w:name w:val="Quote Char"/>
    <w:basedOn w:val="DefaultParagraphFont"/>
    <w:link w:val="Quote"/>
    <w:uiPriority w:val="29"/>
    <w:rsid w:val="009360CE"/>
    <w:rPr>
      <w:i/>
      <w:iCs/>
      <w:color w:val="404040" w:themeColor="text1" w:themeTint="BF"/>
    </w:rPr>
  </w:style>
  <w:style w:type="paragraph" w:styleId="ListParagraph">
    <w:name w:val="List Paragraph"/>
    <w:basedOn w:val="Normal"/>
    <w:uiPriority w:val="34"/>
    <w:qFormat/>
    <w:rsid w:val="009360CE"/>
    <w:pPr>
      <w:ind w:left="720"/>
      <w:contextualSpacing/>
    </w:pPr>
  </w:style>
  <w:style w:type="character" w:styleId="IntenseEmphasis">
    <w:name w:val="Intense Emphasis"/>
    <w:basedOn w:val="DefaultParagraphFont"/>
    <w:uiPriority w:val="21"/>
    <w:qFormat/>
    <w:rsid w:val="009360CE"/>
    <w:rPr>
      <w:i/>
      <w:iCs/>
      <w:color w:val="2F5496" w:themeColor="accent1" w:themeShade="BF"/>
    </w:rPr>
  </w:style>
  <w:style w:type="paragraph" w:styleId="IntenseQuote">
    <w:name w:val="Intense Quote"/>
    <w:basedOn w:val="Normal"/>
    <w:next w:val="Normal"/>
    <w:link w:val="IntenseQuoteChar"/>
    <w:uiPriority w:val="30"/>
    <w:qFormat/>
    <w:rsid w:val="009360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60CE"/>
    <w:rPr>
      <w:i/>
      <w:iCs/>
      <w:color w:val="2F5496" w:themeColor="accent1" w:themeShade="BF"/>
    </w:rPr>
  </w:style>
  <w:style w:type="character" w:styleId="IntenseReference">
    <w:name w:val="Intense Reference"/>
    <w:basedOn w:val="DefaultParagraphFont"/>
    <w:uiPriority w:val="32"/>
    <w:qFormat/>
    <w:rsid w:val="009360CE"/>
    <w:rPr>
      <w:b/>
      <w:bCs/>
      <w:smallCaps/>
      <w:color w:val="2F5496" w:themeColor="accent1" w:themeShade="BF"/>
      <w:spacing w:val="5"/>
    </w:rPr>
  </w:style>
  <w:style w:type="paragraph" w:styleId="NoSpacing">
    <w:name w:val="No Spacing"/>
    <w:link w:val="NoSpacingChar"/>
    <w:uiPriority w:val="1"/>
    <w:qFormat/>
    <w:rsid w:val="009360C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360CE"/>
    <w:rPr>
      <w:rFonts w:eastAsiaTheme="minorEastAsia"/>
      <w:kern w:val="0"/>
      <w:lang w:eastAsia="en-GB"/>
      <w14:ligatures w14:val="none"/>
    </w:rPr>
  </w:style>
  <w:style w:type="table" w:styleId="TableGrid">
    <w:name w:val="Table Grid"/>
    <w:basedOn w:val="TableNormal"/>
    <w:uiPriority w:val="39"/>
    <w:rsid w:val="00B06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3699"/>
    <w:rPr>
      <w:color w:val="0563C1" w:themeColor="hyperlink"/>
      <w:u w:val="single"/>
    </w:rPr>
  </w:style>
  <w:style w:type="character" w:styleId="UnresolvedMention">
    <w:name w:val="Unresolved Mention"/>
    <w:basedOn w:val="DefaultParagraphFont"/>
    <w:uiPriority w:val="99"/>
    <w:semiHidden/>
    <w:unhideWhenUsed/>
    <w:rsid w:val="00283699"/>
    <w:rPr>
      <w:color w:val="605E5C"/>
      <w:shd w:val="clear" w:color="auto" w:fill="E1DFDD"/>
    </w:rPr>
  </w:style>
  <w:style w:type="table" w:styleId="TableGridLight">
    <w:name w:val="Grid Table Light"/>
    <w:basedOn w:val="TableNormal"/>
    <w:uiPriority w:val="40"/>
    <w:rsid w:val="002E67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2E673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2E673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2E673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A2211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22111"/>
    <w:pPr>
      <w:spacing w:after="100"/>
    </w:pPr>
  </w:style>
  <w:style w:type="paragraph" w:styleId="TOC2">
    <w:name w:val="toc 2"/>
    <w:basedOn w:val="Normal"/>
    <w:next w:val="Normal"/>
    <w:autoRedefine/>
    <w:uiPriority w:val="39"/>
    <w:unhideWhenUsed/>
    <w:rsid w:val="00A22111"/>
    <w:pPr>
      <w:spacing w:after="100"/>
      <w:ind w:left="220"/>
    </w:pPr>
  </w:style>
  <w:style w:type="paragraph" w:styleId="TOC3">
    <w:name w:val="toc 3"/>
    <w:basedOn w:val="Normal"/>
    <w:next w:val="Normal"/>
    <w:autoRedefine/>
    <w:uiPriority w:val="39"/>
    <w:unhideWhenUsed/>
    <w:rsid w:val="00A2211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stick.com/articles/337599/data-warehousing-vs-oltp-architecting-for-different-use-cas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stick.com/articles/337599/data-warehousing-vs-oltp-architecting-for-different-use-cas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lideshare.net/slideshow/data-warehouse-10-oltp-vs-datawarehouse/231484009?utm_source=copilot.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linkedin.com/pulse/oltp-olap-data-warehousing-beginners-guide-bruno-monteiro-vi2le?utm_source=copilot.com" TargetMode="External"/><Relationship Id="rId4" Type="http://schemas.openxmlformats.org/officeDocument/2006/relationships/customXml" Target="../customXml/item4.xml"/><Relationship Id="rId9" Type="http://schemas.openxmlformats.org/officeDocument/2006/relationships/hyperlink" Target="https://www.geeksforgeeks.org/dbms/difference-between-data-warehousing-and-online-transaction-processing-oltp/?utm_source=copilo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3393b19bb8a2097a564231e923c28dc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6986b1c84b4b183d71b9f445507c6f6"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9D6CA-B6AC-4340-B237-EE89F10CFE23}">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812EB78D-7717-4D88-8B41-02B41DB950FC}">
  <ds:schemaRefs>
    <ds:schemaRef ds:uri="http://schemas.microsoft.com/sharepoint/v3/contenttype/forms"/>
  </ds:schemaRefs>
</ds:datastoreItem>
</file>

<file path=customXml/itemProps3.xml><?xml version="1.0" encoding="utf-8"?>
<ds:datastoreItem xmlns:ds="http://schemas.openxmlformats.org/officeDocument/2006/customXml" ds:itemID="{29EEF913-46B4-4072-B538-546F42747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CB77D2-FDCB-4508-B8D8-ADB93CF63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4561</Words>
  <Characters>26000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Nouh Elmitwally</dc:title>
  <dc:subject>Ahmed Abdi</dc:subject>
  <dc:creator>Ahmed Abdi (2312731)</dc:creator>
  <cp:keywords/>
  <dc:description/>
  <cp:lastModifiedBy>Ahmed Abdi (2312731)</cp:lastModifiedBy>
  <cp:revision>2</cp:revision>
  <dcterms:created xsi:type="dcterms:W3CDTF">2026-03-09T12:08:00Z</dcterms:created>
  <dcterms:modified xsi:type="dcterms:W3CDTF">2026-03-09T12:08:00Z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