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bookmarkStart w:id="0" w:name="_Toc316005661" w:displacedByCustomXml="next"/>
    <w:bookmarkStart w:id="1" w:name="_Toc298614882" w:displacedByCustomXml="next"/>
    <w:bookmarkStart w:id="2" w:name="_Hlk172026378" w:displacedByCustomXml="next"/>
    <w:sdt>
      <w:sdtPr>
        <w:rPr>
          <w:rFonts w:ascii="Arial" w:eastAsiaTheme="majorEastAsia" w:hAnsi="Arial" w:cs="Arial"/>
          <w:color w:val="276E8B" w:themeColor="accent1" w:themeShade="BF"/>
          <w:sz w:val="30"/>
          <w:szCs w:val="30"/>
        </w:rPr>
        <w:id w:val="825550276"/>
        <w:docPartObj>
          <w:docPartGallery w:val="Cover Pages"/>
          <w:docPartUnique/>
        </w:docPartObj>
      </w:sdtPr>
      <w:sdtContent>
        <w:p w14:paraId="1DAAD94B" w14:textId="7DABB340" w:rsidR="002A035F" w:rsidRPr="004A73C1" w:rsidRDefault="00BE222C" w:rsidP="00EF2E34">
          <w:pPr>
            <w:spacing w:line="360" w:lineRule="auto"/>
            <w:jc w:val="both"/>
            <w:rPr>
              <w:rFonts w:ascii="Arial" w:hAnsi="Arial" w:cs="Arial"/>
            </w:rPr>
          </w:pPr>
          <w:r>
            <w:rPr>
              <w:noProof/>
            </w:rPr>
            <w:drawing>
              <wp:inline distT="0" distB="0" distL="0" distR="0" wp14:anchorId="3F08AA97" wp14:editId="437CCAD5">
                <wp:extent cx="4192438" cy="1694862"/>
                <wp:effectExtent l="0" t="0" r="0" b="635"/>
                <wp:docPr id="473418622"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418622" name="Picture 1" descr="A close-up of a sign&#10;&#10;Description automatically generated"/>
                        <pic:cNvPicPr/>
                      </pic:nvPicPr>
                      <pic:blipFill>
                        <a:blip r:embed="rId7"/>
                        <a:stretch>
                          <a:fillRect/>
                        </a:stretch>
                      </pic:blipFill>
                      <pic:spPr>
                        <a:xfrm>
                          <a:off x="0" y="0"/>
                          <a:ext cx="4224696" cy="1707903"/>
                        </a:xfrm>
                        <a:prstGeom prst="rect">
                          <a:avLst/>
                        </a:prstGeom>
                      </pic:spPr>
                    </pic:pic>
                  </a:graphicData>
                </a:graphic>
              </wp:inline>
            </w:drawing>
          </w:r>
        </w:p>
        <w:p w14:paraId="01D43136" w14:textId="6DE4575E" w:rsidR="004A73C1" w:rsidRPr="004A73C1" w:rsidRDefault="002A035F" w:rsidP="005124ED">
          <w:pPr>
            <w:spacing w:line="360" w:lineRule="auto"/>
            <w:jc w:val="both"/>
            <w:rPr>
              <w:rFonts w:ascii="Arial" w:hAnsi="Arial" w:cs="Arial"/>
            </w:rPr>
          </w:pPr>
          <w:bookmarkStart w:id="3" w:name="_Toc175056426"/>
          <w:r w:rsidRPr="004A73C1">
            <w:rPr>
              <w:rFonts w:ascii="Arial" w:hAnsi="Arial" w:cs="Arial"/>
              <w:noProof/>
            </w:rPr>
            <mc:AlternateContent>
              <mc:Choice Requires="wps">
                <w:drawing>
                  <wp:anchor distT="0" distB="0" distL="182880" distR="182880" simplePos="0" relativeHeight="251660288" behindDoc="0" locked="0" layoutInCell="1" allowOverlap="1" wp14:anchorId="58FE8BE6" wp14:editId="0E299381">
                    <wp:simplePos x="0" y="0"/>
                    <wp:positionH relativeFrom="margin">
                      <wp:posOffset>-267970</wp:posOffset>
                    </wp:positionH>
                    <wp:positionV relativeFrom="page">
                      <wp:posOffset>1285240</wp:posOffset>
                    </wp:positionV>
                    <wp:extent cx="6260400" cy="5331600"/>
                    <wp:effectExtent l="0" t="0" r="7620"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6260400" cy="5331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3ACD8E" w14:textId="42047146" w:rsidR="004A73C1" w:rsidRDefault="005124ED" w:rsidP="004C13E8">
                                <w:pPr>
                                  <w:pStyle w:val="Title"/>
                                  <w:spacing w:line="600" w:lineRule="auto"/>
                                  <w:jc w:val="center"/>
                                  <w:rPr>
                                    <w:sz w:val="40"/>
                                    <w:szCs w:val="40"/>
                                  </w:rPr>
                                </w:pPr>
                                <w:r w:rsidRPr="005124ED">
                                  <w:rPr>
                                    <w:sz w:val="40"/>
                                    <w:szCs w:val="40"/>
                                  </w:rPr>
                                  <w:t xml:space="preserve">University of Wales Trinity Saint David </w:t>
                                </w:r>
                                <w:r w:rsidR="004A73C1">
                                  <w:rPr>
                                    <w:sz w:val="40"/>
                                    <w:szCs w:val="40"/>
                                  </w:rPr>
                                  <w:tab/>
                                </w:r>
                                <w:r w:rsidR="004A73C1">
                                  <w:rPr>
                                    <w:sz w:val="40"/>
                                    <w:szCs w:val="40"/>
                                  </w:rPr>
                                  <w:tab/>
                                </w:r>
                                <w:r w:rsidRPr="005124ED">
                                  <w:rPr>
                                    <w:sz w:val="40"/>
                                    <w:szCs w:val="40"/>
                                  </w:rPr>
                                  <w:t>Dissertation (LCMB7020_</w:t>
                                </w:r>
                                <w:r w:rsidR="004A73C1" w:rsidRPr="005124ED">
                                  <w:rPr>
                                    <w:sz w:val="40"/>
                                    <w:szCs w:val="40"/>
                                  </w:rPr>
                                  <w:t>BIRM)</w:t>
                                </w:r>
                                <w:r w:rsidR="004A73C1">
                                  <w:rPr>
                                    <w:sz w:val="40"/>
                                    <w:szCs w:val="40"/>
                                  </w:rPr>
                                  <w:t>.</w:t>
                                </w:r>
                                <w:r w:rsidR="004A73C1" w:rsidRPr="005124ED">
                                  <w:rPr>
                                    <w:sz w:val="40"/>
                                    <w:szCs w:val="40"/>
                                  </w:rPr>
                                  <w:t xml:space="preserve"> </w:t>
                                </w:r>
                                <w:r w:rsidRPr="005124ED">
                                  <w:rPr>
                                    <w:sz w:val="40"/>
                                    <w:szCs w:val="40"/>
                                  </w:rPr>
                                  <w:t xml:space="preserve"> </w:t>
                                </w:r>
                              </w:p>
                              <w:p w14:paraId="335E778F" w14:textId="3146A16D" w:rsidR="005124ED" w:rsidRDefault="004A73C1" w:rsidP="004C13E8">
                                <w:pPr>
                                  <w:pStyle w:val="Title"/>
                                  <w:spacing w:line="600" w:lineRule="auto"/>
                                  <w:jc w:val="center"/>
                                  <w:rPr>
                                    <w:b/>
                                    <w:bCs/>
                                    <w:sz w:val="32"/>
                                    <w:szCs w:val="32"/>
                                  </w:rPr>
                                </w:pPr>
                                <w:r>
                                  <w:rPr>
                                    <w:b/>
                                    <w:bCs/>
                                    <w:sz w:val="32"/>
                                    <w:szCs w:val="32"/>
                                  </w:rPr>
                                  <w:t>“</w:t>
                                </w:r>
                                <w:r w:rsidR="005124ED" w:rsidRPr="004C13E8">
                                  <w:rPr>
                                    <w:b/>
                                    <w:bCs/>
                                    <w:sz w:val="32"/>
                                    <w:szCs w:val="32"/>
                                  </w:rPr>
                                  <w:t xml:space="preserve">The </w:t>
                                </w:r>
                                <w:r w:rsidR="004C13E8">
                                  <w:rPr>
                                    <w:b/>
                                    <w:bCs/>
                                    <w:sz w:val="32"/>
                                    <w:szCs w:val="32"/>
                                  </w:rPr>
                                  <w:t>Impact</w:t>
                                </w:r>
                                <w:r w:rsidR="005124ED" w:rsidRPr="004C13E8">
                                  <w:rPr>
                                    <w:b/>
                                    <w:bCs/>
                                    <w:sz w:val="32"/>
                                    <w:szCs w:val="32"/>
                                  </w:rPr>
                                  <w:t xml:space="preserve"> of Foreign Direct Investment (FDI) on the UK Economy</w:t>
                                </w:r>
                                <w:r>
                                  <w:rPr>
                                    <w:b/>
                                    <w:bCs/>
                                    <w:sz w:val="32"/>
                                    <w:szCs w:val="32"/>
                                  </w:rPr>
                                  <w:t>”</w:t>
                                </w:r>
                                <w:r w:rsidR="00BE222C" w:rsidRPr="00BE222C">
                                  <w:rPr>
                                    <w:noProof/>
                                  </w:rPr>
                                  <w:t xml:space="preserve"> </w:t>
                                </w:r>
                              </w:p>
                              <w:p w14:paraId="5935B461" w14:textId="77777777" w:rsidR="004A73C1" w:rsidRDefault="004A73C1" w:rsidP="004A73C1"/>
                              <w:p w14:paraId="00CBE710" w14:textId="77777777" w:rsidR="004A73C1" w:rsidRPr="004A73C1" w:rsidRDefault="004A73C1" w:rsidP="004A73C1"/>
                              <w:p w14:paraId="30FBD44E" w14:textId="4A1D674A" w:rsidR="002A035F" w:rsidRPr="005124ED" w:rsidRDefault="005124ED" w:rsidP="004A73C1">
                                <w:pPr>
                                  <w:pStyle w:val="Title"/>
                                  <w:spacing w:line="360" w:lineRule="auto"/>
                                  <w:jc w:val="center"/>
                                  <w:rPr>
                                    <w:color w:val="3494BA" w:themeColor="accent1"/>
                                    <w:sz w:val="40"/>
                                    <w:szCs w:val="40"/>
                                  </w:rPr>
                                </w:pPr>
                                <w:r w:rsidRPr="005124ED">
                                  <w:rPr>
                                    <w:sz w:val="40"/>
                                    <w:szCs w:val="40"/>
                                  </w:rPr>
                                  <w:t>Student No: 2239912                                                                   Name: Nazish Tariq                                                              Supervisor: Ejike Udeogu</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58FE8BE6" id="_x0000_t202" coordsize="21600,21600" o:spt="202" path="m,l,21600r21600,l21600,xe">
                    <v:stroke joinstyle="miter"/>
                    <v:path gradientshapeok="t" o:connecttype="rect"/>
                  </v:shapetype>
                  <v:shape id="Text Box 131" o:spid="_x0000_s1026" type="#_x0000_t202" style="position:absolute;left:0;text-align:left;margin-left:-21.1pt;margin-top:101.2pt;width:492.95pt;height:419.8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" filled="f" stroked="f" strokeweight=".5pt">
                    <v:textbox inset="0,0,0,0">
                      <w:txbxContent>
                        <w:p w14:paraId="313ACD8E" w14:textId="42047146" w:rsidR="004A73C1" w:rsidRDefault="005124ED" w:rsidP="004C13E8">
                          <w:pPr>
                            <w:pStyle w:val="Title"/>
                            <w:spacing w:line="600" w:lineRule="auto"/>
                            <w:jc w:val="center"/>
                            <w:rPr>
                              <w:sz w:val="40"/>
                              <w:szCs w:val="40"/>
                            </w:rPr>
                          </w:pPr>
                          <w:r w:rsidRPr="005124ED">
                            <w:rPr>
                              <w:sz w:val="40"/>
                              <w:szCs w:val="40"/>
                            </w:rPr>
                            <w:t xml:space="preserve">University of Wales Trinity Saint David </w:t>
                          </w:r>
                          <w:r w:rsidR="004A73C1">
                            <w:rPr>
                              <w:sz w:val="40"/>
                              <w:szCs w:val="40"/>
                            </w:rPr>
                            <w:tab/>
                          </w:r>
                          <w:r w:rsidR="004A73C1">
                            <w:rPr>
                              <w:sz w:val="40"/>
                              <w:szCs w:val="40"/>
                            </w:rPr>
                            <w:tab/>
                          </w:r>
                          <w:r w:rsidRPr="005124ED">
                            <w:rPr>
                              <w:sz w:val="40"/>
                              <w:szCs w:val="40"/>
                            </w:rPr>
                            <w:t>Dissertation (LCMB7020_</w:t>
                          </w:r>
                          <w:r w:rsidR="004A73C1" w:rsidRPr="005124ED">
                            <w:rPr>
                              <w:sz w:val="40"/>
                              <w:szCs w:val="40"/>
                            </w:rPr>
                            <w:t>BIRM)</w:t>
                          </w:r>
                          <w:r w:rsidR="004A73C1">
                            <w:rPr>
                              <w:sz w:val="40"/>
                              <w:szCs w:val="40"/>
                            </w:rPr>
                            <w:t>.</w:t>
                          </w:r>
                          <w:r w:rsidR="004A73C1" w:rsidRPr="005124ED">
                            <w:rPr>
                              <w:sz w:val="40"/>
                              <w:szCs w:val="40"/>
                            </w:rPr>
                            <w:t xml:space="preserve"> </w:t>
                          </w:r>
                          <w:r w:rsidRPr="005124ED">
                            <w:rPr>
                              <w:sz w:val="40"/>
                              <w:szCs w:val="40"/>
                            </w:rPr>
                            <w:t xml:space="preserve"> </w:t>
                          </w:r>
                        </w:p>
                        <w:p w14:paraId="335E778F" w14:textId="3146A16D" w:rsidR="005124ED" w:rsidRDefault="004A73C1" w:rsidP="004C13E8">
                          <w:pPr>
                            <w:pStyle w:val="Title"/>
                            <w:spacing w:line="600" w:lineRule="auto"/>
                            <w:jc w:val="center"/>
                            <w:rPr>
                              <w:b/>
                              <w:bCs/>
                              <w:sz w:val="32"/>
                              <w:szCs w:val="32"/>
                            </w:rPr>
                          </w:pPr>
                          <w:r>
                            <w:rPr>
                              <w:b/>
                              <w:bCs/>
                              <w:sz w:val="32"/>
                              <w:szCs w:val="32"/>
                            </w:rPr>
                            <w:t>“</w:t>
                          </w:r>
                          <w:r w:rsidR="005124ED" w:rsidRPr="004C13E8">
                            <w:rPr>
                              <w:b/>
                              <w:bCs/>
                              <w:sz w:val="32"/>
                              <w:szCs w:val="32"/>
                            </w:rPr>
                            <w:t xml:space="preserve">The </w:t>
                          </w:r>
                          <w:r w:rsidR="004C13E8">
                            <w:rPr>
                              <w:b/>
                              <w:bCs/>
                              <w:sz w:val="32"/>
                              <w:szCs w:val="32"/>
                            </w:rPr>
                            <w:t>Impact</w:t>
                          </w:r>
                          <w:r w:rsidR="005124ED" w:rsidRPr="004C13E8">
                            <w:rPr>
                              <w:b/>
                              <w:bCs/>
                              <w:sz w:val="32"/>
                              <w:szCs w:val="32"/>
                            </w:rPr>
                            <w:t xml:space="preserve"> of Foreign Direct Investment (FDI) on the UK Economy</w:t>
                          </w:r>
                          <w:r>
                            <w:rPr>
                              <w:b/>
                              <w:bCs/>
                              <w:sz w:val="32"/>
                              <w:szCs w:val="32"/>
                            </w:rPr>
                            <w:t>”</w:t>
                          </w:r>
                          <w:r w:rsidR="00BE222C" w:rsidRPr="00BE222C">
                            <w:rPr>
                              <w:noProof/>
                            </w:rPr>
                            <w:t xml:space="preserve"> </w:t>
                          </w:r>
                        </w:p>
                        <w:p w14:paraId="5935B461" w14:textId="77777777" w:rsidR="004A73C1" w:rsidRDefault="004A73C1" w:rsidP="004A73C1"/>
                        <w:p w14:paraId="00CBE710" w14:textId="77777777" w:rsidR="004A73C1" w:rsidRPr="004A73C1" w:rsidRDefault="004A73C1" w:rsidP="004A73C1"/>
                        <w:p w14:paraId="30FBD44E" w14:textId="4A1D674A" w:rsidR="002A035F" w:rsidRPr="005124ED" w:rsidRDefault="005124ED" w:rsidP="004A73C1">
                          <w:pPr>
                            <w:pStyle w:val="Title"/>
                            <w:spacing w:line="360" w:lineRule="auto"/>
                            <w:jc w:val="center"/>
                            <w:rPr>
                              <w:color w:val="3494BA" w:themeColor="accent1"/>
                              <w:sz w:val="40"/>
                              <w:szCs w:val="40"/>
                            </w:rPr>
                          </w:pPr>
                          <w:r w:rsidRPr="005124ED">
                            <w:rPr>
                              <w:sz w:val="40"/>
                              <w:szCs w:val="40"/>
                            </w:rPr>
                            <w:t>Student No: 2239912                                                                   Name: Nazish Tariq                                                              Supervisor: Ejike Udeogu</w:t>
                          </w:r>
                        </w:p>
                      </w:txbxContent>
                    </v:textbox>
                    <w10:wrap type="square" anchorx="margin" anchory="page"/>
                  </v:shape>
                </w:pict>
              </mc:Fallback>
            </mc:AlternateContent>
          </w:r>
          <w:r w:rsidRPr="004A73C1">
            <w:rPr>
              <w:rFonts w:ascii="Arial" w:hAnsi="Arial" w:cs="Arial"/>
            </w:rPr>
            <w:br w:type="page"/>
          </w:r>
        </w:p>
        <w:p w14:paraId="30E906FA" w14:textId="77777777" w:rsidR="004A73C1" w:rsidRPr="004A73C1" w:rsidRDefault="004A73C1" w:rsidP="005124ED">
          <w:pPr>
            <w:spacing w:line="360" w:lineRule="auto"/>
            <w:jc w:val="both"/>
            <w:rPr>
              <w:rFonts w:ascii="Arial" w:hAnsi="Arial" w:cs="Arial"/>
            </w:rPr>
          </w:pPr>
        </w:p>
        <w:p w14:paraId="774702EB" w14:textId="4470A7FA" w:rsidR="005124ED" w:rsidRPr="004A73C1" w:rsidRDefault="005124ED" w:rsidP="005124ED">
          <w:pPr>
            <w:spacing w:line="360" w:lineRule="auto"/>
            <w:jc w:val="both"/>
            <w:rPr>
              <w:rFonts w:ascii="Arial" w:hAnsi="Arial" w:cs="Arial"/>
              <w:b/>
              <w:bCs/>
            </w:rPr>
          </w:pPr>
          <w:r w:rsidRPr="004A73C1">
            <w:rPr>
              <w:rFonts w:ascii="Arial" w:hAnsi="Arial" w:cs="Arial"/>
              <w:b/>
              <w:bCs/>
            </w:rPr>
            <w:t xml:space="preserve">DECLARATION </w:t>
          </w:r>
        </w:p>
        <w:p w14:paraId="5A75ADC4" w14:textId="77777777" w:rsidR="004C13E8" w:rsidRPr="004A73C1" w:rsidRDefault="004C13E8" w:rsidP="005124ED">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3298C258" w14:textId="5EB82BD0" w:rsidR="005124ED" w:rsidRPr="004A73C1" w:rsidRDefault="005124ED" w:rsidP="005124ED">
          <w:pPr>
            <w:pStyle w:val="paragraph"/>
            <w:spacing w:before="0" w:beforeAutospacing="0" w:after="0" w:afterAutospacing="0" w:line="360" w:lineRule="auto"/>
            <w:jc w:val="both"/>
            <w:textAlignment w:val="baseline"/>
            <w:rPr>
              <w:rFonts w:ascii="Arial" w:hAnsi="Arial" w:cs="Arial"/>
              <w:sz w:val="18"/>
              <w:szCs w:val="18"/>
            </w:rPr>
          </w:pPr>
          <w:r w:rsidRPr="004A73C1">
            <w:rPr>
              <w:rStyle w:val="normaltextrun"/>
              <w:rFonts w:ascii="Arial" w:eastAsiaTheme="majorEastAsia" w:hAnsi="Arial" w:cs="Arial"/>
              <w:sz w:val="22"/>
              <w:szCs w:val="22"/>
            </w:rPr>
            <w:t>I, Nazish Tariq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4A73C1">
            <w:rPr>
              <w:rStyle w:val="eop"/>
              <w:rFonts w:ascii="Arial" w:eastAsiaTheme="majorEastAsia" w:hAnsi="Arial" w:cs="Arial"/>
              <w:sz w:val="22"/>
              <w:szCs w:val="22"/>
            </w:rPr>
            <w:t> </w:t>
          </w:r>
        </w:p>
        <w:p w14:paraId="29647413" w14:textId="77777777" w:rsidR="005124ED" w:rsidRPr="004A73C1" w:rsidRDefault="005124ED" w:rsidP="005124ED">
          <w:pPr>
            <w:pStyle w:val="paragraph"/>
            <w:spacing w:before="0" w:beforeAutospacing="0" w:after="0" w:afterAutospacing="0" w:line="360" w:lineRule="auto"/>
            <w:jc w:val="both"/>
            <w:textAlignment w:val="baseline"/>
            <w:rPr>
              <w:rFonts w:ascii="Arial" w:hAnsi="Arial" w:cs="Arial"/>
              <w:sz w:val="18"/>
              <w:szCs w:val="18"/>
            </w:rPr>
          </w:pPr>
          <w:r w:rsidRPr="004A73C1">
            <w:rPr>
              <w:rStyle w:val="eop"/>
              <w:rFonts w:ascii="Arial" w:eastAsiaTheme="majorEastAsia" w:hAnsi="Arial" w:cs="Arial"/>
              <w:sz w:val="22"/>
              <w:szCs w:val="22"/>
            </w:rPr>
            <w:t> </w:t>
          </w:r>
        </w:p>
        <w:p w14:paraId="0DC5C908" w14:textId="153FEBED" w:rsidR="005124ED" w:rsidRPr="004A73C1" w:rsidRDefault="005124ED" w:rsidP="005124ED">
          <w:pPr>
            <w:pStyle w:val="paragraph"/>
            <w:spacing w:before="0" w:beforeAutospacing="0" w:after="0" w:afterAutospacing="0" w:line="360" w:lineRule="auto"/>
            <w:jc w:val="both"/>
            <w:textAlignment w:val="baseline"/>
            <w:rPr>
              <w:rFonts w:ascii="Arial" w:hAnsi="Arial" w:cs="Arial"/>
              <w:sz w:val="18"/>
              <w:szCs w:val="18"/>
            </w:rPr>
          </w:pPr>
          <w:r w:rsidRPr="004A73C1">
            <w:rPr>
              <w:rStyle w:val="normaltextrun"/>
              <w:rFonts w:ascii="Arial" w:eastAsiaTheme="majorEastAsia" w:hAnsi="Arial" w:cs="Arial"/>
              <w:sz w:val="22"/>
              <w:szCs w:val="22"/>
            </w:rPr>
            <w:t>Signature:</w:t>
          </w:r>
          <w:r w:rsidRPr="004A73C1">
            <w:rPr>
              <w:rStyle w:val="normaltextrun"/>
              <w:rFonts w:ascii="Arial" w:eastAsiaTheme="majorEastAsia" w:hAnsi="Arial" w:cs="Arial"/>
              <w:sz w:val="22"/>
              <w:szCs w:val="22"/>
            </w:rPr>
            <w:tab/>
            <w:t xml:space="preserve">Nazish Tariq </w:t>
          </w:r>
        </w:p>
        <w:p w14:paraId="77BE005C" w14:textId="77777777" w:rsidR="005124ED" w:rsidRPr="004A73C1" w:rsidRDefault="005124ED" w:rsidP="005124ED">
          <w:pPr>
            <w:pStyle w:val="paragraph"/>
            <w:spacing w:before="0" w:beforeAutospacing="0" w:after="0" w:afterAutospacing="0" w:line="360" w:lineRule="auto"/>
            <w:jc w:val="both"/>
            <w:textAlignment w:val="baseline"/>
            <w:rPr>
              <w:rFonts w:ascii="Arial" w:hAnsi="Arial" w:cs="Arial"/>
              <w:sz w:val="18"/>
              <w:szCs w:val="18"/>
            </w:rPr>
          </w:pPr>
          <w:r w:rsidRPr="004A73C1">
            <w:rPr>
              <w:rStyle w:val="eop"/>
              <w:rFonts w:ascii="Arial" w:eastAsiaTheme="majorEastAsia" w:hAnsi="Arial" w:cs="Arial"/>
              <w:sz w:val="22"/>
              <w:szCs w:val="22"/>
            </w:rPr>
            <w:t> </w:t>
          </w:r>
        </w:p>
        <w:p w14:paraId="35DB885B" w14:textId="2D5F4FBF" w:rsidR="005124ED" w:rsidRPr="004A73C1" w:rsidRDefault="005124ED" w:rsidP="005124ED">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r w:rsidRPr="004A73C1">
            <w:rPr>
              <w:rStyle w:val="normaltextrun"/>
              <w:rFonts w:ascii="Arial" w:eastAsiaTheme="majorEastAsia" w:hAnsi="Arial" w:cs="Arial"/>
              <w:sz w:val="22"/>
              <w:szCs w:val="22"/>
            </w:rPr>
            <w:t>Date: 27/08/2024</w:t>
          </w:r>
        </w:p>
        <w:p w14:paraId="4A267F6D" w14:textId="77777777" w:rsidR="005124ED" w:rsidRPr="004A73C1" w:rsidRDefault="005124ED" w:rsidP="005124ED">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2FA8791C" w14:textId="77777777" w:rsidR="005124ED" w:rsidRPr="004A73C1" w:rsidRDefault="005124ED" w:rsidP="005124ED">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0AE6510E" w14:textId="77777777" w:rsidR="005124ED" w:rsidRPr="004A73C1" w:rsidRDefault="005124ED" w:rsidP="005124ED">
          <w:pPr>
            <w:pStyle w:val="paragraph"/>
            <w:spacing w:before="0" w:beforeAutospacing="0" w:after="0" w:afterAutospacing="0" w:line="360" w:lineRule="auto"/>
            <w:jc w:val="both"/>
            <w:textAlignment w:val="baseline"/>
            <w:rPr>
              <w:rFonts w:ascii="Arial" w:hAnsi="Arial" w:cs="Arial"/>
              <w:b/>
              <w:bCs/>
            </w:rPr>
          </w:pPr>
        </w:p>
        <w:p w14:paraId="420ADD08" w14:textId="77777777" w:rsidR="005124ED" w:rsidRPr="004A73C1" w:rsidRDefault="005124ED" w:rsidP="005124ED">
          <w:pPr>
            <w:spacing w:line="360" w:lineRule="auto"/>
            <w:jc w:val="both"/>
            <w:rPr>
              <w:rFonts w:ascii="Arial" w:hAnsi="Arial" w:cs="Arial"/>
              <w:b/>
              <w:bCs/>
            </w:rPr>
          </w:pPr>
          <w:r w:rsidRPr="004A73C1">
            <w:rPr>
              <w:rFonts w:ascii="Arial" w:hAnsi="Arial" w:cs="Arial"/>
              <w:b/>
              <w:bCs/>
            </w:rPr>
            <w:t>ACKNOWLEDGEMENT</w:t>
          </w:r>
        </w:p>
        <w:p w14:paraId="35CE4ACF" w14:textId="77777777" w:rsidR="005124ED" w:rsidRPr="004A73C1" w:rsidRDefault="005124ED" w:rsidP="005124ED">
          <w:pPr>
            <w:spacing w:line="360" w:lineRule="auto"/>
            <w:jc w:val="both"/>
            <w:rPr>
              <w:rFonts w:ascii="Arial" w:hAnsi="Arial" w:cs="Arial"/>
            </w:rPr>
          </w:pPr>
          <w:r w:rsidRPr="004A73C1">
            <w:rPr>
              <w:rFonts w:ascii="Arial" w:hAnsi="Arial" w:cs="Arial"/>
            </w:rPr>
            <w:t>During my MBA journey, I would like to express my sincere gratitude to my supervisor for their unwavering support and guidance. Their insightful feedback and encouragement have been invaluable throughout this process, and I am truly grateful for their dedication to my development.</w:t>
          </w:r>
        </w:p>
        <w:p w14:paraId="0994996F" w14:textId="77777777" w:rsidR="005124ED" w:rsidRPr="004A73C1" w:rsidRDefault="005124ED" w:rsidP="005124ED">
          <w:pPr>
            <w:spacing w:line="360" w:lineRule="auto"/>
            <w:jc w:val="both"/>
            <w:rPr>
              <w:rFonts w:ascii="Arial" w:hAnsi="Arial" w:cs="Arial"/>
            </w:rPr>
          </w:pPr>
        </w:p>
        <w:p w14:paraId="2F0D236D" w14:textId="7D3CD3BD" w:rsidR="005124ED" w:rsidRPr="004A73C1" w:rsidRDefault="005124ED" w:rsidP="005124ED">
          <w:pPr>
            <w:spacing w:line="360" w:lineRule="auto"/>
            <w:jc w:val="both"/>
            <w:rPr>
              <w:rFonts w:ascii="Arial" w:hAnsi="Arial" w:cs="Arial"/>
            </w:rPr>
          </w:pPr>
          <w:r w:rsidRPr="004A73C1">
            <w:rPr>
              <w:rFonts w:ascii="Arial" w:hAnsi="Arial" w:cs="Arial"/>
            </w:rPr>
            <w:t>Thank you.</w:t>
          </w:r>
        </w:p>
        <w:p w14:paraId="282289DC" w14:textId="77777777" w:rsidR="005124ED" w:rsidRPr="004A73C1" w:rsidRDefault="005124ED" w:rsidP="005124ED">
          <w:pPr>
            <w:spacing w:line="360" w:lineRule="auto"/>
            <w:jc w:val="both"/>
            <w:rPr>
              <w:rFonts w:ascii="Arial" w:hAnsi="Arial" w:cs="Arial"/>
            </w:rPr>
          </w:pPr>
        </w:p>
        <w:p w14:paraId="1D8DCAA8" w14:textId="4618A4F1" w:rsidR="005124ED" w:rsidRPr="004A73C1" w:rsidRDefault="005124ED">
          <w:pPr>
            <w:rPr>
              <w:rFonts w:ascii="Arial" w:eastAsiaTheme="majorEastAsia" w:hAnsi="Arial" w:cs="Arial"/>
              <w:color w:val="276E8B" w:themeColor="accent1" w:themeShade="BF"/>
              <w:sz w:val="30"/>
              <w:szCs w:val="30"/>
            </w:rPr>
          </w:pPr>
          <w:r w:rsidRPr="004A73C1">
            <w:rPr>
              <w:rFonts w:ascii="Arial" w:hAnsi="Arial" w:cs="Arial"/>
            </w:rPr>
            <w:br w:type="page"/>
          </w:r>
        </w:p>
        <w:p w14:paraId="144F3249" w14:textId="2E736F9E" w:rsidR="002A035F" w:rsidRPr="004A73C1" w:rsidRDefault="00000000" w:rsidP="00EF2E34">
          <w:pPr>
            <w:pStyle w:val="Heading1"/>
            <w:spacing w:line="360" w:lineRule="auto"/>
            <w:jc w:val="both"/>
            <w:rPr>
              <w:rFonts w:ascii="Arial" w:hAnsi="Arial" w:cs="Arial"/>
            </w:rPr>
          </w:pPr>
        </w:p>
      </w:sdtContent>
    </w:sdt>
    <w:bookmarkEnd w:id="3" w:displacedByCustomXml="prev"/>
    <w:sdt>
      <w:sdtPr>
        <w:rPr>
          <w:rFonts w:ascii="Arial" w:eastAsiaTheme="minorEastAsia" w:hAnsi="Arial" w:cs="Arial"/>
          <w:color w:val="auto"/>
          <w:sz w:val="18"/>
          <w:szCs w:val="18"/>
        </w:rPr>
        <w:id w:val="-1863978124"/>
        <w:docPartObj>
          <w:docPartGallery w:val="Table of Contents"/>
          <w:docPartUnique/>
        </w:docPartObj>
      </w:sdtPr>
      <w:sdtEndPr>
        <w:rPr>
          <w:b/>
          <w:bCs/>
        </w:rPr>
      </w:sdtEndPr>
      <w:sdtContent>
        <w:p w14:paraId="031A3225" w14:textId="65D57192" w:rsidR="003F68BF" w:rsidRPr="004A73C1" w:rsidRDefault="003F68BF">
          <w:pPr>
            <w:pStyle w:val="TOCHeading"/>
            <w:rPr>
              <w:rFonts w:ascii="Arial" w:hAnsi="Arial" w:cs="Arial"/>
              <w:sz w:val="28"/>
              <w:szCs w:val="28"/>
            </w:rPr>
          </w:pPr>
          <w:r w:rsidRPr="004A73C1">
            <w:rPr>
              <w:rFonts w:ascii="Arial" w:hAnsi="Arial" w:cs="Arial"/>
              <w:sz w:val="28"/>
              <w:szCs w:val="28"/>
            </w:rPr>
            <w:t>Contents</w:t>
          </w:r>
        </w:p>
        <w:p w14:paraId="59ED61BF" w14:textId="741BBADF" w:rsidR="002233BD" w:rsidRDefault="003F68BF">
          <w:pPr>
            <w:pStyle w:val="TOC1"/>
            <w:tabs>
              <w:tab w:val="right" w:leader="dot" w:pos="9016"/>
            </w:tabs>
            <w:rPr>
              <w:noProof/>
              <w:kern w:val="2"/>
              <w:sz w:val="24"/>
              <w:szCs w:val="24"/>
              <w:lang w:eastAsia="en-GB"/>
              <w14:ligatures w14:val="standardContextual"/>
            </w:rPr>
          </w:pPr>
          <w:r w:rsidRPr="004A73C1">
            <w:rPr>
              <w:rFonts w:ascii="Arial" w:hAnsi="Arial" w:cs="Arial"/>
              <w:sz w:val="18"/>
              <w:szCs w:val="18"/>
            </w:rPr>
            <w:fldChar w:fldCharType="begin"/>
          </w:r>
          <w:r w:rsidRPr="004A73C1">
            <w:rPr>
              <w:rFonts w:ascii="Arial" w:hAnsi="Arial" w:cs="Arial"/>
              <w:sz w:val="18"/>
              <w:szCs w:val="18"/>
            </w:rPr>
            <w:instrText xml:space="preserve"> TOC \o "1-3" \h \z \u </w:instrText>
          </w:r>
          <w:r w:rsidRPr="004A73C1">
            <w:rPr>
              <w:rFonts w:ascii="Arial" w:hAnsi="Arial" w:cs="Arial"/>
              <w:sz w:val="18"/>
              <w:szCs w:val="18"/>
            </w:rPr>
            <w:fldChar w:fldCharType="separate"/>
          </w:r>
          <w:hyperlink w:anchor="_Toc175675315" w:history="1">
            <w:r w:rsidR="002233BD" w:rsidRPr="006069F6">
              <w:rPr>
                <w:rStyle w:val="Hyperlink"/>
                <w:rFonts w:ascii="Arial" w:hAnsi="Arial" w:cs="Arial"/>
                <w:b/>
                <w:bCs/>
                <w:noProof/>
              </w:rPr>
              <w:t>Chapter No 1. Introduction, Aims and Objectives</w:t>
            </w:r>
            <w:r w:rsidR="002233BD">
              <w:rPr>
                <w:noProof/>
                <w:webHidden/>
              </w:rPr>
              <w:tab/>
            </w:r>
            <w:r w:rsidR="002233BD">
              <w:rPr>
                <w:noProof/>
                <w:webHidden/>
              </w:rPr>
              <w:fldChar w:fldCharType="begin"/>
            </w:r>
            <w:r w:rsidR="002233BD">
              <w:rPr>
                <w:noProof/>
                <w:webHidden/>
              </w:rPr>
              <w:instrText xml:space="preserve"> PAGEREF _Toc175675315 \h </w:instrText>
            </w:r>
            <w:r w:rsidR="002233BD">
              <w:rPr>
                <w:noProof/>
                <w:webHidden/>
              </w:rPr>
            </w:r>
            <w:r w:rsidR="002233BD">
              <w:rPr>
                <w:noProof/>
                <w:webHidden/>
              </w:rPr>
              <w:fldChar w:fldCharType="separate"/>
            </w:r>
            <w:r w:rsidR="002233BD">
              <w:rPr>
                <w:noProof/>
                <w:webHidden/>
              </w:rPr>
              <w:t>6</w:t>
            </w:r>
            <w:r w:rsidR="002233BD">
              <w:rPr>
                <w:noProof/>
                <w:webHidden/>
              </w:rPr>
              <w:fldChar w:fldCharType="end"/>
            </w:r>
          </w:hyperlink>
        </w:p>
        <w:p w14:paraId="02CBCD28" w14:textId="32269876" w:rsidR="002233BD" w:rsidRDefault="002233BD">
          <w:pPr>
            <w:pStyle w:val="TOC2"/>
            <w:tabs>
              <w:tab w:val="left" w:pos="720"/>
              <w:tab w:val="right" w:leader="dot" w:pos="9016"/>
            </w:tabs>
            <w:rPr>
              <w:noProof/>
              <w:kern w:val="2"/>
              <w:sz w:val="24"/>
              <w:szCs w:val="24"/>
              <w:lang w:eastAsia="en-GB"/>
              <w14:ligatures w14:val="standardContextual"/>
            </w:rPr>
          </w:pPr>
          <w:hyperlink w:anchor="_Toc175675316" w:history="1">
            <w:r w:rsidRPr="006069F6">
              <w:rPr>
                <w:rStyle w:val="Hyperlink"/>
                <w:rFonts w:ascii="Arial" w:hAnsi="Arial" w:cs="Arial"/>
                <w:noProof/>
              </w:rPr>
              <w:t>1.</w:t>
            </w:r>
            <w:r>
              <w:rPr>
                <w:noProof/>
                <w:kern w:val="2"/>
                <w:sz w:val="24"/>
                <w:szCs w:val="24"/>
                <w:lang w:eastAsia="en-GB"/>
                <w14:ligatures w14:val="standardContextual"/>
              </w:rPr>
              <w:tab/>
            </w:r>
            <w:r w:rsidRPr="006069F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_Toc175675316 \h </w:instrText>
            </w:r>
            <w:r>
              <w:rPr>
                <w:noProof/>
                <w:webHidden/>
              </w:rPr>
            </w:r>
            <w:r>
              <w:rPr>
                <w:noProof/>
                <w:webHidden/>
              </w:rPr>
              <w:fldChar w:fldCharType="separate"/>
            </w:r>
            <w:r>
              <w:rPr>
                <w:noProof/>
                <w:webHidden/>
              </w:rPr>
              <w:t>6</w:t>
            </w:r>
            <w:r>
              <w:rPr>
                <w:noProof/>
                <w:webHidden/>
              </w:rPr>
              <w:fldChar w:fldCharType="end"/>
            </w:r>
          </w:hyperlink>
        </w:p>
        <w:p w14:paraId="5F8A392B" w14:textId="5AE99A51" w:rsidR="002233BD" w:rsidRDefault="002233BD">
          <w:pPr>
            <w:pStyle w:val="TOC2"/>
            <w:tabs>
              <w:tab w:val="left" w:pos="960"/>
              <w:tab w:val="right" w:leader="dot" w:pos="9016"/>
            </w:tabs>
            <w:rPr>
              <w:noProof/>
              <w:kern w:val="2"/>
              <w:sz w:val="24"/>
              <w:szCs w:val="24"/>
              <w:lang w:eastAsia="en-GB"/>
              <w14:ligatures w14:val="standardContextual"/>
            </w:rPr>
          </w:pPr>
          <w:hyperlink w:anchor="_Toc175675317" w:history="1">
            <w:r w:rsidRPr="006069F6">
              <w:rPr>
                <w:rStyle w:val="Hyperlink"/>
                <w:rFonts w:ascii="Arial" w:hAnsi="Arial" w:cs="Arial"/>
                <w:noProof/>
              </w:rPr>
              <w:t>1.2</w:t>
            </w:r>
            <w:r>
              <w:rPr>
                <w:noProof/>
                <w:kern w:val="2"/>
                <w:sz w:val="24"/>
                <w:szCs w:val="24"/>
                <w:lang w:eastAsia="en-GB"/>
                <w14:ligatures w14:val="standardContextual"/>
              </w:rPr>
              <w:tab/>
            </w:r>
            <w:r w:rsidRPr="006069F6">
              <w:rPr>
                <w:rStyle w:val="Hyperlink"/>
                <w:rFonts w:ascii="Arial" w:hAnsi="Arial" w:cs="Arial"/>
                <w:noProof/>
              </w:rPr>
              <w:t>Research Significance- Problem Statement</w:t>
            </w:r>
            <w:r>
              <w:rPr>
                <w:noProof/>
                <w:webHidden/>
              </w:rPr>
              <w:tab/>
            </w:r>
            <w:r>
              <w:rPr>
                <w:noProof/>
                <w:webHidden/>
              </w:rPr>
              <w:fldChar w:fldCharType="begin"/>
            </w:r>
            <w:r>
              <w:rPr>
                <w:noProof/>
                <w:webHidden/>
              </w:rPr>
              <w:instrText xml:space="preserve"> PAGEREF _Toc175675317 \h </w:instrText>
            </w:r>
            <w:r>
              <w:rPr>
                <w:noProof/>
                <w:webHidden/>
              </w:rPr>
            </w:r>
            <w:r>
              <w:rPr>
                <w:noProof/>
                <w:webHidden/>
              </w:rPr>
              <w:fldChar w:fldCharType="separate"/>
            </w:r>
            <w:r>
              <w:rPr>
                <w:noProof/>
                <w:webHidden/>
              </w:rPr>
              <w:t>7</w:t>
            </w:r>
            <w:r>
              <w:rPr>
                <w:noProof/>
                <w:webHidden/>
              </w:rPr>
              <w:fldChar w:fldCharType="end"/>
            </w:r>
          </w:hyperlink>
        </w:p>
        <w:p w14:paraId="54C004F5" w14:textId="30E237F3" w:rsidR="002233BD" w:rsidRDefault="002233BD">
          <w:pPr>
            <w:pStyle w:val="TOC2"/>
            <w:tabs>
              <w:tab w:val="left" w:pos="960"/>
              <w:tab w:val="right" w:leader="dot" w:pos="9016"/>
            </w:tabs>
            <w:rPr>
              <w:noProof/>
              <w:kern w:val="2"/>
              <w:sz w:val="24"/>
              <w:szCs w:val="24"/>
              <w:lang w:eastAsia="en-GB"/>
              <w14:ligatures w14:val="standardContextual"/>
            </w:rPr>
          </w:pPr>
          <w:hyperlink w:anchor="_Toc175675318" w:history="1">
            <w:r w:rsidRPr="006069F6">
              <w:rPr>
                <w:rStyle w:val="Hyperlink"/>
                <w:rFonts w:ascii="Arial" w:hAnsi="Arial" w:cs="Arial"/>
                <w:noProof/>
              </w:rPr>
              <w:t>1.3</w:t>
            </w:r>
            <w:r>
              <w:rPr>
                <w:noProof/>
                <w:kern w:val="2"/>
                <w:sz w:val="24"/>
                <w:szCs w:val="24"/>
                <w:lang w:eastAsia="en-GB"/>
                <w14:ligatures w14:val="standardContextual"/>
              </w:rPr>
              <w:tab/>
            </w:r>
            <w:r w:rsidRPr="006069F6">
              <w:rPr>
                <w:rStyle w:val="Hyperlink"/>
                <w:rFonts w:ascii="Arial" w:hAnsi="Arial" w:cs="Arial"/>
                <w:noProof/>
              </w:rPr>
              <w:t>Dissertation Aim:</w:t>
            </w:r>
            <w:r>
              <w:rPr>
                <w:noProof/>
                <w:webHidden/>
              </w:rPr>
              <w:tab/>
            </w:r>
            <w:r>
              <w:rPr>
                <w:noProof/>
                <w:webHidden/>
              </w:rPr>
              <w:fldChar w:fldCharType="begin"/>
            </w:r>
            <w:r>
              <w:rPr>
                <w:noProof/>
                <w:webHidden/>
              </w:rPr>
              <w:instrText xml:space="preserve"> PAGEREF _Toc175675318 \h </w:instrText>
            </w:r>
            <w:r>
              <w:rPr>
                <w:noProof/>
                <w:webHidden/>
              </w:rPr>
            </w:r>
            <w:r>
              <w:rPr>
                <w:noProof/>
                <w:webHidden/>
              </w:rPr>
              <w:fldChar w:fldCharType="separate"/>
            </w:r>
            <w:r>
              <w:rPr>
                <w:noProof/>
                <w:webHidden/>
              </w:rPr>
              <w:t>7</w:t>
            </w:r>
            <w:r>
              <w:rPr>
                <w:noProof/>
                <w:webHidden/>
              </w:rPr>
              <w:fldChar w:fldCharType="end"/>
            </w:r>
          </w:hyperlink>
        </w:p>
        <w:p w14:paraId="658B0FC8" w14:textId="3EAAD1E3" w:rsidR="002233BD" w:rsidRDefault="002233BD">
          <w:pPr>
            <w:pStyle w:val="TOC2"/>
            <w:tabs>
              <w:tab w:val="left" w:pos="960"/>
              <w:tab w:val="right" w:leader="dot" w:pos="9016"/>
            </w:tabs>
            <w:rPr>
              <w:noProof/>
              <w:kern w:val="2"/>
              <w:sz w:val="24"/>
              <w:szCs w:val="24"/>
              <w:lang w:eastAsia="en-GB"/>
              <w14:ligatures w14:val="standardContextual"/>
            </w:rPr>
          </w:pPr>
          <w:hyperlink w:anchor="_Toc175675319" w:history="1">
            <w:r w:rsidRPr="006069F6">
              <w:rPr>
                <w:rStyle w:val="Hyperlink"/>
                <w:rFonts w:ascii="Arial" w:hAnsi="Arial" w:cs="Arial"/>
                <w:noProof/>
              </w:rPr>
              <w:t>1.4</w:t>
            </w:r>
            <w:r>
              <w:rPr>
                <w:noProof/>
                <w:kern w:val="2"/>
                <w:sz w:val="24"/>
                <w:szCs w:val="24"/>
                <w:lang w:eastAsia="en-GB"/>
                <w14:ligatures w14:val="standardContextual"/>
              </w:rPr>
              <w:tab/>
            </w:r>
            <w:r w:rsidRPr="006069F6">
              <w:rPr>
                <w:rStyle w:val="Hyperlink"/>
                <w:rFonts w:ascii="Arial" w:hAnsi="Arial" w:cs="Arial"/>
                <w:noProof/>
              </w:rPr>
              <w:t>Dissertation Objectives</w:t>
            </w:r>
            <w:r>
              <w:rPr>
                <w:noProof/>
                <w:webHidden/>
              </w:rPr>
              <w:tab/>
            </w:r>
            <w:r>
              <w:rPr>
                <w:noProof/>
                <w:webHidden/>
              </w:rPr>
              <w:fldChar w:fldCharType="begin"/>
            </w:r>
            <w:r>
              <w:rPr>
                <w:noProof/>
                <w:webHidden/>
              </w:rPr>
              <w:instrText xml:space="preserve"> PAGEREF _Toc175675319 \h </w:instrText>
            </w:r>
            <w:r>
              <w:rPr>
                <w:noProof/>
                <w:webHidden/>
              </w:rPr>
            </w:r>
            <w:r>
              <w:rPr>
                <w:noProof/>
                <w:webHidden/>
              </w:rPr>
              <w:fldChar w:fldCharType="separate"/>
            </w:r>
            <w:r>
              <w:rPr>
                <w:noProof/>
                <w:webHidden/>
              </w:rPr>
              <w:t>7</w:t>
            </w:r>
            <w:r>
              <w:rPr>
                <w:noProof/>
                <w:webHidden/>
              </w:rPr>
              <w:fldChar w:fldCharType="end"/>
            </w:r>
          </w:hyperlink>
        </w:p>
        <w:p w14:paraId="22E95143" w14:textId="50662F4B" w:rsidR="002233BD" w:rsidRDefault="002233BD">
          <w:pPr>
            <w:pStyle w:val="TOC2"/>
            <w:tabs>
              <w:tab w:val="left" w:pos="960"/>
              <w:tab w:val="right" w:leader="dot" w:pos="9016"/>
            </w:tabs>
            <w:rPr>
              <w:noProof/>
              <w:kern w:val="2"/>
              <w:sz w:val="24"/>
              <w:szCs w:val="24"/>
              <w:lang w:eastAsia="en-GB"/>
              <w14:ligatures w14:val="standardContextual"/>
            </w:rPr>
          </w:pPr>
          <w:hyperlink w:anchor="_Toc175675320" w:history="1">
            <w:r w:rsidRPr="006069F6">
              <w:rPr>
                <w:rStyle w:val="Hyperlink"/>
                <w:rFonts w:ascii="Arial" w:hAnsi="Arial" w:cs="Arial"/>
                <w:noProof/>
              </w:rPr>
              <w:t>1.5</w:t>
            </w:r>
            <w:r>
              <w:rPr>
                <w:noProof/>
                <w:kern w:val="2"/>
                <w:sz w:val="24"/>
                <w:szCs w:val="24"/>
                <w:lang w:eastAsia="en-GB"/>
                <w14:ligatures w14:val="standardContextual"/>
              </w:rPr>
              <w:tab/>
            </w:r>
            <w:r w:rsidRPr="006069F6">
              <w:rPr>
                <w:rStyle w:val="Hyperlink"/>
                <w:rFonts w:ascii="Arial" w:hAnsi="Arial" w:cs="Arial"/>
                <w:noProof/>
              </w:rPr>
              <w:t>Questions To Achieve My Objectives.</w:t>
            </w:r>
            <w:r>
              <w:rPr>
                <w:noProof/>
                <w:webHidden/>
              </w:rPr>
              <w:tab/>
            </w:r>
            <w:r>
              <w:rPr>
                <w:noProof/>
                <w:webHidden/>
              </w:rPr>
              <w:fldChar w:fldCharType="begin"/>
            </w:r>
            <w:r>
              <w:rPr>
                <w:noProof/>
                <w:webHidden/>
              </w:rPr>
              <w:instrText xml:space="preserve"> PAGEREF _Toc175675320 \h </w:instrText>
            </w:r>
            <w:r>
              <w:rPr>
                <w:noProof/>
                <w:webHidden/>
              </w:rPr>
            </w:r>
            <w:r>
              <w:rPr>
                <w:noProof/>
                <w:webHidden/>
              </w:rPr>
              <w:fldChar w:fldCharType="separate"/>
            </w:r>
            <w:r>
              <w:rPr>
                <w:noProof/>
                <w:webHidden/>
              </w:rPr>
              <w:t>7</w:t>
            </w:r>
            <w:r>
              <w:rPr>
                <w:noProof/>
                <w:webHidden/>
              </w:rPr>
              <w:fldChar w:fldCharType="end"/>
            </w:r>
          </w:hyperlink>
        </w:p>
        <w:p w14:paraId="6BDF3681" w14:textId="70A00E1D" w:rsidR="002233BD" w:rsidRDefault="002233BD">
          <w:pPr>
            <w:pStyle w:val="TOC2"/>
            <w:tabs>
              <w:tab w:val="left" w:pos="960"/>
              <w:tab w:val="right" w:leader="dot" w:pos="9016"/>
            </w:tabs>
            <w:rPr>
              <w:noProof/>
              <w:kern w:val="2"/>
              <w:sz w:val="24"/>
              <w:szCs w:val="24"/>
              <w:lang w:eastAsia="en-GB"/>
              <w14:ligatures w14:val="standardContextual"/>
            </w:rPr>
          </w:pPr>
          <w:hyperlink w:anchor="_Toc175675321" w:history="1">
            <w:r w:rsidRPr="006069F6">
              <w:rPr>
                <w:rStyle w:val="Hyperlink"/>
                <w:rFonts w:ascii="Arial" w:hAnsi="Arial" w:cs="Arial"/>
                <w:noProof/>
              </w:rPr>
              <w:t>1.6</w:t>
            </w:r>
            <w:r>
              <w:rPr>
                <w:noProof/>
                <w:kern w:val="2"/>
                <w:sz w:val="24"/>
                <w:szCs w:val="24"/>
                <w:lang w:eastAsia="en-GB"/>
                <w14:ligatures w14:val="standardContextual"/>
              </w:rPr>
              <w:tab/>
            </w:r>
            <w:r w:rsidRPr="006069F6">
              <w:rPr>
                <w:rStyle w:val="Hyperlink"/>
                <w:rFonts w:ascii="Arial" w:hAnsi="Arial" w:cs="Arial"/>
                <w:noProof/>
              </w:rPr>
              <w:t>Brief Literature Review</w:t>
            </w:r>
            <w:r>
              <w:rPr>
                <w:noProof/>
                <w:webHidden/>
              </w:rPr>
              <w:tab/>
            </w:r>
            <w:r>
              <w:rPr>
                <w:noProof/>
                <w:webHidden/>
              </w:rPr>
              <w:fldChar w:fldCharType="begin"/>
            </w:r>
            <w:r>
              <w:rPr>
                <w:noProof/>
                <w:webHidden/>
              </w:rPr>
              <w:instrText xml:space="preserve"> PAGEREF _Toc175675321 \h </w:instrText>
            </w:r>
            <w:r>
              <w:rPr>
                <w:noProof/>
                <w:webHidden/>
              </w:rPr>
            </w:r>
            <w:r>
              <w:rPr>
                <w:noProof/>
                <w:webHidden/>
              </w:rPr>
              <w:fldChar w:fldCharType="separate"/>
            </w:r>
            <w:r>
              <w:rPr>
                <w:noProof/>
                <w:webHidden/>
              </w:rPr>
              <w:t>8</w:t>
            </w:r>
            <w:r>
              <w:rPr>
                <w:noProof/>
                <w:webHidden/>
              </w:rPr>
              <w:fldChar w:fldCharType="end"/>
            </w:r>
          </w:hyperlink>
        </w:p>
        <w:p w14:paraId="6D3AD16C" w14:textId="177921AD" w:rsidR="002233BD" w:rsidRDefault="002233BD">
          <w:pPr>
            <w:pStyle w:val="TOC2"/>
            <w:tabs>
              <w:tab w:val="left" w:pos="960"/>
              <w:tab w:val="right" w:leader="dot" w:pos="9016"/>
            </w:tabs>
            <w:rPr>
              <w:noProof/>
              <w:kern w:val="2"/>
              <w:sz w:val="24"/>
              <w:szCs w:val="24"/>
              <w:lang w:eastAsia="en-GB"/>
              <w14:ligatures w14:val="standardContextual"/>
            </w:rPr>
          </w:pPr>
          <w:hyperlink w:anchor="_Toc175675322" w:history="1">
            <w:r w:rsidRPr="006069F6">
              <w:rPr>
                <w:rStyle w:val="Hyperlink"/>
                <w:rFonts w:ascii="Arial" w:hAnsi="Arial" w:cs="Arial"/>
                <w:noProof/>
              </w:rPr>
              <w:t>1.7</w:t>
            </w:r>
            <w:r>
              <w:rPr>
                <w:noProof/>
                <w:kern w:val="2"/>
                <w:sz w:val="24"/>
                <w:szCs w:val="24"/>
                <w:lang w:eastAsia="en-GB"/>
                <w14:ligatures w14:val="standardContextual"/>
              </w:rPr>
              <w:tab/>
            </w:r>
            <w:r w:rsidRPr="006069F6">
              <w:rPr>
                <w:rStyle w:val="Hyperlink"/>
                <w:rFonts w:ascii="Arial" w:hAnsi="Arial" w:cs="Arial"/>
                <w:noProof/>
              </w:rPr>
              <w:t>Research Gaps</w:t>
            </w:r>
            <w:r>
              <w:rPr>
                <w:noProof/>
                <w:webHidden/>
              </w:rPr>
              <w:tab/>
            </w:r>
            <w:r>
              <w:rPr>
                <w:noProof/>
                <w:webHidden/>
              </w:rPr>
              <w:fldChar w:fldCharType="begin"/>
            </w:r>
            <w:r>
              <w:rPr>
                <w:noProof/>
                <w:webHidden/>
              </w:rPr>
              <w:instrText xml:space="preserve"> PAGEREF _Toc175675322 \h </w:instrText>
            </w:r>
            <w:r>
              <w:rPr>
                <w:noProof/>
                <w:webHidden/>
              </w:rPr>
            </w:r>
            <w:r>
              <w:rPr>
                <w:noProof/>
                <w:webHidden/>
              </w:rPr>
              <w:fldChar w:fldCharType="separate"/>
            </w:r>
            <w:r>
              <w:rPr>
                <w:noProof/>
                <w:webHidden/>
              </w:rPr>
              <w:t>9</w:t>
            </w:r>
            <w:r>
              <w:rPr>
                <w:noProof/>
                <w:webHidden/>
              </w:rPr>
              <w:fldChar w:fldCharType="end"/>
            </w:r>
          </w:hyperlink>
        </w:p>
        <w:p w14:paraId="0480FF12" w14:textId="483ED563" w:rsidR="002233BD" w:rsidRDefault="002233BD">
          <w:pPr>
            <w:pStyle w:val="TOC2"/>
            <w:tabs>
              <w:tab w:val="left" w:pos="960"/>
              <w:tab w:val="right" w:leader="dot" w:pos="9016"/>
            </w:tabs>
            <w:rPr>
              <w:noProof/>
              <w:kern w:val="2"/>
              <w:sz w:val="24"/>
              <w:szCs w:val="24"/>
              <w:lang w:eastAsia="en-GB"/>
              <w14:ligatures w14:val="standardContextual"/>
            </w:rPr>
          </w:pPr>
          <w:hyperlink w:anchor="_Toc175675323" w:history="1">
            <w:r w:rsidRPr="006069F6">
              <w:rPr>
                <w:rStyle w:val="Hyperlink"/>
                <w:rFonts w:ascii="Arial" w:hAnsi="Arial" w:cs="Arial"/>
                <w:noProof/>
              </w:rPr>
              <w:t>1.8</w:t>
            </w:r>
            <w:r>
              <w:rPr>
                <w:noProof/>
                <w:kern w:val="2"/>
                <w:sz w:val="24"/>
                <w:szCs w:val="24"/>
                <w:lang w:eastAsia="en-GB"/>
                <w14:ligatures w14:val="standardContextual"/>
              </w:rPr>
              <w:tab/>
            </w:r>
            <w:r w:rsidRPr="006069F6">
              <w:rPr>
                <w:rStyle w:val="Hyperlink"/>
                <w:rFonts w:ascii="Arial" w:hAnsi="Arial" w:cs="Arial"/>
                <w:noProof/>
              </w:rPr>
              <w:t>Methodology</w:t>
            </w:r>
            <w:r>
              <w:rPr>
                <w:noProof/>
                <w:webHidden/>
              </w:rPr>
              <w:tab/>
            </w:r>
            <w:r>
              <w:rPr>
                <w:noProof/>
                <w:webHidden/>
              </w:rPr>
              <w:fldChar w:fldCharType="begin"/>
            </w:r>
            <w:r>
              <w:rPr>
                <w:noProof/>
                <w:webHidden/>
              </w:rPr>
              <w:instrText xml:space="preserve"> PAGEREF _Toc175675323 \h </w:instrText>
            </w:r>
            <w:r>
              <w:rPr>
                <w:noProof/>
                <w:webHidden/>
              </w:rPr>
            </w:r>
            <w:r>
              <w:rPr>
                <w:noProof/>
                <w:webHidden/>
              </w:rPr>
              <w:fldChar w:fldCharType="separate"/>
            </w:r>
            <w:r>
              <w:rPr>
                <w:noProof/>
                <w:webHidden/>
              </w:rPr>
              <w:t>9</w:t>
            </w:r>
            <w:r>
              <w:rPr>
                <w:noProof/>
                <w:webHidden/>
              </w:rPr>
              <w:fldChar w:fldCharType="end"/>
            </w:r>
          </w:hyperlink>
        </w:p>
        <w:p w14:paraId="63C5F921" w14:textId="764F2048" w:rsidR="002233BD" w:rsidRDefault="002233BD">
          <w:pPr>
            <w:pStyle w:val="TOC2"/>
            <w:tabs>
              <w:tab w:val="left" w:pos="960"/>
              <w:tab w:val="right" w:leader="dot" w:pos="9016"/>
            </w:tabs>
            <w:rPr>
              <w:noProof/>
              <w:kern w:val="2"/>
              <w:sz w:val="24"/>
              <w:szCs w:val="24"/>
              <w:lang w:eastAsia="en-GB"/>
              <w14:ligatures w14:val="standardContextual"/>
            </w:rPr>
          </w:pPr>
          <w:hyperlink w:anchor="_Toc175675324" w:history="1">
            <w:r w:rsidRPr="006069F6">
              <w:rPr>
                <w:rStyle w:val="Hyperlink"/>
                <w:rFonts w:ascii="Arial" w:eastAsia="Arial Unicode MS" w:hAnsi="Arial" w:cs="Arial"/>
                <w:noProof/>
              </w:rPr>
              <w:t>1.9</w:t>
            </w:r>
            <w:r>
              <w:rPr>
                <w:noProof/>
                <w:kern w:val="2"/>
                <w:sz w:val="24"/>
                <w:szCs w:val="24"/>
                <w:lang w:eastAsia="en-GB"/>
                <w14:ligatures w14:val="standardContextual"/>
              </w:rPr>
              <w:tab/>
            </w:r>
            <w:r w:rsidRPr="006069F6">
              <w:rPr>
                <w:rStyle w:val="Hyperlink"/>
                <w:rFonts w:ascii="Arial" w:hAnsi="Arial" w:cs="Arial"/>
                <w:noProof/>
              </w:rPr>
              <w:t>Quantitative Analysis Methodology</w:t>
            </w:r>
            <w:r>
              <w:rPr>
                <w:noProof/>
                <w:webHidden/>
              </w:rPr>
              <w:tab/>
            </w:r>
            <w:r>
              <w:rPr>
                <w:noProof/>
                <w:webHidden/>
              </w:rPr>
              <w:fldChar w:fldCharType="begin"/>
            </w:r>
            <w:r>
              <w:rPr>
                <w:noProof/>
                <w:webHidden/>
              </w:rPr>
              <w:instrText xml:space="preserve"> PAGEREF _Toc175675324 \h </w:instrText>
            </w:r>
            <w:r>
              <w:rPr>
                <w:noProof/>
                <w:webHidden/>
              </w:rPr>
            </w:r>
            <w:r>
              <w:rPr>
                <w:noProof/>
                <w:webHidden/>
              </w:rPr>
              <w:fldChar w:fldCharType="separate"/>
            </w:r>
            <w:r>
              <w:rPr>
                <w:noProof/>
                <w:webHidden/>
              </w:rPr>
              <w:t>9</w:t>
            </w:r>
            <w:r>
              <w:rPr>
                <w:noProof/>
                <w:webHidden/>
              </w:rPr>
              <w:fldChar w:fldCharType="end"/>
            </w:r>
          </w:hyperlink>
        </w:p>
        <w:p w14:paraId="3CF34B8B" w14:textId="01640049" w:rsidR="002233BD" w:rsidRDefault="002233BD">
          <w:pPr>
            <w:pStyle w:val="TOC2"/>
            <w:tabs>
              <w:tab w:val="left" w:pos="960"/>
              <w:tab w:val="right" w:leader="dot" w:pos="9016"/>
            </w:tabs>
            <w:rPr>
              <w:noProof/>
              <w:kern w:val="2"/>
              <w:sz w:val="24"/>
              <w:szCs w:val="24"/>
              <w:lang w:eastAsia="en-GB"/>
              <w14:ligatures w14:val="standardContextual"/>
            </w:rPr>
          </w:pPr>
          <w:hyperlink w:anchor="_Toc175675325" w:history="1">
            <w:r w:rsidRPr="006069F6">
              <w:rPr>
                <w:rStyle w:val="Hyperlink"/>
                <w:rFonts w:ascii="Arial" w:hAnsi="Arial" w:cs="Arial"/>
                <w:noProof/>
              </w:rPr>
              <w:t>1.10</w:t>
            </w:r>
            <w:r>
              <w:rPr>
                <w:noProof/>
                <w:kern w:val="2"/>
                <w:sz w:val="24"/>
                <w:szCs w:val="24"/>
                <w:lang w:eastAsia="en-GB"/>
                <w14:ligatures w14:val="standardContextual"/>
              </w:rPr>
              <w:tab/>
            </w:r>
            <w:r w:rsidRPr="006069F6">
              <w:rPr>
                <w:rStyle w:val="Hyperlink"/>
                <w:rFonts w:ascii="Arial" w:hAnsi="Arial" w:cs="Arial"/>
                <w:noProof/>
              </w:rPr>
              <w:t>Data Collection</w:t>
            </w:r>
            <w:r>
              <w:rPr>
                <w:noProof/>
                <w:webHidden/>
              </w:rPr>
              <w:tab/>
            </w:r>
            <w:r>
              <w:rPr>
                <w:noProof/>
                <w:webHidden/>
              </w:rPr>
              <w:fldChar w:fldCharType="begin"/>
            </w:r>
            <w:r>
              <w:rPr>
                <w:noProof/>
                <w:webHidden/>
              </w:rPr>
              <w:instrText xml:space="preserve"> PAGEREF _Toc175675325 \h </w:instrText>
            </w:r>
            <w:r>
              <w:rPr>
                <w:noProof/>
                <w:webHidden/>
              </w:rPr>
            </w:r>
            <w:r>
              <w:rPr>
                <w:noProof/>
                <w:webHidden/>
              </w:rPr>
              <w:fldChar w:fldCharType="separate"/>
            </w:r>
            <w:r>
              <w:rPr>
                <w:noProof/>
                <w:webHidden/>
              </w:rPr>
              <w:t>10</w:t>
            </w:r>
            <w:r>
              <w:rPr>
                <w:noProof/>
                <w:webHidden/>
              </w:rPr>
              <w:fldChar w:fldCharType="end"/>
            </w:r>
          </w:hyperlink>
        </w:p>
        <w:p w14:paraId="5CA5E431" w14:textId="04D2D42A" w:rsidR="002233BD" w:rsidRDefault="002233BD">
          <w:pPr>
            <w:pStyle w:val="TOC2"/>
            <w:tabs>
              <w:tab w:val="left" w:pos="960"/>
              <w:tab w:val="right" w:leader="dot" w:pos="9016"/>
            </w:tabs>
            <w:rPr>
              <w:noProof/>
              <w:kern w:val="2"/>
              <w:sz w:val="24"/>
              <w:szCs w:val="24"/>
              <w:lang w:eastAsia="en-GB"/>
              <w14:ligatures w14:val="standardContextual"/>
            </w:rPr>
          </w:pPr>
          <w:hyperlink w:anchor="_Toc175675326" w:history="1">
            <w:r w:rsidRPr="006069F6">
              <w:rPr>
                <w:rStyle w:val="Hyperlink"/>
                <w:rFonts w:ascii="Arial" w:hAnsi="Arial" w:cs="Arial"/>
                <w:noProof/>
              </w:rPr>
              <w:t>1.11</w:t>
            </w:r>
            <w:r>
              <w:rPr>
                <w:noProof/>
                <w:kern w:val="2"/>
                <w:sz w:val="24"/>
                <w:szCs w:val="24"/>
                <w:lang w:eastAsia="en-GB"/>
                <w14:ligatures w14:val="standardContextual"/>
              </w:rPr>
              <w:tab/>
            </w:r>
            <w:r w:rsidRPr="006069F6">
              <w:rPr>
                <w:rStyle w:val="Hyperlink"/>
                <w:rFonts w:ascii="Arial" w:hAnsi="Arial" w:cs="Arial"/>
                <w:noProof/>
              </w:rPr>
              <w:t>Systematic Approach</w:t>
            </w:r>
            <w:r>
              <w:rPr>
                <w:noProof/>
                <w:webHidden/>
              </w:rPr>
              <w:tab/>
            </w:r>
            <w:r>
              <w:rPr>
                <w:noProof/>
                <w:webHidden/>
              </w:rPr>
              <w:fldChar w:fldCharType="begin"/>
            </w:r>
            <w:r>
              <w:rPr>
                <w:noProof/>
                <w:webHidden/>
              </w:rPr>
              <w:instrText xml:space="preserve"> PAGEREF _Toc175675326 \h </w:instrText>
            </w:r>
            <w:r>
              <w:rPr>
                <w:noProof/>
                <w:webHidden/>
              </w:rPr>
            </w:r>
            <w:r>
              <w:rPr>
                <w:noProof/>
                <w:webHidden/>
              </w:rPr>
              <w:fldChar w:fldCharType="separate"/>
            </w:r>
            <w:r>
              <w:rPr>
                <w:noProof/>
                <w:webHidden/>
              </w:rPr>
              <w:t>10</w:t>
            </w:r>
            <w:r>
              <w:rPr>
                <w:noProof/>
                <w:webHidden/>
              </w:rPr>
              <w:fldChar w:fldCharType="end"/>
            </w:r>
          </w:hyperlink>
        </w:p>
        <w:p w14:paraId="63301DB1" w14:textId="6E14A29D" w:rsidR="002233BD" w:rsidRDefault="002233BD">
          <w:pPr>
            <w:pStyle w:val="TOC2"/>
            <w:tabs>
              <w:tab w:val="left" w:pos="960"/>
              <w:tab w:val="right" w:leader="dot" w:pos="9016"/>
            </w:tabs>
            <w:rPr>
              <w:noProof/>
              <w:kern w:val="2"/>
              <w:sz w:val="24"/>
              <w:szCs w:val="24"/>
              <w:lang w:eastAsia="en-GB"/>
              <w14:ligatures w14:val="standardContextual"/>
            </w:rPr>
          </w:pPr>
          <w:hyperlink w:anchor="_Toc175675327" w:history="1">
            <w:r w:rsidRPr="006069F6">
              <w:rPr>
                <w:rStyle w:val="Hyperlink"/>
                <w:rFonts w:ascii="Arial" w:hAnsi="Arial" w:cs="Arial"/>
                <w:noProof/>
              </w:rPr>
              <w:t>1.12</w:t>
            </w:r>
            <w:r>
              <w:rPr>
                <w:noProof/>
                <w:kern w:val="2"/>
                <w:sz w:val="24"/>
                <w:szCs w:val="24"/>
                <w:lang w:eastAsia="en-GB"/>
                <w14:ligatures w14:val="standardContextual"/>
              </w:rPr>
              <w:tab/>
            </w:r>
            <w:r w:rsidRPr="006069F6">
              <w:rPr>
                <w:rStyle w:val="Hyperlink"/>
                <w:rFonts w:ascii="Arial" w:hAnsi="Arial" w:cs="Arial"/>
                <w:noProof/>
              </w:rPr>
              <w:t>Potential Risks</w:t>
            </w:r>
            <w:r>
              <w:rPr>
                <w:noProof/>
                <w:webHidden/>
              </w:rPr>
              <w:tab/>
            </w:r>
            <w:r>
              <w:rPr>
                <w:noProof/>
                <w:webHidden/>
              </w:rPr>
              <w:fldChar w:fldCharType="begin"/>
            </w:r>
            <w:r>
              <w:rPr>
                <w:noProof/>
                <w:webHidden/>
              </w:rPr>
              <w:instrText xml:space="preserve"> PAGEREF _Toc175675327 \h </w:instrText>
            </w:r>
            <w:r>
              <w:rPr>
                <w:noProof/>
                <w:webHidden/>
              </w:rPr>
            </w:r>
            <w:r>
              <w:rPr>
                <w:noProof/>
                <w:webHidden/>
              </w:rPr>
              <w:fldChar w:fldCharType="separate"/>
            </w:r>
            <w:r>
              <w:rPr>
                <w:noProof/>
                <w:webHidden/>
              </w:rPr>
              <w:t>11</w:t>
            </w:r>
            <w:r>
              <w:rPr>
                <w:noProof/>
                <w:webHidden/>
              </w:rPr>
              <w:fldChar w:fldCharType="end"/>
            </w:r>
          </w:hyperlink>
        </w:p>
        <w:p w14:paraId="47EFECBC" w14:textId="122CF649" w:rsidR="002233BD" w:rsidRDefault="002233BD">
          <w:pPr>
            <w:pStyle w:val="TOC2"/>
            <w:tabs>
              <w:tab w:val="left" w:pos="960"/>
              <w:tab w:val="right" w:leader="dot" w:pos="9016"/>
            </w:tabs>
            <w:rPr>
              <w:noProof/>
              <w:kern w:val="2"/>
              <w:sz w:val="24"/>
              <w:szCs w:val="24"/>
              <w:lang w:eastAsia="en-GB"/>
              <w14:ligatures w14:val="standardContextual"/>
            </w:rPr>
          </w:pPr>
          <w:hyperlink w:anchor="_Toc175675328" w:history="1">
            <w:r w:rsidRPr="006069F6">
              <w:rPr>
                <w:rStyle w:val="Hyperlink"/>
                <w:rFonts w:ascii="Arial" w:hAnsi="Arial" w:cs="Arial"/>
                <w:noProof/>
              </w:rPr>
              <w:t>1.13</w:t>
            </w:r>
            <w:r>
              <w:rPr>
                <w:noProof/>
                <w:kern w:val="2"/>
                <w:sz w:val="24"/>
                <w:szCs w:val="24"/>
                <w:lang w:eastAsia="en-GB"/>
                <w14:ligatures w14:val="standardContextual"/>
              </w:rPr>
              <w:tab/>
            </w:r>
            <w:r w:rsidRPr="006069F6">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_Toc175675328 \h </w:instrText>
            </w:r>
            <w:r>
              <w:rPr>
                <w:noProof/>
                <w:webHidden/>
              </w:rPr>
            </w:r>
            <w:r>
              <w:rPr>
                <w:noProof/>
                <w:webHidden/>
              </w:rPr>
              <w:fldChar w:fldCharType="separate"/>
            </w:r>
            <w:r>
              <w:rPr>
                <w:noProof/>
                <w:webHidden/>
              </w:rPr>
              <w:t>11</w:t>
            </w:r>
            <w:r>
              <w:rPr>
                <w:noProof/>
                <w:webHidden/>
              </w:rPr>
              <w:fldChar w:fldCharType="end"/>
            </w:r>
          </w:hyperlink>
        </w:p>
        <w:p w14:paraId="5A59D58B" w14:textId="3BFF6A59" w:rsidR="002233BD" w:rsidRDefault="002233BD">
          <w:pPr>
            <w:pStyle w:val="TOC2"/>
            <w:tabs>
              <w:tab w:val="left" w:pos="960"/>
              <w:tab w:val="right" w:leader="dot" w:pos="9016"/>
            </w:tabs>
            <w:rPr>
              <w:noProof/>
              <w:kern w:val="2"/>
              <w:sz w:val="24"/>
              <w:szCs w:val="24"/>
              <w:lang w:eastAsia="en-GB"/>
              <w14:ligatures w14:val="standardContextual"/>
            </w:rPr>
          </w:pPr>
          <w:hyperlink w:anchor="_Toc175675329" w:history="1">
            <w:r w:rsidRPr="006069F6">
              <w:rPr>
                <w:rStyle w:val="Hyperlink"/>
                <w:rFonts w:ascii="Arial" w:hAnsi="Arial" w:cs="Arial"/>
                <w:noProof/>
              </w:rPr>
              <w:t>1.15</w:t>
            </w:r>
            <w:r>
              <w:rPr>
                <w:noProof/>
                <w:kern w:val="2"/>
                <w:sz w:val="24"/>
                <w:szCs w:val="24"/>
                <w:lang w:eastAsia="en-GB"/>
                <w14:ligatures w14:val="standardContextual"/>
              </w:rPr>
              <w:tab/>
            </w:r>
            <w:r w:rsidRPr="006069F6">
              <w:rPr>
                <w:rStyle w:val="Hyperlink"/>
                <w:rFonts w:ascii="Arial" w:hAnsi="Arial" w:cs="Arial"/>
                <w:noProof/>
              </w:rPr>
              <w:t>Dissertation Structure.</w:t>
            </w:r>
            <w:r>
              <w:rPr>
                <w:noProof/>
                <w:webHidden/>
              </w:rPr>
              <w:tab/>
            </w:r>
            <w:r>
              <w:rPr>
                <w:noProof/>
                <w:webHidden/>
              </w:rPr>
              <w:fldChar w:fldCharType="begin"/>
            </w:r>
            <w:r>
              <w:rPr>
                <w:noProof/>
                <w:webHidden/>
              </w:rPr>
              <w:instrText xml:space="preserve"> PAGEREF _Toc175675329 \h </w:instrText>
            </w:r>
            <w:r>
              <w:rPr>
                <w:noProof/>
                <w:webHidden/>
              </w:rPr>
            </w:r>
            <w:r>
              <w:rPr>
                <w:noProof/>
                <w:webHidden/>
              </w:rPr>
              <w:fldChar w:fldCharType="separate"/>
            </w:r>
            <w:r>
              <w:rPr>
                <w:noProof/>
                <w:webHidden/>
              </w:rPr>
              <w:t>13</w:t>
            </w:r>
            <w:r>
              <w:rPr>
                <w:noProof/>
                <w:webHidden/>
              </w:rPr>
              <w:fldChar w:fldCharType="end"/>
            </w:r>
          </w:hyperlink>
        </w:p>
        <w:p w14:paraId="436208E4" w14:textId="62A0D882" w:rsidR="002233BD" w:rsidRDefault="002233BD">
          <w:pPr>
            <w:pStyle w:val="TOC2"/>
            <w:tabs>
              <w:tab w:val="left" w:pos="960"/>
              <w:tab w:val="right" w:leader="dot" w:pos="9016"/>
            </w:tabs>
            <w:rPr>
              <w:noProof/>
              <w:kern w:val="2"/>
              <w:sz w:val="24"/>
              <w:szCs w:val="24"/>
              <w:lang w:eastAsia="en-GB"/>
              <w14:ligatures w14:val="standardContextual"/>
            </w:rPr>
          </w:pPr>
          <w:hyperlink w:anchor="_Toc175675330" w:history="1">
            <w:r w:rsidRPr="006069F6">
              <w:rPr>
                <w:rStyle w:val="Hyperlink"/>
                <w:rFonts w:ascii="Arial" w:hAnsi="Arial" w:cs="Arial"/>
                <w:noProof/>
              </w:rPr>
              <w:t>1.16</w:t>
            </w:r>
            <w:r>
              <w:rPr>
                <w:noProof/>
                <w:kern w:val="2"/>
                <w:sz w:val="24"/>
                <w:szCs w:val="24"/>
                <w:lang w:eastAsia="en-GB"/>
                <w14:ligatures w14:val="standardContextual"/>
              </w:rPr>
              <w:tab/>
            </w:r>
            <w:r w:rsidRPr="006069F6">
              <w:rPr>
                <w:rStyle w:val="Hyperlink"/>
                <w:rFonts w:ascii="Arial" w:hAnsi="Arial" w:cs="Arial"/>
                <w:noProof/>
              </w:rPr>
              <w:t>Chapter Summary</w:t>
            </w:r>
            <w:r>
              <w:rPr>
                <w:noProof/>
                <w:webHidden/>
              </w:rPr>
              <w:tab/>
            </w:r>
            <w:r>
              <w:rPr>
                <w:noProof/>
                <w:webHidden/>
              </w:rPr>
              <w:fldChar w:fldCharType="begin"/>
            </w:r>
            <w:r>
              <w:rPr>
                <w:noProof/>
                <w:webHidden/>
              </w:rPr>
              <w:instrText xml:space="preserve"> PAGEREF _Toc175675330 \h </w:instrText>
            </w:r>
            <w:r>
              <w:rPr>
                <w:noProof/>
                <w:webHidden/>
              </w:rPr>
            </w:r>
            <w:r>
              <w:rPr>
                <w:noProof/>
                <w:webHidden/>
              </w:rPr>
              <w:fldChar w:fldCharType="separate"/>
            </w:r>
            <w:r>
              <w:rPr>
                <w:noProof/>
                <w:webHidden/>
              </w:rPr>
              <w:t>14</w:t>
            </w:r>
            <w:r>
              <w:rPr>
                <w:noProof/>
                <w:webHidden/>
              </w:rPr>
              <w:fldChar w:fldCharType="end"/>
            </w:r>
          </w:hyperlink>
        </w:p>
        <w:p w14:paraId="22FBF30A" w14:textId="06D426A7" w:rsidR="002233BD" w:rsidRDefault="002233BD">
          <w:pPr>
            <w:pStyle w:val="TOC1"/>
            <w:tabs>
              <w:tab w:val="right" w:leader="dot" w:pos="9016"/>
            </w:tabs>
            <w:rPr>
              <w:noProof/>
              <w:kern w:val="2"/>
              <w:sz w:val="24"/>
              <w:szCs w:val="24"/>
              <w:lang w:eastAsia="en-GB"/>
              <w14:ligatures w14:val="standardContextual"/>
            </w:rPr>
          </w:pPr>
          <w:hyperlink w:anchor="_Toc175675331" w:history="1">
            <w:r w:rsidRPr="006069F6">
              <w:rPr>
                <w:rStyle w:val="Hyperlink"/>
                <w:rFonts w:ascii="Arial" w:hAnsi="Arial" w:cs="Arial"/>
                <w:b/>
                <w:bCs/>
                <w:noProof/>
              </w:rPr>
              <w:t>Chapter 2: Literature Review</w:t>
            </w:r>
            <w:r>
              <w:rPr>
                <w:noProof/>
                <w:webHidden/>
              </w:rPr>
              <w:tab/>
            </w:r>
            <w:r>
              <w:rPr>
                <w:noProof/>
                <w:webHidden/>
              </w:rPr>
              <w:fldChar w:fldCharType="begin"/>
            </w:r>
            <w:r>
              <w:rPr>
                <w:noProof/>
                <w:webHidden/>
              </w:rPr>
              <w:instrText xml:space="preserve"> PAGEREF _Toc175675331 \h </w:instrText>
            </w:r>
            <w:r>
              <w:rPr>
                <w:noProof/>
                <w:webHidden/>
              </w:rPr>
            </w:r>
            <w:r>
              <w:rPr>
                <w:noProof/>
                <w:webHidden/>
              </w:rPr>
              <w:fldChar w:fldCharType="separate"/>
            </w:r>
            <w:r>
              <w:rPr>
                <w:noProof/>
                <w:webHidden/>
              </w:rPr>
              <w:t>15</w:t>
            </w:r>
            <w:r>
              <w:rPr>
                <w:noProof/>
                <w:webHidden/>
              </w:rPr>
              <w:fldChar w:fldCharType="end"/>
            </w:r>
          </w:hyperlink>
        </w:p>
        <w:p w14:paraId="36A782CD" w14:textId="04071200" w:rsidR="002233BD" w:rsidRDefault="002233BD">
          <w:pPr>
            <w:pStyle w:val="TOC2"/>
            <w:tabs>
              <w:tab w:val="left" w:pos="960"/>
              <w:tab w:val="right" w:leader="dot" w:pos="9016"/>
            </w:tabs>
            <w:rPr>
              <w:noProof/>
              <w:kern w:val="2"/>
              <w:sz w:val="24"/>
              <w:szCs w:val="24"/>
              <w:lang w:eastAsia="en-GB"/>
              <w14:ligatures w14:val="standardContextual"/>
            </w:rPr>
          </w:pPr>
          <w:hyperlink w:anchor="_Toc175675332" w:history="1">
            <w:r w:rsidRPr="006069F6">
              <w:rPr>
                <w:rStyle w:val="Hyperlink"/>
                <w:rFonts w:ascii="Arial" w:hAnsi="Arial" w:cs="Arial"/>
                <w:noProof/>
              </w:rPr>
              <w:t>2.1</w:t>
            </w:r>
            <w:r>
              <w:rPr>
                <w:noProof/>
                <w:kern w:val="2"/>
                <w:sz w:val="24"/>
                <w:szCs w:val="24"/>
                <w:lang w:eastAsia="en-GB"/>
                <w14:ligatures w14:val="standardContextual"/>
              </w:rPr>
              <w:tab/>
            </w:r>
            <w:r w:rsidRPr="006069F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_Toc175675332 \h </w:instrText>
            </w:r>
            <w:r>
              <w:rPr>
                <w:noProof/>
                <w:webHidden/>
              </w:rPr>
            </w:r>
            <w:r>
              <w:rPr>
                <w:noProof/>
                <w:webHidden/>
              </w:rPr>
              <w:fldChar w:fldCharType="separate"/>
            </w:r>
            <w:r>
              <w:rPr>
                <w:noProof/>
                <w:webHidden/>
              </w:rPr>
              <w:t>15</w:t>
            </w:r>
            <w:r>
              <w:rPr>
                <w:noProof/>
                <w:webHidden/>
              </w:rPr>
              <w:fldChar w:fldCharType="end"/>
            </w:r>
          </w:hyperlink>
        </w:p>
        <w:p w14:paraId="5351C6D7" w14:textId="60CDC1ED" w:rsidR="002233BD" w:rsidRDefault="002233BD">
          <w:pPr>
            <w:pStyle w:val="TOC2"/>
            <w:tabs>
              <w:tab w:val="left" w:pos="960"/>
              <w:tab w:val="right" w:leader="dot" w:pos="9016"/>
            </w:tabs>
            <w:rPr>
              <w:noProof/>
              <w:kern w:val="2"/>
              <w:sz w:val="24"/>
              <w:szCs w:val="24"/>
              <w:lang w:eastAsia="en-GB"/>
              <w14:ligatures w14:val="standardContextual"/>
            </w:rPr>
          </w:pPr>
          <w:hyperlink w:anchor="_Toc175675333" w:history="1">
            <w:r w:rsidRPr="006069F6">
              <w:rPr>
                <w:rStyle w:val="Hyperlink"/>
                <w:rFonts w:ascii="Arial" w:hAnsi="Arial" w:cs="Arial"/>
                <w:noProof/>
              </w:rPr>
              <w:t>2.2</w:t>
            </w:r>
            <w:r>
              <w:rPr>
                <w:noProof/>
                <w:kern w:val="2"/>
                <w:sz w:val="24"/>
                <w:szCs w:val="24"/>
                <w:lang w:eastAsia="en-GB"/>
                <w14:ligatures w14:val="standardContextual"/>
              </w:rPr>
              <w:tab/>
            </w:r>
            <w:r w:rsidRPr="006069F6">
              <w:rPr>
                <w:rStyle w:val="Hyperlink"/>
                <w:rFonts w:ascii="Arial" w:hAnsi="Arial" w:cs="Arial"/>
                <w:noProof/>
              </w:rPr>
              <w:t>Economic Growth &amp; Foreign Direct Investment</w:t>
            </w:r>
            <w:r>
              <w:rPr>
                <w:noProof/>
                <w:webHidden/>
              </w:rPr>
              <w:tab/>
            </w:r>
            <w:r>
              <w:rPr>
                <w:noProof/>
                <w:webHidden/>
              </w:rPr>
              <w:fldChar w:fldCharType="begin"/>
            </w:r>
            <w:r>
              <w:rPr>
                <w:noProof/>
                <w:webHidden/>
              </w:rPr>
              <w:instrText xml:space="preserve"> PAGEREF _Toc175675333 \h </w:instrText>
            </w:r>
            <w:r>
              <w:rPr>
                <w:noProof/>
                <w:webHidden/>
              </w:rPr>
            </w:r>
            <w:r>
              <w:rPr>
                <w:noProof/>
                <w:webHidden/>
              </w:rPr>
              <w:fldChar w:fldCharType="separate"/>
            </w:r>
            <w:r>
              <w:rPr>
                <w:noProof/>
                <w:webHidden/>
              </w:rPr>
              <w:t>15</w:t>
            </w:r>
            <w:r>
              <w:rPr>
                <w:noProof/>
                <w:webHidden/>
              </w:rPr>
              <w:fldChar w:fldCharType="end"/>
            </w:r>
          </w:hyperlink>
        </w:p>
        <w:p w14:paraId="0346142E" w14:textId="2894459A" w:rsidR="002233BD" w:rsidRDefault="002233BD">
          <w:pPr>
            <w:pStyle w:val="TOC2"/>
            <w:tabs>
              <w:tab w:val="left" w:pos="960"/>
              <w:tab w:val="right" w:leader="dot" w:pos="9016"/>
            </w:tabs>
            <w:rPr>
              <w:noProof/>
              <w:kern w:val="2"/>
              <w:sz w:val="24"/>
              <w:szCs w:val="24"/>
              <w:lang w:eastAsia="en-GB"/>
              <w14:ligatures w14:val="standardContextual"/>
            </w:rPr>
          </w:pPr>
          <w:hyperlink w:anchor="_Toc175675334" w:history="1">
            <w:r w:rsidRPr="006069F6">
              <w:rPr>
                <w:rStyle w:val="Hyperlink"/>
                <w:rFonts w:ascii="Arial" w:hAnsi="Arial" w:cs="Arial"/>
                <w:noProof/>
              </w:rPr>
              <w:t>2.3</w:t>
            </w:r>
            <w:r>
              <w:rPr>
                <w:noProof/>
                <w:kern w:val="2"/>
                <w:sz w:val="24"/>
                <w:szCs w:val="24"/>
                <w:lang w:eastAsia="en-GB"/>
                <w14:ligatures w14:val="standardContextual"/>
              </w:rPr>
              <w:tab/>
            </w:r>
            <w:r w:rsidRPr="006069F6">
              <w:rPr>
                <w:rStyle w:val="Hyperlink"/>
                <w:rFonts w:ascii="Arial" w:hAnsi="Arial" w:cs="Arial"/>
                <w:noProof/>
              </w:rPr>
              <w:t>Types of FDI</w:t>
            </w:r>
            <w:r>
              <w:rPr>
                <w:noProof/>
                <w:webHidden/>
              </w:rPr>
              <w:tab/>
            </w:r>
            <w:r>
              <w:rPr>
                <w:noProof/>
                <w:webHidden/>
              </w:rPr>
              <w:fldChar w:fldCharType="begin"/>
            </w:r>
            <w:r>
              <w:rPr>
                <w:noProof/>
                <w:webHidden/>
              </w:rPr>
              <w:instrText xml:space="preserve"> PAGEREF _Toc175675334 \h </w:instrText>
            </w:r>
            <w:r>
              <w:rPr>
                <w:noProof/>
                <w:webHidden/>
              </w:rPr>
            </w:r>
            <w:r>
              <w:rPr>
                <w:noProof/>
                <w:webHidden/>
              </w:rPr>
              <w:fldChar w:fldCharType="separate"/>
            </w:r>
            <w:r>
              <w:rPr>
                <w:noProof/>
                <w:webHidden/>
              </w:rPr>
              <w:t>19</w:t>
            </w:r>
            <w:r>
              <w:rPr>
                <w:noProof/>
                <w:webHidden/>
              </w:rPr>
              <w:fldChar w:fldCharType="end"/>
            </w:r>
          </w:hyperlink>
        </w:p>
        <w:p w14:paraId="3280D5AB" w14:textId="0DDD5C0A" w:rsidR="002233BD" w:rsidRDefault="002233BD">
          <w:pPr>
            <w:pStyle w:val="TOC2"/>
            <w:tabs>
              <w:tab w:val="left" w:pos="960"/>
              <w:tab w:val="right" w:leader="dot" w:pos="9016"/>
            </w:tabs>
            <w:rPr>
              <w:noProof/>
              <w:kern w:val="2"/>
              <w:sz w:val="24"/>
              <w:szCs w:val="24"/>
              <w:lang w:eastAsia="en-GB"/>
              <w14:ligatures w14:val="standardContextual"/>
            </w:rPr>
          </w:pPr>
          <w:hyperlink w:anchor="_Toc175675335" w:history="1">
            <w:r w:rsidRPr="006069F6">
              <w:rPr>
                <w:rStyle w:val="Hyperlink"/>
                <w:rFonts w:ascii="Arial" w:hAnsi="Arial" w:cs="Arial"/>
                <w:noProof/>
              </w:rPr>
              <w:t>2.3.1</w:t>
            </w:r>
            <w:r>
              <w:rPr>
                <w:noProof/>
                <w:kern w:val="2"/>
                <w:sz w:val="24"/>
                <w:szCs w:val="24"/>
                <w:lang w:eastAsia="en-GB"/>
                <w14:ligatures w14:val="standardContextual"/>
              </w:rPr>
              <w:tab/>
            </w:r>
            <w:r w:rsidRPr="006069F6">
              <w:rPr>
                <w:rStyle w:val="Hyperlink"/>
                <w:rFonts w:ascii="Arial" w:hAnsi="Arial" w:cs="Arial"/>
                <w:noProof/>
              </w:rPr>
              <w:t>Greenfield Investment</w:t>
            </w:r>
            <w:r>
              <w:rPr>
                <w:noProof/>
                <w:webHidden/>
              </w:rPr>
              <w:tab/>
            </w:r>
            <w:r>
              <w:rPr>
                <w:noProof/>
                <w:webHidden/>
              </w:rPr>
              <w:fldChar w:fldCharType="begin"/>
            </w:r>
            <w:r>
              <w:rPr>
                <w:noProof/>
                <w:webHidden/>
              </w:rPr>
              <w:instrText xml:space="preserve"> PAGEREF _Toc175675335 \h </w:instrText>
            </w:r>
            <w:r>
              <w:rPr>
                <w:noProof/>
                <w:webHidden/>
              </w:rPr>
            </w:r>
            <w:r>
              <w:rPr>
                <w:noProof/>
                <w:webHidden/>
              </w:rPr>
              <w:fldChar w:fldCharType="separate"/>
            </w:r>
            <w:r>
              <w:rPr>
                <w:noProof/>
                <w:webHidden/>
              </w:rPr>
              <w:t>19</w:t>
            </w:r>
            <w:r>
              <w:rPr>
                <w:noProof/>
                <w:webHidden/>
              </w:rPr>
              <w:fldChar w:fldCharType="end"/>
            </w:r>
          </w:hyperlink>
        </w:p>
        <w:p w14:paraId="1391DA5E" w14:textId="7401009C" w:rsidR="002233BD" w:rsidRDefault="002233BD">
          <w:pPr>
            <w:pStyle w:val="TOC2"/>
            <w:tabs>
              <w:tab w:val="left" w:pos="960"/>
              <w:tab w:val="right" w:leader="dot" w:pos="9016"/>
            </w:tabs>
            <w:rPr>
              <w:noProof/>
              <w:kern w:val="2"/>
              <w:sz w:val="24"/>
              <w:szCs w:val="24"/>
              <w:lang w:eastAsia="en-GB"/>
              <w14:ligatures w14:val="standardContextual"/>
            </w:rPr>
          </w:pPr>
          <w:hyperlink w:anchor="_Toc175675336" w:history="1">
            <w:r w:rsidRPr="006069F6">
              <w:rPr>
                <w:rStyle w:val="Hyperlink"/>
                <w:rFonts w:ascii="Arial" w:hAnsi="Arial" w:cs="Arial"/>
                <w:noProof/>
              </w:rPr>
              <w:t>2.3.2</w:t>
            </w:r>
            <w:r>
              <w:rPr>
                <w:noProof/>
                <w:kern w:val="2"/>
                <w:sz w:val="24"/>
                <w:szCs w:val="24"/>
                <w:lang w:eastAsia="en-GB"/>
                <w14:ligatures w14:val="standardContextual"/>
              </w:rPr>
              <w:tab/>
            </w:r>
            <w:r w:rsidRPr="006069F6">
              <w:rPr>
                <w:rStyle w:val="Hyperlink"/>
                <w:rFonts w:ascii="Arial" w:hAnsi="Arial" w:cs="Arial"/>
                <w:noProof/>
              </w:rPr>
              <w:t>Mergers and Acquisitions</w:t>
            </w:r>
            <w:r>
              <w:rPr>
                <w:noProof/>
                <w:webHidden/>
              </w:rPr>
              <w:tab/>
            </w:r>
            <w:r>
              <w:rPr>
                <w:noProof/>
                <w:webHidden/>
              </w:rPr>
              <w:fldChar w:fldCharType="begin"/>
            </w:r>
            <w:r>
              <w:rPr>
                <w:noProof/>
                <w:webHidden/>
              </w:rPr>
              <w:instrText xml:space="preserve"> PAGEREF _Toc175675336 \h </w:instrText>
            </w:r>
            <w:r>
              <w:rPr>
                <w:noProof/>
                <w:webHidden/>
              </w:rPr>
            </w:r>
            <w:r>
              <w:rPr>
                <w:noProof/>
                <w:webHidden/>
              </w:rPr>
              <w:fldChar w:fldCharType="separate"/>
            </w:r>
            <w:r>
              <w:rPr>
                <w:noProof/>
                <w:webHidden/>
              </w:rPr>
              <w:t>20</w:t>
            </w:r>
            <w:r>
              <w:rPr>
                <w:noProof/>
                <w:webHidden/>
              </w:rPr>
              <w:fldChar w:fldCharType="end"/>
            </w:r>
          </w:hyperlink>
        </w:p>
        <w:p w14:paraId="5D72F913" w14:textId="67B51234" w:rsidR="002233BD" w:rsidRDefault="002233BD">
          <w:pPr>
            <w:pStyle w:val="TOC2"/>
            <w:tabs>
              <w:tab w:val="left" w:pos="960"/>
              <w:tab w:val="right" w:leader="dot" w:pos="9016"/>
            </w:tabs>
            <w:rPr>
              <w:noProof/>
              <w:kern w:val="2"/>
              <w:sz w:val="24"/>
              <w:szCs w:val="24"/>
              <w:lang w:eastAsia="en-GB"/>
              <w14:ligatures w14:val="standardContextual"/>
            </w:rPr>
          </w:pPr>
          <w:hyperlink w:anchor="_Toc175675337" w:history="1">
            <w:r w:rsidRPr="006069F6">
              <w:rPr>
                <w:rStyle w:val="Hyperlink"/>
                <w:rFonts w:ascii="Arial" w:hAnsi="Arial" w:cs="Arial"/>
                <w:noProof/>
              </w:rPr>
              <w:t>2.3.4</w:t>
            </w:r>
            <w:r>
              <w:rPr>
                <w:noProof/>
                <w:kern w:val="2"/>
                <w:sz w:val="24"/>
                <w:szCs w:val="24"/>
                <w:lang w:eastAsia="en-GB"/>
                <w14:ligatures w14:val="standardContextual"/>
              </w:rPr>
              <w:tab/>
            </w:r>
            <w:r w:rsidRPr="006069F6">
              <w:rPr>
                <w:rStyle w:val="Hyperlink"/>
                <w:rFonts w:ascii="Arial" w:hAnsi="Arial" w:cs="Arial"/>
                <w:noProof/>
              </w:rPr>
              <w:t>Joint Ventures</w:t>
            </w:r>
            <w:r>
              <w:rPr>
                <w:noProof/>
                <w:webHidden/>
              </w:rPr>
              <w:tab/>
            </w:r>
            <w:r>
              <w:rPr>
                <w:noProof/>
                <w:webHidden/>
              </w:rPr>
              <w:fldChar w:fldCharType="begin"/>
            </w:r>
            <w:r>
              <w:rPr>
                <w:noProof/>
                <w:webHidden/>
              </w:rPr>
              <w:instrText xml:space="preserve"> PAGEREF _Toc175675337 \h </w:instrText>
            </w:r>
            <w:r>
              <w:rPr>
                <w:noProof/>
                <w:webHidden/>
              </w:rPr>
            </w:r>
            <w:r>
              <w:rPr>
                <w:noProof/>
                <w:webHidden/>
              </w:rPr>
              <w:fldChar w:fldCharType="separate"/>
            </w:r>
            <w:r>
              <w:rPr>
                <w:noProof/>
                <w:webHidden/>
              </w:rPr>
              <w:t>23</w:t>
            </w:r>
            <w:r>
              <w:rPr>
                <w:noProof/>
                <w:webHidden/>
              </w:rPr>
              <w:fldChar w:fldCharType="end"/>
            </w:r>
          </w:hyperlink>
        </w:p>
        <w:p w14:paraId="1ECA3F32" w14:textId="6AAED3A4" w:rsidR="002233BD" w:rsidRDefault="002233BD">
          <w:pPr>
            <w:pStyle w:val="TOC2"/>
            <w:tabs>
              <w:tab w:val="left" w:pos="960"/>
              <w:tab w:val="right" w:leader="dot" w:pos="9016"/>
            </w:tabs>
            <w:rPr>
              <w:noProof/>
              <w:kern w:val="2"/>
              <w:sz w:val="24"/>
              <w:szCs w:val="24"/>
              <w:lang w:eastAsia="en-GB"/>
              <w14:ligatures w14:val="standardContextual"/>
            </w:rPr>
          </w:pPr>
          <w:hyperlink w:anchor="_Toc175675338" w:history="1">
            <w:r w:rsidRPr="006069F6">
              <w:rPr>
                <w:rStyle w:val="Hyperlink"/>
                <w:rFonts w:ascii="Arial" w:hAnsi="Arial" w:cs="Arial"/>
                <w:noProof/>
              </w:rPr>
              <w:t>2.4</w:t>
            </w:r>
            <w:r>
              <w:rPr>
                <w:noProof/>
                <w:kern w:val="2"/>
                <w:sz w:val="24"/>
                <w:szCs w:val="24"/>
                <w:lang w:eastAsia="en-GB"/>
                <w14:ligatures w14:val="standardContextual"/>
              </w:rPr>
              <w:tab/>
            </w:r>
            <w:r w:rsidRPr="006069F6">
              <w:rPr>
                <w:rStyle w:val="Hyperlink"/>
                <w:rFonts w:ascii="Arial" w:hAnsi="Arial" w:cs="Arial"/>
                <w:noProof/>
              </w:rPr>
              <w:t>FDI BY DIRECTION</w:t>
            </w:r>
            <w:r>
              <w:rPr>
                <w:noProof/>
                <w:webHidden/>
              </w:rPr>
              <w:tab/>
            </w:r>
            <w:r>
              <w:rPr>
                <w:noProof/>
                <w:webHidden/>
              </w:rPr>
              <w:fldChar w:fldCharType="begin"/>
            </w:r>
            <w:r>
              <w:rPr>
                <w:noProof/>
                <w:webHidden/>
              </w:rPr>
              <w:instrText xml:space="preserve"> PAGEREF _Toc175675338 \h </w:instrText>
            </w:r>
            <w:r>
              <w:rPr>
                <w:noProof/>
                <w:webHidden/>
              </w:rPr>
            </w:r>
            <w:r>
              <w:rPr>
                <w:noProof/>
                <w:webHidden/>
              </w:rPr>
              <w:fldChar w:fldCharType="separate"/>
            </w:r>
            <w:r>
              <w:rPr>
                <w:noProof/>
                <w:webHidden/>
              </w:rPr>
              <w:t>25</w:t>
            </w:r>
            <w:r>
              <w:rPr>
                <w:noProof/>
                <w:webHidden/>
              </w:rPr>
              <w:fldChar w:fldCharType="end"/>
            </w:r>
          </w:hyperlink>
        </w:p>
        <w:p w14:paraId="4FE72D37" w14:textId="422B5188"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39" w:history="1">
            <w:r w:rsidRPr="006069F6">
              <w:rPr>
                <w:rStyle w:val="Hyperlink"/>
                <w:rFonts w:ascii="Arial" w:hAnsi="Arial" w:cs="Arial"/>
                <w:noProof/>
              </w:rPr>
              <w:t>2.4.1</w:t>
            </w:r>
            <w:r>
              <w:rPr>
                <w:rFonts w:cstheme="minorBidi"/>
                <w:noProof/>
                <w:kern w:val="2"/>
                <w:sz w:val="24"/>
                <w:szCs w:val="24"/>
                <w14:ligatures w14:val="standardContextual"/>
              </w:rPr>
              <w:tab/>
            </w:r>
            <w:r w:rsidRPr="006069F6">
              <w:rPr>
                <w:rStyle w:val="Hyperlink"/>
                <w:rFonts w:ascii="Arial" w:hAnsi="Arial" w:cs="Arial"/>
                <w:noProof/>
              </w:rPr>
              <w:t>Inward FDI</w:t>
            </w:r>
            <w:r>
              <w:rPr>
                <w:noProof/>
                <w:webHidden/>
              </w:rPr>
              <w:tab/>
            </w:r>
            <w:r>
              <w:rPr>
                <w:noProof/>
                <w:webHidden/>
              </w:rPr>
              <w:fldChar w:fldCharType="begin"/>
            </w:r>
            <w:r>
              <w:rPr>
                <w:noProof/>
                <w:webHidden/>
              </w:rPr>
              <w:instrText xml:space="preserve"> PAGEREF _Toc175675339 \h </w:instrText>
            </w:r>
            <w:r>
              <w:rPr>
                <w:noProof/>
                <w:webHidden/>
              </w:rPr>
            </w:r>
            <w:r>
              <w:rPr>
                <w:noProof/>
                <w:webHidden/>
              </w:rPr>
              <w:fldChar w:fldCharType="separate"/>
            </w:r>
            <w:r>
              <w:rPr>
                <w:noProof/>
                <w:webHidden/>
              </w:rPr>
              <w:t>25</w:t>
            </w:r>
            <w:r>
              <w:rPr>
                <w:noProof/>
                <w:webHidden/>
              </w:rPr>
              <w:fldChar w:fldCharType="end"/>
            </w:r>
          </w:hyperlink>
        </w:p>
        <w:p w14:paraId="72BE7ED4" w14:textId="0FBCF87F"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40" w:history="1">
            <w:r w:rsidRPr="006069F6">
              <w:rPr>
                <w:rStyle w:val="Hyperlink"/>
                <w:rFonts w:ascii="Arial" w:hAnsi="Arial" w:cs="Arial"/>
                <w:noProof/>
              </w:rPr>
              <w:t>2.4.2</w:t>
            </w:r>
            <w:r>
              <w:rPr>
                <w:rFonts w:cstheme="minorBidi"/>
                <w:noProof/>
                <w:kern w:val="2"/>
                <w:sz w:val="24"/>
                <w:szCs w:val="24"/>
                <w14:ligatures w14:val="standardContextual"/>
              </w:rPr>
              <w:tab/>
            </w:r>
            <w:r w:rsidRPr="006069F6">
              <w:rPr>
                <w:rStyle w:val="Hyperlink"/>
                <w:rFonts w:ascii="Arial" w:hAnsi="Arial" w:cs="Arial"/>
                <w:noProof/>
              </w:rPr>
              <w:t>Outward FDI</w:t>
            </w:r>
            <w:r>
              <w:rPr>
                <w:noProof/>
                <w:webHidden/>
              </w:rPr>
              <w:tab/>
            </w:r>
            <w:r>
              <w:rPr>
                <w:noProof/>
                <w:webHidden/>
              </w:rPr>
              <w:fldChar w:fldCharType="begin"/>
            </w:r>
            <w:r>
              <w:rPr>
                <w:noProof/>
                <w:webHidden/>
              </w:rPr>
              <w:instrText xml:space="preserve"> PAGEREF _Toc175675340 \h </w:instrText>
            </w:r>
            <w:r>
              <w:rPr>
                <w:noProof/>
                <w:webHidden/>
              </w:rPr>
            </w:r>
            <w:r>
              <w:rPr>
                <w:noProof/>
                <w:webHidden/>
              </w:rPr>
              <w:fldChar w:fldCharType="separate"/>
            </w:r>
            <w:r>
              <w:rPr>
                <w:noProof/>
                <w:webHidden/>
              </w:rPr>
              <w:t>25</w:t>
            </w:r>
            <w:r>
              <w:rPr>
                <w:noProof/>
                <w:webHidden/>
              </w:rPr>
              <w:fldChar w:fldCharType="end"/>
            </w:r>
          </w:hyperlink>
        </w:p>
        <w:p w14:paraId="111481C8" w14:textId="0AC052E0" w:rsidR="002233BD" w:rsidRDefault="002233BD">
          <w:pPr>
            <w:pStyle w:val="TOC2"/>
            <w:tabs>
              <w:tab w:val="left" w:pos="960"/>
              <w:tab w:val="right" w:leader="dot" w:pos="9016"/>
            </w:tabs>
            <w:rPr>
              <w:noProof/>
              <w:kern w:val="2"/>
              <w:sz w:val="24"/>
              <w:szCs w:val="24"/>
              <w:lang w:eastAsia="en-GB"/>
              <w14:ligatures w14:val="standardContextual"/>
            </w:rPr>
          </w:pPr>
          <w:hyperlink w:anchor="_Toc175675341" w:history="1">
            <w:r w:rsidRPr="006069F6">
              <w:rPr>
                <w:rStyle w:val="Hyperlink"/>
                <w:rFonts w:ascii="Arial" w:hAnsi="Arial" w:cs="Arial"/>
                <w:noProof/>
              </w:rPr>
              <w:t>2.5</w:t>
            </w:r>
            <w:r>
              <w:rPr>
                <w:noProof/>
                <w:kern w:val="2"/>
                <w:sz w:val="24"/>
                <w:szCs w:val="24"/>
                <w:lang w:eastAsia="en-GB"/>
                <w14:ligatures w14:val="standardContextual"/>
              </w:rPr>
              <w:tab/>
            </w:r>
            <w:r w:rsidRPr="006069F6">
              <w:rPr>
                <w:rStyle w:val="Hyperlink"/>
                <w:rFonts w:ascii="Arial" w:hAnsi="Arial" w:cs="Arial"/>
                <w:noProof/>
              </w:rPr>
              <w:t>Chapter Summary</w:t>
            </w:r>
            <w:r>
              <w:rPr>
                <w:noProof/>
                <w:webHidden/>
              </w:rPr>
              <w:tab/>
            </w:r>
            <w:r>
              <w:rPr>
                <w:noProof/>
                <w:webHidden/>
              </w:rPr>
              <w:fldChar w:fldCharType="begin"/>
            </w:r>
            <w:r>
              <w:rPr>
                <w:noProof/>
                <w:webHidden/>
              </w:rPr>
              <w:instrText xml:space="preserve"> PAGEREF _Toc175675341 \h </w:instrText>
            </w:r>
            <w:r>
              <w:rPr>
                <w:noProof/>
                <w:webHidden/>
              </w:rPr>
            </w:r>
            <w:r>
              <w:rPr>
                <w:noProof/>
                <w:webHidden/>
              </w:rPr>
              <w:fldChar w:fldCharType="separate"/>
            </w:r>
            <w:r>
              <w:rPr>
                <w:noProof/>
                <w:webHidden/>
              </w:rPr>
              <w:t>28</w:t>
            </w:r>
            <w:r>
              <w:rPr>
                <w:noProof/>
                <w:webHidden/>
              </w:rPr>
              <w:fldChar w:fldCharType="end"/>
            </w:r>
          </w:hyperlink>
        </w:p>
        <w:p w14:paraId="5AC38562" w14:textId="4F102CAB" w:rsidR="002233BD" w:rsidRDefault="002233BD">
          <w:pPr>
            <w:pStyle w:val="TOC1"/>
            <w:tabs>
              <w:tab w:val="right" w:leader="dot" w:pos="9016"/>
            </w:tabs>
            <w:rPr>
              <w:noProof/>
              <w:kern w:val="2"/>
              <w:sz w:val="24"/>
              <w:szCs w:val="24"/>
              <w:lang w:eastAsia="en-GB"/>
              <w14:ligatures w14:val="standardContextual"/>
            </w:rPr>
          </w:pPr>
          <w:hyperlink w:anchor="_Toc175675342" w:history="1">
            <w:r w:rsidRPr="006069F6">
              <w:rPr>
                <w:rStyle w:val="Hyperlink"/>
                <w:rFonts w:ascii="Arial" w:hAnsi="Arial" w:cs="Arial"/>
                <w:b/>
                <w:bCs/>
                <w:noProof/>
              </w:rPr>
              <w:t>CHAPTER 3- Research Methodologies</w:t>
            </w:r>
            <w:r>
              <w:rPr>
                <w:noProof/>
                <w:webHidden/>
              </w:rPr>
              <w:tab/>
            </w:r>
            <w:r>
              <w:rPr>
                <w:noProof/>
                <w:webHidden/>
              </w:rPr>
              <w:fldChar w:fldCharType="begin"/>
            </w:r>
            <w:r>
              <w:rPr>
                <w:noProof/>
                <w:webHidden/>
              </w:rPr>
              <w:instrText xml:space="preserve"> PAGEREF _Toc175675342 \h </w:instrText>
            </w:r>
            <w:r>
              <w:rPr>
                <w:noProof/>
                <w:webHidden/>
              </w:rPr>
            </w:r>
            <w:r>
              <w:rPr>
                <w:noProof/>
                <w:webHidden/>
              </w:rPr>
              <w:fldChar w:fldCharType="separate"/>
            </w:r>
            <w:r>
              <w:rPr>
                <w:noProof/>
                <w:webHidden/>
              </w:rPr>
              <w:t>30</w:t>
            </w:r>
            <w:r>
              <w:rPr>
                <w:noProof/>
                <w:webHidden/>
              </w:rPr>
              <w:fldChar w:fldCharType="end"/>
            </w:r>
          </w:hyperlink>
        </w:p>
        <w:p w14:paraId="19E0F57E" w14:textId="692764FC" w:rsidR="002233BD" w:rsidRDefault="002233BD">
          <w:pPr>
            <w:pStyle w:val="TOC2"/>
            <w:tabs>
              <w:tab w:val="left" w:pos="960"/>
              <w:tab w:val="right" w:leader="dot" w:pos="9016"/>
            </w:tabs>
            <w:rPr>
              <w:noProof/>
              <w:kern w:val="2"/>
              <w:sz w:val="24"/>
              <w:szCs w:val="24"/>
              <w:lang w:eastAsia="en-GB"/>
              <w14:ligatures w14:val="standardContextual"/>
            </w:rPr>
          </w:pPr>
          <w:hyperlink w:anchor="_Toc175675343" w:history="1">
            <w:r w:rsidRPr="006069F6">
              <w:rPr>
                <w:rStyle w:val="Hyperlink"/>
                <w:rFonts w:ascii="Arial" w:hAnsi="Arial" w:cs="Arial"/>
                <w:noProof/>
              </w:rPr>
              <w:t>3.1</w:t>
            </w:r>
            <w:r>
              <w:rPr>
                <w:noProof/>
                <w:kern w:val="2"/>
                <w:sz w:val="24"/>
                <w:szCs w:val="24"/>
                <w:lang w:eastAsia="en-GB"/>
                <w14:ligatures w14:val="standardContextual"/>
              </w:rPr>
              <w:tab/>
            </w:r>
            <w:r w:rsidRPr="006069F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_Toc175675343 \h </w:instrText>
            </w:r>
            <w:r>
              <w:rPr>
                <w:noProof/>
                <w:webHidden/>
              </w:rPr>
            </w:r>
            <w:r>
              <w:rPr>
                <w:noProof/>
                <w:webHidden/>
              </w:rPr>
              <w:fldChar w:fldCharType="separate"/>
            </w:r>
            <w:r>
              <w:rPr>
                <w:noProof/>
                <w:webHidden/>
              </w:rPr>
              <w:t>30</w:t>
            </w:r>
            <w:r>
              <w:rPr>
                <w:noProof/>
                <w:webHidden/>
              </w:rPr>
              <w:fldChar w:fldCharType="end"/>
            </w:r>
          </w:hyperlink>
        </w:p>
        <w:p w14:paraId="6636A409" w14:textId="0AC1A969" w:rsidR="002233BD" w:rsidRDefault="002233BD">
          <w:pPr>
            <w:pStyle w:val="TOC2"/>
            <w:tabs>
              <w:tab w:val="left" w:pos="960"/>
              <w:tab w:val="right" w:leader="dot" w:pos="9016"/>
            </w:tabs>
            <w:rPr>
              <w:noProof/>
              <w:kern w:val="2"/>
              <w:sz w:val="24"/>
              <w:szCs w:val="24"/>
              <w:lang w:eastAsia="en-GB"/>
              <w14:ligatures w14:val="standardContextual"/>
            </w:rPr>
          </w:pPr>
          <w:hyperlink w:anchor="_Toc175675344" w:history="1">
            <w:r w:rsidRPr="006069F6">
              <w:rPr>
                <w:rStyle w:val="Hyperlink"/>
                <w:rFonts w:ascii="Arial" w:hAnsi="Arial" w:cs="Arial"/>
                <w:noProof/>
              </w:rPr>
              <w:t>3.2</w:t>
            </w:r>
            <w:r>
              <w:rPr>
                <w:noProof/>
                <w:kern w:val="2"/>
                <w:sz w:val="24"/>
                <w:szCs w:val="24"/>
                <w:lang w:eastAsia="en-GB"/>
                <w14:ligatures w14:val="standardContextual"/>
              </w:rPr>
              <w:tab/>
            </w:r>
            <w:r w:rsidRPr="006069F6">
              <w:rPr>
                <w:rStyle w:val="Hyperlink"/>
                <w:rFonts w:ascii="Arial" w:hAnsi="Arial" w:cs="Arial"/>
                <w:noProof/>
              </w:rPr>
              <w:t>Research Methodologies</w:t>
            </w:r>
            <w:r>
              <w:rPr>
                <w:noProof/>
                <w:webHidden/>
              </w:rPr>
              <w:tab/>
            </w:r>
            <w:r>
              <w:rPr>
                <w:noProof/>
                <w:webHidden/>
              </w:rPr>
              <w:fldChar w:fldCharType="begin"/>
            </w:r>
            <w:r>
              <w:rPr>
                <w:noProof/>
                <w:webHidden/>
              </w:rPr>
              <w:instrText xml:space="preserve"> PAGEREF _Toc175675344 \h </w:instrText>
            </w:r>
            <w:r>
              <w:rPr>
                <w:noProof/>
                <w:webHidden/>
              </w:rPr>
            </w:r>
            <w:r>
              <w:rPr>
                <w:noProof/>
                <w:webHidden/>
              </w:rPr>
              <w:fldChar w:fldCharType="separate"/>
            </w:r>
            <w:r>
              <w:rPr>
                <w:noProof/>
                <w:webHidden/>
              </w:rPr>
              <w:t>30</w:t>
            </w:r>
            <w:r>
              <w:rPr>
                <w:noProof/>
                <w:webHidden/>
              </w:rPr>
              <w:fldChar w:fldCharType="end"/>
            </w:r>
          </w:hyperlink>
        </w:p>
        <w:p w14:paraId="593FCF20" w14:textId="5CB575A7" w:rsidR="002233BD" w:rsidRDefault="002233BD">
          <w:pPr>
            <w:pStyle w:val="TOC2"/>
            <w:tabs>
              <w:tab w:val="left" w:pos="960"/>
              <w:tab w:val="right" w:leader="dot" w:pos="9016"/>
            </w:tabs>
            <w:rPr>
              <w:noProof/>
              <w:kern w:val="2"/>
              <w:sz w:val="24"/>
              <w:szCs w:val="24"/>
              <w:lang w:eastAsia="en-GB"/>
              <w14:ligatures w14:val="standardContextual"/>
            </w:rPr>
          </w:pPr>
          <w:hyperlink w:anchor="_Toc175675345" w:history="1">
            <w:r w:rsidRPr="006069F6">
              <w:rPr>
                <w:rStyle w:val="Hyperlink"/>
                <w:rFonts w:ascii="Arial" w:hAnsi="Arial" w:cs="Arial"/>
                <w:noProof/>
              </w:rPr>
              <w:t>3.3</w:t>
            </w:r>
            <w:r>
              <w:rPr>
                <w:noProof/>
                <w:kern w:val="2"/>
                <w:sz w:val="24"/>
                <w:szCs w:val="24"/>
                <w:lang w:eastAsia="en-GB"/>
                <w14:ligatures w14:val="standardContextual"/>
              </w:rPr>
              <w:tab/>
            </w:r>
            <w:r w:rsidRPr="006069F6">
              <w:rPr>
                <w:rStyle w:val="Hyperlink"/>
                <w:rFonts w:ascii="Arial" w:hAnsi="Arial" w:cs="Arial"/>
                <w:noProof/>
              </w:rPr>
              <w:t>The Main Types Of Research</w:t>
            </w:r>
            <w:r>
              <w:rPr>
                <w:noProof/>
                <w:webHidden/>
              </w:rPr>
              <w:tab/>
            </w:r>
            <w:r>
              <w:rPr>
                <w:noProof/>
                <w:webHidden/>
              </w:rPr>
              <w:fldChar w:fldCharType="begin"/>
            </w:r>
            <w:r>
              <w:rPr>
                <w:noProof/>
                <w:webHidden/>
              </w:rPr>
              <w:instrText xml:space="preserve"> PAGEREF _Toc175675345 \h </w:instrText>
            </w:r>
            <w:r>
              <w:rPr>
                <w:noProof/>
                <w:webHidden/>
              </w:rPr>
            </w:r>
            <w:r>
              <w:rPr>
                <w:noProof/>
                <w:webHidden/>
              </w:rPr>
              <w:fldChar w:fldCharType="separate"/>
            </w:r>
            <w:r>
              <w:rPr>
                <w:noProof/>
                <w:webHidden/>
              </w:rPr>
              <w:t>30</w:t>
            </w:r>
            <w:r>
              <w:rPr>
                <w:noProof/>
                <w:webHidden/>
              </w:rPr>
              <w:fldChar w:fldCharType="end"/>
            </w:r>
          </w:hyperlink>
        </w:p>
        <w:p w14:paraId="7FF9E101" w14:textId="3422E196" w:rsidR="002233BD" w:rsidRDefault="002233BD">
          <w:pPr>
            <w:pStyle w:val="TOC2"/>
            <w:tabs>
              <w:tab w:val="left" w:pos="960"/>
              <w:tab w:val="right" w:leader="dot" w:pos="9016"/>
            </w:tabs>
            <w:rPr>
              <w:noProof/>
              <w:kern w:val="2"/>
              <w:sz w:val="24"/>
              <w:szCs w:val="24"/>
              <w:lang w:eastAsia="en-GB"/>
              <w14:ligatures w14:val="standardContextual"/>
            </w:rPr>
          </w:pPr>
          <w:hyperlink w:anchor="_Toc175675346" w:history="1">
            <w:r w:rsidRPr="006069F6">
              <w:rPr>
                <w:rStyle w:val="Hyperlink"/>
                <w:rFonts w:ascii="Arial" w:hAnsi="Arial" w:cs="Arial"/>
                <w:noProof/>
              </w:rPr>
              <w:t>3.3.1</w:t>
            </w:r>
            <w:r>
              <w:rPr>
                <w:noProof/>
                <w:kern w:val="2"/>
                <w:sz w:val="24"/>
                <w:szCs w:val="24"/>
                <w:lang w:eastAsia="en-GB"/>
                <w14:ligatures w14:val="standardContextual"/>
              </w:rPr>
              <w:tab/>
            </w:r>
            <w:r w:rsidRPr="006069F6">
              <w:rPr>
                <w:rStyle w:val="Hyperlink"/>
                <w:rFonts w:ascii="Arial" w:hAnsi="Arial" w:cs="Arial"/>
                <w:noProof/>
              </w:rPr>
              <w:t>Quantitative Research</w:t>
            </w:r>
            <w:r>
              <w:rPr>
                <w:noProof/>
                <w:webHidden/>
              </w:rPr>
              <w:tab/>
            </w:r>
            <w:r>
              <w:rPr>
                <w:noProof/>
                <w:webHidden/>
              </w:rPr>
              <w:fldChar w:fldCharType="begin"/>
            </w:r>
            <w:r>
              <w:rPr>
                <w:noProof/>
                <w:webHidden/>
              </w:rPr>
              <w:instrText xml:space="preserve"> PAGEREF _Toc175675346 \h </w:instrText>
            </w:r>
            <w:r>
              <w:rPr>
                <w:noProof/>
                <w:webHidden/>
              </w:rPr>
            </w:r>
            <w:r>
              <w:rPr>
                <w:noProof/>
                <w:webHidden/>
              </w:rPr>
              <w:fldChar w:fldCharType="separate"/>
            </w:r>
            <w:r>
              <w:rPr>
                <w:noProof/>
                <w:webHidden/>
              </w:rPr>
              <w:t>30</w:t>
            </w:r>
            <w:r>
              <w:rPr>
                <w:noProof/>
                <w:webHidden/>
              </w:rPr>
              <w:fldChar w:fldCharType="end"/>
            </w:r>
          </w:hyperlink>
        </w:p>
        <w:p w14:paraId="3039D029" w14:textId="7272C6C2"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47" w:history="1">
            <w:r w:rsidRPr="006069F6">
              <w:rPr>
                <w:rStyle w:val="Hyperlink"/>
                <w:rFonts w:ascii="Arial" w:hAnsi="Arial" w:cs="Arial"/>
                <w:noProof/>
              </w:rPr>
              <w:t>3.3.2</w:t>
            </w:r>
            <w:r>
              <w:rPr>
                <w:rFonts w:cstheme="minorBidi"/>
                <w:noProof/>
                <w:kern w:val="2"/>
                <w:sz w:val="24"/>
                <w:szCs w:val="24"/>
                <w14:ligatures w14:val="standardContextual"/>
              </w:rPr>
              <w:tab/>
            </w:r>
            <w:r w:rsidRPr="006069F6">
              <w:rPr>
                <w:rStyle w:val="Hyperlink"/>
                <w:rFonts w:ascii="Arial" w:hAnsi="Arial" w:cs="Arial"/>
                <w:noProof/>
              </w:rPr>
              <w:t>Quantitative Research Techniques</w:t>
            </w:r>
            <w:r>
              <w:rPr>
                <w:noProof/>
                <w:webHidden/>
              </w:rPr>
              <w:tab/>
            </w:r>
            <w:r>
              <w:rPr>
                <w:noProof/>
                <w:webHidden/>
              </w:rPr>
              <w:fldChar w:fldCharType="begin"/>
            </w:r>
            <w:r>
              <w:rPr>
                <w:noProof/>
                <w:webHidden/>
              </w:rPr>
              <w:instrText xml:space="preserve"> PAGEREF _Toc175675347 \h </w:instrText>
            </w:r>
            <w:r>
              <w:rPr>
                <w:noProof/>
                <w:webHidden/>
              </w:rPr>
            </w:r>
            <w:r>
              <w:rPr>
                <w:noProof/>
                <w:webHidden/>
              </w:rPr>
              <w:fldChar w:fldCharType="separate"/>
            </w:r>
            <w:r>
              <w:rPr>
                <w:noProof/>
                <w:webHidden/>
              </w:rPr>
              <w:t>31</w:t>
            </w:r>
            <w:r>
              <w:rPr>
                <w:noProof/>
                <w:webHidden/>
              </w:rPr>
              <w:fldChar w:fldCharType="end"/>
            </w:r>
          </w:hyperlink>
        </w:p>
        <w:p w14:paraId="34F384D8" w14:textId="1D230FF5" w:rsidR="002233BD" w:rsidRDefault="002233BD">
          <w:pPr>
            <w:pStyle w:val="TOC3"/>
            <w:tabs>
              <w:tab w:val="left" w:pos="960"/>
              <w:tab w:val="right" w:leader="dot" w:pos="9016"/>
            </w:tabs>
            <w:rPr>
              <w:rFonts w:cstheme="minorBidi"/>
              <w:noProof/>
              <w:kern w:val="2"/>
              <w:sz w:val="24"/>
              <w:szCs w:val="24"/>
              <w14:ligatures w14:val="standardContextual"/>
            </w:rPr>
          </w:pPr>
          <w:hyperlink w:anchor="_Toc175675348" w:history="1">
            <w:r w:rsidRPr="006069F6">
              <w:rPr>
                <w:rStyle w:val="Hyperlink"/>
                <w:rFonts w:ascii="Arial" w:hAnsi="Arial" w:cs="Arial"/>
                <w:noProof/>
              </w:rPr>
              <w:t>1</w:t>
            </w:r>
            <w:r>
              <w:rPr>
                <w:rFonts w:cstheme="minorBidi"/>
                <w:noProof/>
                <w:kern w:val="2"/>
                <w:sz w:val="24"/>
                <w:szCs w:val="24"/>
                <w14:ligatures w14:val="standardContextual"/>
              </w:rPr>
              <w:tab/>
            </w:r>
            <w:r w:rsidRPr="006069F6">
              <w:rPr>
                <w:rStyle w:val="Hyperlink"/>
                <w:rFonts w:ascii="Arial" w:hAnsi="Arial" w:cs="Arial"/>
                <w:noProof/>
              </w:rPr>
              <w:t>Regression Analysis:</w:t>
            </w:r>
            <w:r>
              <w:rPr>
                <w:noProof/>
                <w:webHidden/>
              </w:rPr>
              <w:tab/>
            </w:r>
            <w:r>
              <w:rPr>
                <w:noProof/>
                <w:webHidden/>
              </w:rPr>
              <w:fldChar w:fldCharType="begin"/>
            </w:r>
            <w:r>
              <w:rPr>
                <w:noProof/>
                <w:webHidden/>
              </w:rPr>
              <w:instrText xml:space="preserve"> PAGEREF _Toc175675348 \h </w:instrText>
            </w:r>
            <w:r>
              <w:rPr>
                <w:noProof/>
                <w:webHidden/>
              </w:rPr>
            </w:r>
            <w:r>
              <w:rPr>
                <w:noProof/>
                <w:webHidden/>
              </w:rPr>
              <w:fldChar w:fldCharType="separate"/>
            </w:r>
            <w:r>
              <w:rPr>
                <w:noProof/>
                <w:webHidden/>
              </w:rPr>
              <w:t>31</w:t>
            </w:r>
            <w:r>
              <w:rPr>
                <w:noProof/>
                <w:webHidden/>
              </w:rPr>
              <w:fldChar w:fldCharType="end"/>
            </w:r>
          </w:hyperlink>
        </w:p>
        <w:p w14:paraId="7D3C2509" w14:textId="2A629C1F" w:rsidR="002233BD" w:rsidRDefault="002233BD">
          <w:pPr>
            <w:pStyle w:val="TOC3"/>
            <w:tabs>
              <w:tab w:val="left" w:pos="960"/>
              <w:tab w:val="right" w:leader="dot" w:pos="9016"/>
            </w:tabs>
            <w:rPr>
              <w:rFonts w:cstheme="minorBidi"/>
              <w:noProof/>
              <w:kern w:val="2"/>
              <w:sz w:val="24"/>
              <w:szCs w:val="24"/>
              <w14:ligatures w14:val="standardContextual"/>
            </w:rPr>
          </w:pPr>
          <w:hyperlink w:anchor="_Toc175675349" w:history="1">
            <w:r w:rsidRPr="006069F6">
              <w:rPr>
                <w:rStyle w:val="Hyperlink"/>
                <w:rFonts w:ascii="Arial" w:hAnsi="Arial" w:cs="Arial"/>
                <w:noProof/>
              </w:rPr>
              <w:t>2</w:t>
            </w:r>
            <w:r>
              <w:rPr>
                <w:rFonts w:cstheme="minorBidi"/>
                <w:noProof/>
                <w:kern w:val="2"/>
                <w:sz w:val="24"/>
                <w:szCs w:val="24"/>
                <w14:ligatures w14:val="standardContextual"/>
              </w:rPr>
              <w:tab/>
            </w:r>
            <w:r w:rsidRPr="006069F6">
              <w:rPr>
                <w:rStyle w:val="Hyperlink"/>
                <w:rFonts w:ascii="Arial" w:hAnsi="Arial" w:cs="Arial"/>
                <w:noProof/>
              </w:rPr>
              <w:t>Input-Output Analysis:</w:t>
            </w:r>
            <w:r>
              <w:rPr>
                <w:noProof/>
                <w:webHidden/>
              </w:rPr>
              <w:tab/>
            </w:r>
            <w:r>
              <w:rPr>
                <w:noProof/>
                <w:webHidden/>
              </w:rPr>
              <w:fldChar w:fldCharType="begin"/>
            </w:r>
            <w:r>
              <w:rPr>
                <w:noProof/>
                <w:webHidden/>
              </w:rPr>
              <w:instrText xml:space="preserve"> PAGEREF _Toc175675349 \h </w:instrText>
            </w:r>
            <w:r>
              <w:rPr>
                <w:noProof/>
                <w:webHidden/>
              </w:rPr>
            </w:r>
            <w:r>
              <w:rPr>
                <w:noProof/>
                <w:webHidden/>
              </w:rPr>
              <w:fldChar w:fldCharType="separate"/>
            </w:r>
            <w:r>
              <w:rPr>
                <w:noProof/>
                <w:webHidden/>
              </w:rPr>
              <w:t>31</w:t>
            </w:r>
            <w:r>
              <w:rPr>
                <w:noProof/>
                <w:webHidden/>
              </w:rPr>
              <w:fldChar w:fldCharType="end"/>
            </w:r>
          </w:hyperlink>
        </w:p>
        <w:p w14:paraId="0765D0EB" w14:textId="75831E82" w:rsidR="002233BD" w:rsidRDefault="002233BD">
          <w:pPr>
            <w:pStyle w:val="TOC3"/>
            <w:tabs>
              <w:tab w:val="left" w:pos="960"/>
              <w:tab w:val="right" w:leader="dot" w:pos="9016"/>
            </w:tabs>
            <w:rPr>
              <w:rFonts w:cstheme="minorBidi"/>
              <w:noProof/>
              <w:kern w:val="2"/>
              <w:sz w:val="24"/>
              <w:szCs w:val="24"/>
              <w14:ligatures w14:val="standardContextual"/>
            </w:rPr>
          </w:pPr>
          <w:hyperlink w:anchor="_Toc175675350" w:history="1">
            <w:r w:rsidRPr="006069F6">
              <w:rPr>
                <w:rStyle w:val="Hyperlink"/>
                <w:rFonts w:ascii="Arial" w:hAnsi="Arial" w:cs="Arial"/>
                <w:noProof/>
              </w:rPr>
              <w:t>3</w:t>
            </w:r>
            <w:r>
              <w:rPr>
                <w:rFonts w:cstheme="minorBidi"/>
                <w:noProof/>
                <w:kern w:val="2"/>
                <w:sz w:val="24"/>
                <w:szCs w:val="24"/>
                <w14:ligatures w14:val="standardContextual"/>
              </w:rPr>
              <w:tab/>
            </w:r>
            <w:r w:rsidRPr="006069F6">
              <w:rPr>
                <w:rStyle w:val="Hyperlink"/>
                <w:rFonts w:ascii="Arial" w:hAnsi="Arial" w:cs="Arial"/>
                <w:noProof/>
              </w:rPr>
              <w:t>Panel Data Analysis:</w:t>
            </w:r>
            <w:r>
              <w:rPr>
                <w:noProof/>
                <w:webHidden/>
              </w:rPr>
              <w:tab/>
            </w:r>
            <w:r>
              <w:rPr>
                <w:noProof/>
                <w:webHidden/>
              </w:rPr>
              <w:fldChar w:fldCharType="begin"/>
            </w:r>
            <w:r>
              <w:rPr>
                <w:noProof/>
                <w:webHidden/>
              </w:rPr>
              <w:instrText xml:space="preserve"> PAGEREF _Toc175675350 \h </w:instrText>
            </w:r>
            <w:r>
              <w:rPr>
                <w:noProof/>
                <w:webHidden/>
              </w:rPr>
            </w:r>
            <w:r>
              <w:rPr>
                <w:noProof/>
                <w:webHidden/>
              </w:rPr>
              <w:fldChar w:fldCharType="separate"/>
            </w:r>
            <w:r>
              <w:rPr>
                <w:noProof/>
                <w:webHidden/>
              </w:rPr>
              <w:t>31</w:t>
            </w:r>
            <w:r>
              <w:rPr>
                <w:noProof/>
                <w:webHidden/>
              </w:rPr>
              <w:fldChar w:fldCharType="end"/>
            </w:r>
          </w:hyperlink>
        </w:p>
        <w:p w14:paraId="680C8A94" w14:textId="0CEE063C" w:rsidR="002233BD" w:rsidRDefault="002233BD">
          <w:pPr>
            <w:pStyle w:val="TOC3"/>
            <w:tabs>
              <w:tab w:val="left" w:pos="960"/>
              <w:tab w:val="right" w:leader="dot" w:pos="9016"/>
            </w:tabs>
            <w:rPr>
              <w:rFonts w:cstheme="minorBidi"/>
              <w:noProof/>
              <w:kern w:val="2"/>
              <w:sz w:val="24"/>
              <w:szCs w:val="24"/>
              <w14:ligatures w14:val="standardContextual"/>
            </w:rPr>
          </w:pPr>
          <w:hyperlink w:anchor="_Toc175675351" w:history="1">
            <w:r w:rsidRPr="006069F6">
              <w:rPr>
                <w:rStyle w:val="Hyperlink"/>
                <w:rFonts w:ascii="Arial" w:hAnsi="Arial" w:cs="Arial"/>
                <w:noProof/>
              </w:rPr>
              <w:t>4</w:t>
            </w:r>
            <w:r>
              <w:rPr>
                <w:rFonts w:cstheme="minorBidi"/>
                <w:noProof/>
                <w:kern w:val="2"/>
                <w:sz w:val="24"/>
                <w:szCs w:val="24"/>
                <w14:ligatures w14:val="standardContextual"/>
              </w:rPr>
              <w:tab/>
            </w:r>
            <w:r w:rsidRPr="006069F6">
              <w:rPr>
                <w:rStyle w:val="Hyperlink"/>
                <w:rFonts w:ascii="Arial" w:hAnsi="Arial" w:cs="Arial"/>
                <w:noProof/>
              </w:rPr>
              <w:t>Computable General Equilibrium (CGE) Modelling:</w:t>
            </w:r>
            <w:r>
              <w:rPr>
                <w:noProof/>
                <w:webHidden/>
              </w:rPr>
              <w:tab/>
            </w:r>
            <w:r>
              <w:rPr>
                <w:noProof/>
                <w:webHidden/>
              </w:rPr>
              <w:fldChar w:fldCharType="begin"/>
            </w:r>
            <w:r>
              <w:rPr>
                <w:noProof/>
                <w:webHidden/>
              </w:rPr>
              <w:instrText xml:space="preserve"> PAGEREF _Toc175675351 \h </w:instrText>
            </w:r>
            <w:r>
              <w:rPr>
                <w:noProof/>
                <w:webHidden/>
              </w:rPr>
            </w:r>
            <w:r>
              <w:rPr>
                <w:noProof/>
                <w:webHidden/>
              </w:rPr>
              <w:fldChar w:fldCharType="separate"/>
            </w:r>
            <w:r>
              <w:rPr>
                <w:noProof/>
                <w:webHidden/>
              </w:rPr>
              <w:t>31</w:t>
            </w:r>
            <w:r>
              <w:rPr>
                <w:noProof/>
                <w:webHidden/>
              </w:rPr>
              <w:fldChar w:fldCharType="end"/>
            </w:r>
          </w:hyperlink>
        </w:p>
        <w:p w14:paraId="442D4D58" w14:textId="3D25B06D" w:rsidR="002233BD" w:rsidRDefault="002233BD">
          <w:pPr>
            <w:pStyle w:val="TOC2"/>
            <w:tabs>
              <w:tab w:val="left" w:pos="960"/>
              <w:tab w:val="right" w:leader="dot" w:pos="9016"/>
            </w:tabs>
            <w:rPr>
              <w:noProof/>
              <w:kern w:val="2"/>
              <w:sz w:val="24"/>
              <w:szCs w:val="24"/>
              <w:lang w:eastAsia="en-GB"/>
              <w14:ligatures w14:val="standardContextual"/>
            </w:rPr>
          </w:pPr>
          <w:hyperlink w:anchor="_Toc175675352" w:history="1">
            <w:r w:rsidRPr="006069F6">
              <w:rPr>
                <w:rStyle w:val="Hyperlink"/>
                <w:rFonts w:ascii="Arial" w:hAnsi="Arial" w:cs="Arial"/>
                <w:noProof/>
              </w:rPr>
              <w:t>3.4</w:t>
            </w:r>
            <w:r>
              <w:rPr>
                <w:noProof/>
                <w:kern w:val="2"/>
                <w:sz w:val="24"/>
                <w:szCs w:val="24"/>
                <w:lang w:eastAsia="en-GB"/>
                <w14:ligatures w14:val="standardContextual"/>
              </w:rPr>
              <w:tab/>
            </w:r>
            <w:r w:rsidRPr="006069F6">
              <w:rPr>
                <w:rStyle w:val="Hyperlink"/>
                <w:rFonts w:ascii="Arial" w:hAnsi="Arial" w:cs="Arial"/>
                <w:noProof/>
              </w:rPr>
              <w:t>DATA Collection Sources and Limitations</w:t>
            </w:r>
            <w:r>
              <w:rPr>
                <w:noProof/>
                <w:webHidden/>
              </w:rPr>
              <w:tab/>
            </w:r>
            <w:r>
              <w:rPr>
                <w:noProof/>
                <w:webHidden/>
              </w:rPr>
              <w:fldChar w:fldCharType="begin"/>
            </w:r>
            <w:r>
              <w:rPr>
                <w:noProof/>
                <w:webHidden/>
              </w:rPr>
              <w:instrText xml:space="preserve"> PAGEREF _Toc175675352 \h </w:instrText>
            </w:r>
            <w:r>
              <w:rPr>
                <w:noProof/>
                <w:webHidden/>
              </w:rPr>
            </w:r>
            <w:r>
              <w:rPr>
                <w:noProof/>
                <w:webHidden/>
              </w:rPr>
              <w:fldChar w:fldCharType="separate"/>
            </w:r>
            <w:r>
              <w:rPr>
                <w:noProof/>
                <w:webHidden/>
              </w:rPr>
              <w:t>32</w:t>
            </w:r>
            <w:r>
              <w:rPr>
                <w:noProof/>
                <w:webHidden/>
              </w:rPr>
              <w:fldChar w:fldCharType="end"/>
            </w:r>
          </w:hyperlink>
        </w:p>
        <w:p w14:paraId="18FD134B" w14:textId="6DFB5CB9" w:rsidR="002233BD" w:rsidRDefault="002233BD">
          <w:pPr>
            <w:pStyle w:val="TOC2"/>
            <w:tabs>
              <w:tab w:val="left" w:pos="960"/>
              <w:tab w:val="right" w:leader="dot" w:pos="9016"/>
            </w:tabs>
            <w:rPr>
              <w:noProof/>
              <w:kern w:val="2"/>
              <w:sz w:val="24"/>
              <w:szCs w:val="24"/>
              <w:lang w:eastAsia="en-GB"/>
              <w14:ligatures w14:val="standardContextual"/>
            </w:rPr>
          </w:pPr>
          <w:hyperlink w:anchor="_Toc175675353" w:history="1">
            <w:r w:rsidRPr="006069F6">
              <w:rPr>
                <w:rStyle w:val="Hyperlink"/>
                <w:rFonts w:ascii="Arial" w:hAnsi="Arial" w:cs="Arial"/>
                <w:noProof/>
              </w:rPr>
              <w:t>3.4.1</w:t>
            </w:r>
            <w:r>
              <w:rPr>
                <w:noProof/>
                <w:kern w:val="2"/>
                <w:sz w:val="24"/>
                <w:szCs w:val="24"/>
                <w:lang w:eastAsia="en-GB"/>
                <w14:ligatures w14:val="standardContextual"/>
              </w:rPr>
              <w:tab/>
            </w:r>
            <w:r w:rsidRPr="006069F6">
              <w:rPr>
                <w:rStyle w:val="Hyperlink"/>
                <w:rFonts w:ascii="Arial" w:hAnsi="Arial" w:cs="Arial"/>
                <w:noProof/>
              </w:rPr>
              <w:t>Quantitative Data for the UK for FDI.</w:t>
            </w:r>
            <w:r>
              <w:rPr>
                <w:noProof/>
                <w:webHidden/>
              </w:rPr>
              <w:tab/>
            </w:r>
            <w:r>
              <w:rPr>
                <w:noProof/>
                <w:webHidden/>
              </w:rPr>
              <w:fldChar w:fldCharType="begin"/>
            </w:r>
            <w:r>
              <w:rPr>
                <w:noProof/>
                <w:webHidden/>
              </w:rPr>
              <w:instrText xml:space="preserve"> PAGEREF _Toc175675353 \h </w:instrText>
            </w:r>
            <w:r>
              <w:rPr>
                <w:noProof/>
                <w:webHidden/>
              </w:rPr>
            </w:r>
            <w:r>
              <w:rPr>
                <w:noProof/>
                <w:webHidden/>
              </w:rPr>
              <w:fldChar w:fldCharType="separate"/>
            </w:r>
            <w:r>
              <w:rPr>
                <w:noProof/>
                <w:webHidden/>
              </w:rPr>
              <w:t>33</w:t>
            </w:r>
            <w:r>
              <w:rPr>
                <w:noProof/>
                <w:webHidden/>
              </w:rPr>
              <w:fldChar w:fldCharType="end"/>
            </w:r>
          </w:hyperlink>
        </w:p>
        <w:p w14:paraId="3FD9F46B" w14:textId="2EECF8C0"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54" w:history="1">
            <w:r w:rsidRPr="006069F6">
              <w:rPr>
                <w:rStyle w:val="Hyperlink"/>
                <w:rFonts w:ascii="Arial" w:hAnsi="Arial" w:cs="Arial"/>
                <w:noProof/>
              </w:rPr>
              <w:t>3.4.2</w:t>
            </w:r>
            <w:r>
              <w:rPr>
                <w:rFonts w:cstheme="minorBidi"/>
                <w:noProof/>
                <w:kern w:val="2"/>
                <w:sz w:val="24"/>
                <w:szCs w:val="24"/>
                <w14:ligatures w14:val="standardContextual"/>
              </w:rPr>
              <w:tab/>
            </w:r>
            <w:r w:rsidRPr="006069F6">
              <w:rPr>
                <w:rStyle w:val="Hyperlink"/>
                <w:rFonts w:ascii="Arial" w:hAnsi="Arial" w:cs="Arial"/>
                <w:noProof/>
              </w:rPr>
              <w:t>Capital Flows</w:t>
            </w:r>
            <w:r>
              <w:rPr>
                <w:noProof/>
                <w:webHidden/>
              </w:rPr>
              <w:tab/>
            </w:r>
            <w:r>
              <w:rPr>
                <w:noProof/>
                <w:webHidden/>
              </w:rPr>
              <w:fldChar w:fldCharType="begin"/>
            </w:r>
            <w:r>
              <w:rPr>
                <w:noProof/>
                <w:webHidden/>
              </w:rPr>
              <w:instrText xml:space="preserve"> PAGEREF _Toc175675354 \h </w:instrText>
            </w:r>
            <w:r>
              <w:rPr>
                <w:noProof/>
                <w:webHidden/>
              </w:rPr>
            </w:r>
            <w:r>
              <w:rPr>
                <w:noProof/>
                <w:webHidden/>
              </w:rPr>
              <w:fldChar w:fldCharType="separate"/>
            </w:r>
            <w:r>
              <w:rPr>
                <w:noProof/>
                <w:webHidden/>
              </w:rPr>
              <w:t>33</w:t>
            </w:r>
            <w:r>
              <w:rPr>
                <w:noProof/>
                <w:webHidden/>
              </w:rPr>
              <w:fldChar w:fldCharType="end"/>
            </w:r>
          </w:hyperlink>
        </w:p>
        <w:p w14:paraId="27829459" w14:textId="051C9636"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55" w:history="1">
            <w:r w:rsidRPr="006069F6">
              <w:rPr>
                <w:rStyle w:val="Hyperlink"/>
                <w:rFonts w:ascii="Arial" w:hAnsi="Arial" w:cs="Arial"/>
                <w:noProof/>
              </w:rPr>
              <w:t>3.4.3</w:t>
            </w:r>
            <w:r>
              <w:rPr>
                <w:rFonts w:cstheme="minorBidi"/>
                <w:noProof/>
                <w:kern w:val="2"/>
                <w:sz w:val="24"/>
                <w:szCs w:val="24"/>
                <w14:ligatures w14:val="standardContextual"/>
              </w:rPr>
              <w:tab/>
            </w:r>
            <w:r w:rsidRPr="006069F6">
              <w:rPr>
                <w:rStyle w:val="Hyperlink"/>
                <w:rFonts w:ascii="Arial" w:hAnsi="Arial" w:cs="Arial"/>
                <w:noProof/>
              </w:rPr>
              <w:t>Linear Regression Analysis.</w:t>
            </w:r>
            <w:r>
              <w:rPr>
                <w:noProof/>
                <w:webHidden/>
              </w:rPr>
              <w:tab/>
            </w:r>
            <w:r>
              <w:rPr>
                <w:noProof/>
                <w:webHidden/>
              </w:rPr>
              <w:fldChar w:fldCharType="begin"/>
            </w:r>
            <w:r>
              <w:rPr>
                <w:noProof/>
                <w:webHidden/>
              </w:rPr>
              <w:instrText xml:space="preserve"> PAGEREF _Toc175675355 \h </w:instrText>
            </w:r>
            <w:r>
              <w:rPr>
                <w:noProof/>
                <w:webHidden/>
              </w:rPr>
            </w:r>
            <w:r>
              <w:rPr>
                <w:noProof/>
                <w:webHidden/>
              </w:rPr>
              <w:fldChar w:fldCharType="separate"/>
            </w:r>
            <w:r>
              <w:rPr>
                <w:noProof/>
                <w:webHidden/>
              </w:rPr>
              <w:t>33</w:t>
            </w:r>
            <w:r>
              <w:rPr>
                <w:noProof/>
                <w:webHidden/>
              </w:rPr>
              <w:fldChar w:fldCharType="end"/>
            </w:r>
          </w:hyperlink>
        </w:p>
        <w:p w14:paraId="5781EE40" w14:textId="0CBE9178" w:rsidR="002233BD" w:rsidRDefault="002233BD">
          <w:pPr>
            <w:pStyle w:val="TOC2"/>
            <w:tabs>
              <w:tab w:val="left" w:pos="960"/>
              <w:tab w:val="right" w:leader="dot" w:pos="9016"/>
            </w:tabs>
            <w:rPr>
              <w:noProof/>
              <w:kern w:val="2"/>
              <w:sz w:val="24"/>
              <w:szCs w:val="24"/>
              <w:lang w:eastAsia="en-GB"/>
              <w14:ligatures w14:val="standardContextual"/>
            </w:rPr>
          </w:pPr>
          <w:hyperlink w:anchor="_Toc175675356" w:history="1">
            <w:r w:rsidRPr="006069F6">
              <w:rPr>
                <w:rStyle w:val="Hyperlink"/>
                <w:rFonts w:ascii="Arial" w:hAnsi="Arial" w:cs="Arial"/>
                <w:noProof/>
              </w:rPr>
              <w:t>3.4.4</w:t>
            </w:r>
            <w:r>
              <w:rPr>
                <w:noProof/>
                <w:kern w:val="2"/>
                <w:sz w:val="24"/>
                <w:szCs w:val="24"/>
                <w:lang w:eastAsia="en-GB"/>
                <w14:ligatures w14:val="standardContextual"/>
              </w:rPr>
              <w:tab/>
            </w:r>
            <w:r w:rsidRPr="006069F6">
              <w:rPr>
                <w:rStyle w:val="Hyperlink"/>
                <w:rFonts w:ascii="Arial" w:hAnsi="Arial" w:cs="Arial"/>
                <w:noProof/>
              </w:rPr>
              <w:t>Other Statistical Analysis.</w:t>
            </w:r>
            <w:r>
              <w:rPr>
                <w:noProof/>
                <w:webHidden/>
              </w:rPr>
              <w:tab/>
            </w:r>
            <w:r>
              <w:rPr>
                <w:noProof/>
                <w:webHidden/>
              </w:rPr>
              <w:fldChar w:fldCharType="begin"/>
            </w:r>
            <w:r>
              <w:rPr>
                <w:noProof/>
                <w:webHidden/>
              </w:rPr>
              <w:instrText xml:space="preserve"> PAGEREF _Toc175675356 \h </w:instrText>
            </w:r>
            <w:r>
              <w:rPr>
                <w:noProof/>
                <w:webHidden/>
              </w:rPr>
            </w:r>
            <w:r>
              <w:rPr>
                <w:noProof/>
                <w:webHidden/>
              </w:rPr>
              <w:fldChar w:fldCharType="separate"/>
            </w:r>
            <w:r>
              <w:rPr>
                <w:noProof/>
                <w:webHidden/>
              </w:rPr>
              <w:t>35</w:t>
            </w:r>
            <w:r>
              <w:rPr>
                <w:noProof/>
                <w:webHidden/>
              </w:rPr>
              <w:fldChar w:fldCharType="end"/>
            </w:r>
          </w:hyperlink>
        </w:p>
        <w:p w14:paraId="2E9DF7E0" w14:textId="5EC757B5"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57" w:history="1">
            <w:r w:rsidRPr="006069F6">
              <w:rPr>
                <w:rStyle w:val="Hyperlink"/>
                <w:rFonts w:ascii="Arial" w:hAnsi="Arial" w:cs="Arial"/>
                <w:noProof/>
              </w:rPr>
              <w:t>3.4.5</w:t>
            </w:r>
            <w:r>
              <w:rPr>
                <w:rFonts w:cstheme="minorBidi"/>
                <w:noProof/>
                <w:kern w:val="2"/>
                <w:sz w:val="24"/>
                <w:szCs w:val="24"/>
                <w14:ligatures w14:val="standardContextual"/>
              </w:rPr>
              <w:tab/>
            </w:r>
            <w:r w:rsidRPr="006069F6">
              <w:rPr>
                <w:rStyle w:val="Hyperlink"/>
                <w:rFonts w:ascii="Arial" w:hAnsi="Arial" w:cs="Arial"/>
                <w:noProof/>
              </w:rPr>
              <w:t>Interest Rate</w:t>
            </w:r>
            <w:r>
              <w:rPr>
                <w:noProof/>
                <w:webHidden/>
              </w:rPr>
              <w:tab/>
            </w:r>
            <w:r>
              <w:rPr>
                <w:noProof/>
                <w:webHidden/>
              </w:rPr>
              <w:fldChar w:fldCharType="begin"/>
            </w:r>
            <w:r>
              <w:rPr>
                <w:noProof/>
                <w:webHidden/>
              </w:rPr>
              <w:instrText xml:space="preserve"> PAGEREF _Toc175675357 \h </w:instrText>
            </w:r>
            <w:r>
              <w:rPr>
                <w:noProof/>
                <w:webHidden/>
              </w:rPr>
            </w:r>
            <w:r>
              <w:rPr>
                <w:noProof/>
                <w:webHidden/>
              </w:rPr>
              <w:fldChar w:fldCharType="separate"/>
            </w:r>
            <w:r>
              <w:rPr>
                <w:noProof/>
                <w:webHidden/>
              </w:rPr>
              <w:t>36</w:t>
            </w:r>
            <w:r>
              <w:rPr>
                <w:noProof/>
                <w:webHidden/>
              </w:rPr>
              <w:fldChar w:fldCharType="end"/>
            </w:r>
          </w:hyperlink>
        </w:p>
        <w:p w14:paraId="7D3B120E" w14:textId="51D02CB1"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58" w:history="1">
            <w:r w:rsidRPr="006069F6">
              <w:rPr>
                <w:rStyle w:val="Hyperlink"/>
                <w:rFonts w:ascii="Arial" w:hAnsi="Arial" w:cs="Arial"/>
                <w:noProof/>
              </w:rPr>
              <w:t>3.4.6</w:t>
            </w:r>
            <w:r>
              <w:rPr>
                <w:rFonts w:cstheme="minorBidi"/>
                <w:noProof/>
                <w:kern w:val="2"/>
                <w:sz w:val="24"/>
                <w:szCs w:val="24"/>
                <w14:ligatures w14:val="standardContextual"/>
              </w:rPr>
              <w:tab/>
            </w:r>
            <w:r w:rsidRPr="006069F6">
              <w:rPr>
                <w:rStyle w:val="Hyperlink"/>
                <w:rFonts w:ascii="Arial" w:hAnsi="Arial" w:cs="Arial"/>
                <w:noProof/>
              </w:rPr>
              <w:t>Unemployment Rate</w:t>
            </w:r>
            <w:r>
              <w:rPr>
                <w:noProof/>
                <w:webHidden/>
              </w:rPr>
              <w:tab/>
            </w:r>
            <w:r>
              <w:rPr>
                <w:noProof/>
                <w:webHidden/>
              </w:rPr>
              <w:fldChar w:fldCharType="begin"/>
            </w:r>
            <w:r>
              <w:rPr>
                <w:noProof/>
                <w:webHidden/>
              </w:rPr>
              <w:instrText xml:space="preserve"> PAGEREF _Toc175675358 \h </w:instrText>
            </w:r>
            <w:r>
              <w:rPr>
                <w:noProof/>
                <w:webHidden/>
              </w:rPr>
            </w:r>
            <w:r>
              <w:rPr>
                <w:noProof/>
                <w:webHidden/>
              </w:rPr>
              <w:fldChar w:fldCharType="separate"/>
            </w:r>
            <w:r>
              <w:rPr>
                <w:noProof/>
                <w:webHidden/>
              </w:rPr>
              <w:t>38</w:t>
            </w:r>
            <w:r>
              <w:rPr>
                <w:noProof/>
                <w:webHidden/>
              </w:rPr>
              <w:fldChar w:fldCharType="end"/>
            </w:r>
          </w:hyperlink>
        </w:p>
        <w:p w14:paraId="5E30A071" w14:textId="2DDA4270"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59" w:history="1">
            <w:r w:rsidRPr="006069F6">
              <w:rPr>
                <w:rStyle w:val="Hyperlink"/>
                <w:rFonts w:ascii="Arial" w:hAnsi="Arial" w:cs="Arial"/>
                <w:noProof/>
              </w:rPr>
              <w:t>3.4.7</w:t>
            </w:r>
            <w:r>
              <w:rPr>
                <w:rFonts w:cstheme="minorBidi"/>
                <w:noProof/>
                <w:kern w:val="2"/>
                <w:sz w:val="24"/>
                <w:szCs w:val="24"/>
                <w14:ligatures w14:val="standardContextual"/>
              </w:rPr>
              <w:tab/>
            </w:r>
            <w:r w:rsidRPr="006069F6">
              <w:rPr>
                <w:rStyle w:val="Hyperlink"/>
                <w:rFonts w:ascii="Arial" w:hAnsi="Arial" w:cs="Arial"/>
                <w:noProof/>
              </w:rPr>
              <w:t>Future GDP Forecast</w:t>
            </w:r>
            <w:r>
              <w:rPr>
                <w:noProof/>
                <w:webHidden/>
              </w:rPr>
              <w:tab/>
            </w:r>
            <w:r>
              <w:rPr>
                <w:noProof/>
                <w:webHidden/>
              </w:rPr>
              <w:fldChar w:fldCharType="begin"/>
            </w:r>
            <w:r>
              <w:rPr>
                <w:noProof/>
                <w:webHidden/>
              </w:rPr>
              <w:instrText xml:space="preserve"> PAGEREF _Toc175675359 \h </w:instrText>
            </w:r>
            <w:r>
              <w:rPr>
                <w:noProof/>
                <w:webHidden/>
              </w:rPr>
            </w:r>
            <w:r>
              <w:rPr>
                <w:noProof/>
                <w:webHidden/>
              </w:rPr>
              <w:fldChar w:fldCharType="separate"/>
            </w:r>
            <w:r>
              <w:rPr>
                <w:noProof/>
                <w:webHidden/>
              </w:rPr>
              <w:t>39</w:t>
            </w:r>
            <w:r>
              <w:rPr>
                <w:noProof/>
                <w:webHidden/>
              </w:rPr>
              <w:fldChar w:fldCharType="end"/>
            </w:r>
          </w:hyperlink>
        </w:p>
        <w:p w14:paraId="0A87E48C" w14:textId="0E23EF50" w:rsidR="002233BD" w:rsidRDefault="002233BD">
          <w:pPr>
            <w:pStyle w:val="TOC2"/>
            <w:tabs>
              <w:tab w:val="left" w:pos="960"/>
              <w:tab w:val="right" w:leader="dot" w:pos="9016"/>
            </w:tabs>
            <w:rPr>
              <w:noProof/>
              <w:kern w:val="2"/>
              <w:sz w:val="24"/>
              <w:szCs w:val="24"/>
              <w:lang w:eastAsia="en-GB"/>
              <w14:ligatures w14:val="standardContextual"/>
            </w:rPr>
          </w:pPr>
          <w:hyperlink w:anchor="_Toc175675360" w:history="1">
            <w:r w:rsidRPr="006069F6">
              <w:rPr>
                <w:rStyle w:val="Hyperlink"/>
                <w:rFonts w:ascii="Arial" w:hAnsi="Arial" w:cs="Arial"/>
                <w:noProof/>
              </w:rPr>
              <w:t>3.5</w:t>
            </w:r>
            <w:r>
              <w:rPr>
                <w:noProof/>
                <w:kern w:val="2"/>
                <w:sz w:val="24"/>
                <w:szCs w:val="24"/>
                <w:lang w:eastAsia="en-GB"/>
                <w14:ligatures w14:val="standardContextual"/>
              </w:rPr>
              <w:tab/>
            </w:r>
            <w:r w:rsidRPr="006069F6">
              <w:rPr>
                <w:rStyle w:val="Hyperlink"/>
                <w:rFonts w:ascii="Arial" w:hAnsi="Arial" w:cs="Arial"/>
                <w:noProof/>
              </w:rPr>
              <w:t>Qualitative Research</w:t>
            </w:r>
            <w:r>
              <w:rPr>
                <w:noProof/>
                <w:webHidden/>
              </w:rPr>
              <w:tab/>
            </w:r>
            <w:r>
              <w:rPr>
                <w:noProof/>
                <w:webHidden/>
              </w:rPr>
              <w:fldChar w:fldCharType="begin"/>
            </w:r>
            <w:r>
              <w:rPr>
                <w:noProof/>
                <w:webHidden/>
              </w:rPr>
              <w:instrText xml:space="preserve"> PAGEREF _Toc175675360 \h </w:instrText>
            </w:r>
            <w:r>
              <w:rPr>
                <w:noProof/>
                <w:webHidden/>
              </w:rPr>
            </w:r>
            <w:r>
              <w:rPr>
                <w:noProof/>
                <w:webHidden/>
              </w:rPr>
              <w:fldChar w:fldCharType="separate"/>
            </w:r>
            <w:r>
              <w:rPr>
                <w:noProof/>
                <w:webHidden/>
              </w:rPr>
              <w:t>41</w:t>
            </w:r>
            <w:r>
              <w:rPr>
                <w:noProof/>
                <w:webHidden/>
              </w:rPr>
              <w:fldChar w:fldCharType="end"/>
            </w:r>
          </w:hyperlink>
        </w:p>
        <w:p w14:paraId="1A578C01" w14:textId="0BD0B060" w:rsidR="002233BD" w:rsidRDefault="002233BD">
          <w:pPr>
            <w:pStyle w:val="TOC2"/>
            <w:tabs>
              <w:tab w:val="left" w:pos="960"/>
              <w:tab w:val="right" w:leader="dot" w:pos="9016"/>
            </w:tabs>
            <w:rPr>
              <w:noProof/>
              <w:kern w:val="2"/>
              <w:sz w:val="24"/>
              <w:szCs w:val="24"/>
              <w:lang w:eastAsia="en-GB"/>
              <w14:ligatures w14:val="standardContextual"/>
            </w:rPr>
          </w:pPr>
          <w:hyperlink w:anchor="_Toc175675361" w:history="1">
            <w:r w:rsidRPr="006069F6">
              <w:rPr>
                <w:rStyle w:val="Hyperlink"/>
                <w:rFonts w:ascii="Arial" w:hAnsi="Arial" w:cs="Arial"/>
                <w:noProof/>
              </w:rPr>
              <w:t>3.6</w:t>
            </w:r>
            <w:r>
              <w:rPr>
                <w:noProof/>
                <w:kern w:val="2"/>
                <w:sz w:val="24"/>
                <w:szCs w:val="24"/>
                <w:lang w:eastAsia="en-GB"/>
                <w14:ligatures w14:val="standardContextual"/>
              </w:rPr>
              <w:tab/>
            </w:r>
            <w:r w:rsidRPr="006069F6">
              <w:rPr>
                <w:rStyle w:val="Hyperlink"/>
                <w:rFonts w:ascii="Arial" w:hAnsi="Arial" w:cs="Arial"/>
                <w:noProof/>
              </w:rPr>
              <w:t>Mixed-Method Research</w:t>
            </w:r>
            <w:r>
              <w:rPr>
                <w:noProof/>
                <w:webHidden/>
              </w:rPr>
              <w:tab/>
            </w:r>
            <w:r>
              <w:rPr>
                <w:noProof/>
                <w:webHidden/>
              </w:rPr>
              <w:fldChar w:fldCharType="begin"/>
            </w:r>
            <w:r>
              <w:rPr>
                <w:noProof/>
                <w:webHidden/>
              </w:rPr>
              <w:instrText xml:space="preserve"> PAGEREF _Toc175675361 \h </w:instrText>
            </w:r>
            <w:r>
              <w:rPr>
                <w:noProof/>
                <w:webHidden/>
              </w:rPr>
            </w:r>
            <w:r>
              <w:rPr>
                <w:noProof/>
                <w:webHidden/>
              </w:rPr>
              <w:fldChar w:fldCharType="separate"/>
            </w:r>
            <w:r>
              <w:rPr>
                <w:noProof/>
                <w:webHidden/>
              </w:rPr>
              <w:t>41</w:t>
            </w:r>
            <w:r>
              <w:rPr>
                <w:noProof/>
                <w:webHidden/>
              </w:rPr>
              <w:fldChar w:fldCharType="end"/>
            </w:r>
          </w:hyperlink>
        </w:p>
        <w:p w14:paraId="2BA2BE3C" w14:textId="5D46F932" w:rsidR="002233BD" w:rsidRDefault="002233BD">
          <w:pPr>
            <w:pStyle w:val="TOC2"/>
            <w:tabs>
              <w:tab w:val="left" w:pos="960"/>
              <w:tab w:val="right" w:leader="dot" w:pos="9016"/>
            </w:tabs>
            <w:rPr>
              <w:noProof/>
              <w:kern w:val="2"/>
              <w:sz w:val="24"/>
              <w:szCs w:val="24"/>
              <w:lang w:eastAsia="en-GB"/>
              <w14:ligatures w14:val="standardContextual"/>
            </w:rPr>
          </w:pPr>
          <w:hyperlink w:anchor="_Toc175675362" w:history="1">
            <w:r w:rsidRPr="006069F6">
              <w:rPr>
                <w:rStyle w:val="Hyperlink"/>
                <w:rFonts w:ascii="Arial" w:hAnsi="Arial" w:cs="Arial"/>
                <w:noProof/>
              </w:rPr>
              <w:t>3.7</w:t>
            </w:r>
            <w:r>
              <w:rPr>
                <w:noProof/>
                <w:kern w:val="2"/>
                <w:sz w:val="24"/>
                <w:szCs w:val="24"/>
                <w:lang w:eastAsia="en-GB"/>
                <w14:ligatures w14:val="standardContextual"/>
              </w:rPr>
              <w:tab/>
            </w:r>
            <w:r w:rsidRPr="006069F6">
              <w:rPr>
                <w:rStyle w:val="Hyperlink"/>
                <w:rFonts w:ascii="Arial" w:hAnsi="Arial" w:cs="Arial"/>
                <w:noProof/>
              </w:rPr>
              <w:t>The Research Process</w:t>
            </w:r>
            <w:r>
              <w:rPr>
                <w:noProof/>
                <w:webHidden/>
              </w:rPr>
              <w:tab/>
            </w:r>
            <w:r>
              <w:rPr>
                <w:noProof/>
                <w:webHidden/>
              </w:rPr>
              <w:fldChar w:fldCharType="begin"/>
            </w:r>
            <w:r>
              <w:rPr>
                <w:noProof/>
                <w:webHidden/>
              </w:rPr>
              <w:instrText xml:space="preserve"> PAGEREF _Toc175675362 \h </w:instrText>
            </w:r>
            <w:r>
              <w:rPr>
                <w:noProof/>
                <w:webHidden/>
              </w:rPr>
            </w:r>
            <w:r>
              <w:rPr>
                <w:noProof/>
                <w:webHidden/>
              </w:rPr>
              <w:fldChar w:fldCharType="separate"/>
            </w:r>
            <w:r>
              <w:rPr>
                <w:noProof/>
                <w:webHidden/>
              </w:rPr>
              <w:t>41</w:t>
            </w:r>
            <w:r>
              <w:rPr>
                <w:noProof/>
                <w:webHidden/>
              </w:rPr>
              <w:fldChar w:fldCharType="end"/>
            </w:r>
          </w:hyperlink>
        </w:p>
        <w:p w14:paraId="1D68BC4C" w14:textId="729216E5" w:rsidR="002233BD" w:rsidRDefault="002233BD">
          <w:pPr>
            <w:pStyle w:val="TOC2"/>
            <w:tabs>
              <w:tab w:val="left" w:pos="960"/>
              <w:tab w:val="right" w:leader="dot" w:pos="9016"/>
            </w:tabs>
            <w:rPr>
              <w:noProof/>
              <w:kern w:val="2"/>
              <w:sz w:val="24"/>
              <w:szCs w:val="24"/>
              <w:lang w:eastAsia="en-GB"/>
              <w14:ligatures w14:val="standardContextual"/>
            </w:rPr>
          </w:pPr>
          <w:hyperlink w:anchor="_Toc175675363" w:history="1">
            <w:r w:rsidRPr="006069F6">
              <w:rPr>
                <w:rStyle w:val="Hyperlink"/>
                <w:rFonts w:ascii="Arial" w:hAnsi="Arial" w:cs="Arial"/>
                <w:noProof/>
              </w:rPr>
              <w:t>3.8</w:t>
            </w:r>
            <w:r>
              <w:rPr>
                <w:noProof/>
                <w:kern w:val="2"/>
                <w:sz w:val="24"/>
                <w:szCs w:val="24"/>
                <w:lang w:eastAsia="en-GB"/>
                <w14:ligatures w14:val="standardContextual"/>
              </w:rPr>
              <w:tab/>
            </w:r>
            <w:r w:rsidRPr="006069F6">
              <w:rPr>
                <w:rStyle w:val="Hyperlink"/>
                <w:rFonts w:ascii="Arial" w:hAnsi="Arial" w:cs="Arial"/>
                <w:noProof/>
              </w:rPr>
              <w:t>Research Onion</w:t>
            </w:r>
            <w:r>
              <w:rPr>
                <w:noProof/>
                <w:webHidden/>
              </w:rPr>
              <w:tab/>
            </w:r>
            <w:r>
              <w:rPr>
                <w:noProof/>
                <w:webHidden/>
              </w:rPr>
              <w:fldChar w:fldCharType="begin"/>
            </w:r>
            <w:r>
              <w:rPr>
                <w:noProof/>
                <w:webHidden/>
              </w:rPr>
              <w:instrText xml:space="preserve"> PAGEREF _Toc175675363 \h </w:instrText>
            </w:r>
            <w:r>
              <w:rPr>
                <w:noProof/>
                <w:webHidden/>
              </w:rPr>
            </w:r>
            <w:r>
              <w:rPr>
                <w:noProof/>
                <w:webHidden/>
              </w:rPr>
              <w:fldChar w:fldCharType="separate"/>
            </w:r>
            <w:r>
              <w:rPr>
                <w:noProof/>
                <w:webHidden/>
              </w:rPr>
              <w:t>44</w:t>
            </w:r>
            <w:r>
              <w:rPr>
                <w:noProof/>
                <w:webHidden/>
              </w:rPr>
              <w:fldChar w:fldCharType="end"/>
            </w:r>
          </w:hyperlink>
        </w:p>
        <w:p w14:paraId="560C6170" w14:textId="42AEA32C" w:rsidR="002233BD" w:rsidRDefault="002233BD">
          <w:pPr>
            <w:pStyle w:val="TOC2"/>
            <w:tabs>
              <w:tab w:val="left" w:pos="960"/>
              <w:tab w:val="right" w:leader="dot" w:pos="9016"/>
            </w:tabs>
            <w:rPr>
              <w:noProof/>
              <w:kern w:val="2"/>
              <w:sz w:val="24"/>
              <w:szCs w:val="24"/>
              <w:lang w:eastAsia="en-GB"/>
              <w14:ligatures w14:val="standardContextual"/>
            </w:rPr>
          </w:pPr>
          <w:hyperlink w:anchor="_Toc175675364" w:history="1">
            <w:r w:rsidRPr="006069F6">
              <w:rPr>
                <w:rStyle w:val="Hyperlink"/>
                <w:rFonts w:ascii="Arial" w:hAnsi="Arial" w:cs="Arial"/>
                <w:noProof/>
              </w:rPr>
              <w:t>3.9</w:t>
            </w:r>
            <w:r>
              <w:rPr>
                <w:noProof/>
                <w:kern w:val="2"/>
                <w:sz w:val="24"/>
                <w:szCs w:val="24"/>
                <w:lang w:eastAsia="en-GB"/>
                <w14:ligatures w14:val="standardContextual"/>
              </w:rPr>
              <w:tab/>
            </w:r>
            <w:r w:rsidRPr="006069F6">
              <w:rPr>
                <w:rStyle w:val="Hyperlink"/>
                <w:rFonts w:ascii="Arial" w:hAnsi="Arial" w:cs="Arial"/>
                <w:noProof/>
              </w:rPr>
              <w:t>Ethical Consideration</w:t>
            </w:r>
            <w:r>
              <w:rPr>
                <w:noProof/>
                <w:webHidden/>
              </w:rPr>
              <w:tab/>
            </w:r>
            <w:r>
              <w:rPr>
                <w:noProof/>
                <w:webHidden/>
              </w:rPr>
              <w:fldChar w:fldCharType="begin"/>
            </w:r>
            <w:r>
              <w:rPr>
                <w:noProof/>
                <w:webHidden/>
              </w:rPr>
              <w:instrText xml:space="preserve"> PAGEREF _Toc175675364 \h </w:instrText>
            </w:r>
            <w:r>
              <w:rPr>
                <w:noProof/>
                <w:webHidden/>
              </w:rPr>
            </w:r>
            <w:r>
              <w:rPr>
                <w:noProof/>
                <w:webHidden/>
              </w:rPr>
              <w:fldChar w:fldCharType="separate"/>
            </w:r>
            <w:r>
              <w:rPr>
                <w:noProof/>
                <w:webHidden/>
              </w:rPr>
              <w:t>46</w:t>
            </w:r>
            <w:r>
              <w:rPr>
                <w:noProof/>
                <w:webHidden/>
              </w:rPr>
              <w:fldChar w:fldCharType="end"/>
            </w:r>
          </w:hyperlink>
        </w:p>
        <w:p w14:paraId="3402D783" w14:textId="598D9021" w:rsidR="002233BD" w:rsidRDefault="002233BD">
          <w:pPr>
            <w:pStyle w:val="TOC2"/>
            <w:tabs>
              <w:tab w:val="left" w:pos="960"/>
              <w:tab w:val="right" w:leader="dot" w:pos="9016"/>
            </w:tabs>
            <w:rPr>
              <w:noProof/>
              <w:kern w:val="2"/>
              <w:sz w:val="24"/>
              <w:szCs w:val="24"/>
              <w:lang w:eastAsia="en-GB"/>
              <w14:ligatures w14:val="standardContextual"/>
            </w:rPr>
          </w:pPr>
          <w:hyperlink w:anchor="_Toc175675365" w:history="1">
            <w:r w:rsidRPr="006069F6">
              <w:rPr>
                <w:rStyle w:val="Hyperlink"/>
                <w:rFonts w:ascii="Arial" w:hAnsi="Arial" w:cs="Arial"/>
                <w:noProof/>
              </w:rPr>
              <w:t>3.10</w:t>
            </w:r>
            <w:r>
              <w:rPr>
                <w:noProof/>
                <w:kern w:val="2"/>
                <w:sz w:val="24"/>
                <w:szCs w:val="24"/>
                <w:lang w:eastAsia="en-GB"/>
                <w14:ligatures w14:val="standardContextual"/>
              </w:rPr>
              <w:tab/>
            </w:r>
            <w:r w:rsidRPr="006069F6">
              <w:rPr>
                <w:rStyle w:val="Hyperlink"/>
                <w:rFonts w:ascii="Arial" w:hAnsi="Arial" w:cs="Arial"/>
                <w:noProof/>
              </w:rPr>
              <w:t>Chapter Summary</w:t>
            </w:r>
            <w:r>
              <w:rPr>
                <w:noProof/>
                <w:webHidden/>
              </w:rPr>
              <w:tab/>
            </w:r>
            <w:r>
              <w:rPr>
                <w:noProof/>
                <w:webHidden/>
              </w:rPr>
              <w:fldChar w:fldCharType="begin"/>
            </w:r>
            <w:r>
              <w:rPr>
                <w:noProof/>
                <w:webHidden/>
              </w:rPr>
              <w:instrText xml:space="preserve"> PAGEREF _Toc175675365 \h </w:instrText>
            </w:r>
            <w:r>
              <w:rPr>
                <w:noProof/>
                <w:webHidden/>
              </w:rPr>
            </w:r>
            <w:r>
              <w:rPr>
                <w:noProof/>
                <w:webHidden/>
              </w:rPr>
              <w:fldChar w:fldCharType="separate"/>
            </w:r>
            <w:r>
              <w:rPr>
                <w:noProof/>
                <w:webHidden/>
              </w:rPr>
              <w:t>46</w:t>
            </w:r>
            <w:r>
              <w:rPr>
                <w:noProof/>
                <w:webHidden/>
              </w:rPr>
              <w:fldChar w:fldCharType="end"/>
            </w:r>
          </w:hyperlink>
        </w:p>
        <w:p w14:paraId="6C127D8D" w14:textId="28F2C640" w:rsidR="002233BD" w:rsidRDefault="002233BD">
          <w:pPr>
            <w:pStyle w:val="TOC1"/>
            <w:tabs>
              <w:tab w:val="right" w:leader="dot" w:pos="9016"/>
            </w:tabs>
            <w:rPr>
              <w:noProof/>
              <w:kern w:val="2"/>
              <w:sz w:val="24"/>
              <w:szCs w:val="24"/>
              <w:lang w:eastAsia="en-GB"/>
              <w14:ligatures w14:val="standardContextual"/>
            </w:rPr>
          </w:pPr>
          <w:hyperlink w:anchor="_Toc175675366" w:history="1">
            <w:r w:rsidRPr="006069F6">
              <w:rPr>
                <w:rStyle w:val="Hyperlink"/>
                <w:rFonts w:ascii="Arial" w:hAnsi="Arial" w:cs="Arial"/>
                <w:b/>
                <w:bCs/>
                <w:noProof/>
              </w:rPr>
              <w:t>Chapter 4: Dissertation Analysis &amp; Findings.</w:t>
            </w:r>
            <w:r>
              <w:rPr>
                <w:noProof/>
                <w:webHidden/>
              </w:rPr>
              <w:tab/>
            </w:r>
            <w:r>
              <w:rPr>
                <w:noProof/>
                <w:webHidden/>
              </w:rPr>
              <w:fldChar w:fldCharType="begin"/>
            </w:r>
            <w:r>
              <w:rPr>
                <w:noProof/>
                <w:webHidden/>
              </w:rPr>
              <w:instrText xml:space="preserve"> PAGEREF _Toc175675366 \h </w:instrText>
            </w:r>
            <w:r>
              <w:rPr>
                <w:noProof/>
                <w:webHidden/>
              </w:rPr>
            </w:r>
            <w:r>
              <w:rPr>
                <w:noProof/>
                <w:webHidden/>
              </w:rPr>
              <w:fldChar w:fldCharType="separate"/>
            </w:r>
            <w:r>
              <w:rPr>
                <w:noProof/>
                <w:webHidden/>
              </w:rPr>
              <w:t>47</w:t>
            </w:r>
            <w:r>
              <w:rPr>
                <w:noProof/>
                <w:webHidden/>
              </w:rPr>
              <w:fldChar w:fldCharType="end"/>
            </w:r>
          </w:hyperlink>
        </w:p>
        <w:p w14:paraId="1C677692" w14:textId="50075F7E" w:rsidR="002233BD" w:rsidRDefault="002233BD">
          <w:pPr>
            <w:pStyle w:val="TOC2"/>
            <w:tabs>
              <w:tab w:val="left" w:pos="960"/>
              <w:tab w:val="right" w:leader="dot" w:pos="9016"/>
            </w:tabs>
            <w:rPr>
              <w:noProof/>
              <w:kern w:val="2"/>
              <w:sz w:val="24"/>
              <w:szCs w:val="24"/>
              <w:lang w:eastAsia="en-GB"/>
              <w14:ligatures w14:val="standardContextual"/>
            </w:rPr>
          </w:pPr>
          <w:hyperlink w:anchor="_Toc175675367" w:history="1">
            <w:r w:rsidRPr="006069F6">
              <w:rPr>
                <w:rStyle w:val="Hyperlink"/>
                <w:rFonts w:ascii="Arial" w:hAnsi="Arial" w:cs="Arial"/>
                <w:noProof/>
              </w:rPr>
              <w:t>4.1</w:t>
            </w:r>
            <w:r>
              <w:rPr>
                <w:noProof/>
                <w:kern w:val="2"/>
                <w:sz w:val="24"/>
                <w:szCs w:val="24"/>
                <w:lang w:eastAsia="en-GB"/>
                <w14:ligatures w14:val="standardContextual"/>
              </w:rPr>
              <w:tab/>
            </w:r>
            <w:r w:rsidRPr="006069F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_Toc175675367 \h </w:instrText>
            </w:r>
            <w:r>
              <w:rPr>
                <w:noProof/>
                <w:webHidden/>
              </w:rPr>
            </w:r>
            <w:r>
              <w:rPr>
                <w:noProof/>
                <w:webHidden/>
              </w:rPr>
              <w:fldChar w:fldCharType="separate"/>
            </w:r>
            <w:r>
              <w:rPr>
                <w:noProof/>
                <w:webHidden/>
              </w:rPr>
              <w:t>47</w:t>
            </w:r>
            <w:r>
              <w:rPr>
                <w:noProof/>
                <w:webHidden/>
              </w:rPr>
              <w:fldChar w:fldCharType="end"/>
            </w:r>
          </w:hyperlink>
        </w:p>
        <w:p w14:paraId="483C8BB1" w14:textId="476F32E9" w:rsidR="002233BD" w:rsidRDefault="002233BD">
          <w:pPr>
            <w:pStyle w:val="TOC2"/>
            <w:tabs>
              <w:tab w:val="left" w:pos="960"/>
              <w:tab w:val="right" w:leader="dot" w:pos="9016"/>
            </w:tabs>
            <w:rPr>
              <w:noProof/>
              <w:kern w:val="2"/>
              <w:sz w:val="24"/>
              <w:szCs w:val="24"/>
              <w:lang w:eastAsia="en-GB"/>
              <w14:ligatures w14:val="standardContextual"/>
            </w:rPr>
          </w:pPr>
          <w:hyperlink w:anchor="_Toc175675368" w:history="1">
            <w:r w:rsidRPr="006069F6">
              <w:rPr>
                <w:rStyle w:val="Hyperlink"/>
                <w:rFonts w:ascii="Arial" w:hAnsi="Arial" w:cs="Arial"/>
                <w:noProof/>
              </w:rPr>
              <w:t>4.2</w:t>
            </w:r>
            <w:r>
              <w:rPr>
                <w:noProof/>
                <w:kern w:val="2"/>
                <w:sz w:val="24"/>
                <w:szCs w:val="24"/>
                <w:lang w:eastAsia="en-GB"/>
                <w14:ligatures w14:val="standardContextual"/>
              </w:rPr>
              <w:tab/>
            </w:r>
            <w:r w:rsidRPr="006069F6">
              <w:rPr>
                <w:rStyle w:val="Hyperlink"/>
                <w:rFonts w:ascii="Arial" w:hAnsi="Arial" w:cs="Arial"/>
                <w:noProof/>
              </w:rPr>
              <w:t>FDI Overview</w:t>
            </w:r>
            <w:r>
              <w:rPr>
                <w:noProof/>
                <w:webHidden/>
              </w:rPr>
              <w:tab/>
            </w:r>
            <w:r>
              <w:rPr>
                <w:noProof/>
                <w:webHidden/>
              </w:rPr>
              <w:fldChar w:fldCharType="begin"/>
            </w:r>
            <w:r>
              <w:rPr>
                <w:noProof/>
                <w:webHidden/>
              </w:rPr>
              <w:instrText xml:space="preserve"> PAGEREF _Toc175675368 \h </w:instrText>
            </w:r>
            <w:r>
              <w:rPr>
                <w:noProof/>
                <w:webHidden/>
              </w:rPr>
            </w:r>
            <w:r>
              <w:rPr>
                <w:noProof/>
                <w:webHidden/>
              </w:rPr>
              <w:fldChar w:fldCharType="separate"/>
            </w:r>
            <w:r>
              <w:rPr>
                <w:noProof/>
                <w:webHidden/>
              </w:rPr>
              <w:t>47</w:t>
            </w:r>
            <w:r>
              <w:rPr>
                <w:noProof/>
                <w:webHidden/>
              </w:rPr>
              <w:fldChar w:fldCharType="end"/>
            </w:r>
          </w:hyperlink>
        </w:p>
        <w:p w14:paraId="55C7D82C" w14:textId="70E71E04" w:rsidR="002233BD" w:rsidRDefault="002233BD">
          <w:pPr>
            <w:pStyle w:val="TOC2"/>
            <w:tabs>
              <w:tab w:val="left" w:pos="960"/>
              <w:tab w:val="right" w:leader="dot" w:pos="9016"/>
            </w:tabs>
            <w:rPr>
              <w:noProof/>
              <w:kern w:val="2"/>
              <w:sz w:val="24"/>
              <w:szCs w:val="24"/>
              <w:lang w:eastAsia="en-GB"/>
              <w14:ligatures w14:val="standardContextual"/>
            </w:rPr>
          </w:pPr>
          <w:hyperlink w:anchor="_Toc175675369" w:history="1">
            <w:r w:rsidRPr="006069F6">
              <w:rPr>
                <w:rStyle w:val="Hyperlink"/>
                <w:rFonts w:ascii="Arial" w:hAnsi="Arial" w:cs="Arial"/>
                <w:noProof/>
              </w:rPr>
              <w:t>4.3</w:t>
            </w:r>
            <w:r>
              <w:rPr>
                <w:noProof/>
                <w:kern w:val="2"/>
                <w:sz w:val="24"/>
                <w:szCs w:val="24"/>
                <w:lang w:eastAsia="en-GB"/>
                <w14:ligatures w14:val="standardContextual"/>
              </w:rPr>
              <w:tab/>
            </w:r>
            <w:r w:rsidRPr="006069F6">
              <w:rPr>
                <w:rStyle w:val="Hyperlink"/>
                <w:rFonts w:ascii="Arial" w:hAnsi="Arial" w:cs="Arial"/>
                <w:noProof/>
              </w:rPr>
              <w:t>Detail Analysis of Objectives</w:t>
            </w:r>
            <w:r>
              <w:rPr>
                <w:noProof/>
                <w:webHidden/>
              </w:rPr>
              <w:tab/>
            </w:r>
            <w:r>
              <w:rPr>
                <w:noProof/>
                <w:webHidden/>
              </w:rPr>
              <w:fldChar w:fldCharType="begin"/>
            </w:r>
            <w:r>
              <w:rPr>
                <w:noProof/>
                <w:webHidden/>
              </w:rPr>
              <w:instrText xml:space="preserve"> PAGEREF _Toc175675369 \h </w:instrText>
            </w:r>
            <w:r>
              <w:rPr>
                <w:noProof/>
                <w:webHidden/>
              </w:rPr>
            </w:r>
            <w:r>
              <w:rPr>
                <w:noProof/>
                <w:webHidden/>
              </w:rPr>
              <w:fldChar w:fldCharType="separate"/>
            </w:r>
            <w:r>
              <w:rPr>
                <w:noProof/>
                <w:webHidden/>
              </w:rPr>
              <w:t>48</w:t>
            </w:r>
            <w:r>
              <w:rPr>
                <w:noProof/>
                <w:webHidden/>
              </w:rPr>
              <w:fldChar w:fldCharType="end"/>
            </w:r>
          </w:hyperlink>
        </w:p>
        <w:p w14:paraId="6EBCE5C6" w14:textId="35978775" w:rsidR="002233BD" w:rsidRDefault="002233BD">
          <w:pPr>
            <w:pStyle w:val="TOC2"/>
            <w:tabs>
              <w:tab w:val="left" w:pos="960"/>
              <w:tab w:val="right" w:leader="dot" w:pos="9016"/>
            </w:tabs>
            <w:rPr>
              <w:noProof/>
              <w:kern w:val="2"/>
              <w:sz w:val="24"/>
              <w:szCs w:val="24"/>
              <w:lang w:eastAsia="en-GB"/>
              <w14:ligatures w14:val="standardContextual"/>
            </w:rPr>
          </w:pPr>
          <w:hyperlink w:anchor="_Toc175675370" w:history="1">
            <w:r w:rsidRPr="006069F6">
              <w:rPr>
                <w:rStyle w:val="Hyperlink"/>
                <w:rFonts w:ascii="Arial" w:hAnsi="Arial" w:cs="Arial"/>
                <w:noProof/>
                <w:shd w:val="clear" w:color="auto" w:fill="FFFFFF"/>
              </w:rPr>
              <w:t>4.4</w:t>
            </w:r>
            <w:r>
              <w:rPr>
                <w:noProof/>
                <w:kern w:val="2"/>
                <w:sz w:val="24"/>
                <w:szCs w:val="24"/>
                <w:lang w:eastAsia="en-GB"/>
                <w14:ligatures w14:val="standardContextual"/>
              </w:rPr>
              <w:tab/>
            </w:r>
            <w:r w:rsidRPr="006069F6">
              <w:rPr>
                <w:rStyle w:val="Hyperlink"/>
                <w:rFonts w:ascii="Arial" w:hAnsi="Arial" w:cs="Arial"/>
                <w:noProof/>
                <w:shd w:val="clear" w:color="auto" w:fill="FFFFFF"/>
              </w:rPr>
              <w:t>Statistical Calculations and Analysis</w:t>
            </w:r>
            <w:r>
              <w:rPr>
                <w:noProof/>
                <w:webHidden/>
              </w:rPr>
              <w:tab/>
            </w:r>
            <w:r>
              <w:rPr>
                <w:noProof/>
                <w:webHidden/>
              </w:rPr>
              <w:fldChar w:fldCharType="begin"/>
            </w:r>
            <w:r>
              <w:rPr>
                <w:noProof/>
                <w:webHidden/>
              </w:rPr>
              <w:instrText xml:space="preserve"> PAGEREF _Toc175675370 \h </w:instrText>
            </w:r>
            <w:r>
              <w:rPr>
                <w:noProof/>
                <w:webHidden/>
              </w:rPr>
            </w:r>
            <w:r>
              <w:rPr>
                <w:noProof/>
                <w:webHidden/>
              </w:rPr>
              <w:fldChar w:fldCharType="separate"/>
            </w:r>
            <w:r>
              <w:rPr>
                <w:noProof/>
                <w:webHidden/>
              </w:rPr>
              <w:t>48</w:t>
            </w:r>
            <w:r>
              <w:rPr>
                <w:noProof/>
                <w:webHidden/>
              </w:rPr>
              <w:fldChar w:fldCharType="end"/>
            </w:r>
          </w:hyperlink>
        </w:p>
        <w:p w14:paraId="5FC7DC4E" w14:textId="24B01112"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71" w:history="1">
            <w:r w:rsidRPr="006069F6">
              <w:rPr>
                <w:rStyle w:val="Hyperlink"/>
                <w:rFonts w:ascii="Arial" w:hAnsi="Arial" w:cs="Arial"/>
                <w:noProof/>
                <w:shd w:val="clear" w:color="auto" w:fill="FFFFFF"/>
              </w:rPr>
              <w:t>4.4.1</w:t>
            </w:r>
            <w:r>
              <w:rPr>
                <w:rFonts w:cstheme="minorBidi"/>
                <w:noProof/>
                <w:kern w:val="2"/>
                <w:sz w:val="24"/>
                <w:szCs w:val="24"/>
                <w14:ligatures w14:val="standardContextual"/>
              </w:rPr>
              <w:tab/>
            </w:r>
            <w:r w:rsidRPr="006069F6">
              <w:rPr>
                <w:rStyle w:val="Hyperlink"/>
                <w:rFonts w:ascii="Arial" w:hAnsi="Arial" w:cs="Arial"/>
                <w:noProof/>
                <w:shd w:val="clear" w:color="auto" w:fill="FFFFFF"/>
              </w:rPr>
              <w:t>Regression Analysis</w:t>
            </w:r>
            <w:r>
              <w:rPr>
                <w:noProof/>
                <w:webHidden/>
              </w:rPr>
              <w:tab/>
            </w:r>
            <w:r>
              <w:rPr>
                <w:noProof/>
                <w:webHidden/>
              </w:rPr>
              <w:fldChar w:fldCharType="begin"/>
            </w:r>
            <w:r>
              <w:rPr>
                <w:noProof/>
                <w:webHidden/>
              </w:rPr>
              <w:instrText xml:space="preserve"> PAGEREF _Toc175675371 \h </w:instrText>
            </w:r>
            <w:r>
              <w:rPr>
                <w:noProof/>
                <w:webHidden/>
              </w:rPr>
            </w:r>
            <w:r>
              <w:rPr>
                <w:noProof/>
                <w:webHidden/>
              </w:rPr>
              <w:fldChar w:fldCharType="separate"/>
            </w:r>
            <w:r>
              <w:rPr>
                <w:noProof/>
                <w:webHidden/>
              </w:rPr>
              <w:t>49</w:t>
            </w:r>
            <w:r>
              <w:rPr>
                <w:noProof/>
                <w:webHidden/>
              </w:rPr>
              <w:fldChar w:fldCharType="end"/>
            </w:r>
          </w:hyperlink>
        </w:p>
        <w:p w14:paraId="115B9473" w14:textId="4658A485"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72" w:history="1">
            <w:r w:rsidRPr="006069F6">
              <w:rPr>
                <w:rStyle w:val="Hyperlink"/>
                <w:rFonts w:ascii="Arial" w:hAnsi="Arial" w:cs="Arial"/>
                <w:noProof/>
                <w:shd w:val="clear" w:color="auto" w:fill="FFFFFF"/>
              </w:rPr>
              <w:t>4.4.4</w:t>
            </w:r>
            <w:r>
              <w:rPr>
                <w:rFonts w:cstheme="minorBidi"/>
                <w:noProof/>
                <w:kern w:val="2"/>
                <w:sz w:val="24"/>
                <w:szCs w:val="24"/>
                <w14:ligatures w14:val="standardContextual"/>
              </w:rPr>
              <w:tab/>
            </w:r>
            <w:r w:rsidRPr="006069F6">
              <w:rPr>
                <w:rStyle w:val="Hyperlink"/>
                <w:rFonts w:ascii="Arial" w:hAnsi="Arial" w:cs="Arial"/>
                <w:noProof/>
                <w:shd w:val="clear" w:color="auto" w:fill="FFFFFF"/>
              </w:rPr>
              <w:t>Forecast -FDI, GDP &amp; Unemployment</w:t>
            </w:r>
            <w:r>
              <w:rPr>
                <w:noProof/>
                <w:webHidden/>
              </w:rPr>
              <w:tab/>
            </w:r>
            <w:r>
              <w:rPr>
                <w:noProof/>
                <w:webHidden/>
              </w:rPr>
              <w:fldChar w:fldCharType="begin"/>
            </w:r>
            <w:r>
              <w:rPr>
                <w:noProof/>
                <w:webHidden/>
              </w:rPr>
              <w:instrText xml:space="preserve"> PAGEREF _Toc175675372 \h </w:instrText>
            </w:r>
            <w:r>
              <w:rPr>
                <w:noProof/>
                <w:webHidden/>
              </w:rPr>
            </w:r>
            <w:r>
              <w:rPr>
                <w:noProof/>
                <w:webHidden/>
              </w:rPr>
              <w:fldChar w:fldCharType="separate"/>
            </w:r>
            <w:r>
              <w:rPr>
                <w:noProof/>
                <w:webHidden/>
              </w:rPr>
              <w:t>53</w:t>
            </w:r>
            <w:r>
              <w:rPr>
                <w:noProof/>
                <w:webHidden/>
              </w:rPr>
              <w:fldChar w:fldCharType="end"/>
            </w:r>
          </w:hyperlink>
        </w:p>
        <w:p w14:paraId="015AB9C7" w14:textId="329B16BA"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73" w:history="1">
            <w:r w:rsidRPr="006069F6">
              <w:rPr>
                <w:rStyle w:val="Hyperlink"/>
                <w:rFonts w:ascii="Arial" w:hAnsi="Arial" w:cs="Arial"/>
                <w:noProof/>
                <w:shd w:val="clear" w:color="auto" w:fill="FFFFFF"/>
              </w:rPr>
              <w:t>4.4.5</w:t>
            </w:r>
            <w:r>
              <w:rPr>
                <w:rFonts w:cstheme="minorBidi"/>
                <w:noProof/>
                <w:kern w:val="2"/>
                <w:sz w:val="24"/>
                <w:szCs w:val="24"/>
                <w14:ligatures w14:val="standardContextual"/>
              </w:rPr>
              <w:tab/>
            </w:r>
            <w:r w:rsidRPr="006069F6">
              <w:rPr>
                <w:rStyle w:val="Hyperlink"/>
                <w:rFonts w:ascii="Arial" w:hAnsi="Arial" w:cs="Arial"/>
                <w:noProof/>
                <w:shd w:val="clear" w:color="auto" w:fill="FFFFFF"/>
              </w:rPr>
              <w:t>Results and Analysis of Statistical Data.</w:t>
            </w:r>
            <w:r>
              <w:rPr>
                <w:noProof/>
                <w:webHidden/>
              </w:rPr>
              <w:tab/>
            </w:r>
            <w:r>
              <w:rPr>
                <w:noProof/>
                <w:webHidden/>
              </w:rPr>
              <w:fldChar w:fldCharType="begin"/>
            </w:r>
            <w:r>
              <w:rPr>
                <w:noProof/>
                <w:webHidden/>
              </w:rPr>
              <w:instrText xml:space="preserve"> PAGEREF _Toc175675373 \h </w:instrText>
            </w:r>
            <w:r>
              <w:rPr>
                <w:noProof/>
                <w:webHidden/>
              </w:rPr>
            </w:r>
            <w:r>
              <w:rPr>
                <w:noProof/>
                <w:webHidden/>
              </w:rPr>
              <w:fldChar w:fldCharType="separate"/>
            </w:r>
            <w:r>
              <w:rPr>
                <w:noProof/>
                <w:webHidden/>
              </w:rPr>
              <w:t>54</w:t>
            </w:r>
            <w:r>
              <w:rPr>
                <w:noProof/>
                <w:webHidden/>
              </w:rPr>
              <w:fldChar w:fldCharType="end"/>
            </w:r>
          </w:hyperlink>
        </w:p>
        <w:p w14:paraId="1095AB09" w14:textId="7617C688" w:rsidR="002233BD" w:rsidRDefault="002233BD">
          <w:pPr>
            <w:pStyle w:val="TOC2"/>
            <w:tabs>
              <w:tab w:val="left" w:pos="960"/>
              <w:tab w:val="right" w:leader="dot" w:pos="9016"/>
            </w:tabs>
            <w:rPr>
              <w:noProof/>
              <w:kern w:val="2"/>
              <w:sz w:val="24"/>
              <w:szCs w:val="24"/>
              <w:lang w:eastAsia="en-GB"/>
              <w14:ligatures w14:val="standardContextual"/>
            </w:rPr>
          </w:pPr>
          <w:hyperlink w:anchor="_Toc175675374" w:history="1">
            <w:r w:rsidRPr="006069F6">
              <w:rPr>
                <w:rStyle w:val="Hyperlink"/>
                <w:rFonts w:ascii="Arial" w:hAnsi="Arial" w:cs="Arial"/>
                <w:noProof/>
              </w:rPr>
              <w:t>4.5</w:t>
            </w:r>
            <w:r>
              <w:rPr>
                <w:noProof/>
                <w:kern w:val="2"/>
                <w:sz w:val="24"/>
                <w:szCs w:val="24"/>
                <w:lang w:eastAsia="en-GB"/>
                <w14:ligatures w14:val="standardContextual"/>
              </w:rPr>
              <w:tab/>
            </w:r>
            <w:r w:rsidRPr="006069F6">
              <w:rPr>
                <w:rStyle w:val="Hyperlink"/>
                <w:rFonts w:ascii="Arial" w:hAnsi="Arial" w:cs="Arial"/>
                <w:noProof/>
              </w:rPr>
              <w:t>Other Source Data Analysis</w:t>
            </w:r>
            <w:r>
              <w:rPr>
                <w:noProof/>
                <w:webHidden/>
              </w:rPr>
              <w:tab/>
            </w:r>
            <w:r>
              <w:rPr>
                <w:noProof/>
                <w:webHidden/>
              </w:rPr>
              <w:fldChar w:fldCharType="begin"/>
            </w:r>
            <w:r>
              <w:rPr>
                <w:noProof/>
                <w:webHidden/>
              </w:rPr>
              <w:instrText xml:space="preserve"> PAGEREF _Toc175675374 \h </w:instrText>
            </w:r>
            <w:r>
              <w:rPr>
                <w:noProof/>
                <w:webHidden/>
              </w:rPr>
            </w:r>
            <w:r>
              <w:rPr>
                <w:noProof/>
                <w:webHidden/>
              </w:rPr>
              <w:fldChar w:fldCharType="separate"/>
            </w:r>
            <w:r>
              <w:rPr>
                <w:noProof/>
                <w:webHidden/>
              </w:rPr>
              <w:t>54</w:t>
            </w:r>
            <w:r>
              <w:rPr>
                <w:noProof/>
                <w:webHidden/>
              </w:rPr>
              <w:fldChar w:fldCharType="end"/>
            </w:r>
          </w:hyperlink>
        </w:p>
        <w:p w14:paraId="58CF4466" w14:textId="0DB279B2"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75" w:history="1">
            <w:r w:rsidRPr="006069F6">
              <w:rPr>
                <w:rStyle w:val="Hyperlink"/>
                <w:rFonts w:ascii="Arial" w:hAnsi="Arial" w:cs="Arial"/>
                <w:noProof/>
              </w:rPr>
              <w:t>4.6</w:t>
            </w:r>
            <w:r>
              <w:rPr>
                <w:rFonts w:cstheme="minorBidi"/>
                <w:noProof/>
                <w:kern w:val="2"/>
                <w:sz w:val="24"/>
                <w:szCs w:val="24"/>
                <w14:ligatures w14:val="standardContextual"/>
              </w:rPr>
              <w:tab/>
            </w:r>
            <w:r w:rsidRPr="006069F6">
              <w:rPr>
                <w:rStyle w:val="Hyperlink"/>
                <w:rFonts w:ascii="Arial" w:hAnsi="Arial" w:cs="Arial"/>
                <w:noProof/>
              </w:rPr>
              <w:t>Factors That Can Influence the FDI</w:t>
            </w:r>
            <w:r>
              <w:rPr>
                <w:noProof/>
                <w:webHidden/>
              </w:rPr>
              <w:tab/>
            </w:r>
            <w:r>
              <w:rPr>
                <w:noProof/>
                <w:webHidden/>
              </w:rPr>
              <w:fldChar w:fldCharType="begin"/>
            </w:r>
            <w:r>
              <w:rPr>
                <w:noProof/>
                <w:webHidden/>
              </w:rPr>
              <w:instrText xml:space="preserve"> PAGEREF _Toc175675375 \h </w:instrText>
            </w:r>
            <w:r>
              <w:rPr>
                <w:noProof/>
                <w:webHidden/>
              </w:rPr>
            </w:r>
            <w:r>
              <w:rPr>
                <w:noProof/>
                <w:webHidden/>
              </w:rPr>
              <w:fldChar w:fldCharType="separate"/>
            </w:r>
            <w:r>
              <w:rPr>
                <w:noProof/>
                <w:webHidden/>
              </w:rPr>
              <w:t>54</w:t>
            </w:r>
            <w:r>
              <w:rPr>
                <w:noProof/>
                <w:webHidden/>
              </w:rPr>
              <w:fldChar w:fldCharType="end"/>
            </w:r>
          </w:hyperlink>
        </w:p>
        <w:p w14:paraId="227FD104" w14:textId="59B28A73"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76" w:history="1">
            <w:r w:rsidRPr="006069F6">
              <w:rPr>
                <w:rStyle w:val="Hyperlink"/>
                <w:rFonts w:ascii="Arial" w:hAnsi="Arial" w:cs="Arial"/>
                <w:noProof/>
              </w:rPr>
              <w:t>4.6.1</w:t>
            </w:r>
            <w:r>
              <w:rPr>
                <w:rFonts w:cstheme="minorBidi"/>
                <w:noProof/>
                <w:kern w:val="2"/>
                <w:sz w:val="24"/>
                <w:szCs w:val="24"/>
                <w14:ligatures w14:val="standardContextual"/>
              </w:rPr>
              <w:tab/>
            </w:r>
            <w:r w:rsidRPr="006069F6">
              <w:rPr>
                <w:rStyle w:val="Hyperlink"/>
                <w:rFonts w:ascii="Arial" w:hAnsi="Arial" w:cs="Arial"/>
                <w:noProof/>
              </w:rPr>
              <w:t>The Economic Condition Of The UK.</w:t>
            </w:r>
            <w:r>
              <w:rPr>
                <w:noProof/>
                <w:webHidden/>
              </w:rPr>
              <w:tab/>
            </w:r>
            <w:r>
              <w:rPr>
                <w:noProof/>
                <w:webHidden/>
              </w:rPr>
              <w:fldChar w:fldCharType="begin"/>
            </w:r>
            <w:r>
              <w:rPr>
                <w:noProof/>
                <w:webHidden/>
              </w:rPr>
              <w:instrText xml:space="preserve"> PAGEREF _Toc175675376 \h </w:instrText>
            </w:r>
            <w:r>
              <w:rPr>
                <w:noProof/>
                <w:webHidden/>
              </w:rPr>
            </w:r>
            <w:r>
              <w:rPr>
                <w:noProof/>
                <w:webHidden/>
              </w:rPr>
              <w:fldChar w:fldCharType="separate"/>
            </w:r>
            <w:r>
              <w:rPr>
                <w:noProof/>
                <w:webHidden/>
              </w:rPr>
              <w:t>54</w:t>
            </w:r>
            <w:r>
              <w:rPr>
                <w:noProof/>
                <w:webHidden/>
              </w:rPr>
              <w:fldChar w:fldCharType="end"/>
            </w:r>
          </w:hyperlink>
        </w:p>
        <w:p w14:paraId="1C823B0E" w14:textId="1F445A72"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77" w:history="1">
            <w:r w:rsidRPr="006069F6">
              <w:rPr>
                <w:rStyle w:val="Hyperlink"/>
                <w:rFonts w:ascii="Arial" w:hAnsi="Arial" w:cs="Arial"/>
                <w:noProof/>
              </w:rPr>
              <w:t>4.6.2</w:t>
            </w:r>
            <w:r>
              <w:rPr>
                <w:rFonts w:cstheme="minorBidi"/>
                <w:noProof/>
                <w:kern w:val="2"/>
                <w:sz w:val="24"/>
                <w:szCs w:val="24"/>
                <w14:ligatures w14:val="standardContextual"/>
              </w:rPr>
              <w:tab/>
            </w:r>
            <w:r w:rsidRPr="006069F6">
              <w:rPr>
                <w:rStyle w:val="Hyperlink"/>
                <w:rFonts w:ascii="Arial" w:hAnsi="Arial" w:cs="Arial"/>
                <w:noProof/>
              </w:rPr>
              <w:t>Political Stability</w:t>
            </w:r>
            <w:r>
              <w:rPr>
                <w:noProof/>
                <w:webHidden/>
              </w:rPr>
              <w:tab/>
            </w:r>
            <w:r>
              <w:rPr>
                <w:noProof/>
                <w:webHidden/>
              </w:rPr>
              <w:fldChar w:fldCharType="begin"/>
            </w:r>
            <w:r>
              <w:rPr>
                <w:noProof/>
                <w:webHidden/>
              </w:rPr>
              <w:instrText xml:space="preserve"> PAGEREF _Toc175675377 \h </w:instrText>
            </w:r>
            <w:r>
              <w:rPr>
                <w:noProof/>
                <w:webHidden/>
              </w:rPr>
            </w:r>
            <w:r>
              <w:rPr>
                <w:noProof/>
                <w:webHidden/>
              </w:rPr>
              <w:fldChar w:fldCharType="separate"/>
            </w:r>
            <w:r>
              <w:rPr>
                <w:noProof/>
                <w:webHidden/>
              </w:rPr>
              <w:t>56</w:t>
            </w:r>
            <w:r>
              <w:rPr>
                <w:noProof/>
                <w:webHidden/>
              </w:rPr>
              <w:fldChar w:fldCharType="end"/>
            </w:r>
          </w:hyperlink>
        </w:p>
        <w:p w14:paraId="4B204F31" w14:textId="62D9776E"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78" w:history="1">
            <w:r w:rsidRPr="006069F6">
              <w:rPr>
                <w:rStyle w:val="Hyperlink"/>
                <w:rFonts w:ascii="Arial" w:hAnsi="Arial" w:cs="Arial"/>
                <w:noProof/>
              </w:rPr>
              <w:t>4.6.3</w:t>
            </w:r>
            <w:r>
              <w:rPr>
                <w:rFonts w:cstheme="minorBidi"/>
                <w:noProof/>
                <w:kern w:val="2"/>
                <w:sz w:val="24"/>
                <w:szCs w:val="24"/>
                <w14:ligatures w14:val="standardContextual"/>
              </w:rPr>
              <w:tab/>
            </w:r>
            <w:r w:rsidRPr="006069F6">
              <w:rPr>
                <w:rStyle w:val="Hyperlink"/>
                <w:rFonts w:ascii="Arial" w:hAnsi="Arial" w:cs="Arial"/>
                <w:noProof/>
              </w:rPr>
              <w:t>Labour Market</w:t>
            </w:r>
            <w:r>
              <w:rPr>
                <w:noProof/>
                <w:webHidden/>
              </w:rPr>
              <w:tab/>
            </w:r>
            <w:r>
              <w:rPr>
                <w:noProof/>
                <w:webHidden/>
              </w:rPr>
              <w:fldChar w:fldCharType="begin"/>
            </w:r>
            <w:r>
              <w:rPr>
                <w:noProof/>
                <w:webHidden/>
              </w:rPr>
              <w:instrText xml:space="preserve"> PAGEREF _Toc175675378 \h </w:instrText>
            </w:r>
            <w:r>
              <w:rPr>
                <w:noProof/>
                <w:webHidden/>
              </w:rPr>
            </w:r>
            <w:r>
              <w:rPr>
                <w:noProof/>
                <w:webHidden/>
              </w:rPr>
              <w:fldChar w:fldCharType="separate"/>
            </w:r>
            <w:r>
              <w:rPr>
                <w:noProof/>
                <w:webHidden/>
              </w:rPr>
              <w:t>58</w:t>
            </w:r>
            <w:r>
              <w:rPr>
                <w:noProof/>
                <w:webHidden/>
              </w:rPr>
              <w:fldChar w:fldCharType="end"/>
            </w:r>
          </w:hyperlink>
        </w:p>
        <w:p w14:paraId="318AF31A" w14:textId="0FE66972"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79" w:history="1">
            <w:r w:rsidRPr="006069F6">
              <w:rPr>
                <w:rStyle w:val="Hyperlink"/>
                <w:rFonts w:ascii="Arial" w:hAnsi="Arial" w:cs="Arial"/>
                <w:noProof/>
              </w:rPr>
              <w:t>4.6.4</w:t>
            </w:r>
            <w:r>
              <w:rPr>
                <w:rFonts w:cstheme="minorBidi"/>
                <w:noProof/>
                <w:kern w:val="2"/>
                <w:sz w:val="24"/>
                <w:szCs w:val="24"/>
                <w14:ligatures w14:val="standardContextual"/>
              </w:rPr>
              <w:tab/>
            </w:r>
            <w:r w:rsidRPr="006069F6">
              <w:rPr>
                <w:rStyle w:val="Hyperlink"/>
                <w:rFonts w:ascii="Arial" w:hAnsi="Arial" w:cs="Arial"/>
                <w:noProof/>
              </w:rPr>
              <w:t>Technology and Infrastructure</w:t>
            </w:r>
            <w:r>
              <w:rPr>
                <w:noProof/>
                <w:webHidden/>
              </w:rPr>
              <w:tab/>
            </w:r>
            <w:r>
              <w:rPr>
                <w:noProof/>
                <w:webHidden/>
              </w:rPr>
              <w:fldChar w:fldCharType="begin"/>
            </w:r>
            <w:r>
              <w:rPr>
                <w:noProof/>
                <w:webHidden/>
              </w:rPr>
              <w:instrText xml:space="preserve"> PAGEREF _Toc175675379 \h </w:instrText>
            </w:r>
            <w:r>
              <w:rPr>
                <w:noProof/>
                <w:webHidden/>
              </w:rPr>
            </w:r>
            <w:r>
              <w:rPr>
                <w:noProof/>
                <w:webHidden/>
              </w:rPr>
              <w:fldChar w:fldCharType="separate"/>
            </w:r>
            <w:r>
              <w:rPr>
                <w:noProof/>
                <w:webHidden/>
              </w:rPr>
              <w:t>61</w:t>
            </w:r>
            <w:r>
              <w:rPr>
                <w:noProof/>
                <w:webHidden/>
              </w:rPr>
              <w:fldChar w:fldCharType="end"/>
            </w:r>
          </w:hyperlink>
        </w:p>
        <w:p w14:paraId="3A9D004A" w14:textId="502BA8E4"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80" w:history="1">
            <w:r w:rsidRPr="006069F6">
              <w:rPr>
                <w:rStyle w:val="Hyperlink"/>
                <w:rFonts w:ascii="Arial" w:hAnsi="Arial" w:cs="Arial"/>
                <w:noProof/>
              </w:rPr>
              <w:t>4.6.5</w:t>
            </w:r>
            <w:r>
              <w:rPr>
                <w:rFonts w:cstheme="minorBidi"/>
                <w:noProof/>
                <w:kern w:val="2"/>
                <w:sz w:val="24"/>
                <w:szCs w:val="24"/>
                <w14:ligatures w14:val="standardContextual"/>
              </w:rPr>
              <w:tab/>
            </w:r>
            <w:r w:rsidRPr="006069F6">
              <w:rPr>
                <w:rStyle w:val="Hyperlink"/>
                <w:rFonts w:ascii="Arial" w:hAnsi="Arial" w:cs="Arial"/>
                <w:noProof/>
              </w:rPr>
              <w:t>Analysis of our First Objective: Factors for FDI</w:t>
            </w:r>
            <w:r>
              <w:rPr>
                <w:noProof/>
                <w:webHidden/>
              </w:rPr>
              <w:tab/>
            </w:r>
            <w:r>
              <w:rPr>
                <w:noProof/>
                <w:webHidden/>
              </w:rPr>
              <w:fldChar w:fldCharType="begin"/>
            </w:r>
            <w:r>
              <w:rPr>
                <w:noProof/>
                <w:webHidden/>
              </w:rPr>
              <w:instrText xml:space="preserve"> PAGEREF _Toc175675380 \h </w:instrText>
            </w:r>
            <w:r>
              <w:rPr>
                <w:noProof/>
                <w:webHidden/>
              </w:rPr>
            </w:r>
            <w:r>
              <w:rPr>
                <w:noProof/>
                <w:webHidden/>
              </w:rPr>
              <w:fldChar w:fldCharType="separate"/>
            </w:r>
            <w:r>
              <w:rPr>
                <w:noProof/>
                <w:webHidden/>
              </w:rPr>
              <w:t>64</w:t>
            </w:r>
            <w:r>
              <w:rPr>
                <w:noProof/>
                <w:webHidden/>
              </w:rPr>
              <w:fldChar w:fldCharType="end"/>
            </w:r>
          </w:hyperlink>
        </w:p>
        <w:p w14:paraId="3420FA8A" w14:textId="163EA116" w:rsidR="002233BD" w:rsidRDefault="002233BD">
          <w:pPr>
            <w:pStyle w:val="TOC2"/>
            <w:tabs>
              <w:tab w:val="left" w:pos="960"/>
              <w:tab w:val="right" w:leader="dot" w:pos="9016"/>
            </w:tabs>
            <w:rPr>
              <w:noProof/>
              <w:kern w:val="2"/>
              <w:sz w:val="24"/>
              <w:szCs w:val="24"/>
              <w:lang w:eastAsia="en-GB"/>
              <w14:ligatures w14:val="standardContextual"/>
            </w:rPr>
          </w:pPr>
          <w:hyperlink w:anchor="_Toc175675381" w:history="1">
            <w:r w:rsidRPr="006069F6">
              <w:rPr>
                <w:rStyle w:val="Hyperlink"/>
                <w:rFonts w:ascii="Arial" w:hAnsi="Arial" w:cs="Arial"/>
                <w:noProof/>
              </w:rPr>
              <w:t>4.7</w:t>
            </w:r>
            <w:r>
              <w:rPr>
                <w:noProof/>
                <w:kern w:val="2"/>
                <w:sz w:val="24"/>
                <w:szCs w:val="24"/>
                <w:lang w:eastAsia="en-GB"/>
                <w14:ligatures w14:val="standardContextual"/>
              </w:rPr>
              <w:tab/>
            </w:r>
            <w:r w:rsidRPr="006069F6">
              <w:rPr>
                <w:rStyle w:val="Hyperlink"/>
                <w:rFonts w:ascii="Arial" w:hAnsi="Arial" w:cs="Arial"/>
                <w:noProof/>
              </w:rPr>
              <w:t>The impact of Brexit on FDI in the UK.</w:t>
            </w:r>
            <w:r>
              <w:rPr>
                <w:noProof/>
                <w:webHidden/>
              </w:rPr>
              <w:tab/>
            </w:r>
            <w:r>
              <w:rPr>
                <w:noProof/>
                <w:webHidden/>
              </w:rPr>
              <w:fldChar w:fldCharType="begin"/>
            </w:r>
            <w:r>
              <w:rPr>
                <w:noProof/>
                <w:webHidden/>
              </w:rPr>
              <w:instrText xml:space="preserve"> PAGEREF _Toc175675381 \h </w:instrText>
            </w:r>
            <w:r>
              <w:rPr>
                <w:noProof/>
                <w:webHidden/>
              </w:rPr>
            </w:r>
            <w:r>
              <w:rPr>
                <w:noProof/>
                <w:webHidden/>
              </w:rPr>
              <w:fldChar w:fldCharType="separate"/>
            </w:r>
            <w:r>
              <w:rPr>
                <w:noProof/>
                <w:webHidden/>
              </w:rPr>
              <w:t>65</w:t>
            </w:r>
            <w:r>
              <w:rPr>
                <w:noProof/>
                <w:webHidden/>
              </w:rPr>
              <w:fldChar w:fldCharType="end"/>
            </w:r>
          </w:hyperlink>
        </w:p>
        <w:p w14:paraId="703849EF" w14:textId="41F094BF"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82" w:history="1">
            <w:r w:rsidRPr="006069F6">
              <w:rPr>
                <w:rStyle w:val="Hyperlink"/>
                <w:rFonts w:ascii="Arial" w:hAnsi="Arial" w:cs="Arial"/>
                <w:noProof/>
              </w:rPr>
              <w:t>4.7.2</w:t>
            </w:r>
            <w:r>
              <w:rPr>
                <w:rFonts w:cstheme="minorBidi"/>
                <w:noProof/>
                <w:kern w:val="2"/>
                <w:sz w:val="24"/>
                <w:szCs w:val="24"/>
                <w14:ligatures w14:val="standardContextual"/>
              </w:rPr>
              <w:tab/>
            </w:r>
            <w:r w:rsidRPr="006069F6">
              <w:rPr>
                <w:rStyle w:val="Hyperlink"/>
                <w:rFonts w:ascii="Arial" w:hAnsi="Arial" w:cs="Arial"/>
                <w:noProof/>
              </w:rPr>
              <w:t>Analysis Of The Second Objective: Brexit Impact.</w:t>
            </w:r>
            <w:r>
              <w:rPr>
                <w:noProof/>
                <w:webHidden/>
              </w:rPr>
              <w:tab/>
            </w:r>
            <w:r>
              <w:rPr>
                <w:noProof/>
                <w:webHidden/>
              </w:rPr>
              <w:fldChar w:fldCharType="begin"/>
            </w:r>
            <w:r>
              <w:rPr>
                <w:noProof/>
                <w:webHidden/>
              </w:rPr>
              <w:instrText xml:space="preserve"> PAGEREF _Toc175675382 \h </w:instrText>
            </w:r>
            <w:r>
              <w:rPr>
                <w:noProof/>
                <w:webHidden/>
              </w:rPr>
            </w:r>
            <w:r>
              <w:rPr>
                <w:noProof/>
                <w:webHidden/>
              </w:rPr>
              <w:fldChar w:fldCharType="separate"/>
            </w:r>
            <w:r>
              <w:rPr>
                <w:noProof/>
                <w:webHidden/>
              </w:rPr>
              <w:t>68</w:t>
            </w:r>
            <w:r>
              <w:rPr>
                <w:noProof/>
                <w:webHidden/>
              </w:rPr>
              <w:fldChar w:fldCharType="end"/>
            </w:r>
          </w:hyperlink>
        </w:p>
        <w:p w14:paraId="3A7952CE" w14:textId="27370786" w:rsidR="002233BD" w:rsidRDefault="002233BD">
          <w:pPr>
            <w:pStyle w:val="TOC2"/>
            <w:tabs>
              <w:tab w:val="left" w:pos="960"/>
              <w:tab w:val="right" w:leader="dot" w:pos="9016"/>
            </w:tabs>
            <w:rPr>
              <w:noProof/>
              <w:kern w:val="2"/>
              <w:sz w:val="24"/>
              <w:szCs w:val="24"/>
              <w:lang w:eastAsia="en-GB"/>
              <w14:ligatures w14:val="standardContextual"/>
            </w:rPr>
          </w:pPr>
          <w:hyperlink w:anchor="_Toc175675383" w:history="1">
            <w:r w:rsidRPr="006069F6">
              <w:rPr>
                <w:rStyle w:val="Hyperlink"/>
                <w:rFonts w:ascii="Arial" w:hAnsi="Arial" w:cs="Arial"/>
                <w:noProof/>
              </w:rPr>
              <w:t>4.8</w:t>
            </w:r>
            <w:r>
              <w:rPr>
                <w:noProof/>
                <w:kern w:val="2"/>
                <w:sz w:val="24"/>
                <w:szCs w:val="24"/>
                <w:lang w:eastAsia="en-GB"/>
                <w14:ligatures w14:val="standardContextual"/>
              </w:rPr>
              <w:tab/>
            </w:r>
            <w:r w:rsidRPr="006069F6">
              <w:rPr>
                <w:rStyle w:val="Hyperlink"/>
                <w:rFonts w:ascii="Arial" w:hAnsi="Arial" w:cs="Arial"/>
                <w:noProof/>
              </w:rPr>
              <w:t>Impact of FDI on Economic Growth</w:t>
            </w:r>
            <w:r>
              <w:rPr>
                <w:noProof/>
                <w:webHidden/>
              </w:rPr>
              <w:tab/>
            </w:r>
            <w:r>
              <w:rPr>
                <w:noProof/>
                <w:webHidden/>
              </w:rPr>
              <w:fldChar w:fldCharType="begin"/>
            </w:r>
            <w:r>
              <w:rPr>
                <w:noProof/>
                <w:webHidden/>
              </w:rPr>
              <w:instrText xml:space="preserve"> PAGEREF _Toc175675383 \h </w:instrText>
            </w:r>
            <w:r>
              <w:rPr>
                <w:noProof/>
                <w:webHidden/>
              </w:rPr>
            </w:r>
            <w:r>
              <w:rPr>
                <w:noProof/>
                <w:webHidden/>
              </w:rPr>
              <w:fldChar w:fldCharType="separate"/>
            </w:r>
            <w:r>
              <w:rPr>
                <w:noProof/>
                <w:webHidden/>
              </w:rPr>
              <w:t>69</w:t>
            </w:r>
            <w:r>
              <w:rPr>
                <w:noProof/>
                <w:webHidden/>
              </w:rPr>
              <w:fldChar w:fldCharType="end"/>
            </w:r>
          </w:hyperlink>
        </w:p>
        <w:p w14:paraId="5B6A81C6" w14:textId="1B8BF8CC"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84" w:history="1">
            <w:r w:rsidRPr="006069F6">
              <w:rPr>
                <w:rStyle w:val="Hyperlink"/>
                <w:rFonts w:ascii="Arial" w:hAnsi="Arial" w:cs="Arial"/>
                <w:noProof/>
              </w:rPr>
              <w:t>4.8.1</w:t>
            </w:r>
            <w:r>
              <w:rPr>
                <w:rFonts w:cstheme="minorBidi"/>
                <w:noProof/>
                <w:kern w:val="2"/>
                <w:sz w:val="24"/>
                <w:szCs w:val="24"/>
                <w14:ligatures w14:val="standardContextual"/>
              </w:rPr>
              <w:tab/>
            </w:r>
            <w:r w:rsidRPr="006069F6">
              <w:rPr>
                <w:rStyle w:val="Hyperlink"/>
                <w:rFonts w:ascii="Arial" w:hAnsi="Arial" w:cs="Arial"/>
                <w:noProof/>
              </w:rPr>
              <w:t>GDP Growth</w:t>
            </w:r>
            <w:r>
              <w:rPr>
                <w:noProof/>
                <w:webHidden/>
              </w:rPr>
              <w:tab/>
            </w:r>
            <w:r>
              <w:rPr>
                <w:noProof/>
                <w:webHidden/>
              </w:rPr>
              <w:fldChar w:fldCharType="begin"/>
            </w:r>
            <w:r>
              <w:rPr>
                <w:noProof/>
                <w:webHidden/>
              </w:rPr>
              <w:instrText xml:space="preserve"> PAGEREF _Toc175675384 \h </w:instrText>
            </w:r>
            <w:r>
              <w:rPr>
                <w:noProof/>
                <w:webHidden/>
              </w:rPr>
            </w:r>
            <w:r>
              <w:rPr>
                <w:noProof/>
                <w:webHidden/>
              </w:rPr>
              <w:fldChar w:fldCharType="separate"/>
            </w:r>
            <w:r>
              <w:rPr>
                <w:noProof/>
                <w:webHidden/>
              </w:rPr>
              <w:t>70</w:t>
            </w:r>
            <w:r>
              <w:rPr>
                <w:noProof/>
                <w:webHidden/>
              </w:rPr>
              <w:fldChar w:fldCharType="end"/>
            </w:r>
          </w:hyperlink>
        </w:p>
        <w:p w14:paraId="20017A13" w14:textId="68D4B9FE"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85" w:history="1">
            <w:r w:rsidRPr="006069F6">
              <w:rPr>
                <w:rStyle w:val="Hyperlink"/>
                <w:rFonts w:ascii="Arial" w:hAnsi="Arial" w:cs="Arial"/>
                <w:noProof/>
              </w:rPr>
              <w:t>4.8.2</w:t>
            </w:r>
            <w:r>
              <w:rPr>
                <w:rFonts w:cstheme="minorBidi"/>
                <w:noProof/>
                <w:kern w:val="2"/>
                <w:sz w:val="24"/>
                <w:szCs w:val="24"/>
                <w14:ligatures w14:val="standardContextual"/>
              </w:rPr>
              <w:tab/>
            </w:r>
            <w:r w:rsidRPr="006069F6">
              <w:rPr>
                <w:rStyle w:val="Hyperlink"/>
                <w:rFonts w:ascii="Arial" w:hAnsi="Arial" w:cs="Arial"/>
                <w:noProof/>
              </w:rPr>
              <w:t>Employment Rate</w:t>
            </w:r>
            <w:r>
              <w:rPr>
                <w:noProof/>
                <w:webHidden/>
              </w:rPr>
              <w:tab/>
            </w:r>
            <w:r>
              <w:rPr>
                <w:noProof/>
                <w:webHidden/>
              </w:rPr>
              <w:fldChar w:fldCharType="begin"/>
            </w:r>
            <w:r>
              <w:rPr>
                <w:noProof/>
                <w:webHidden/>
              </w:rPr>
              <w:instrText xml:space="preserve"> PAGEREF _Toc175675385 \h </w:instrText>
            </w:r>
            <w:r>
              <w:rPr>
                <w:noProof/>
                <w:webHidden/>
              </w:rPr>
            </w:r>
            <w:r>
              <w:rPr>
                <w:noProof/>
                <w:webHidden/>
              </w:rPr>
              <w:fldChar w:fldCharType="separate"/>
            </w:r>
            <w:r>
              <w:rPr>
                <w:noProof/>
                <w:webHidden/>
              </w:rPr>
              <w:t>70</w:t>
            </w:r>
            <w:r>
              <w:rPr>
                <w:noProof/>
                <w:webHidden/>
              </w:rPr>
              <w:fldChar w:fldCharType="end"/>
            </w:r>
          </w:hyperlink>
        </w:p>
        <w:p w14:paraId="73B4E904" w14:textId="3B9B0C53"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86" w:history="1">
            <w:r w:rsidRPr="006069F6">
              <w:rPr>
                <w:rStyle w:val="Hyperlink"/>
                <w:rFonts w:ascii="Arial" w:hAnsi="Arial" w:cs="Arial"/>
                <w:noProof/>
              </w:rPr>
              <w:t>4.8.3</w:t>
            </w:r>
            <w:r>
              <w:rPr>
                <w:rFonts w:cstheme="minorBidi"/>
                <w:noProof/>
                <w:kern w:val="2"/>
                <w:sz w:val="24"/>
                <w:szCs w:val="24"/>
                <w14:ligatures w14:val="standardContextual"/>
              </w:rPr>
              <w:tab/>
            </w:r>
            <w:r w:rsidRPr="006069F6">
              <w:rPr>
                <w:rStyle w:val="Hyperlink"/>
                <w:rFonts w:ascii="Arial" w:hAnsi="Arial" w:cs="Arial"/>
                <w:noProof/>
              </w:rPr>
              <w:t>Impact of FDI on the Local Community</w:t>
            </w:r>
            <w:r>
              <w:rPr>
                <w:noProof/>
                <w:webHidden/>
              </w:rPr>
              <w:tab/>
            </w:r>
            <w:r>
              <w:rPr>
                <w:noProof/>
                <w:webHidden/>
              </w:rPr>
              <w:fldChar w:fldCharType="begin"/>
            </w:r>
            <w:r>
              <w:rPr>
                <w:noProof/>
                <w:webHidden/>
              </w:rPr>
              <w:instrText xml:space="preserve"> PAGEREF _Toc175675386 \h </w:instrText>
            </w:r>
            <w:r>
              <w:rPr>
                <w:noProof/>
                <w:webHidden/>
              </w:rPr>
            </w:r>
            <w:r>
              <w:rPr>
                <w:noProof/>
                <w:webHidden/>
              </w:rPr>
              <w:fldChar w:fldCharType="separate"/>
            </w:r>
            <w:r>
              <w:rPr>
                <w:noProof/>
                <w:webHidden/>
              </w:rPr>
              <w:t>71</w:t>
            </w:r>
            <w:r>
              <w:rPr>
                <w:noProof/>
                <w:webHidden/>
              </w:rPr>
              <w:fldChar w:fldCharType="end"/>
            </w:r>
          </w:hyperlink>
        </w:p>
        <w:p w14:paraId="7E5C2E8B" w14:textId="421D059C"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87" w:history="1">
            <w:r w:rsidRPr="006069F6">
              <w:rPr>
                <w:rStyle w:val="Hyperlink"/>
                <w:rFonts w:ascii="Arial" w:hAnsi="Arial" w:cs="Arial"/>
                <w:noProof/>
              </w:rPr>
              <w:t>4.8.4</w:t>
            </w:r>
            <w:r>
              <w:rPr>
                <w:rFonts w:cstheme="minorBidi"/>
                <w:noProof/>
                <w:kern w:val="2"/>
                <w:sz w:val="24"/>
                <w:szCs w:val="24"/>
                <w14:ligatures w14:val="standardContextual"/>
              </w:rPr>
              <w:tab/>
            </w:r>
            <w:r w:rsidRPr="006069F6">
              <w:rPr>
                <w:rStyle w:val="Hyperlink"/>
                <w:rFonts w:ascii="Arial" w:hAnsi="Arial" w:cs="Arial"/>
                <w:noProof/>
              </w:rPr>
              <w:t>Future FDI Projects.</w:t>
            </w:r>
            <w:r>
              <w:rPr>
                <w:noProof/>
                <w:webHidden/>
              </w:rPr>
              <w:tab/>
            </w:r>
            <w:r>
              <w:rPr>
                <w:noProof/>
                <w:webHidden/>
              </w:rPr>
              <w:fldChar w:fldCharType="begin"/>
            </w:r>
            <w:r>
              <w:rPr>
                <w:noProof/>
                <w:webHidden/>
              </w:rPr>
              <w:instrText xml:space="preserve"> PAGEREF _Toc175675387 \h </w:instrText>
            </w:r>
            <w:r>
              <w:rPr>
                <w:noProof/>
                <w:webHidden/>
              </w:rPr>
            </w:r>
            <w:r>
              <w:rPr>
                <w:noProof/>
                <w:webHidden/>
              </w:rPr>
              <w:fldChar w:fldCharType="separate"/>
            </w:r>
            <w:r>
              <w:rPr>
                <w:noProof/>
                <w:webHidden/>
              </w:rPr>
              <w:t>72</w:t>
            </w:r>
            <w:r>
              <w:rPr>
                <w:noProof/>
                <w:webHidden/>
              </w:rPr>
              <w:fldChar w:fldCharType="end"/>
            </w:r>
          </w:hyperlink>
        </w:p>
        <w:p w14:paraId="31728082" w14:textId="2526D851" w:rsidR="002233BD" w:rsidRDefault="002233BD">
          <w:pPr>
            <w:pStyle w:val="TOC3"/>
            <w:tabs>
              <w:tab w:val="left" w:pos="1200"/>
              <w:tab w:val="right" w:leader="dot" w:pos="9016"/>
            </w:tabs>
            <w:rPr>
              <w:rFonts w:cstheme="minorBidi"/>
              <w:noProof/>
              <w:kern w:val="2"/>
              <w:sz w:val="24"/>
              <w:szCs w:val="24"/>
              <w14:ligatures w14:val="standardContextual"/>
            </w:rPr>
          </w:pPr>
          <w:hyperlink w:anchor="_Toc175675388" w:history="1">
            <w:r w:rsidRPr="006069F6">
              <w:rPr>
                <w:rStyle w:val="Hyperlink"/>
                <w:rFonts w:ascii="Arial" w:hAnsi="Arial" w:cs="Arial"/>
                <w:noProof/>
              </w:rPr>
              <w:t>4.8.5</w:t>
            </w:r>
            <w:r>
              <w:rPr>
                <w:rFonts w:cstheme="minorBidi"/>
                <w:noProof/>
                <w:kern w:val="2"/>
                <w:sz w:val="24"/>
                <w:szCs w:val="24"/>
                <w14:ligatures w14:val="standardContextual"/>
              </w:rPr>
              <w:tab/>
            </w:r>
            <w:r w:rsidRPr="006069F6">
              <w:rPr>
                <w:rStyle w:val="Hyperlink"/>
                <w:rFonts w:ascii="Arial" w:hAnsi="Arial" w:cs="Arial"/>
                <w:noProof/>
              </w:rPr>
              <w:t>FDI Impact On The Environment - Green investment.</w:t>
            </w:r>
            <w:r>
              <w:rPr>
                <w:noProof/>
                <w:webHidden/>
              </w:rPr>
              <w:tab/>
            </w:r>
            <w:r>
              <w:rPr>
                <w:noProof/>
                <w:webHidden/>
              </w:rPr>
              <w:fldChar w:fldCharType="begin"/>
            </w:r>
            <w:r>
              <w:rPr>
                <w:noProof/>
                <w:webHidden/>
              </w:rPr>
              <w:instrText xml:space="preserve"> PAGEREF _Toc175675388 \h </w:instrText>
            </w:r>
            <w:r>
              <w:rPr>
                <w:noProof/>
                <w:webHidden/>
              </w:rPr>
            </w:r>
            <w:r>
              <w:rPr>
                <w:noProof/>
                <w:webHidden/>
              </w:rPr>
              <w:fldChar w:fldCharType="separate"/>
            </w:r>
            <w:r>
              <w:rPr>
                <w:noProof/>
                <w:webHidden/>
              </w:rPr>
              <w:t>72</w:t>
            </w:r>
            <w:r>
              <w:rPr>
                <w:noProof/>
                <w:webHidden/>
              </w:rPr>
              <w:fldChar w:fldCharType="end"/>
            </w:r>
          </w:hyperlink>
        </w:p>
        <w:p w14:paraId="10B8D85E" w14:textId="11C8AA9E" w:rsidR="002233BD" w:rsidRDefault="002233BD">
          <w:pPr>
            <w:pStyle w:val="TOC2"/>
            <w:tabs>
              <w:tab w:val="left" w:pos="960"/>
              <w:tab w:val="right" w:leader="dot" w:pos="9016"/>
            </w:tabs>
            <w:rPr>
              <w:noProof/>
              <w:kern w:val="2"/>
              <w:sz w:val="24"/>
              <w:szCs w:val="24"/>
              <w:lang w:eastAsia="en-GB"/>
              <w14:ligatures w14:val="standardContextual"/>
            </w:rPr>
          </w:pPr>
          <w:hyperlink w:anchor="_Toc175675389" w:history="1">
            <w:r w:rsidRPr="006069F6">
              <w:rPr>
                <w:rStyle w:val="Hyperlink"/>
                <w:rFonts w:ascii="Arial" w:hAnsi="Arial" w:cs="Arial"/>
                <w:noProof/>
                <w:shd w:val="clear" w:color="auto" w:fill="FFFFFF"/>
              </w:rPr>
              <w:t>4.9</w:t>
            </w:r>
            <w:r>
              <w:rPr>
                <w:noProof/>
                <w:kern w:val="2"/>
                <w:sz w:val="24"/>
                <w:szCs w:val="24"/>
                <w:lang w:eastAsia="en-GB"/>
                <w14:ligatures w14:val="standardContextual"/>
              </w:rPr>
              <w:tab/>
            </w:r>
            <w:r w:rsidRPr="006069F6">
              <w:rPr>
                <w:rStyle w:val="Hyperlink"/>
                <w:rFonts w:ascii="Arial" w:hAnsi="Arial" w:cs="Arial"/>
                <w:noProof/>
                <w:shd w:val="clear" w:color="auto" w:fill="FFFFFF"/>
              </w:rPr>
              <w:t>Chapter Summary:</w:t>
            </w:r>
            <w:r>
              <w:rPr>
                <w:noProof/>
                <w:webHidden/>
              </w:rPr>
              <w:tab/>
            </w:r>
            <w:r>
              <w:rPr>
                <w:noProof/>
                <w:webHidden/>
              </w:rPr>
              <w:fldChar w:fldCharType="begin"/>
            </w:r>
            <w:r>
              <w:rPr>
                <w:noProof/>
                <w:webHidden/>
              </w:rPr>
              <w:instrText xml:space="preserve"> PAGEREF _Toc175675389 \h </w:instrText>
            </w:r>
            <w:r>
              <w:rPr>
                <w:noProof/>
                <w:webHidden/>
              </w:rPr>
            </w:r>
            <w:r>
              <w:rPr>
                <w:noProof/>
                <w:webHidden/>
              </w:rPr>
              <w:fldChar w:fldCharType="separate"/>
            </w:r>
            <w:r>
              <w:rPr>
                <w:noProof/>
                <w:webHidden/>
              </w:rPr>
              <w:t>73</w:t>
            </w:r>
            <w:r>
              <w:rPr>
                <w:noProof/>
                <w:webHidden/>
              </w:rPr>
              <w:fldChar w:fldCharType="end"/>
            </w:r>
          </w:hyperlink>
        </w:p>
        <w:p w14:paraId="1E513929" w14:textId="5C29BE7E" w:rsidR="002233BD" w:rsidRDefault="002233BD">
          <w:pPr>
            <w:pStyle w:val="TOC1"/>
            <w:tabs>
              <w:tab w:val="right" w:leader="dot" w:pos="9016"/>
            </w:tabs>
            <w:rPr>
              <w:noProof/>
              <w:kern w:val="2"/>
              <w:sz w:val="24"/>
              <w:szCs w:val="24"/>
              <w:lang w:eastAsia="en-GB"/>
              <w14:ligatures w14:val="standardContextual"/>
            </w:rPr>
          </w:pPr>
          <w:hyperlink w:anchor="_Toc175675390" w:history="1">
            <w:r w:rsidRPr="006069F6">
              <w:rPr>
                <w:rStyle w:val="Hyperlink"/>
                <w:rFonts w:ascii="Arial" w:hAnsi="Arial" w:cs="Arial"/>
                <w:b/>
                <w:bCs/>
                <w:noProof/>
              </w:rPr>
              <w:t>Chapter 5. Conclusion</w:t>
            </w:r>
            <w:r>
              <w:rPr>
                <w:noProof/>
                <w:webHidden/>
              </w:rPr>
              <w:tab/>
            </w:r>
            <w:r>
              <w:rPr>
                <w:noProof/>
                <w:webHidden/>
              </w:rPr>
              <w:fldChar w:fldCharType="begin"/>
            </w:r>
            <w:r>
              <w:rPr>
                <w:noProof/>
                <w:webHidden/>
              </w:rPr>
              <w:instrText xml:space="preserve"> PAGEREF _Toc175675390 \h </w:instrText>
            </w:r>
            <w:r>
              <w:rPr>
                <w:noProof/>
                <w:webHidden/>
              </w:rPr>
            </w:r>
            <w:r>
              <w:rPr>
                <w:noProof/>
                <w:webHidden/>
              </w:rPr>
              <w:fldChar w:fldCharType="separate"/>
            </w:r>
            <w:r>
              <w:rPr>
                <w:noProof/>
                <w:webHidden/>
              </w:rPr>
              <w:t>74</w:t>
            </w:r>
            <w:r>
              <w:rPr>
                <w:noProof/>
                <w:webHidden/>
              </w:rPr>
              <w:fldChar w:fldCharType="end"/>
            </w:r>
          </w:hyperlink>
        </w:p>
        <w:p w14:paraId="2D0A976A" w14:textId="4CA11BDA" w:rsidR="002233BD" w:rsidRDefault="002233BD">
          <w:pPr>
            <w:pStyle w:val="TOC2"/>
            <w:tabs>
              <w:tab w:val="left" w:pos="960"/>
              <w:tab w:val="right" w:leader="dot" w:pos="9016"/>
            </w:tabs>
            <w:rPr>
              <w:noProof/>
              <w:kern w:val="2"/>
              <w:sz w:val="24"/>
              <w:szCs w:val="24"/>
              <w:lang w:eastAsia="en-GB"/>
              <w14:ligatures w14:val="standardContextual"/>
            </w:rPr>
          </w:pPr>
          <w:hyperlink w:anchor="_Toc175675391" w:history="1">
            <w:r w:rsidRPr="006069F6">
              <w:rPr>
                <w:rStyle w:val="Hyperlink"/>
                <w:noProof/>
              </w:rPr>
              <w:t>5.1</w:t>
            </w:r>
            <w:r>
              <w:rPr>
                <w:noProof/>
                <w:kern w:val="2"/>
                <w:sz w:val="24"/>
                <w:szCs w:val="24"/>
                <w:lang w:eastAsia="en-GB"/>
                <w14:ligatures w14:val="standardContextual"/>
              </w:rPr>
              <w:tab/>
            </w:r>
            <w:r w:rsidRPr="006069F6">
              <w:rPr>
                <w:rStyle w:val="Hyperlink"/>
                <w:noProof/>
              </w:rPr>
              <w:t>Summary of Main Findings</w:t>
            </w:r>
            <w:r>
              <w:rPr>
                <w:noProof/>
                <w:webHidden/>
              </w:rPr>
              <w:tab/>
            </w:r>
            <w:r>
              <w:rPr>
                <w:noProof/>
                <w:webHidden/>
              </w:rPr>
              <w:fldChar w:fldCharType="begin"/>
            </w:r>
            <w:r>
              <w:rPr>
                <w:noProof/>
                <w:webHidden/>
              </w:rPr>
              <w:instrText xml:space="preserve"> PAGEREF _Toc175675391 \h </w:instrText>
            </w:r>
            <w:r>
              <w:rPr>
                <w:noProof/>
                <w:webHidden/>
              </w:rPr>
            </w:r>
            <w:r>
              <w:rPr>
                <w:noProof/>
                <w:webHidden/>
              </w:rPr>
              <w:fldChar w:fldCharType="separate"/>
            </w:r>
            <w:r>
              <w:rPr>
                <w:noProof/>
                <w:webHidden/>
              </w:rPr>
              <w:t>74</w:t>
            </w:r>
            <w:r>
              <w:rPr>
                <w:noProof/>
                <w:webHidden/>
              </w:rPr>
              <w:fldChar w:fldCharType="end"/>
            </w:r>
          </w:hyperlink>
        </w:p>
        <w:p w14:paraId="0A5F75DC" w14:textId="6D327069" w:rsidR="002233BD" w:rsidRDefault="002233BD">
          <w:pPr>
            <w:pStyle w:val="TOC2"/>
            <w:tabs>
              <w:tab w:val="left" w:pos="960"/>
              <w:tab w:val="right" w:leader="dot" w:pos="9016"/>
            </w:tabs>
            <w:rPr>
              <w:noProof/>
              <w:kern w:val="2"/>
              <w:sz w:val="24"/>
              <w:szCs w:val="24"/>
              <w:lang w:eastAsia="en-GB"/>
              <w14:ligatures w14:val="standardContextual"/>
            </w:rPr>
          </w:pPr>
          <w:hyperlink w:anchor="_Toc175675392" w:history="1">
            <w:r w:rsidRPr="006069F6">
              <w:rPr>
                <w:rStyle w:val="Hyperlink"/>
                <w:noProof/>
              </w:rPr>
              <w:t>5.2</w:t>
            </w:r>
            <w:r>
              <w:rPr>
                <w:noProof/>
                <w:kern w:val="2"/>
                <w:sz w:val="24"/>
                <w:szCs w:val="24"/>
                <w:lang w:eastAsia="en-GB"/>
                <w14:ligatures w14:val="standardContextual"/>
              </w:rPr>
              <w:tab/>
            </w:r>
            <w:r w:rsidRPr="006069F6">
              <w:rPr>
                <w:rStyle w:val="Hyperlink"/>
                <w:noProof/>
              </w:rPr>
              <w:t>Conclusion.</w:t>
            </w:r>
            <w:r>
              <w:rPr>
                <w:noProof/>
                <w:webHidden/>
              </w:rPr>
              <w:tab/>
            </w:r>
            <w:r>
              <w:rPr>
                <w:noProof/>
                <w:webHidden/>
              </w:rPr>
              <w:fldChar w:fldCharType="begin"/>
            </w:r>
            <w:r>
              <w:rPr>
                <w:noProof/>
                <w:webHidden/>
              </w:rPr>
              <w:instrText xml:space="preserve"> PAGEREF _Toc175675392 \h </w:instrText>
            </w:r>
            <w:r>
              <w:rPr>
                <w:noProof/>
                <w:webHidden/>
              </w:rPr>
            </w:r>
            <w:r>
              <w:rPr>
                <w:noProof/>
                <w:webHidden/>
              </w:rPr>
              <w:fldChar w:fldCharType="separate"/>
            </w:r>
            <w:r>
              <w:rPr>
                <w:noProof/>
                <w:webHidden/>
              </w:rPr>
              <w:t>74</w:t>
            </w:r>
            <w:r>
              <w:rPr>
                <w:noProof/>
                <w:webHidden/>
              </w:rPr>
              <w:fldChar w:fldCharType="end"/>
            </w:r>
          </w:hyperlink>
        </w:p>
        <w:p w14:paraId="0B391CD1" w14:textId="0F6E09CE" w:rsidR="002233BD" w:rsidRDefault="002233BD">
          <w:pPr>
            <w:pStyle w:val="TOC2"/>
            <w:tabs>
              <w:tab w:val="left" w:pos="960"/>
              <w:tab w:val="right" w:leader="dot" w:pos="9016"/>
            </w:tabs>
            <w:rPr>
              <w:noProof/>
              <w:kern w:val="2"/>
              <w:sz w:val="24"/>
              <w:szCs w:val="24"/>
              <w:lang w:eastAsia="en-GB"/>
              <w14:ligatures w14:val="standardContextual"/>
            </w:rPr>
          </w:pPr>
          <w:hyperlink w:anchor="_Toc175675393" w:history="1">
            <w:r w:rsidRPr="006069F6">
              <w:rPr>
                <w:rStyle w:val="Hyperlink"/>
                <w:rFonts w:ascii="Arial" w:hAnsi="Arial" w:cs="Arial"/>
                <w:noProof/>
              </w:rPr>
              <w:t>5.3</w:t>
            </w:r>
            <w:r>
              <w:rPr>
                <w:noProof/>
                <w:kern w:val="2"/>
                <w:sz w:val="24"/>
                <w:szCs w:val="24"/>
                <w:lang w:eastAsia="en-GB"/>
                <w14:ligatures w14:val="standardContextual"/>
              </w:rPr>
              <w:tab/>
            </w:r>
            <w:r w:rsidRPr="006069F6">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_Toc175675393 \h </w:instrText>
            </w:r>
            <w:r>
              <w:rPr>
                <w:noProof/>
                <w:webHidden/>
              </w:rPr>
            </w:r>
            <w:r>
              <w:rPr>
                <w:noProof/>
                <w:webHidden/>
              </w:rPr>
              <w:fldChar w:fldCharType="separate"/>
            </w:r>
            <w:r>
              <w:rPr>
                <w:noProof/>
                <w:webHidden/>
              </w:rPr>
              <w:t>76</w:t>
            </w:r>
            <w:r>
              <w:rPr>
                <w:noProof/>
                <w:webHidden/>
              </w:rPr>
              <w:fldChar w:fldCharType="end"/>
            </w:r>
          </w:hyperlink>
        </w:p>
        <w:p w14:paraId="291331A1" w14:textId="7C135496" w:rsidR="002233BD" w:rsidRDefault="002233BD">
          <w:pPr>
            <w:pStyle w:val="TOC2"/>
            <w:tabs>
              <w:tab w:val="left" w:pos="960"/>
              <w:tab w:val="right" w:leader="dot" w:pos="9016"/>
            </w:tabs>
            <w:rPr>
              <w:noProof/>
              <w:kern w:val="2"/>
              <w:sz w:val="24"/>
              <w:szCs w:val="24"/>
              <w:lang w:eastAsia="en-GB"/>
              <w14:ligatures w14:val="standardContextual"/>
            </w:rPr>
          </w:pPr>
          <w:hyperlink w:anchor="_Toc175675394" w:history="1">
            <w:r w:rsidRPr="006069F6">
              <w:rPr>
                <w:rStyle w:val="Hyperlink"/>
                <w:rFonts w:ascii="Arial" w:hAnsi="Arial" w:cs="Arial"/>
                <w:noProof/>
              </w:rPr>
              <w:t>5.4</w:t>
            </w:r>
            <w:r>
              <w:rPr>
                <w:noProof/>
                <w:kern w:val="2"/>
                <w:sz w:val="24"/>
                <w:szCs w:val="24"/>
                <w:lang w:eastAsia="en-GB"/>
                <w14:ligatures w14:val="standardContextual"/>
              </w:rPr>
              <w:tab/>
            </w:r>
            <w:r w:rsidRPr="006069F6">
              <w:rPr>
                <w:rStyle w:val="Hyperlink"/>
                <w:rFonts w:ascii="Arial" w:hAnsi="Arial" w:cs="Arial"/>
                <w:noProof/>
              </w:rPr>
              <w:t>Future Research</w:t>
            </w:r>
            <w:r>
              <w:rPr>
                <w:noProof/>
                <w:webHidden/>
              </w:rPr>
              <w:tab/>
            </w:r>
            <w:r>
              <w:rPr>
                <w:noProof/>
                <w:webHidden/>
              </w:rPr>
              <w:fldChar w:fldCharType="begin"/>
            </w:r>
            <w:r>
              <w:rPr>
                <w:noProof/>
                <w:webHidden/>
              </w:rPr>
              <w:instrText xml:space="preserve"> PAGEREF _Toc175675394 \h </w:instrText>
            </w:r>
            <w:r>
              <w:rPr>
                <w:noProof/>
                <w:webHidden/>
              </w:rPr>
            </w:r>
            <w:r>
              <w:rPr>
                <w:noProof/>
                <w:webHidden/>
              </w:rPr>
              <w:fldChar w:fldCharType="separate"/>
            </w:r>
            <w:r>
              <w:rPr>
                <w:noProof/>
                <w:webHidden/>
              </w:rPr>
              <w:t>77</w:t>
            </w:r>
            <w:r>
              <w:rPr>
                <w:noProof/>
                <w:webHidden/>
              </w:rPr>
              <w:fldChar w:fldCharType="end"/>
            </w:r>
          </w:hyperlink>
        </w:p>
        <w:p w14:paraId="6063ADB3" w14:textId="1A77454A" w:rsidR="002233BD" w:rsidRDefault="002233BD">
          <w:pPr>
            <w:pStyle w:val="TOC1"/>
            <w:tabs>
              <w:tab w:val="right" w:leader="dot" w:pos="9016"/>
            </w:tabs>
            <w:rPr>
              <w:noProof/>
              <w:kern w:val="2"/>
              <w:sz w:val="24"/>
              <w:szCs w:val="24"/>
              <w:lang w:eastAsia="en-GB"/>
              <w14:ligatures w14:val="standardContextual"/>
            </w:rPr>
          </w:pPr>
          <w:hyperlink w:anchor="_Toc175675395" w:history="1">
            <w:r w:rsidRPr="006069F6">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_Toc175675395 \h </w:instrText>
            </w:r>
            <w:r>
              <w:rPr>
                <w:noProof/>
                <w:webHidden/>
              </w:rPr>
            </w:r>
            <w:r>
              <w:rPr>
                <w:noProof/>
                <w:webHidden/>
              </w:rPr>
              <w:fldChar w:fldCharType="separate"/>
            </w:r>
            <w:r>
              <w:rPr>
                <w:noProof/>
                <w:webHidden/>
              </w:rPr>
              <w:t>78</w:t>
            </w:r>
            <w:r>
              <w:rPr>
                <w:noProof/>
                <w:webHidden/>
              </w:rPr>
              <w:fldChar w:fldCharType="end"/>
            </w:r>
          </w:hyperlink>
        </w:p>
        <w:p w14:paraId="1F02797B" w14:textId="6B0B9F6A" w:rsidR="003F68BF" w:rsidRPr="004A73C1" w:rsidRDefault="003F68BF">
          <w:pPr>
            <w:rPr>
              <w:rFonts w:ascii="Arial" w:hAnsi="Arial" w:cs="Arial"/>
            </w:rPr>
          </w:pPr>
          <w:r w:rsidRPr="004A73C1">
            <w:rPr>
              <w:rFonts w:ascii="Arial" w:hAnsi="Arial" w:cs="Arial"/>
              <w:b/>
              <w:bCs/>
              <w:sz w:val="18"/>
              <w:szCs w:val="18"/>
            </w:rPr>
            <w:fldChar w:fldCharType="end"/>
          </w:r>
        </w:p>
      </w:sdtContent>
    </w:sdt>
    <w:p w14:paraId="145B6D20" w14:textId="77777777" w:rsidR="00FF2777" w:rsidRPr="004A73C1" w:rsidRDefault="00FF2777" w:rsidP="00EF2E34">
      <w:pPr>
        <w:spacing w:line="360" w:lineRule="auto"/>
        <w:jc w:val="both"/>
        <w:rPr>
          <w:rFonts w:ascii="Arial" w:eastAsia="Arial Unicode MS" w:hAnsi="Arial" w:cs="Arial"/>
          <w:color w:val="276E8B" w:themeColor="accent1" w:themeShade="BF"/>
          <w:sz w:val="40"/>
          <w:szCs w:val="40"/>
        </w:rPr>
      </w:pPr>
      <w:r w:rsidRPr="004A73C1">
        <w:rPr>
          <w:rFonts w:ascii="Arial" w:eastAsia="Arial Unicode MS" w:hAnsi="Arial" w:cs="Arial"/>
        </w:rPr>
        <w:br w:type="page"/>
      </w:r>
    </w:p>
    <w:p w14:paraId="76E43657" w14:textId="7CD81900" w:rsidR="001C79B1" w:rsidRPr="004A73C1" w:rsidRDefault="00E11091" w:rsidP="00EF2E34">
      <w:pPr>
        <w:pStyle w:val="Heading1"/>
        <w:spacing w:line="360" w:lineRule="auto"/>
        <w:rPr>
          <w:rFonts w:ascii="Arial" w:hAnsi="Arial" w:cs="Arial"/>
          <w:b/>
          <w:bCs/>
          <w:color w:val="002060"/>
          <w:sz w:val="28"/>
          <w:szCs w:val="28"/>
        </w:rPr>
      </w:pPr>
      <w:bookmarkStart w:id="4" w:name="_Toc175056427"/>
      <w:bookmarkStart w:id="5" w:name="_Toc175675315"/>
      <w:r w:rsidRPr="004A73C1">
        <w:rPr>
          <w:rFonts w:ascii="Arial" w:hAnsi="Arial" w:cs="Arial"/>
          <w:b/>
          <w:bCs/>
          <w:color w:val="002060"/>
          <w:sz w:val="28"/>
          <w:szCs w:val="28"/>
        </w:rPr>
        <w:lastRenderedPageBreak/>
        <w:t>Chapter No 1. Introduction, Aims and Objectives</w:t>
      </w:r>
      <w:bookmarkEnd w:id="4"/>
      <w:bookmarkEnd w:id="5"/>
    </w:p>
    <w:p w14:paraId="47A54439" w14:textId="12485513" w:rsidR="00E11091" w:rsidRPr="004A73C1" w:rsidRDefault="00000000" w:rsidP="00EF2E34">
      <w:pPr>
        <w:spacing w:line="360" w:lineRule="auto"/>
        <w:jc w:val="both"/>
        <w:rPr>
          <w:rFonts w:ascii="Arial" w:hAnsi="Arial" w:cs="Arial"/>
        </w:rPr>
      </w:pPr>
      <w:r>
        <w:rPr>
          <w:rFonts w:ascii="Arial" w:hAnsi="Arial" w:cs="Arial"/>
        </w:rPr>
        <w:pict w14:anchorId="17B1925A">
          <v:rect id="_x0000_i1025" style="width:0;height:1.5pt" o:hralign="center" o:hrstd="t" o:hr="t" fillcolor="#a0a0a0" stroked="f"/>
        </w:pict>
      </w:r>
    </w:p>
    <w:p w14:paraId="12761183" w14:textId="01D29011" w:rsidR="00FF2777" w:rsidRPr="004A73C1" w:rsidRDefault="00FF2777" w:rsidP="00D11768">
      <w:pPr>
        <w:pStyle w:val="Heading2"/>
        <w:numPr>
          <w:ilvl w:val="0"/>
          <w:numId w:val="56"/>
        </w:numPr>
        <w:spacing w:line="360" w:lineRule="auto"/>
        <w:rPr>
          <w:rFonts w:ascii="Arial" w:hAnsi="Arial" w:cs="Arial"/>
          <w:color w:val="auto"/>
        </w:rPr>
      </w:pPr>
      <w:bookmarkStart w:id="6" w:name="_Toc175056428"/>
      <w:bookmarkStart w:id="7" w:name="_Toc175675316"/>
      <w:r w:rsidRPr="004A73C1">
        <w:rPr>
          <w:rFonts w:ascii="Arial" w:hAnsi="Arial" w:cs="Arial"/>
          <w:color w:val="auto"/>
        </w:rPr>
        <w:t>Introduction</w:t>
      </w:r>
      <w:bookmarkEnd w:id="6"/>
      <w:bookmarkEnd w:id="7"/>
    </w:p>
    <w:p w14:paraId="7677B86A" w14:textId="5CD5CD97" w:rsidR="002F13D3" w:rsidRPr="004A73C1" w:rsidRDefault="002F13D3" w:rsidP="00EF2E34">
      <w:pPr>
        <w:spacing w:line="360" w:lineRule="auto"/>
        <w:jc w:val="both"/>
        <w:rPr>
          <w:rFonts w:ascii="Arial" w:hAnsi="Arial" w:cs="Arial"/>
        </w:rPr>
      </w:pPr>
      <w:r w:rsidRPr="004A73C1">
        <w:rPr>
          <w:rFonts w:ascii="Arial" w:hAnsi="Arial" w:cs="Arial"/>
        </w:rPr>
        <w:t xml:space="preserve">Foreign direct investment (FDI) </w:t>
      </w:r>
      <w:r w:rsidR="00B67A57" w:rsidRPr="004A73C1">
        <w:rPr>
          <w:rFonts w:ascii="Arial" w:hAnsi="Arial" w:cs="Arial"/>
        </w:rPr>
        <w:t>is a crucial concept, referring to an investment made by a firm or individual in one country into business interests in another country. It plays a significant role in a country's economic development, bringing in capital, technology, and managerial expertise. This understanding is vital as it</w:t>
      </w:r>
      <w:r w:rsidRPr="004A73C1">
        <w:rPr>
          <w:rFonts w:ascii="Arial" w:hAnsi="Arial" w:cs="Arial"/>
        </w:rPr>
        <w:t xml:space="preserve"> also contributes to job creation, infrastructure development, and economic growth. Additionally, FDI can help transfer skills and know-how, benefiting local workers and industries. Overall, FDI is an essential driver of economic prosperity and development for many countries (Botswana 2014).</w:t>
      </w:r>
    </w:p>
    <w:p w14:paraId="0E9B60A8" w14:textId="027D194C" w:rsidR="00842DCD" w:rsidRPr="004A73C1" w:rsidRDefault="00842DCD" w:rsidP="00EF2E34">
      <w:pPr>
        <w:spacing w:line="360" w:lineRule="auto"/>
        <w:jc w:val="both"/>
        <w:rPr>
          <w:rFonts w:ascii="Arial" w:hAnsi="Arial" w:cs="Arial"/>
        </w:rPr>
      </w:pPr>
      <w:r w:rsidRPr="004A73C1">
        <w:rPr>
          <w:rFonts w:ascii="Arial" w:hAnsi="Arial" w:cs="Arial"/>
        </w:rPr>
        <w:t xml:space="preserve">Foreign direct investment (FDI) is typically defined as an investment made by a company or individual based in one country into a business located in another country. The investor then holds a substantial degree of influence and control over the company in which the investment is made. This form of investment is characterized by the willingness of the investor to engage in the management of the business over a long </w:t>
      </w:r>
      <w:r w:rsidR="00ED3916">
        <w:rPr>
          <w:rFonts w:ascii="Arial" w:hAnsi="Arial" w:cs="Arial"/>
        </w:rPr>
        <w:t>period</w:t>
      </w:r>
      <w:r w:rsidRPr="004A73C1">
        <w:rPr>
          <w:rFonts w:ascii="Arial" w:hAnsi="Arial" w:cs="Arial"/>
        </w:rPr>
        <w:t>.</w:t>
      </w:r>
    </w:p>
    <w:p w14:paraId="68D0DA7D" w14:textId="0A2A2A09" w:rsidR="002F13D3" w:rsidRPr="004A73C1" w:rsidRDefault="002F13D3" w:rsidP="00EF2E34">
      <w:pPr>
        <w:spacing w:line="360" w:lineRule="auto"/>
        <w:jc w:val="both"/>
        <w:rPr>
          <w:rFonts w:ascii="Arial" w:hAnsi="Arial" w:cs="Arial"/>
        </w:rPr>
      </w:pPr>
      <w:r w:rsidRPr="004A73C1">
        <w:rPr>
          <w:rFonts w:ascii="Arial" w:hAnsi="Arial" w:cs="Arial"/>
        </w:rPr>
        <w:t xml:space="preserve">Foreign direct investment (FDI) has </w:t>
      </w:r>
      <w:r w:rsidR="00B67A57" w:rsidRPr="004A73C1">
        <w:rPr>
          <w:rFonts w:ascii="Arial" w:hAnsi="Arial" w:cs="Arial"/>
        </w:rPr>
        <w:t>a rich history in the economic development of the United Kingdom. The UK has been a substantial recipient of FDI for many years. In the 19th century, the UK was a global powerhouse and attracted large amounts of foreign investment, particularly in manufacturing and finance. This historical context is important to understand the evolution of FDI in the UK.</w:t>
      </w:r>
    </w:p>
    <w:p w14:paraId="2F5ADCC1" w14:textId="07070CDA" w:rsidR="002F13D3" w:rsidRPr="004A73C1" w:rsidRDefault="002F13D3" w:rsidP="00EF2E34">
      <w:pPr>
        <w:spacing w:line="360" w:lineRule="auto"/>
        <w:jc w:val="both"/>
        <w:rPr>
          <w:rFonts w:ascii="Arial" w:hAnsi="Arial" w:cs="Arial"/>
        </w:rPr>
      </w:pPr>
      <w:r w:rsidRPr="004A73C1">
        <w:rPr>
          <w:rFonts w:ascii="Arial" w:hAnsi="Arial" w:cs="Arial"/>
        </w:rPr>
        <w:t>Post-World War II, the UK continued to attract FDI, especially from the United States. American companies</w:t>
      </w:r>
      <w:r w:rsidR="00B67A57" w:rsidRPr="004A73C1">
        <w:rPr>
          <w:rFonts w:ascii="Arial" w:hAnsi="Arial" w:cs="Arial"/>
        </w:rPr>
        <w:t>, seeking to expand into European markets, found the UK's EU membership particularly appealing. They used it as a launchpad to the larger European market, further boosting the UK's FDI influx</w:t>
      </w:r>
      <w:r w:rsidRPr="004A73C1">
        <w:rPr>
          <w:rFonts w:ascii="Arial" w:hAnsi="Arial" w:cs="Arial"/>
        </w:rPr>
        <w:t>.</w:t>
      </w:r>
    </w:p>
    <w:p w14:paraId="4BD3AECE" w14:textId="77777777" w:rsidR="002F13D3" w:rsidRPr="004A73C1" w:rsidRDefault="002F13D3" w:rsidP="00EF2E34">
      <w:pPr>
        <w:spacing w:line="360" w:lineRule="auto"/>
        <w:jc w:val="both"/>
        <w:rPr>
          <w:rFonts w:ascii="Arial" w:hAnsi="Arial" w:cs="Arial"/>
        </w:rPr>
      </w:pPr>
      <w:r w:rsidRPr="004A73C1">
        <w:rPr>
          <w:rFonts w:ascii="Arial" w:hAnsi="Arial" w:cs="Arial"/>
        </w:rPr>
        <w:t>Recently, the UK has maintained its allure for FDI, especially in sectors like finance, technology, pharmaceuticals, and renewable energy. The UK government's proactive promotion of FDI through various incentives and initiatives has further bolstered its appeal to foreign investors.</w:t>
      </w:r>
    </w:p>
    <w:p w14:paraId="568A7A7F" w14:textId="72235AB0"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 xml:space="preserve">Foreign direct investment (FDI) is a powerful force that shapes and influences the British economy. It is the lifeblood of market growth, directly and indirectly impacting every business. </w:t>
      </w:r>
    </w:p>
    <w:p w14:paraId="68827243"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In the domestic market, various investment objectives can provide viable alternatives for investors. Greenway and Kneller (2007) state that local markets may reach saturation points, offering diverse stakeholder advantages. For example, expanding into neighbouring countries may harm the host country. Morck et al. (2008) emphasise that each country harbours unique and complex economic factors that can significantly impact foreign direct investment, mainly as influenced by the populace's behaviour and the country's financial landscape.</w:t>
      </w:r>
    </w:p>
    <w:p w14:paraId="6F666973"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lastRenderedPageBreak/>
        <w:t>Haufler and Stowhase (2003) contend that foreign direct investment can yield multiple economic advantages. Extending incentives to foreign investors, such as tax relief, can elevate levels of foreign direct investment. Moreover, highlighting additional incentives within the hosting country or fostering domestic investment may contribute to heightened foreign direct investment.</w:t>
      </w:r>
    </w:p>
    <w:p w14:paraId="46E85D4F"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Safarian (1985) identified various factors that influence foreign direct investment (FDI), such as the exchange rate of the host country and the flow of capital. Chen's (2005) model further analysed these factors using 10 to 15 years of time series data, considering elements like mutual trade and currency valuation in the USA and other countries that affect a country's currency.</w:t>
      </w:r>
    </w:p>
    <w:p w14:paraId="5B507557" w14:textId="0D7C4CCB" w:rsidR="00FF2777" w:rsidRPr="004A73C1" w:rsidRDefault="00D11768" w:rsidP="00EF2E34">
      <w:pPr>
        <w:pStyle w:val="Heading2"/>
        <w:spacing w:line="360" w:lineRule="auto"/>
        <w:rPr>
          <w:rFonts w:ascii="Arial" w:hAnsi="Arial" w:cs="Arial"/>
          <w:color w:val="auto"/>
        </w:rPr>
      </w:pPr>
      <w:bookmarkStart w:id="8" w:name="_Toc158078667"/>
      <w:bookmarkStart w:id="9" w:name="_Toc175056429"/>
      <w:bookmarkStart w:id="10" w:name="_Toc175675317"/>
      <w:r w:rsidRPr="004A73C1">
        <w:rPr>
          <w:rFonts w:ascii="Arial" w:hAnsi="Arial" w:cs="Arial"/>
          <w:color w:val="auto"/>
        </w:rPr>
        <w:t>1.2</w:t>
      </w:r>
      <w:r w:rsidRPr="004A73C1">
        <w:rPr>
          <w:rFonts w:ascii="Arial" w:hAnsi="Arial" w:cs="Arial"/>
          <w:color w:val="auto"/>
        </w:rPr>
        <w:tab/>
      </w:r>
      <w:r w:rsidR="00FF2777" w:rsidRPr="004A73C1">
        <w:rPr>
          <w:rFonts w:ascii="Arial" w:hAnsi="Arial" w:cs="Arial"/>
          <w:color w:val="auto"/>
        </w:rPr>
        <w:t>Research Significance</w:t>
      </w:r>
      <w:bookmarkEnd w:id="8"/>
      <w:r w:rsidR="00B67A57" w:rsidRPr="004A73C1">
        <w:rPr>
          <w:rFonts w:ascii="Arial" w:hAnsi="Arial" w:cs="Arial"/>
          <w:color w:val="auto"/>
        </w:rPr>
        <w:t>- Problem Statement</w:t>
      </w:r>
      <w:bookmarkEnd w:id="9"/>
      <w:bookmarkEnd w:id="10"/>
    </w:p>
    <w:p w14:paraId="1724FE93" w14:textId="56D7A447" w:rsidR="004233BE" w:rsidRPr="004A73C1" w:rsidRDefault="004233BE" w:rsidP="004233BE">
      <w:pPr>
        <w:spacing w:line="360" w:lineRule="auto"/>
        <w:jc w:val="both"/>
        <w:rPr>
          <w:rFonts w:ascii="Arial" w:hAnsi="Arial" w:cs="Arial"/>
        </w:rPr>
      </w:pPr>
      <w:bookmarkStart w:id="11" w:name="_Toc175056430"/>
      <w:r w:rsidRPr="004A73C1">
        <w:rPr>
          <w:rFonts w:ascii="Arial" w:hAnsi="Arial" w:cs="Arial"/>
        </w:rPr>
        <w:t>The primary objective of this dissertation is to conduct an in-depth investigation into the influence of Foreign Direct Investment (FDI) on the economic growth of the United Kingdom. The study will comprehensively explore and analyse the diverse channels through which FDI impacts the UK's economic growth, encompassing its effects on employment, productivity, innovation, and trade dynamics. By utilizing empirical data and employing sophisticated econometric models, the research endeavours to offer a thorough and nuanced understanding of how FDI actively contributes to the economic growth of the UK. Furthermore, the study aims to provide valuable insights that can play a pivotal role in shaping policy decisions and devising effective strategies for both attracting and maximizing the benefits of FDI in the context of the United Kingdom's economy.</w:t>
      </w:r>
    </w:p>
    <w:p w14:paraId="37022BB5" w14:textId="70ED4345" w:rsidR="00FF2777" w:rsidRPr="004A73C1" w:rsidRDefault="00D11768" w:rsidP="00EF2E34">
      <w:pPr>
        <w:pStyle w:val="Heading2"/>
        <w:spacing w:line="360" w:lineRule="auto"/>
        <w:rPr>
          <w:rFonts w:ascii="Arial" w:hAnsi="Arial" w:cs="Arial"/>
          <w:color w:val="auto"/>
        </w:rPr>
      </w:pPr>
      <w:bookmarkStart w:id="12" w:name="_Toc175675318"/>
      <w:r w:rsidRPr="004A73C1">
        <w:rPr>
          <w:rFonts w:ascii="Arial" w:hAnsi="Arial" w:cs="Arial"/>
          <w:color w:val="auto"/>
        </w:rPr>
        <w:t>1.3</w:t>
      </w:r>
      <w:r w:rsidRPr="004A73C1">
        <w:rPr>
          <w:rFonts w:ascii="Arial" w:hAnsi="Arial" w:cs="Arial"/>
          <w:color w:val="auto"/>
        </w:rPr>
        <w:tab/>
      </w:r>
      <w:r w:rsidR="00FF2777" w:rsidRPr="004A73C1">
        <w:rPr>
          <w:rFonts w:ascii="Arial" w:hAnsi="Arial" w:cs="Arial"/>
          <w:color w:val="auto"/>
        </w:rPr>
        <w:t>Dissertation Aim:</w:t>
      </w:r>
      <w:bookmarkStart w:id="13" w:name="_Toc316005657"/>
      <w:bookmarkEnd w:id="11"/>
      <w:bookmarkEnd w:id="12"/>
    </w:p>
    <w:p w14:paraId="6953991D" w14:textId="4AA95A48"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Recognising the significance of FDI, this dissertation aims to delve into the current state of foreign direct investment in the United Kingdom. This involves analysing FDI inflows into the UK before</w:t>
      </w:r>
      <w:r w:rsidR="00526F60" w:rsidRPr="004A73C1">
        <w:rPr>
          <w:rFonts w:ascii="Arial" w:eastAsia="Arial Unicode MS" w:hAnsi="Arial" w:cs="Arial"/>
        </w:rPr>
        <w:t xml:space="preserve"> and after Brexit </w:t>
      </w:r>
      <w:r w:rsidRPr="004A73C1">
        <w:rPr>
          <w:rFonts w:ascii="Arial" w:eastAsia="Arial Unicode MS" w:hAnsi="Arial" w:cs="Arial"/>
        </w:rPr>
        <w:t xml:space="preserve">and </w:t>
      </w:r>
      <w:r w:rsidR="004B06E9" w:rsidRPr="004A73C1">
        <w:rPr>
          <w:rFonts w:ascii="Arial" w:eastAsia="Arial Unicode MS" w:hAnsi="Arial" w:cs="Arial"/>
        </w:rPr>
        <w:t>the impact of FDI on economic growth</w:t>
      </w:r>
      <w:r w:rsidRPr="004A73C1">
        <w:rPr>
          <w:rFonts w:ascii="Arial" w:eastAsia="Arial Unicode MS" w:hAnsi="Arial" w:cs="Arial"/>
        </w:rPr>
        <w:t>.</w:t>
      </w:r>
    </w:p>
    <w:p w14:paraId="4725EFFC" w14:textId="7A836C75" w:rsidR="00FF2777" w:rsidRPr="004A73C1" w:rsidRDefault="00D11768" w:rsidP="00EF2E34">
      <w:pPr>
        <w:pStyle w:val="Heading2"/>
        <w:spacing w:line="360" w:lineRule="auto"/>
        <w:rPr>
          <w:rFonts w:ascii="Arial" w:hAnsi="Arial" w:cs="Arial"/>
          <w:color w:val="auto"/>
        </w:rPr>
      </w:pPr>
      <w:bookmarkStart w:id="14" w:name="_Toc175056431"/>
      <w:bookmarkStart w:id="15" w:name="_Toc175675319"/>
      <w:bookmarkEnd w:id="13"/>
      <w:r w:rsidRPr="004A73C1">
        <w:rPr>
          <w:rFonts w:ascii="Arial" w:hAnsi="Arial" w:cs="Arial"/>
          <w:color w:val="auto"/>
        </w:rPr>
        <w:t>1.4</w:t>
      </w:r>
      <w:r w:rsidRPr="004A73C1">
        <w:rPr>
          <w:rFonts w:ascii="Arial" w:hAnsi="Arial" w:cs="Arial"/>
          <w:color w:val="auto"/>
        </w:rPr>
        <w:tab/>
      </w:r>
      <w:r w:rsidR="00FF2777" w:rsidRPr="004A73C1">
        <w:rPr>
          <w:rFonts w:ascii="Arial" w:hAnsi="Arial" w:cs="Arial"/>
          <w:color w:val="auto"/>
        </w:rPr>
        <w:t>Dissertation Objectives</w:t>
      </w:r>
      <w:bookmarkEnd w:id="14"/>
      <w:bookmarkEnd w:id="15"/>
    </w:p>
    <w:p w14:paraId="15747975" w14:textId="32CAD34F" w:rsidR="00FF2777" w:rsidRPr="004A73C1" w:rsidRDefault="00FF2777" w:rsidP="00EF2E34">
      <w:pPr>
        <w:spacing w:line="360" w:lineRule="auto"/>
        <w:jc w:val="both"/>
        <w:rPr>
          <w:rFonts w:ascii="Arial" w:hAnsi="Arial" w:cs="Arial"/>
        </w:rPr>
      </w:pPr>
      <w:r w:rsidRPr="004A73C1">
        <w:rPr>
          <w:rFonts w:ascii="Arial" w:hAnsi="Arial" w:cs="Arial"/>
        </w:rPr>
        <w:t>The dissertation aims to examine</w:t>
      </w:r>
      <w:r w:rsidR="00502385" w:rsidRPr="004A73C1">
        <w:rPr>
          <w:rFonts w:ascii="Arial" w:hAnsi="Arial" w:cs="Arial"/>
        </w:rPr>
        <w:t xml:space="preserve"> the impact of Foreign direct investment on the UK Economy</w:t>
      </w:r>
      <w:r w:rsidRPr="004A73C1">
        <w:rPr>
          <w:rFonts w:ascii="Arial" w:hAnsi="Arial" w:cs="Arial"/>
        </w:rPr>
        <w:t xml:space="preserve">. </w:t>
      </w:r>
    </w:p>
    <w:p w14:paraId="385E0218" w14:textId="77777777" w:rsidR="00C750B1" w:rsidRPr="004A73C1" w:rsidRDefault="00FF2777" w:rsidP="00105A1C">
      <w:pPr>
        <w:pStyle w:val="Heading2"/>
        <w:numPr>
          <w:ilvl w:val="1"/>
          <w:numId w:val="56"/>
        </w:numPr>
        <w:spacing w:line="360" w:lineRule="auto"/>
        <w:ind w:left="0" w:firstLine="0"/>
        <w:rPr>
          <w:rFonts w:ascii="Arial" w:hAnsi="Arial" w:cs="Arial"/>
          <w:color w:val="auto"/>
        </w:rPr>
      </w:pPr>
      <w:bookmarkStart w:id="16" w:name="_Toc175056432"/>
      <w:bookmarkStart w:id="17" w:name="_Toc175675320"/>
      <w:r w:rsidRPr="004A73C1">
        <w:rPr>
          <w:rFonts w:ascii="Arial" w:hAnsi="Arial" w:cs="Arial"/>
          <w:color w:val="auto"/>
        </w:rPr>
        <w:t xml:space="preserve">Questions </w:t>
      </w:r>
      <w:r w:rsidR="007D4E14" w:rsidRPr="004A73C1">
        <w:rPr>
          <w:rFonts w:ascii="Arial" w:hAnsi="Arial" w:cs="Arial"/>
          <w:color w:val="auto"/>
        </w:rPr>
        <w:t xml:space="preserve">To Achieve </w:t>
      </w:r>
      <w:bookmarkStart w:id="18" w:name="_Hlk174279874"/>
      <w:r w:rsidR="007D4E14" w:rsidRPr="004A73C1">
        <w:rPr>
          <w:rFonts w:ascii="Arial" w:hAnsi="Arial" w:cs="Arial"/>
          <w:color w:val="auto"/>
        </w:rPr>
        <w:t>My Objectives.</w:t>
      </w:r>
      <w:bookmarkStart w:id="19" w:name="_Hlk170727239"/>
      <w:bookmarkEnd w:id="16"/>
      <w:bookmarkEnd w:id="17"/>
    </w:p>
    <w:p w14:paraId="511B4568" w14:textId="25F1F17B" w:rsidR="00C750B1" w:rsidRPr="004A73C1" w:rsidRDefault="00C750B1" w:rsidP="00C750B1">
      <w:pPr>
        <w:rPr>
          <w:rFonts w:ascii="Arial" w:hAnsi="Arial" w:cs="Arial"/>
        </w:rPr>
      </w:pPr>
      <w:r w:rsidRPr="004A73C1">
        <w:rPr>
          <w:rFonts w:ascii="Arial" w:hAnsi="Arial" w:cs="Arial"/>
        </w:rPr>
        <w:t>Since foreign direct investment is a very broad topic, investigating the following questions will help us to focus on achieving our research objective:</w:t>
      </w:r>
    </w:p>
    <w:p w14:paraId="0DEBAE12" w14:textId="29EA60B3" w:rsidR="00FF2777" w:rsidRPr="004A73C1" w:rsidRDefault="00526F60" w:rsidP="00EF2E34">
      <w:pPr>
        <w:pStyle w:val="ListParagraph"/>
        <w:numPr>
          <w:ilvl w:val="0"/>
          <w:numId w:val="22"/>
        </w:numPr>
        <w:spacing w:after="200" w:line="360" w:lineRule="auto"/>
        <w:ind w:left="0" w:firstLine="0"/>
        <w:jc w:val="both"/>
        <w:rPr>
          <w:rFonts w:ascii="Arial" w:eastAsia="Arial Unicode MS" w:hAnsi="Arial" w:cs="Arial"/>
        </w:rPr>
      </w:pPr>
      <w:r w:rsidRPr="004A73C1">
        <w:rPr>
          <w:rFonts w:ascii="Arial" w:eastAsia="Arial Unicode MS" w:hAnsi="Arial" w:cs="Arial"/>
        </w:rPr>
        <w:t xml:space="preserve">How </w:t>
      </w:r>
      <w:r w:rsidR="00430FD7" w:rsidRPr="004A73C1">
        <w:rPr>
          <w:rFonts w:ascii="Arial" w:eastAsia="Arial Unicode MS" w:hAnsi="Arial" w:cs="Arial"/>
        </w:rPr>
        <w:t xml:space="preserve">do </w:t>
      </w:r>
      <w:r w:rsidR="00C26D98" w:rsidRPr="004A73C1">
        <w:rPr>
          <w:rFonts w:ascii="Arial" w:eastAsia="Arial Unicode MS" w:hAnsi="Arial" w:cs="Arial"/>
        </w:rPr>
        <w:t>the different factors</w:t>
      </w:r>
      <w:r w:rsidR="00430FD7" w:rsidRPr="004A73C1">
        <w:rPr>
          <w:rFonts w:ascii="Arial" w:eastAsia="Arial Unicode MS" w:hAnsi="Arial" w:cs="Arial"/>
        </w:rPr>
        <w:t xml:space="preserve"> more specifically economic condition, political stability and </w:t>
      </w:r>
      <w:r w:rsidR="00430FD7" w:rsidRPr="004A73C1">
        <w:rPr>
          <w:rFonts w:ascii="Arial" w:eastAsia="Arial Unicode MS" w:hAnsi="Arial" w:cs="Arial"/>
        </w:rPr>
        <w:tab/>
        <w:t xml:space="preserve">Labour availability </w:t>
      </w:r>
      <w:r w:rsidRPr="004A73C1">
        <w:rPr>
          <w:rFonts w:ascii="Arial" w:eastAsia="Arial Unicode MS" w:hAnsi="Arial" w:cs="Arial"/>
        </w:rPr>
        <w:t>influence the FDI in the UK</w:t>
      </w:r>
      <w:r w:rsidR="00FF2777" w:rsidRPr="004A73C1">
        <w:rPr>
          <w:rFonts w:ascii="Arial" w:eastAsia="Arial Unicode MS" w:hAnsi="Arial" w:cs="Arial"/>
        </w:rPr>
        <w:t>?</w:t>
      </w:r>
    </w:p>
    <w:p w14:paraId="17560F83" w14:textId="129A7DA9" w:rsidR="00105A1C" w:rsidRPr="004A73C1" w:rsidRDefault="00105A1C" w:rsidP="00105A1C">
      <w:pPr>
        <w:pStyle w:val="ListParagraph"/>
        <w:numPr>
          <w:ilvl w:val="0"/>
          <w:numId w:val="22"/>
        </w:numPr>
        <w:spacing w:after="0" w:line="240" w:lineRule="auto"/>
        <w:rPr>
          <w:rFonts w:ascii="Arial" w:eastAsia="Arial Unicode MS" w:hAnsi="Arial" w:cs="Arial"/>
        </w:rPr>
      </w:pPr>
      <w:r w:rsidRPr="004A73C1">
        <w:rPr>
          <w:rFonts w:ascii="Arial" w:eastAsia="Arial Unicode MS" w:hAnsi="Arial" w:cs="Arial"/>
        </w:rPr>
        <w:tab/>
        <w:t>How did Brexit affect foreign direct investment (FDI) in the UK, specifically investor behaviour following Brexit?</w:t>
      </w:r>
    </w:p>
    <w:p w14:paraId="7B505455" w14:textId="099BFE83" w:rsidR="00FF2777" w:rsidRPr="004A73C1" w:rsidRDefault="00526F60" w:rsidP="00EF2E34">
      <w:pPr>
        <w:pStyle w:val="ListParagraph"/>
        <w:numPr>
          <w:ilvl w:val="0"/>
          <w:numId w:val="22"/>
        </w:numPr>
        <w:spacing w:after="200" w:line="360" w:lineRule="auto"/>
        <w:ind w:left="0" w:firstLine="0"/>
        <w:jc w:val="both"/>
        <w:rPr>
          <w:rFonts w:ascii="Arial" w:eastAsia="Arial Unicode MS" w:hAnsi="Arial" w:cs="Arial"/>
        </w:rPr>
      </w:pPr>
      <w:r w:rsidRPr="004A73C1">
        <w:rPr>
          <w:rFonts w:ascii="Arial" w:eastAsia="Arial Unicode MS" w:hAnsi="Arial" w:cs="Arial"/>
        </w:rPr>
        <w:t xml:space="preserve">How does FDI impact </w:t>
      </w:r>
      <w:r w:rsidR="00FF2777" w:rsidRPr="004A73C1">
        <w:rPr>
          <w:rFonts w:ascii="Arial" w:eastAsia="Arial Unicode MS" w:hAnsi="Arial" w:cs="Arial"/>
        </w:rPr>
        <w:t>economic growth</w:t>
      </w:r>
      <w:r w:rsidR="00430FD7" w:rsidRPr="004A73C1">
        <w:rPr>
          <w:rFonts w:ascii="Arial" w:eastAsia="Arial Unicode MS" w:hAnsi="Arial" w:cs="Arial"/>
        </w:rPr>
        <w:t xml:space="preserve"> </w:t>
      </w:r>
      <w:r w:rsidR="00A61DB1" w:rsidRPr="004A73C1">
        <w:rPr>
          <w:rFonts w:ascii="Arial" w:eastAsia="Arial Unicode MS" w:hAnsi="Arial" w:cs="Arial"/>
        </w:rPr>
        <w:t xml:space="preserve">e.g. </w:t>
      </w:r>
      <w:r w:rsidR="00430FD7" w:rsidRPr="004A73C1">
        <w:rPr>
          <w:rFonts w:ascii="Arial" w:eastAsia="Arial Unicode MS" w:hAnsi="Arial" w:cs="Arial"/>
        </w:rPr>
        <w:t xml:space="preserve">GDP growth in the UK and overall </w:t>
      </w:r>
      <w:r w:rsidR="00A61DB1" w:rsidRPr="004A73C1">
        <w:rPr>
          <w:rFonts w:ascii="Arial" w:eastAsia="Arial Unicode MS" w:hAnsi="Arial" w:cs="Arial"/>
        </w:rPr>
        <w:t>financial</w:t>
      </w:r>
      <w:r w:rsidR="00430FD7" w:rsidRPr="004A73C1">
        <w:rPr>
          <w:rFonts w:ascii="Arial" w:eastAsia="Arial Unicode MS" w:hAnsi="Arial" w:cs="Arial"/>
        </w:rPr>
        <w:t xml:space="preserve"> conditions e.g. Labour market and its impact on the local</w:t>
      </w:r>
      <w:r w:rsidR="00A61DB1" w:rsidRPr="004A73C1">
        <w:rPr>
          <w:rFonts w:ascii="Arial" w:eastAsia="Arial Unicode MS" w:hAnsi="Arial" w:cs="Arial"/>
        </w:rPr>
        <w:t xml:space="preserve"> </w:t>
      </w:r>
      <w:r w:rsidR="00430FD7" w:rsidRPr="004A73C1">
        <w:rPr>
          <w:rFonts w:ascii="Arial" w:eastAsia="Arial Unicode MS" w:hAnsi="Arial" w:cs="Arial"/>
        </w:rPr>
        <w:t>community</w:t>
      </w:r>
      <w:r w:rsidR="00FF2777" w:rsidRPr="004A73C1">
        <w:rPr>
          <w:rFonts w:ascii="Arial" w:eastAsia="Arial Unicode MS" w:hAnsi="Arial" w:cs="Arial"/>
        </w:rPr>
        <w:t>?</w:t>
      </w:r>
    </w:p>
    <w:bookmarkEnd w:id="18"/>
    <w:p w14:paraId="53C0449A" w14:textId="77777777" w:rsidR="00FF2777" w:rsidRPr="004A73C1" w:rsidRDefault="00FF2777" w:rsidP="00EF2E34">
      <w:pPr>
        <w:pStyle w:val="ListParagraph"/>
        <w:spacing w:line="360" w:lineRule="auto"/>
        <w:ind w:left="0"/>
        <w:jc w:val="both"/>
        <w:rPr>
          <w:rFonts w:ascii="Arial" w:eastAsia="Arial Unicode MS" w:hAnsi="Arial" w:cs="Arial"/>
        </w:rPr>
      </w:pPr>
    </w:p>
    <w:p w14:paraId="1214AE60" w14:textId="77777777" w:rsidR="00FF2777" w:rsidRPr="004A73C1" w:rsidRDefault="00FF2777" w:rsidP="00EF2E34">
      <w:pPr>
        <w:spacing w:line="360" w:lineRule="auto"/>
        <w:jc w:val="both"/>
        <w:rPr>
          <w:rFonts w:ascii="Arial" w:eastAsia="Arial Unicode MS" w:hAnsi="Arial" w:cs="Arial"/>
        </w:rPr>
      </w:pPr>
      <w:bookmarkStart w:id="20" w:name="_Toc158078669"/>
      <w:bookmarkEnd w:id="19"/>
      <w:r w:rsidRPr="004A73C1">
        <w:rPr>
          <w:rFonts w:ascii="Arial" w:eastAsia="Arial Unicode MS" w:hAnsi="Arial" w:cs="Arial"/>
        </w:rPr>
        <w:lastRenderedPageBreak/>
        <w:t>This thesis will achieve these goals by thoroughly analysing and integrating various interconnected chapters. It also aims to significantly contribute to understanding foreign direct investment (FDI) and how it affects the United Kingdom.</w:t>
      </w:r>
    </w:p>
    <w:p w14:paraId="43FF405E" w14:textId="3F1CA138" w:rsidR="00FF2777" w:rsidRPr="004A73C1" w:rsidRDefault="00D11768" w:rsidP="00EF2E34">
      <w:pPr>
        <w:pStyle w:val="Heading2"/>
        <w:spacing w:line="360" w:lineRule="auto"/>
        <w:rPr>
          <w:rFonts w:ascii="Arial" w:hAnsi="Arial" w:cs="Arial"/>
          <w:color w:val="auto"/>
        </w:rPr>
      </w:pPr>
      <w:bookmarkStart w:id="21" w:name="_Toc158078670"/>
      <w:bookmarkStart w:id="22" w:name="_Toc175056433"/>
      <w:bookmarkStart w:id="23" w:name="_Toc175675321"/>
      <w:bookmarkEnd w:id="20"/>
      <w:r w:rsidRPr="004A73C1">
        <w:rPr>
          <w:rFonts w:ascii="Arial" w:hAnsi="Arial" w:cs="Arial"/>
          <w:color w:val="auto"/>
        </w:rPr>
        <w:t>1.6</w:t>
      </w:r>
      <w:r w:rsidRPr="004A73C1">
        <w:rPr>
          <w:rFonts w:ascii="Arial" w:hAnsi="Arial" w:cs="Arial"/>
          <w:color w:val="auto"/>
        </w:rPr>
        <w:tab/>
      </w:r>
      <w:r w:rsidR="00C26D98" w:rsidRPr="004A73C1">
        <w:rPr>
          <w:rFonts w:ascii="Arial" w:hAnsi="Arial" w:cs="Arial"/>
          <w:color w:val="auto"/>
        </w:rPr>
        <w:t xml:space="preserve">Brief </w:t>
      </w:r>
      <w:r w:rsidR="00FF2777" w:rsidRPr="004A73C1">
        <w:rPr>
          <w:rFonts w:ascii="Arial" w:hAnsi="Arial" w:cs="Arial"/>
          <w:color w:val="auto"/>
        </w:rPr>
        <w:t>Literature Review</w:t>
      </w:r>
      <w:bookmarkEnd w:id="21"/>
      <w:bookmarkEnd w:id="22"/>
      <w:bookmarkEnd w:id="23"/>
    </w:p>
    <w:p w14:paraId="32553EF9"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 xml:space="preserve">Economists emphasise various economic instruments that contribute to developing a country's economy. Factors such as capital requirements, technology, infrastructure, geographical location, investment costs, neighbouring countries, residency status, taxes, political environment, education levels, and foreign direct investment are all essential for economic growth. Additionally, various institutions pave the way for these influential factors. </w:t>
      </w:r>
    </w:p>
    <w:p w14:paraId="55844F64" w14:textId="5971E415" w:rsidR="00502385" w:rsidRPr="004A73C1" w:rsidRDefault="00502385" w:rsidP="00EF2E34">
      <w:pPr>
        <w:spacing w:line="360" w:lineRule="auto"/>
        <w:jc w:val="both"/>
        <w:rPr>
          <w:rFonts w:ascii="Arial" w:eastAsia="Arial Unicode MS" w:hAnsi="Arial" w:cs="Arial"/>
        </w:rPr>
      </w:pPr>
      <w:r w:rsidRPr="004A73C1">
        <w:rPr>
          <w:rFonts w:ascii="Arial" w:eastAsia="Arial Unicode MS" w:hAnsi="Arial" w:cs="Arial"/>
        </w:rPr>
        <w:t xml:space="preserve">Having the freedom to trade can make countries better off by allowing them to focus on the industries they are best at. This can help lower the costs of goods, services, and materials (Eaton &amp; Kortum, 2002). </w:t>
      </w:r>
    </w:p>
    <w:p w14:paraId="0B5DB4B8"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Foreign direct investment (FDI) represents a significant catalyst for economic growth in every country. Alesina and Rodrik (1994) underscore the crucial link between political factors and the economy's overall performance, emphasising the need for political stability and conducive policies. Furthermore, Kuznets (1966) suggested that governments should proactively enact policies that foster economic development, including but not limited to facilitating international trade, embracing new technological advancements, and promoting the dissemination of business knowledge within the domestic economy. These measures are vital for enhancing a nation's economic landscape and competitiveness.</w:t>
      </w:r>
    </w:p>
    <w:p w14:paraId="24EABDA7" w14:textId="5A1BFFC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In 1999, Markusen and Venables conducted research that revealed the substantial impact of FDI on medium</w:t>
      </w:r>
      <w:r w:rsidR="006804DC" w:rsidRPr="004A73C1">
        <w:rPr>
          <w:rFonts w:ascii="Arial" w:eastAsia="Arial Unicode MS" w:hAnsi="Arial" w:cs="Arial"/>
        </w:rPr>
        <w:t>—and small-sized firms. He analysed and emphasised</w:t>
      </w:r>
      <w:r w:rsidRPr="004A73C1">
        <w:rPr>
          <w:rFonts w:ascii="Arial" w:eastAsia="Arial Unicode MS" w:hAnsi="Arial" w:cs="Arial"/>
        </w:rPr>
        <w:t xml:space="preserve"> its economic benefits, such as lower labour costs and reduced raw material prices, which can significantly enhance business profitability.</w:t>
      </w:r>
    </w:p>
    <w:p w14:paraId="3210B71E" w14:textId="693D36E1" w:rsidR="006804DC" w:rsidRPr="004A73C1" w:rsidRDefault="006804DC" w:rsidP="00EF2E34">
      <w:pPr>
        <w:spacing w:line="360" w:lineRule="auto"/>
        <w:jc w:val="both"/>
        <w:rPr>
          <w:rFonts w:ascii="Arial" w:eastAsia="Arial Unicode MS" w:hAnsi="Arial" w:cs="Arial"/>
        </w:rPr>
      </w:pPr>
      <w:r w:rsidRPr="004A73C1">
        <w:rPr>
          <w:rFonts w:ascii="Arial" w:eastAsia="Arial Unicode MS" w:hAnsi="Arial" w:cs="Arial"/>
        </w:rPr>
        <w:t>In recent years, there has been growing research on the impact of Brexit on inward investment and foreign direct investment (FDI) distribution. Previous studies focused on the EU's positive influence on FDI in the UK and potential adverse effects post-Brexit. However, more attention is needed on the EU's competitive impact in attracting foreign investment amidst the uncertain economic conditions surrounding the UK's departure from the EU (Gudgin et al., 2017).</w:t>
      </w:r>
    </w:p>
    <w:p w14:paraId="5C7A7C18" w14:textId="2DDD3AFC"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 xml:space="preserve">Additionally, La ll (1997b) and Costa (2002) highlighted the substantial benefits of FDI, including technology transfer, increased market access, enhanced productivity, and exports. Recognising these benefits, authorities </w:t>
      </w:r>
      <w:r w:rsidR="006804DC" w:rsidRPr="004A73C1">
        <w:rPr>
          <w:rFonts w:ascii="Arial" w:eastAsia="Arial Unicode MS" w:hAnsi="Arial" w:cs="Arial"/>
        </w:rPr>
        <w:t xml:space="preserve">can </w:t>
      </w:r>
      <w:r w:rsidRPr="004A73C1">
        <w:rPr>
          <w:rFonts w:ascii="Arial" w:eastAsia="Arial Unicode MS" w:hAnsi="Arial" w:cs="Arial"/>
        </w:rPr>
        <w:t xml:space="preserve">offer various incentives, such as special relaxations, government support, and reduced taxes, to attract and motivate investors to bring FDI into the country. </w:t>
      </w:r>
    </w:p>
    <w:p w14:paraId="61F7890C" w14:textId="3DEAA9F9"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lastRenderedPageBreak/>
        <w:t xml:space="preserve">In </w:t>
      </w:r>
      <w:r w:rsidR="009A1DF4" w:rsidRPr="004A73C1">
        <w:rPr>
          <w:rFonts w:ascii="Arial" w:eastAsia="Arial Unicode MS" w:hAnsi="Arial" w:cs="Arial"/>
        </w:rPr>
        <w:t>one of the analyses</w:t>
      </w:r>
      <w:r w:rsidRPr="004A73C1">
        <w:rPr>
          <w:rFonts w:ascii="Arial" w:eastAsia="Arial Unicode MS" w:hAnsi="Arial" w:cs="Arial"/>
        </w:rPr>
        <w:t xml:space="preserve"> of location selection and the decision-making process for foreign direct investment (FDI), Chen (1996) underscored several critical determinants. He posited that FDI is intricately linked to location-specific attributes and the potential for market </w:t>
      </w:r>
      <w:r w:rsidR="009A1DF4" w:rsidRPr="004A73C1">
        <w:rPr>
          <w:rFonts w:ascii="Arial" w:eastAsia="Arial Unicode MS" w:hAnsi="Arial" w:cs="Arial"/>
        </w:rPr>
        <w:t xml:space="preserve">expansion. </w:t>
      </w:r>
    </w:p>
    <w:p w14:paraId="6C7B48DA" w14:textId="113FB8A0"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 xml:space="preserve">It is essential to acknowledge that market attractiveness varies across regions, contingent on factors such as the legal framework, economic outlook, political stability, and government directives. From 1985 to 2013, a study by Bruno, Campos, Estrin, and Tian (2016) used foreign direct investment (FDI) data between 34 OECD countries. They </w:t>
      </w:r>
      <w:r w:rsidR="009A1DF4" w:rsidRPr="004A73C1">
        <w:rPr>
          <w:rFonts w:ascii="Arial" w:eastAsia="Arial Unicode MS" w:hAnsi="Arial" w:cs="Arial"/>
        </w:rPr>
        <w:t xml:space="preserve">analyse </w:t>
      </w:r>
      <w:r w:rsidRPr="004A73C1">
        <w:rPr>
          <w:rFonts w:ascii="Arial" w:eastAsia="Arial Unicode MS" w:hAnsi="Arial" w:cs="Arial"/>
        </w:rPr>
        <w:t>how joining the EU would affect FDI flows between countries. The study considered factors like market size (measured by GDP), distance between countries, and GDP per capita. This approach help</w:t>
      </w:r>
      <w:r w:rsidR="00415B7E" w:rsidRPr="004A73C1">
        <w:rPr>
          <w:rFonts w:ascii="Arial" w:eastAsia="Arial Unicode MS" w:hAnsi="Arial" w:cs="Arial"/>
        </w:rPr>
        <w:t>ed</w:t>
      </w:r>
      <w:r w:rsidRPr="004A73C1">
        <w:rPr>
          <w:rFonts w:ascii="Arial" w:eastAsia="Arial Unicode MS" w:hAnsi="Arial" w:cs="Arial"/>
        </w:rPr>
        <w:t xml:space="preserve"> </w:t>
      </w:r>
      <w:r w:rsidR="009A1DF4" w:rsidRPr="004A73C1">
        <w:rPr>
          <w:rFonts w:ascii="Arial" w:eastAsia="Arial Unicode MS" w:hAnsi="Arial" w:cs="Arial"/>
        </w:rPr>
        <w:t xml:space="preserve">us </w:t>
      </w:r>
      <w:r w:rsidR="00415B7E" w:rsidRPr="004A73C1">
        <w:rPr>
          <w:rFonts w:ascii="Arial" w:eastAsia="Arial Unicode MS" w:hAnsi="Arial" w:cs="Arial"/>
        </w:rPr>
        <w:t xml:space="preserve">to </w:t>
      </w:r>
      <w:r w:rsidR="006804DC" w:rsidRPr="004A73C1">
        <w:rPr>
          <w:rFonts w:ascii="Arial" w:eastAsia="Arial Unicode MS" w:hAnsi="Arial" w:cs="Arial"/>
        </w:rPr>
        <w:t>understand EU membership's specific impact</w:t>
      </w:r>
      <w:r w:rsidRPr="004A73C1">
        <w:rPr>
          <w:rFonts w:ascii="Arial" w:eastAsia="Arial Unicode MS" w:hAnsi="Arial" w:cs="Arial"/>
        </w:rPr>
        <w:t xml:space="preserve"> on FDI flows. </w:t>
      </w:r>
    </w:p>
    <w:p w14:paraId="08BF5DF2" w14:textId="195BEBB9" w:rsidR="006804DC" w:rsidRPr="004A73C1" w:rsidRDefault="00D11768" w:rsidP="00EF2E34">
      <w:pPr>
        <w:pStyle w:val="Heading2"/>
        <w:spacing w:line="360" w:lineRule="auto"/>
        <w:rPr>
          <w:rFonts w:ascii="Arial" w:hAnsi="Arial" w:cs="Arial"/>
          <w:color w:val="auto"/>
        </w:rPr>
      </w:pPr>
      <w:bookmarkStart w:id="24" w:name="_Toc175056434"/>
      <w:bookmarkStart w:id="25" w:name="_Toc175675322"/>
      <w:r w:rsidRPr="004A73C1">
        <w:rPr>
          <w:rFonts w:ascii="Arial" w:hAnsi="Arial" w:cs="Arial"/>
          <w:color w:val="auto"/>
        </w:rPr>
        <w:t>1.7</w:t>
      </w:r>
      <w:r w:rsidRPr="004A73C1">
        <w:rPr>
          <w:rFonts w:ascii="Arial" w:hAnsi="Arial" w:cs="Arial"/>
          <w:color w:val="auto"/>
        </w:rPr>
        <w:tab/>
      </w:r>
      <w:r w:rsidR="006804DC" w:rsidRPr="004A73C1">
        <w:rPr>
          <w:rFonts w:ascii="Arial" w:hAnsi="Arial" w:cs="Arial"/>
          <w:color w:val="auto"/>
        </w:rPr>
        <w:t>Research Gaps</w:t>
      </w:r>
      <w:bookmarkEnd w:id="24"/>
      <w:bookmarkEnd w:id="25"/>
      <w:r w:rsidR="006804DC" w:rsidRPr="004A73C1">
        <w:rPr>
          <w:rFonts w:ascii="Arial" w:hAnsi="Arial" w:cs="Arial"/>
          <w:color w:val="auto"/>
        </w:rPr>
        <w:t xml:space="preserve"> </w:t>
      </w:r>
    </w:p>
    <w:p w14:paraId="3083C928" w14:textId="30B39FFC" w:rsidR="006804DC" w:rsidRPr="004A73C1" w:rsidRDefault="00105A1C" w:rsidP="00EF2E34">
      <w:pPr>
        <w:pStyle w:val="ListParagraph"/>
        <w:spacing w:after="200" w:line="360" w:lineRule="auto"/>
        <w:ind w:left="0"/>
        <w:jc w:val="both"/>
        <w:rPr>
          <w:rFonts w:ascii="Arial" w:hAnsi="Arial" w:cs="Arial"/>
        </w:rPr>
      </w:pPr>
      <w:r w:rsidRPr="004A73C1">
        <w:rPr>
          <w:rFonts w:ascii="Arial" w:hAnsi="Arial" w:cs="Arial"/>
        </w:rPr>
        <w:t>In this research, we will try to cover the f</w:t>
      </w:r>
      <w:r w:rsidR="006804DC" w:rsidRPr="004A73C1">
        <w:rPr>
          <w:rFonts w:ascii="Arial" w:hAnsi="Arial" w:cs="Arial"/>
        </w:rPr>
        <w:t xml:space="preserve">ollowing research gaps, </w:t>
      </w:r>
      <w:r w:rsidRPr="004A73C1">
        <w:rPr>
          <w:rFonts w:ascii="Arial" w:hAnsi="Arial" w:cs="Arial"/>
        </w:rPr>
        <w:t>h</w:t>
      </w:r>
      <w:r w:rsidR="006804DC" w:rsidRPr="004A73C1">
        <w:rPr>
          <w:rFonts w:ascii="Arial" w:hAnsi="Arial" w:cs="Arial"/>
        </w:rPr>
        <w:t>owever, the topic is broad, and tackling all the gaps is challenging.</w:t>
      </w:r>
    </w:p>
    <w:p w14:paraId="25E028C6" w14:textId="77777777" w:rsidR="00105A1C" w:rsidRPr="004A73C1" w:rsidRDefault="00105A1C" w:rsidP="00EF2E34">
      <w:pPr>
        <w:pStyle w:val="ListParagraph"/>
        <w:spacing w:after="200" w:line="360" w:lineRule="auto"/>
        <w:ind w:left="0"/>
        <w:jc w:val="both"/>
        <w:rPr>
          <w:rFonts w:ascii="Arial" w:eastAsia="Arial Unicode MS" w:hAnsi="Arial" w:cs="Arial"/>
        </w:rPr>
      </w:pPr>
    </w:p>
    <w:p w14:paraId="4AC8DEDE" w14:textId="1F7EC9B6" w:rsidR="006804DC" w:rsidRPr="004A73C1" w:rsidRDefault="00105A1C" w:rsidP="00EF2E34">
      <w:pPr>
        <w:pStyle w:val="ListParagraph"/>
        <w:numPr>
          <w:ilvl w:val="0"/>
          <w:numId w:val="52"/>
        </w:numPr>
        <w:spacing w:after="200" w:line="360" w:lineRule="auto"/>
        <w:jc w:val="both"/>
        <w:rPr>
          <w:rFonts w:ascii="Arial" w:eastAsia="Arial Unicode MS" w:hAnsi="Arial" w:cs="Arial"/>
        </w:rPr>
      </w:pPr>
      <w:r w:rsidRPr="004A73C1">
        <w:rPr>
          <w:rFonts w:ascii="Arial" w:eastAsia="Arial Unicode MS" w:hAnsi="Arial" w:cs="Arial"/>
        </w:rPr>
        <w:t>E</w:t>
      </w:r>
      <w:r w:rsidR="006804DC" w:rsidRPr="004A73C1">
        <w:rPr>
          <w:rFonts w:ascii="Arial" w:eastAsia="Arial Unicode MS" w:hAnsi="Arial" w:cs="Arial"/>
        </w:rPr>
        <w:t>xploration and continuous analysis are crucial to filling the gaps in foreign direct investment (FDI).</w:t>
      </w:r>
      <w:r w:rsidRPr="004A73C1">
        <w:rPr>
          <w:rFonts w:ascii="Arial" w:eastAsia="Arial Unicode MS" w:hAnsi="Arial" w:cs="Arial"/>
        </w:rPr>
        <w:t xml:space="preserve"> W</w:t>
      </w:r>
      <w:r w:rsidR="006804DC" w:rsidRPr="004A73C1">
        <w:rPr>
          <w:rFonts w:ascii="Arial" w:eastAsia="Arial Unicode MS" w:hAnsi="Arial" w:cs="Arial"/>
        </w:rPr>
        <w:t xml:space="preserve">e must thoroughly analyse how Brexit impacts FDI in the United Kingdom and study the factors influencing FDI inflows and outflows in the UK before and after Brexit, as the time and data availability are changing year by year, and continuous study is needed in this context. </w:t>
      </w:r>
    </w:p>
    <w:p w14:paraId="171AD49A" w14:textId="77777777" w:rsidR="006804DC" w:rsidRPr="004A73C1" w:rsidRDefault="006804DC" w:rsidP="00EF2E34">
      <w:pPr>
        <w:pStyle w:val="ListParagraph"/>
        <w:spacing w:line="360" w:lineRule="auto"/>
        <w:ind w:left="0"/>
        <w:jc w:val="both"/>
        <w:rPr>
          <w:rFonts w:ascii="Arial" w:eastAsia="Arial Unicode MS" w:hAnsi="Arial" w:cs="Arial"/>
        </w:rPr>
      </w:pPr>
    </w:p>
    <w:p w14:paraId="7B5AC546" w14:textId="77777777" w:rsidR="006804DC" w:rsidRPr="004A73C1" w:rsidRDefault="006804DC" w:rsidP="00EF2E34">
      <w:pPr>
        <w:pStyle w:val="ListParagraph"/>
        <w:numPr>
          <w:ilvl w:val="0"/>
          <w:numId w:val="52"/>
        </w:numPr>
        <w:spacing w:after="200" w:line="360" w:lineRule="auto"/>
        <w:jc w:val="both"/>
        <w:rPr>
          <w:rFonts w:ascii="Arial" w:eastAsia="Arial Unicode MS" w:hAnsi="Arial" w:cs="Arial"/>
        </w:rPr>
      </w:pPr>
      <w:r w:rsidRPr="004A73C1">
        <w:rPr>
          <w:rFonts w:ascii="Arial" w:eastAsia="Arial Unicode MS" w:hAnsi="Arial" w:cs="Arial"/>
        </w:rPr>
        <w:t>more detailed and longitudinal studies are required to understand the long-term implications of FDI on the UK economy, including its effects on employment, economic growth, and industry dynamics. Furthermore, more literature is needed on the role of governmental policies and regulations in attracting or deterring FDI in the UK, which requires further exploration and analysis.</w:t>
      </w:r>
    </w:p>
    <w:p w14:paraId="644F0A82" w14:textId="77777777" w:rsidR="006804DC" w:rsidRPr="004A73C1" w:rsidRDefault="006804DC" w:rsidP="00EF2E34">
      <w:pPr>
        <w:pStyle w:val="ListParagraph"/>
        <w:spacing w:line="360" w:lineRule="auto"/>
        <w:ind w:left="0"/>
        <w:jc w:val="both"/>
        <w:rPr>
          <w:rFonts w:ascii="Arial" w:eastAsia="Arial Unicode MS" w:hAnsi="Arial" w:cs="Arial"/>
        </w:rPr>
      </w:pPr>
    </w:p>
    <w:p w14:paraId="475315A3" w14:textId="77777777" w:rsidR="006804DC" w:rsidRPr="004A73C1" w:rsidRDefault="006804DC" w:rsidP="00EF2E34">
      <w:pPr>
        <w:pStyle w:val="ListParagraph"/>
        <w:numPr>
          <w:ilvl w:val="0"/>
          <w:numId w:val="52"/>
        </w:numPr>
        <w:spacing w:after="200" w:line="360" w:lineRule="auto"/>
        <w:jc w:val="both"/>
        <w:rPr>
          <w:rFonts w:ascii="Arial" w:eastAsia="Arial Unicode MS" w:hAnsi="Arial" w:cs="Arial"/>
        </w:rPr>
      </w:pPr>
      <w:r w:rsidRPr="004A73C1">
        <w:rPr>
          <w:rFonts w:ascii="Arial" w:eastAsia="Arial Unicode MS" w:hAnsi="Arial" w:cs="Arial"/>
        </w:rPr>
        <w:t>Moreover, there are gaps in research regarding the changing patterns and trends in FDI inflows and outflows in the UK, necessitating more comprehensive studies to capture the evolving nature of FDI activities in the country.</w:t>
      </w:r>
    </w:p>
    <w:p w14:paraId="64A82634" w14:textId="5C4A960E" w:rsidR="00FF2777" w:rsidRPr="004A73C1" w:rsidRDefault="00D11768" w:rsidP="00EF2E34">
      <w:pPr>
        <w:pStyle w:val="Heading2"/>
        <w:spacing w:line="360" w:lineRule="auto"/>
        <w:rPr>
          <w:rFonts w:ascii="Arial" w:hAnsi="Arial" w:cs="Arial"/>
          <w:color w:val="auto"/>
        </w:rPr>
      </w:pPr>
      <w:bookmarkStart w:id="26" w:name="_Toc158078677"/>
      <w:bookmarkStart w:id="27" w:name="_Toc175056435"/>
      <w:bookmarkStart w:id="28" w:name="_Toc175675323"/>
      <w:r w:rsidRPr="004A73C1">
        <w:rPr>
          <w:rFonts w:ascii="Arial" w:hAnsi="Arial" w:cs="Arial"/>
          <w:color w:val="auto"/>
        </w:rPr>
        <w:t>1.8</w:t>
      </w:r>
      <w:r w:rsidRPr="004A73C1">
        <w:rPr>
          <w:rFonts w:ascii="Arial" w:hAnsi="Arial" w:cs="Arial"/>
          <w:color w:val="auto"/>
        </w:rPr>
        <w:tab/>
      </w:r>
      <w:r w:rsidR="00FF2777" w:rsidRPr="004A73C1">
        <w:rPr>
          <w:rFonts w:ascii="Arial" w:hAnsi="Arial" w:cs="Arial"/>
          <w:color w:val="auto"/>
        </w:rPr>
        <w:t>Methodology</w:t>
      </w:r>
      <w:bookmarkEnd w:id="26"/>
      <w:bookmarkEnd w:id="27"/>
      <w:bookmarkEnd w:id="28"/>
    </w:p>
    <w:p w14:paraId="43384851" w14:textId="56FB1F7C" w:rsidR="00415B7E" w:rsidRPr="004A73C1" w:rsidRDefault="00D11768" w:rsidP="003F68BF">
      <w:pPr>
        <w:pStyle w:val="Heading2"/>
        <w:rPr>
          <w:rFonts w:ascii="Arial" w:eastAsia="Arial Unicode MS" w:hAnsi="Arial" w:cs="Arial"/>
          <w:color w:val="auto"/>
        </w:rPr>
      </w:pPr>
      <w:bookmarkStart w:id="29" w:name="_Toc175056436"/>
      <w:bookmarkStart w:id="30" w:name="_Toc175675324"/>
      <w:r w:rsidRPr="004A73C1">
        <w:rPr>
          <w:rFonts w:ascii="Arial" w:eastAsia="Arial Unicode MS" w:hAnsi="Arial" w:cs="Arial"/>
          <w:color w:val="auto"/>
        </w:rPr>
        <w:t>1.9</w:t>
      </w:r>
      <w:r w:rsidRPr="004A73C1">
        <w:rPr>
          <w:rFonts w:ascii="Arial" w:eastAsia="Arial Unicode MS" w:hAnsi="Arial" w:cs="Arial"/>
          <w:color w:val="auto"/>
        </w:rPr>
        <w:tab/>
      </w:r>
      <w:r w:rsidR="00415B7E" w:rsidRPr="004A73C1">
        <w:rPr>
          <w:rStyle w:val="Heading2Char"/>
          <w:rFonts w:ascii="Arial" w:hAnsi="Arial" w:cs="Arial"/>
          <w:color w:val="auto"/>
        </w:rPr>
        <w:t>Quantitative Analysis Methodology</w:t>
      </w:r>
      <w:bookmarkEnd w:id="29"/>
      <w:bookmarkEnd w:id="30"/>
    </w:p>
    <w:p w14:paraId="00BBDC99" w14:textId="77777777" w:rsidR="00415B7E" w:rsidRPr="004A73C1" w:rsidRDefault="00415B7E" w:rsidP="00EF2E34">
      <w:pPr>
        <w:spacing w:line="360" w:lineRule="auto"/>
        <w:rPr>
          <w:rFonts w:ascii="Arial" w:hAnsi="Arial" w:cs="Arial"/>
        </w:rPr>
      </w:pPr>
    </w:p>
    <w:p w14:paraId="5B188270" w14:textId="7995DCC7" w:rsidR="00C36DB2" w:rsidRPr="004A73C1" w:rsidRDefault="00C36DB2" w:rsidP="00EF2E34">
      <w:pPr>
        <w:spacing w:line="360" w:lineRule="auto"/>
        <w:jc w:val="both"/>
        <w:rPr>
          <w:rFonts w:ascii="Arial" w:eastAsia="Arial Unicode MS" w:hAnsi="Arial" w:cs="Arial"/>
        </w:rPr>
      </w:pPr>
      <w:r w:rsidRPr="004A73C1">
        <w:rPr>
          <w:rFonts w:ascii="Arial" w:eastAsia="Arial Unicode MS" w:hAnsi="Arial" w:cs="Arial"/>
        </w:rPr>
        <w:t>For this dissertation, we will employ a quantitative analysis methodology. Our research topic focuses on Foreign Direct Investment (FDI), requiring us to access real-time information via secondary data sources. This approach will allow us to effectively analyse the impact of FDI on the target areas and draw valuable insights.</w:t>
      </w:r>
    </w:p>
    <w:p w14:paraId="059738C3" w14:textId="593F1783" w:rsidR="00FF2777" w:rsidRPr="004A73C1" w:rsidRDefault="00415B7E" w:rsidP="00EF2E34">
      <w:pPr>
        <w:spacing w:line="360" w:lineRule="auto"/>
        <w:jc w:val="both"/>
        <w:rPr>
          <w:rFonts w:ascii="Arial" w:eastAsia="Arial Unicode MS" w:hAnsi="Arial" w:cs="Arial"/>
        </w:rPr>
      </w:pPr>
      <w:r w:rsidRPr="004A73C1">
        <w:rPr>
          <w:rFonts w:ascii="Arial" w:eastAsia="Arial Unicode MS" w:hAnsi="Arial" w:cs="Arial"/>
        </w:rPr>
        <w:lastRenderedPageBreak/>
        <w:t>Q</w:t>
      </w:r>
      <w:r w:rsidR="00FF2777" w:rsidRPr="004A73C1">
        <w:rPr>
          <w:rFonts w:ascii="Arial" w:eastAsia="Arial Unicode MS" w:hAnsi="Arial" w:cs="Arial"/>
        </w:rPr>
        <w:t>uantitative methods will be used to analyse large datasets about FDI inflows and outflows, economic indicators, and market trends. This approach, which uses statistical tools and econometric models, aims to quantify the impact of FDI on various aspects of the UK economy and assess the changes post-Brexit.</w:t>
      </w:r>
    </w:p>
    <w:p w14:paraId="1569479E"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A comparative analysis will also examine pre- and post-Brexit scenarios, considering relevant factors influencing FDI and economic conditions. This will provide a nuanced understanding of how Brexit has affected FDI in the UK.</w:t>
      </w:r>
    </w:p>
    <w:p w14:paraId="02ED2369" w14:textId="5F94E9B5"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 xml:space="preserve">Furthermore, a thorough literature review will consolidate </w:t>
      </w:r>
      <w:r w:rsidR="00415B7E" w:rsidRPr="004A73C1">
        <w:rPr>
          <w:rFonts w:ascii="Arial" w:eastAsia="Arial Unicode MS" w:hAnsi="Arial" w:cs="Arial"/>
        </w:rPr>
        <w:t>knowledge,</w:t>
      </w:r>
      <w:r w:rsidRPr="004A73C1">
        <w:rPr>
          <w:rFonts w:ascii="Arial" w:eastAsia="Arial Unicode MS" w:hAnsi="Arial" w:cs="Arial"/>
        </w:rPr>
        <w:t xml:space="preserve"> and theories related to FDI, economic impact assessment, and the influence of geopolitical events on international investment.</w:t>
      </w:r>
    </w:p>
    <w:p w14:paraId="5E7430A9" w14:textId="0A47E99C"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Overall, th</w:t>
      </w:r>
      <w:r w:rsidR="00415B7E" w:rsidRPr="004A73C1">
        <w:rPr>
          <w:rFonts w:ascii="Arial" w:eastAsia="Arial Unicode MS" w:hAnsi="Arial" w:cs="Arial"/>
        </w:rPr>
        <w:t>is</w:t>
      </w:r>
      <w:r w:rsidRPr="004A73C1">
        <w:rPr>
          <w:rFonts w:ascii="Arial" w:eastAsia="Arial Unicode MS" w:hAnsi="Arial" w:cs="Arial"/>
        </w:rPr>
        <w:t xml:space="preserve"> methodology will provide a robust and comprehensive analysis of foreign direct investment in the United Kingdom, considering the implications of Brexit on FDI and the broader economy.</w:t>
      </w:r>
    </w:p>
    <w:p w14:paraId="2A7BA21C" w14:textId="6E736814" w:rsidR="00FF2777" w:rsidRPr="004A73C1" w:rsidRDefault="00D11768" w:rsidP="003F68BF">
      <w:pPr>
        <w:pStyle w:val="Heading2"/>
        <w:rPr>
          <w:rFonts w:ascii="Arial" w:hAnsi="Arial" w:cs="Arial"/>
          <w:color w:val="auto"/>
        </w:rPr>
      </w:pPr>
      <w:bookmarkStart w:id="31" w:name="_Toc175056437"/>
      <w:bookmarkStart w:id="32" w:name="_Toc175675325"/>
      <w:r w:rsidRPr="004A73C1">
        <w:rPr>
          <w:rFonts w:ascii="Arial" w:hAnsi="Arial" w:cs="Arial"/>
          <w:color w:val="auto"/>
        </w:rPr>
        <w:t>1.10</w:t>
      </w:r>
      <w:r w:rsidRPr="004A73C1">
        <w:rPr>
          <w:rFonts w:ascii="Arial" w:hAnsi="Arial" w:cs="Arial"/>
          <w:color w:val="auto"/>
        </w:rPr>
        <w:tab/>
      </w:r>
      <w:r w:rsidR="00FF2777" w:rsidRPr="004A73C1">
        <w:rPr>
          <w:rFonts w:ascii="Arial" w:hAnsi="Arial" w:cs="Arial"/>
          <w:color w:val="auto"/>
        </w:rPr>
        <w:t>Data Collection</w:t>
      </w:r>
      <w:bookmarkEnd w:id="31"/>
      <w:bookmarkEnd w:id="32"/>
    </w:p>
    <w:p w14:paraId="644E1042" w14:textId="77777777" w:rsidR="00842DCD" w:rsidRPr="00842DCD" w:rsidRDefault="00842DCD" w:rsidP="00842DCD">
      <w:pPr>
        <w:spacing w:line="360" w:lineRule="auto"/>
        <w:jc w:val="both"/>
        <w:rPr>
          <w:rFonts w:ascii="Arial" w:eastAsia="Arial Unicode MS" w:hAnsi="Arial" w:cs="Arial"/>
        </w:rPr>
      </w:pPr>
      <w:r w:rsidRPr="00842DCD">
        <w:rPr>
          <w:rFonts w:ascii="Arial" w:eastAsia="Arial Unicode MS" w:hAnsi="Arial" w:cs="Arial"/>
        </w:rPr>
        <w:t xml:space="preserve">To begin gathering data on foreign direct investment (FDI), I can consult sources such as the UK Office for National Statistics (ONS), the Department for International Trade (DIT), and the United Nations Conference on Trade and Development (UNCTAD) database. </w:t>
      </w:r>
    </w:p>
    <w:p w14:paraId="6406C710" w14:textId="285BC981"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These sources provide comprehensive and reliable information on FDI flows, stock, and trends. Additionally, consulting academic journals, research papers, and reports on FDI in the UK can offer valuable insights. For a more specific approach, collecting data on FDI requires attention to detail, ensuring that I am using reputable sources, and considering factors such as FDI inflows, outflows, sectors, and geographical distribution.</w:t>
      </w:r>
    </w:p>
    <w:p w14:paraId="730FA82C" w14:textId="1E003249" w:rsidR="00FF2777" w:rsidRPr="004A73C1" w:rsidRDefault="00D11768" w:rsidP="003F68BF">
      <w:pPr>
        <w:pStyle w:val="Heading2"/>
        <w:rPr>
          <w:rFonts w:ascii="Arial" w:hAnsi="Arial" w:cs="Arial"/>
          <w:color w:val="auto"/>
        </w:rPr>
      </w:pPr>
      <w:bookmarkStart w:id="33" w:name="_Toc175056438"/>
      <w:bookmarkStart w:id="34" w:name="_Toc175675326"/>
      <w:r w:rsidRPr="004A73C1">
        <w:rPr>
          <w:rFonts w:ascii="Arial" w:hAnsi="Arial" w:cs="Arial"/>
          <w:color w:val="auto"/>
        </w:rPr>
        <w:t>1.11</w:t>
      </w:r>
      <w:r w:rsidRPr="004A73C1">
        <w:rPr>
          <w:rFonts w:ascii="Arial" w:hAnsi="Arial" w:cs="Arial"/>
          <w:color w:val="auto"/>
        </w:rPr>
        <w:tab/>
      </w:r>
      <w:r w:rsidR="00FF2777" w:rsidRPr="004A73C1">
        <w:rPr>
          <w:rFonts w:ascii="Arial" w:hAnsi="Arial" w:cs="Arial"/>
          <w:color w:val="auto"/>
        </w:rPr>
        <w:t>Systematic Approach</w:t>
      </w:r>
      <w:bookmarkEnd w:id="33"/>
      <w:bookmarkEnd w:id="34"/>
    </w:p>
    <w:p w14:paraId="3AB38763" w14:textId="2E466B66"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A systematic approach for my dissertation on foreign direct investment (FDI) in the United Kingdom involves the following steps:</w:t>
      </w:r>
    </w:p>
    <w:p w14:paraId="145DADEB"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1. Define the Research Questions: Clearly define the main research questions I aim to address in my dissertation. These questions should guide me in investigating the impact of FDI on the UK economy and the effects of Brexit on FDI.</w:t>
      </w:r>
    </w:p>
    <w:p w14:paraId="68E5D8C0"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2. Literature Review: I will Conduct a comprehensive literature review to understand the existing knowledge and research gaps related to FDI in the UK. This will help me build a solid theoretical foundation for my study and identify the critical factors studied in previous research.</w:t>
      </w:r>
    </w:p>
    <w:p w14:paraId="54B9296C"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3. Data Collection and Analysis: To Collect relevant data on FDI inflows, outflows, and stock in the UK from credible sources such as government agencies, international organisations, and academic publications. Utilise statistical and econometric methods to analyse the data and draw meaningful insights.</w:t>
      </w:r>
    </w:p>
    <w:p w14:paraId="5E76EEBF"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lastRenderedPageBreak/>
        <w:t>4. Methodology: I clearly outline the methodology I plan to use for data collection, analysis, and interpretation and explain why the chosen methods are appropriate for addressing my research questions.</w:t>
      </w:r>
    </w:p>
    <w:p w14:paraId="13B1FF6A"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5. Empirical Analysis: Present the findings of my empirical analysis, highlighting the impact of FDI on the UK economy and any observable trends before and after Brexit.</w:t>
      </w:r>
    </w:p>
    <w:p w14:paraId="2EA039CF"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6. Discussion and Implications: Discuss the implications of my findings in the context of economic theory and policy. Consider the potential effects of Brexit on FDI and how they may shape the future financial landscape of the UK.</w:t>
      </w:r>
    </w:p>
    <w:p w14:paraId="53D68BCC"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7. Conclusion: Conclude by summarising the key findings of my research and discussing the broader implications of my work. Provide recommendations for policymakers and practitioners based on my findings.</w:t>
      </w:r>
    </w:p>
    <w:p w14:paraId="68BDE387"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By following this rational approach, I can ensure that my dissertation on FDI in the UK is well-structured, thoroughly researched, and contributes to the existing body of knowledge in this field.</w:t>
      </w:r>
    </w:p>
    <w:p w14:paraId="57CEAAC0" w14:textId="0895DD96" w:rsidR="00FF2777" w:rsidRPr="004A73C1" w:rsidRDefault="00D11768" w:rsidP="00EF2E34">
      <w:pPr>
        <w:pStyle w:val="Heading2"/>
        <w:spacing w:line="360" w:lineRule="auto"/>
        <w:rPr>
          <w:rFonts w:ascii="Arial" w:hAnsi="Arial" w:cs="Arial"/>
          <w:color w:val="auto"/>
        </w:rPr>
      </w:pPr>
      <w:bookmarkStart w:id="35" w:name="_Toc175056439"/>
      <w:bookmarkStart w:id="36" w:name="_Toc175675327"/>
      <w:r w:rsidRPr="004A73C1">
        <w:rPr>
          <w:rFonts w:ascii="Arial" w:hAnsi="Arial" w:cs="Arial"/>
          <w:color w:val="auto"/>
        </w:rPr>
        <w:t>1.12</w:t>
      </w:r>
      <w:r w:rsidR="003F68BF" w:rsidRPr="004A73C1">
        <w:rPr>
          <w:rFonts w:ascii="Arial" w:hAnsi="Arial" w:cs="Arial"/>
          <w:color w:val="auto"/>
        </w:rPr>
        <w:tab/>
      </w:r>
      <w:r w:rsidR="00FF2777" w:rsidRPr="004A73C1">
        <w:rPr>
          <w:rFonts w:ascii="Arial" w:hAnsi="Arial" w:cs="Arial"/>
          <w:color w:val="auto"/>
        </w:rPr>
        <w:t>Potential Risks</w:t>
      </w:r>
      <w:bookmarkEnd w:id="35"/>
      <w:bookmarkEnd w:id="36"/>
    </w:p>
    <w:p w14:paraId="2E79797E"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Some potential risks to consider include:</w:t>
      </w:r>
    </w:p>
    <w:p w14:paraId="0536A647"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1. Data Availability: Access to accurate and reliable data on FDI inflows and outflows, especially post-Brexit, may be limited. Ensuring the availability and credibility of data sources is crucial to the success of my research.</w:t>
      </w:r>
    </w:p>
    <w:p w14:paraId="1C959A8E" w14:textId="0CF31028"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 xml:space="preserve">2. Brexit Uncertainties: The impact of Brexit on FDI may still be uncertain and subject to ongoing developments. </w:t>
      </w:r>
      <w:r w:rsidR="006804DC" w:rsidRPr="004A73C1">
        <w:rPr>
          <w:rFonts w:ascii="Arial" w:eastAsia="Arial Unicode MS" w:hAnsi="Arial" w:cs="Arial"/>
        </w:rPr>
        <w:t>I must consider</w:t>
      </w:r>
      <w:r w:rsidR="00BF0083" w:rsidRPr="004A73C1">
        <w:rPr>
          <w:rFonts w:ascii="Arial" w:eastAsia="Arial Unicode MS" w:hAnsi="Arial" w:cs="Arial"/>
        </w:rPr>
        <w:t xml:space="preserve"> and address these uncertainties in my analysis and interpretation of results</w:t>
      </w:r>
      <w:r w:rsidRPr="004A73C1">
        <w:rPr>
          <w:rFonts w:ascii="Arial" w:eastAsia="Arial Unicode MS" w:hAnsi="Arial" w:cs="Arial"/>
        </w:rPr>
        <w:t>.</w:t>
      </w:r>
    </w:p>
    <w:p w14:paraId="32570C3C"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3. Macro-Economic Factors: FDI is influenced by various macroeconomic variables such as exchange rates, interest rates, and global economic conditions. These factors can be volatile and may impact the stability of FDI flows.</w:t>
      </w:r>
    </w:p>
    <w:p w14:paraId="507D1AAF"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4. Regulatory Changes: Changes in policies, trade agreements, and investment regulations, especially in the post-Brexit UK, may create uncertainties and potential barriers to FDI.</w:t>
      </w:r>
    </w:p>
    <w:p w14:paraId="6A7590F3"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 xml:space="preserve">5. Limited Research Scope: Ensuring that the scope of my dissertation is comprehensive enough to capture the diverse factors influencing FDI while also being focused enough to provide specific and meaningful insights. </w:t>
      </w:r>
    </w:p>
    <w:p w14:paraId="3B46B144"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By identifying and addressing these potential risks, I can strengthen the quality and reliability of my dissertation on Foreign Direct Investment in the UK.</w:t>
      </w:r>
    </w:p>
    <w:p w14:paraId="220B4244" w14:textId="293C64C4" w:rsidR="00FF2777" w:rsidRPr="004A73C1" w:rsidRDefault="00D11768" w:rsidP="00EF2E34">
      <w:pPr>
        <w:pStyle w:val="Heading2"/>
        <w:spacing w:line="360" w:lineRule="auto"/>
        <w:rPr>
          <w:rFonts w:ascii="Arial" w:hAnsi="Arial" w:cs="Arial"/>
          <w:color w:val="auto"/>
        </w:rPr>
      </w:pPr>
      <w:bookmarkStart w:id="37" w:name="_Toc175056440"/>
      <w:bookmarkStart w:id="38" w:name="_Toc175675328"/>
      <w:r w:rsidRPr="004A73C1">
        <w:rPr>
          <w:rFonts w:ascii="Arial" w:hAnsi="Arial" w:cs="Arial"/>
          <w:color w:val="auto"/>
        </w:rPr>
        <w:t>1.13</w:t>
      </w:r>
      <w:r w:rsidRPr="004A73C1">
        <w:rPr>
          <w:rFonts w:ascii="Arial" w:hAnsi="Arial" w:cs="Arial"/>
          <w:color w:val="auto"/>
        </w:rPr>
        <w:tab/>
      </w:r>
      <w:r w:rsidR="00FF2777" w:rsidRPr="004A73C1">
        <w:rPr>
          <w:rFonts w:ascii="Arial" w:hAnsi="Arial" w:cs="Arial"/>
          <w:color w:val="auto"/>
        </w:rPr>
        <w:t xml:space="preserve">Ethical </w:t>
      </w:r>
      <w:r w:rsidR="007D4E14" w:rsidRPr="004A73C1">
        <w:rPr>
          <w:rFonts w:ascii="Arial" w:hAnsi="Arial" w:cs="Arial"/>
          <w:color w:val="auto"/>
        </w:rPr>
        <w:t>Considerations</w:t>
      </w:r>
      <w:bookmarkEnd w:id="37"/>
      <w:bookmarkEnd w:id="38"/>
    </w:p>
    <w:p w14:paraId="24F9E5E6" w14:textId="01EDD33D"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 xml:space="preserve">Ethical considerations are crucial to any research or dissertation. When researching foreign direct investment (FDI) and its impact on the UK economy, it is important to consider ethical </w:t>
      </w:r>
      <w:r w:rsidRPr="004A73C1">
        <w:rPr>
          <w:rFonts w:ascii="Arial" w:eastAsia="Arial Unicode MS" w:hAnsi="Arial" w:cs="Arial"/>
        </w:rPr>
        <w:lastRenderedPageBreak/>
        <w:t xml:space="preserve">guidelines and ensure </w:t>
      </w:r>
      <w:r w:rsidR="00614F78" w:rsidRPr="004A73C1">
        <w:rPr>
          <w:rFonts w:ascii="Arial" w:eastAsia="Arial Unicode MS" w:hAnsi="Arial" w:cs="Arial"/>
        </w:rPr>
        <w:t xml:space="preserve">that </w:t>
      </w:r>
      <w:r w:rsidRPr="004A73C1">
        <w:rPr>
          <w:rFonts w:ascii="Arial" w:eastAsia="Arial Unicode MS" w:hAnsi="Arial" w:cs="Arial"/>
        </w:rPr>
        <w:t>the research is conducted with integrity and respect for all stakeholders involved.</w:t>
      </w:r>
    </w:p>
    <w:p w14:paraId="21F56F10"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Some key ethical considerations in this area of my research include:</w:t>
      </w:r>
    </w:p>
    <w:p w14:paraId="5FB28FBA"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1. Privacy and Confidentiality: When gathering data and conducting interviews or surveys, it is essential to respect the privacy and confidentiality of participants. This involves obtaining informed consent, protecting their anonymity, and safeguarding sensitive information.</w:t>
      </w:r>
    </w:p>
    <w:p w14:paraId="6040C762" w14:textId="21C78F48"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 xml:space="preserve">2. Research Integrity: </w:t>
      </w:r>
      <w:r w:rsidR="006804DC" w:rsidRPr="004A73C1">
        <w:rPr>
          <w:rFonts w:ascii="Arial" w:eastAsia="Arial Unicode MS" w:hAnsi="Arial" w:cs="Arial"/>
        </w:rPr>
        <w:t>Conducting research honestly, transparently, and accurately is essential</w:t>
      </w:r>
      <w:r w:rsidRPr="004A73C1">
        <w:rPr>
          <w:rFonts w:ascii="Arial" w:eastAsia="Arial Unicode MS" w:hAnsi="Arial" w:cs="Arial"/>
        </w:rPr>
        <w:t>. This includes appropriately citing sources, avoiding plagiarism, and presenting the findings truthfully without manipulation or bias.</w:t>
      </w:r>
    </w:p>
    <w:p w14:paraId="302DDB43"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3. Impartiality and Objectivity: Researchers should strive to maintain impartiality and objectivity in their work, avoiding conflicts of interest or biases that could unduly influence the research outcomes.</w:t>
      </w:r>
    </w:p>
    <w:p w14:paraId="4108ACE1" w14:textId="77777777" w:rsidR="00842DCD" w:rsidRPr="004A73C1" w:rsidRDefault="00842DCD" w:rsidP="00842DCD">
      <w:pPr>
        <w:spacing w:line="360" w:lineRule="auto"/>
        <w:jc w:val="both"/>
        <w:rPr>
          <w:rFonts w:ascii="Arial" w:eastAsia="Arial Unicode MS" w:hAnsi="Arial" w:cs="Arial"/>
        </w:rPr>
      </w:pPr>
      <w:r w:rsidRPr="00842DCD">
        <w:rPr>
          <w:rFonts w:ascii="Arial" w:eastAsia="Arial Unicode MS" w:hAnsi="Arial" w:cs="Arial"/>
        </w:rPr>
        <w:t xml:space="preserve">4. Respect for Participants: It is critical to treat all participants and stakeholders with dignity, respecting their contributions and opinions while ensuring their voices are appropriately represented in the research findings. </w:t>
      </w:r>
    </w:p>
    <w:p w14:paraId="6004FD61" w14:textId="04DD0A82" w:rsidR="00842DCD" w:rsidRPr="00842DCD" w:rsidRDefault="00842DCD" w:rsidP="00842DCD">
      <w:pPr>
        <w:spacing w:line="360" w:lineRule="auto"/>
        <w:jc w:val="both"/>
        <w:rPr>
          <w:rFonts w:ascii="Arial" w:eastAsia="Arial Unicode MS" w:hAnsi="Arial" w:cs="Arial"/>
        </w:rPr>
      </w:pPr>
      <w:r w:rsidRPr="00842DCD">
        <w:rPr>
          <w:rFonts w:ascii="Arial" w:eastAsia="Arial Unicode MS" w:hAnsi="Arial" w:cs="Arial"/>
        </w:rPr>
        <w:t xml:space="preserve">5. Compliance with rules: Researchers must follow applicable laws, rules, and institutional norms governing research ethics, such as data protection and ethical clearance. </w:t>
      </w:r>
    </w:p>
    <w:p w14:paraId="264E2C43"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6. Social Responsibility: The potential impact of the research on society should be considered, ensuring that the findings are used to bring about positive change and are not exploited for unethical purposes.</w:t>
      </w:r>
    </w:p>
    <w:p w14:paraId="0B7BA5E6" w14:textId="77777777" w:rsidR="009F1A70" w:rsidRPr="004A73C1" w:rsidRDefault="009F1A70">
      <w:pPr>
        <w:rPr>
          <w:rFonts w:ascii="Arial" w:eastAsiaTheme="majorEastAsia" w:hAnsi="Arial" w:cs="Arial"/>
          <w:sz w:val="28"/>
          <w:szCs w:val="28"/>
        </w:rPr>
      </w:pPr>
      <w:bookmarkStart w:id="39" w:name="_Toc316005658"/>
      <w:bookmarkStart w:id="40" w:name="_Toc175056441"/>
      <w:r w:rsidRPr="004A73C1">
        <w:rPr>
          <w:rFonts w:ascii="Arial" w:hAnsi="Arial" w:cs="Arial"/>
        </w:rPr>
        <w:br w:type="page"/>
      </w:r>
    </w:p>
    <w:p w14:paraId="0F24CC63" w14:textId="7BEC7EF9" w:rsidR="00595271" w:rsidRPr="004A73C1" w:rsidRDefault="00D11768" w:rsidP="00EF2E34">
      <w:pPr>
        <w:pStyle w:val="Heading2"/>
        <w:spacing w:line="360" w:lineRule="auto"/>
        <w:rPr>
          <w:rFonts w:ascii="Arial" w:hAnsi="Arial" w:cs="Arial"/>
          <w:color w:val="auto"/>
        </w:rPr>
      </w:pPr>
      <w:bookmarkStart w:id="41" w:name="_Toc175675329"/>
      <w:r w:rsidRPr="004A73C1">
        <w:rPr>
          <w:rFonts w:ascii="Arial" w:hAnsi="Arial" w:cs="Arial"/>
          <w:color w:val="auto"/>
        </w:rPr>
        <w:lastRenderedPageBreak/>
        <w:t>1.15</w:t>
      </w:r>
      <w:r w:rsidRPr="004A73C1">
        <w:rPr>
          <w:rFonts w:ascii="Arial" w:hAnsi="Arial" w:cs="Arial"/>
          <w:color w:val="auto"/>
        </w:rPr>
        <w:tab/>
      </w:r>
      <w:r w:rsidR="007D4E14" w:rsidRPr="004A73C1">
        <w:rPr>
          <w:rFonts w:ascii="Arial" w:hAnsi="Arial" w:cs="Arial"/>
          <w:color w:val="auto"/>
        </w:rPr>
        <w:t>Dissertation</w:t>
      </w:r>
      <w:r w:rsidR="00842DCD" w:rsidRPr="004A73C1">
        <w:rPr>
          <w:rFonts w:ascii="Arial" w:hAnsi="Arial" w:cs="Arial"/>
          <w:color w:val="auto"/>
        </w:rPr>
        <w:t xml:space="preserve"> Structure</w:t>
      </w:r>
      <w:r w:rsidR="007D4E14" w:rsidRPr="004A73C1">
        <w:rPr>
          <w:rFonts w:ascii="Arial" w:hAnsi="Arial" w:cs="Arial"/>
          <w:color w:val="auto"/>
        </w:rPr>
        <w:t>.</w:t>
      </w:r>
      <w:bookmarkEnd w:id="39"/>
      <w:bookmarkEnd w:id="40"/>
      <w:bookmarkEnd w:id="41"/>
    </w:p>
    <w:p w14:paraId="11C1AC0A" w14:textId="54B5EE66" w:rsidR="00595271" w:rsidRPr="004A73C1" w:rsidRDefault="00842DCD" w:rsidP="00EF2E34">
      <w:pPr>
        <w:spacing w:line="360" w:lineRule="auto"/>
        <w:jc w:val="both"/>
        <w:rPr>
          <w:rFonts w:ascii="Arial" w:eastAsia="Arial Unicode MS" w:hAnsi="Arial" w:cs="Arial"/>
        </w:rPr>
      </w:pPr>
      <w:r w:rsidRPr="004A73C1">
        <w:rPr>
          <w:rFonts w:ascii="Arial" w:eastAsia="Arial Unicode MS" w:hAnsi="Arial" w:cs="Arial"/>
        </w:rPr>
        <w:t>This research has the following flow</w:t>
      </w:r>
      <w:r w:rsidR="002E707B" w:rsidRPr="004A73C1">
        <w:rPr>
          <w:rFonts w:ascii="Arial" w:eastAsia="Arial Unicode MS" w:hAnsi="Arial" w:cs="Arial"/>
        </w:rPr>
        <w:t>:</w:t>
      </w:r>
    </w:p>
    <w:tbl>
      <w:tblPr>
        <w:tblW w:w="9705" w:type="dxa"/>
        <w:tblInd w:w="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17"/>
        <w:gridCol w:w="1790"/>
        <w:gridCol w:w="6398"/>
      </w:tblGrid>
      <w:tr w:rsidR="00595271" w:rsidRPr="004A73C1" w14:paraId="4EE6DF6C" w14:textId="77777777" w:rsidTr="00C26D98">
        <w:trPr>
          <w:trHeight w:val="592"/>
        </w:trPr>
        <w:tc>
          <w:tcPr>
            <w:tcW w:w="1517" w:type="dxa"/>
          </w:tcPr>
          <w:p w14:paraId="4DF1A657" w14:textId="19DAA63C" w:rsidR="00595271" w:rsidRPr="004A73C1" w:rsidRDefault="00B80C0D" w:rsidP="00EF2E34">
            <w:pPr>
              <w:spacing w:line="360" w:lineRule="auto"/>
              <w:jc w:val="both"/>
              <w:rPr>
                <w:rFonts w:ascii="Arial" w:eastAsia="Arial Unicode MS" w:hAnsi="Arial" w:cs="Arial"/>
                <w:b/>
                <w:bCs/>
                <w:sz w:val="24"/>
                <w:szCs w:val="24"/>
              </w:rPr>
            </w:pPr>
            <w:r w:rsidRPr="004A73C1">
              <w:rPr>
                <w:rFonts w:ascii="Arial" w:eastAsia="Arial Unicode MS" w:hAnsi="Arial" w:cs="Arial"/>
                <w:b/>
                <w:bCs/>
                <w:sz w:val="24"/>
                <w:szCs w:val="24"/>
              </w:rPr>
              <w:t>Chapter</w:t>
            </w:r>
          </w:p>
        </w:tc>
        <w:tc>
          <w:tcPr>
            <w:tcW w:w="1790" w:type="dxa"/>
          </w:tcPr>
          <w:p w14:paraId="4A8745F9" w14:textId="5DE86733" w:rsidR="00595271" w:rsidRPr="004A73C1" w:rsidRDefault="00B80C0D" w:rsidP="00EF2E34">
            <w:pPr>
              <w:spacing w:line="360" w:lineRule="auto"/>
              <w:jc w:val="both"/>
              <w:rPr>
                <w:rFonts w:ascii="Arial" w:eastAsia="Arial Unicode MS" w:hAnsi="Arial" w:cs="Arial"/>
                <w:b/>
                <w:bCs/>
                <w:sz w:val="24"/>
                <w:szCs w:val="24"/>
              </w:rPr>
            </w:pPr>
            <w:r w:rsidRPr="004A73C1">
              <w:rPr>
                <w:rFonts w:ascii="Arial" w:eastAsia="Arial Unicode MS" w:hAnsi="Arial" w:cs="Arial"/>
                <w:b/>
                <w:bCs/>
                <w:sz w:val="24"/>
                <w:szCs w:val="24"/>
              </w:rPr>
              <w:t>Title</w:t>
            </w:r>
          </w:p>
        </w:tc>
        <w:tc>
          <w:tcPr>
            <w:tcW w:w="6398" w:type="dxa"/>
          </w:tcPr>
          <w:p w14:paraId="429450A7" w14:textId="25DB6047" w:rsidR="00595271" w:rsidRPr="004A73C1" w:rsidRDefault="00B80C0D" w:rsidP="00EF2E34">
            <w:pPr>
              <w:spacing w:line="360" w:lineRule="auto"/>
              <w:jc w:val="both"/>
              <w:rPr>
                <w:rFonts w:ascii="Arial" w:eastAsia="Arial Unicode MS" w:hAnsi="Arial" w:cs="Arial"/>
                <w:b/>
                <w:sz w:val="24"/>
                <w:szCs w:val="24"/>
              </w:rPr>
            </w:pPr>
            <w:r w:rsidRPr="004A73C1">
              <w:rPr>
                <w:rFonts w:ascii="Arial" w:eastAsia="Arial Unicode MS" w:hAnsi="Arial" w:cs="Arial"/>
                <w:b/>
                <w:sz w:val="24"/>
                <w:szCs w:val="24"/>
              </w:rPr>
              <w:t>Description</w:t>
            </w:r>
          </w:p>
        </w:tc>
      </w:tr>
      <w:tr w:rsidR="00595271" w:rsidRPr="004A73C1" w14:paraId="0FA326B4" w14:textId="77777777" w:rsidTr="00C26D98">
        <w:trPr>
          <w:trHeight w:val="3773"/>
        </w:trPr>
        <w:tc>
          <w:tcPr>
            <w:tcW w:w="1517" w:type="dxa"/>
          </w:tcPr>
          <w:p w14:paraId="0A161A63" w14:textId="77777777" w:rsidR="00595271" w:rsidRPr="004A73C1" w:rsidRDefault="00595271" w:rsidP="00EF2E34">
            <w:pPr>
              <w:spacing w:line="360" w:lineRule="auto"/>
              <w:jc w:val="both"/>
              <w:rPr>
                <w:rFonts w:ascii="Arial" w:eastAsia="Arial Unicode MS" w:hAnsi="Arial" w:cs="Arial"/>
                <w:b/>
                <w:bCs/>
                <w:sz w:val="24"/>
                <w:szCs w:val="24"/>
              </w:rPr>
            </w:pPr>
            <w:r w:rsidRPr="004A73C1">
              <w:rPr>
                <w:rFonts w:ascii="Arial" w:eastAsia="Arial Unicode MS" w:hAnsi="Arial" w:cs="Arial"/>
                <w:b/>
                <w:bCs/>
                <w:sz w:val="24"/>
                <w:szCs w:val="24"/>
              </w:rPr>
              <w:t>1</w:t>
            </w:r>
          </w:p>
        </w:tc>
        <w:tc>
          <w:tcPr>
            <w:tcW w:w="1790" w:type="dxa"/>
          </w:tcPr>
          <w:p w14:paraId="0CFF0DE0" w14:textId="0BEB29DD" w:rsidR="00595271" w:rsidRPr="004A73C1" w:rsidRDefault="00B80C0D" w:rsidP="00EF2E34">
            <w:pPr>
              <w:spacing w:line="360" w:lineRule="auto"/>
              <w:jc w:val="both"/>
              <w:rPr>
                <w:rFonts w:ascii="Arial" w:eastAsia="Arial Unicode MS" w:hAnsi="Arial" w:cs="Arial"/>
                <w:b/>
                <w:bCs/>
                <w:sz w:val="24"/>
                <w:szCs w:val="24"/>
              </w:rPr>
            </w:pPr>
            <w:r w:rsidRPr="004A73C1">
              <w:rPr>
                <w:rFonts w:ascii="Arial" w:eastAsia="Arial Unicode MS" w:hAnsi="Arial" w:cs="Arial"/>
                <w:b/>
                <w:bCs/>
                <w:sz w:val="24"/>
                <w:szCs w:val="24"/>
              </w:rPr>
              <w:t>Introduction, Aims And Objectives</w:t>
            </w:r>
          </w:p>
        </w:tc>
        <w:tc>
          <w:tcPr>
            <w:tcW w:w="6398" w:type="dxa"/>
          </w:tcPr>
          <w:p w14:paraId="2FC40FE9" w14:textId="623AF36C" w:rsidR="00595271" w:rsidRPr="004A73C1" w:rsidRDefault="00595271" w:rsidP="00EF2E34">
            <w:pPr>
              <w:spacing w:line="360" w:lineRule="auto"/>
              <w:jc w:val="both"/>
              <w:rPr>
                <w:rFonts w:ascii="Arial" w:eastAsia="Arial Unicode MS" w:hAnsi="Arial" w:cs="Arial"/>
                <w:b/>
                <w:sz w:val="24"/>
                <w:szCs w:val="24"/>
                <w:u w:val="single"/>
              </w:rPr>
            </w:pPr>
            <w:r w:rsidRPr="004A73C1">
              <w:rPr>
                <w:rFonts w:ascii="Arial" w:eastAsia="Arial Unicode MS" w:hAnsi="Arial" w:cs="Arial"/>
                <w:sz w:val="24"/>
                <w:szCs w:val="24"/>
              </w:rPr>
              <w:t>This chapter introduces foreign direct investment</w:t>
            </w:r>
            <w:r w:rsidR="00CE2452" w:rsidRPr="004A73C1">
              <w:rPr>
                <w:rFonts w:ascii="Arial" w:eastAsia="Arial Unicode MS" w:hAnsi="Arial" w:cs="Arial"/>
                <w:sz w:val="24"/>
                <w:szCs w:val="24"/>
              </w:rPr>
              <w:t xml:space="preserve"> and elucidates the dissertation's aims and objectives. It encompasses various subject areas, focusing on the dissertation's objectives, establishing </w:t>
            </w:r>
            <w:r w:rsidR="00827A02" w:rsidRPr="004A73C1">
              <w:rPr>
                <w:rFonts w:ascii="Arial" w:eastAsia="Arial Unicode MS" w:hAnsi="Arial" w:cs="Arial"/>
                <w:sz w:val="24"/>
                <w:szCs w:val="24"/>
              </w:rPr>
              <w:t>them</w:t>
            </w:r>
            <w:r w:rsidR="00CE2452" w:rsidRPr="004A73C1">
              <w:rPr>
                <w:rFonts w:ascii="Arial" w:eastAsia="Arial Unicode MS" w:hAnsi="Arial" w:cs="Arial"/>
                <w:sz w:val="24"/>
                <w:szCs w:val="24"/>
              </w:rPr>
              <w:t xml:space="preserve">, providing a concise overview of the subsequent chapters, and describing </w:t>
            </w:r>
            <w:r w:rsidRPr="004A73C1">
              <w:rPr>
                <w:rFonts w:ascii="Arial" w:eastAsia="Arial Unicode MS" w:hAnsi="Arial" w:cs="Arial"/>
                <w:sz w:val="24"/>
                <w:szCs w:val="24"/>
              </w:rPr>
              <w:t>the ultimate research output. It culminates in a comprehensive summary of the chapter.</w:t>
            </w:r>
          </w:p>
        </w:tc>
      </w:tr>
      <w:tr w:rsidR="00595271" w:rsidRPr="004A73C1" w14:paraId="10AB17D2" w14:textId="77777777" w:rsidTr="00C26D98">
        <w:trPr>
          <w:trHeight w:val="6174"/>
        </w:trPr>
        <w:tc>
          <w:tcPr>
            <w:tcW w:w="1517" w:type="dxa"/>
          </w:tcPr>
          <w:p w14:paraId="01107EB1" w14:textId="77777777" w:rsidR="00595271" w:rsidRPr="004A73C1" w:rsidRDefault="00595271" w:rsidP="00EF2E34">
            <w:pPr>
              <w:spacing w:line="360" w:lineRule="auto"/>
              <w:jc w:val="both"/>
              <w:rPr>
                <w:rFonts w:ascii="Arial" w:eastAsia="Arial Unicode MS" w:hAnsi="Arial" w:cs="Arial"/>
                <w:b/>
                <w:bCs/>
                <w:sz w:val="24"/>
                <w:szCs w:val="24"/>
              </w:rPr>
            </w:pPr>
            <w:r w:rsidRPr="004A73C1">
              <w:rPr>
                <w:rFonts w:ascii="Arial" w:eastAsia="Arial Unicode MS" w:hAnsi="Arial" w:cs="Arial"/>
                <w:b/>
                <w:bCs/>
                <w:sz w:val="24"/>
                <w:szCs w:val="24"/>
              </w:rPr>
              <w:t>2</w:t>
            </w:r>
          </w:p>
        </w:tc>
        <w:tc>
          <w:tcPr>
            <w:tcW w:w="1790" w:type="dxa"/>
          </w:tcPr>
          <w:p w14:paraId="70D901B9" w14:textId="04E068AF" w:rsidR="00595271" w:rsidRPr="004A73C1" w:rsidRDefault="00B80C0D" w:rsidP="00EF2E34">
            <w:pPr>
              <w:spacing w:line="360" w:lineRule="auto"/>
              <w:jc w:val="both"/>
              <w:rPr>
                <w:rFonts w:ascii="Arial" w:eastAsia="Arial Unicode MS" w:hAnsi="Arial" w:cs="Arial"/>
                <w:b/>
                <w:bCs/>
                <w:sz w:val="24"/>
                <w:szCs w:val="24"/>
                <w:u w:val="single"/>
              </w:rPr>
            </w:pPr>
            <w:r w:rsidRPr="004A73C1">
              <w:rPr>
                <w:rFonts w:ascii="Arial" w:eastAsia="Arial Unicode MS" w:hAnsi="Arial" w:cs="Arial"/>
                <w:b/>
                <w:bCs/>
                <w:sz w:val="24"/>
                <w:szCs w:val="24"/>
              </w:rPr>
              <w:t>Literature Review</w:t>
            </w:r>
          </w:p>
        </w:tc>
        <w:tc>
          <w:tcPr>
            <w:tcW w:w="6398" w:type="dxa"/>
          </w:tcPr>
          <w:p w14:paraId="5024039A" w14:textId="726C3CC7" w:rsidR="00595271" w:rsidRPr="004A73C1" w:rsidRDefault="00491A3E" w:rsidP="00EF2E34">
            <w:pPr>
              <w:spacing w:line="360" w:lineRule="auto"/>
              <w:jc w:val="both"/>
              <w:rPr>
                <w:rFonts w:ascii="Arial" w:eastAsia="Arial Unicode MS" w:hAnsi="Arial" w:cs="Arial"/>
                <w:sz w:val="24"/>
                <w:szCs w:val="24"/>
              </w:rPr>
            </w:pPr>
            <w:r w:rsidRPr="00491A3E">
              <w:rPr>
                <w:rFonts w:ascii="Arial" w:eastAsia="Arial Unicode MS" w:hAnsi="Arial" w:cs="Arial"/>
                <w:sz w:val="24"/>
                <w:szCs w:val="24"/>
              </w:rPr>
              <w:t xml:space="preserve">The primary goal of this chapter is to completely investigate and analyze numerous nuanced concepts and views related to foreign direct investment. This includes an in-depth examination of the nature of foreign direct investment, a comprehensive categorization of various types of foreign direct investment, a thorough investigation of the numerous economic benefits it can potentially yield, and a detailed assessment of how the inflow and outflow of foreign direct investment may have a multifaceted impact on the British economy. </w:t>
            </w:r>
          </w:p>
        </w:tc>
      </w:tr>
      <w:tr w:rsidR="00595271" w:rsidRPr="004A73C1" w14:paraId="7415C584" w14:textId="77777777" w:rsidTr="00C26D98">
        <w:trPr>
          <w:trHeight w:val="2776"/>
        </w:trPr>
        <w:tc>
          <w:tcPr>
            <w:tcW w:w="1517" w:type="dxa"/>
          </w:tcPr>
          <w:p w14:paraId="0EBD83D9" w14:textId="77777777" w:rsidR="00595271" w:rsidRPr="004A73C1" w:rsidRDefault="00595271" w:rsidP="00EF2E34">
            <w:pPr>
              <w:spacing w:line="360" w:lineRule="auto"/>
              <w:jc w:val="both"/>
              <w:rPr>
                <w:rFonts w:ascii="Arial" w:eastAsia="Arial Unicode MS" w:hAnsi="Arial" w:cs="Arial"/>
                <w:b/>
                <w:bCs/>
                <w:sz w:val="24"/>
                <w:szCs w:val="24"/>
              </w:rPr>
            </w:pPr>
            <w:r w:rsidRPr="004A73C1">
              <w:rPr>
                <w:rFonts w:ascii="Arial" w:eastAsia="Arial Unicode MS" w:hAnsi="Arial" w:cs="Arial"/>
                <w:b/>
                <w:bCs/>
                <w:sz w:val="24"/>
                <w:szCs w:val="24"/>
              </w:rPr>
              <w:t>3</w:t>
            </w:r>
          </w:p>
        </w:tc>
        <w:tc>
          <w:tcPr>
            <w:tcW w:w="1790" w:type="dxa"/>
          </w:tcPr>
          <w:p w14:paraId="1777C3EC" w14:textId="59EA136B" w:rsidR="00595271" w:rsidRPr="004A73C1" w:rsidRDefault="00B80C0D" w:rsidP="00EF2E34">
            <w:pPr>
              <w:spacing w:line="360" w:lineRule="auto"/>
              <w:jc w:val="both"/>
              <w:rPr>
                <w:rFonts w:ascii="Arial" w:eastAsia="Arial Unicode MS" w:hAnsi="Arial" w:cs="Arial"/>
                <w:b/>
                <w:bCs/>
                <w:sz w:val="24"/>
                <w:szCs w:val="24"/>
                <w:u w:val="single"/>
              </w:rPr>
            </w:pPr>
            <w:r w:rsidRPr="004A73C1">
              <w:rPr>
                <w:rFonts w:ascii="Arial" w:eastAsia="Arial Unicode MS" w:hAnsi="Arial" w:cs="Arial"/>
                <w:b/>
                <w:bCs/>
                <w:sz w:val="24"/>
                <w:szCs w:val="24"/>
              </w:rPr>
              <w:t>Methodology And Design</w:t>
            </w:r>
          </w:p>
        </w:tc>
        <w:tc>
          <w:tcPr>
            <w:tcW w:w="6398" w:type="dxa"/>
          </w:tcPr>
          <w:p w14:paraId="68A3EF07" w14:textId="7E42FD3D" w:rsidR="00595271" w:rsidRPr="004A73C1" w:rsidRDefault="00595271" w:rsidP="00EF2E34">
            <w:pPr>
              <w:spacing w:line="360" w:lineRule="auto"/>
              <w:jc w:val="both"/>
              <w:rPr>
                <w:rFonts w:ascii="Arial" w:eastAsia="Arial Unicode MS" w:hAnsi="Arial" w:cs="Arial"/>
                <w:b/>
                <w:sz w:val="24"/>
                <w:szCs w:val="24"/>
                <w:u w:val="single"/>
              </w:rPr>
            </w:pPr>
            <w:r w:rsidRPr="004A73C1">
              <w:rPr>
                <w:rFonts w:ascii="Arial" w:eastAsia="Arial Unicode MS" w:hAnsi="Arial" w:cs="Arial"/>
                <w:sz w:val="24"/>
                <w:szCs w:val="24"/>
              </w:rPr>
              <w:t xml:space="preserve">The chapter focuses on how we did the research for the dissertation. It starts with an introduction. Then, I discussed what we wanted to find out, where we got the information, and how reliable it was. We also discuss how many people or things we studied and how we chose them. </w:t>
            </w:r>
            <w:r w:rsidR="00614F78" w:rsidRPr="004A73C1">
              <w:rPr>
                <w:rFonts w:ascii="Arial" w:eastAsia="Arial Unicode MS" w:hAnsi="Arial" w:cs="Arial"/>
                <w:sz w:val="24"/>
                <w:szCs w:val="24"/>
              </w:rPr>
              <w:t>After</w:t>
            </w:r>
            <w:r w:rsidRPr="004A73C1">
              <w:rPr>
                <w:rFonts w:ascii="Arial" w:eastAsia="Arial Unicode MS" w:hAnsi="Arial" w:cs="Arial"/>
                <w:sz w:val="24"/>
                <w:szCs w:val="24"/>
              </w:rPr>
              <w:t xml:space="preserve"> the chapter, I will provide a comprehensive summary. This summary will encompass in-depth analyses conducted by </w:t>
            </w:r>
            <w:r w:rsidRPr="004A73C1">
              <w:rPr>
                <w:rFonts w:ascii="Arial" w:eastAsia="Arial Unicode MS" w:hAnsi="Arial" w:cs="Arial"/>
                <w:sz w:val="24"/>
                <w:szCs w:val="24"/>
              </w:rPr>
              <w:lastRenderedPageBreak/>
              <w:t xml:space="preserve">various scholars, an examination of government data, and an analysis based on actual data. I will ensure </w:t>
            </w:r>
            <w:r w:rsidR="00614F78" w:rsidRPr="004A73C1">
              <w:rPr>
                <w:rFonts w:ascii="Arial" w:eastAsia="Arial Unicode MS" w:hAnsi="Arial" w:cs="Arial"/>
                <w:sz w:val="24"/>
                <w:szCs w:val="24"/>
              </w:rPr>
              <w:t>that I incorporate a wide range of references and structure them according to my objectives</w:t>
            </w:r>
            <w:r w:rsidRPr="004A73C1">
              <w:rPr>
                <w:rFonts w:ascii="Arial" w:eastAsia="Arial Unicode MS" w:hAnsi="Arial" w:cs="Arial"/>
                <w:sz w:val="24"/>
                <w:szCs w:val="24"/>
              </w:rPr>
              <w:t xml:space="preserve"> </w:t>
            </w:r>
            <w:r w:rsidR="007E75AE" w:rsidRPr="004A73C1">
              <w:rPr>
                <w:rFonts w:ascii="Arial" w:eastAsia="Arial Unicode MS" w:hAnsi="Arial" w:cs="Arial"/>
                <w:sz w:val="24"/>
                <w:szCs w:val="24"/>
              </w:rPr>
              <w:t xml:space="preserve">to </w:t>
            </w:r>
            <w:r w:rsidR="006804DC" w:rsidRPr="004A73C1">
              <w:rPr>
                <w:rFonts w:ascii="Arial" w:eastAsia="Arial Unicode MS" w:hAnsi="Arial" w:cs="Arial"/>
                <w:sz w:val="24"/>
                <w:szCs w:val="24"/>
              </w:rPr>
              <w:t>effectively address and answer the questions posed in my dissertation</w:t>
            </w:r>
            <w:r w:rsidRPr="004A73C1">
              <w:rPr>
                <w:rFonts w:ascii="Arial" w:eastAsia="Arial Unicode MS" w:hAnsi="Arial" w:cs="Arial"/>
                <w:sz w:val="24"/>
                <w:szCs w:val="24"/>
              </w:rPr>
              <w:t xml:space="preserve">. This approach will allow me </w:t>
            </w:r>
            <w:r w:rsidR="00614F78" w:rsidRPr="004A73C1">
              <w:rPr>
                <w:rFonts w:ascii="Arial" w:eastAsia="Arial Unicode MS" w:hAnsi="Arial" w:cs="Arial"/>
                <w:sz w:val="24"/>
                <w:szCs w:val="24"/>
              </w:rPr>
              <w:t>to conclude my findings thoroughly based on extensive research and analysis</w:t>
            </w:r>
            <w:r w:rsidRPr="004A73C1">
              <w:rPr>
                <w:rFonts w:ascii="Arial" w:eastAsia="Arial Unicode MS" w:hAnsi="Arial" w:cs="Arial"/>
                <w:sz w:val="24"/>
                <w:szCs w:val="24"/>
              </w:rPr>
              <w:t>.</w:t>
            </w:r>
          </w:p>
        </w:tc>
      </w:tr>
      <w:tr w:rsidR="00595271" w:rsidRPr="004A73C1" w14:paraId="62AF767A" w14:textId="77777777" w:rsidTr="00C26D98">
        <w:trPr>
          <w:trHeight w:val="138"/>
        </w:trPr>
        <w:tc>
          <w:tcPr>
            <w:tcW w:w="1517" w:type="dxa"/>
          </w:tcPr>
          <w:p w14:paraId="02476154" w14:textId="77777777" w:rsidR="00595271" w:rsidRPr="004A73C1" w:rsidRDefault="00595271" w:rsidP="00EF2E34">
            <w:pPr>
              <w:spacing w:line="360" w:lineRule="auto"/>
              <w:jc w:val="both"/>
              <w:rPr>
                <w:rFonts w:ascii="Arial" w:eastAsia="Arial Unicode MS" w:hAnsi="Arial" w:cs="Arial"/>
                <w:b/>
                <w:bCs/>
                <w:sz w:val="24"/>
                <w:szCs w:val="24"/>
              </w:rPr>
            </w:pPr>
            <w:r w:rsidRPr="004A73C1">
              <w:rPr>
                <w:rFonts w:ascii="Arial" w:eastAsia="Arial Unicode MS" w:hAnsi="Arial" w:cs="Arial"/>
                <w:b/>
                <w:bCs/>
                <w:sz w:val="24"/>
                <w:szCs w:val="24"/>
              </w:rPr>
              <w:lastRenderedPageBreak/>
              <w:t>4</w:t>
            </w:r>
          </w:p>
        </w:tc>
        <w:tc>
          <w:tcPr>
            <w:tcW w:w="1790" w:type="dxa"/>
            <w:tcBorders>
              <w:bottom w:val="single" w:sz="4" w:space="0" w:color="auto"/>
            </w:tcBorders>
          </w:tcPr>
          <w:p w14:paraId="076D771C" w14:textId="62D0339A" w:rsidR="00595271" w:rsidRPr="004A73C1" w:rsidRDefault="00B80C0D" w:rsidP="00EF2E34">
            <w:pPr>
              <w:spacing w:line="360" w:lineRule="auto"/>
              <w:jc w:val="both"/>
              <w:rPr>
                <w:rFonts w:ascii="Arial" w:eastAsia="Arial Unicode MS" w:hAnsi="Arial" w:cs="Arial"/>
                <w:b/>
                <w:bCs/>
                <w:sz w:val="24"/>
                <w:szCs w:val="24"/>
                <w:u w:val="single"/>
              </w:rPr>
            </w:pPr>
            <w:r w:rsidRPr="004A73C1">
              <w:rPr>
                <w:rFonts w:ascii="Arial" w:eastAsia="Arial Unicode MS" w:hAnsi="Arial" w:cs="Arial"/>
                <w:b/>
                <w:bCs/>
                <w:sz w:val="24"/>
                <w:szCs w:val="24"/>
              </w:rPr>
              <w:t xml:space="preserve">Dissertation </w:t>
            </w:r>
            <w:r w:rsidR="00EF2E34" w:rsidRPr="004A73C1">
              <w:rPr>
                <w:rFonts w:ascii="Arial" w:eastAsia="Arial Unicode MS" w:hAnsi="Arial" w:cs="Arial"/>
                <w:b/>
                <w:bCs/>
                <w:sz w:val="24"/>
                <w:szCs w:val="24"/>
              </w:rPr>
              <w:t xml:space="preserve">Analysis &amp; </w:t>
            </w:r>
            <w:r w:rsidRPr="004A73C1">
              <w:rPr>
                <w:rFonts w:ascii="Arial" w:eastAsia="Arial Unicode MS" w:hAnsi="Arial" w:cs="Arial"/>
                <w:b/>
                <w:bCs/>
                <w:sz w:val="24"/>
                <w:szCs w:val="24"/>
              </w:rPr>
              <w:t>Findings</w:t>
            </w:r>
          </w:p>
        </w:tc>
        <w:tc>
          <w:tcPr>
            <w:tcW w:w="6398" w:type="dxa"/>
          </w:tcPr>
          <w:p w14:paraId="0D7F2B5E" w14:textId="6C5DB6CD" w:rsidR="00595271" w:rsidRPr="004A73C1" w:rsidRDefault="00595271" w:rsidP="00EF2E34">
            <w:pPr>
              <w:spacing w:line="360" w:lineRule="auto"/>
              <w:jc w:val="both"/>
              <w:rPr>
                <w:rFonts w:ascii="Arial" w:eastAsia="Arial Unicode MS" w:hAnsi="Arial" w:cs="Arial"/>
                <w:b/>
                <w:sz w:val="24"/>
                <w:szCs w:val="24"/>
                <w:u w:val="single"/>
              </w:rPr>
            </w:pPr>
            <w:r w:rsidRPr="004A73C1">
              <w:rPr>
                <w:rFonts w:ascii="Arial" w:eastAsia="Arial Unicode MS" w:hAnsi="Arial" w:cs="Arial"/>
                <w:sz w:val="24"/>
                <w:szCs w:val="24"/>
              </w:rPr>
              <w:t xml:space="preserve">In this chapter, we aim to </w:t>
            </w:r>
            <w:r w:rsidR="00614F78" w:rsidRPr="004A73C1">
              <w:rPr>
                <w:rFonts w:ascii="Arial" w:eastAsia="Arial Unicode MS" w:hAnsi="Arial" w:cs="Arial"/>
                <w:sz w:val="24"/>
                <w:szCs w:val="24"/>
              </w:rPr>
              <w:t>actualise</w:t>
            </w:r>
            <w:r w:rsidRPr="004A73C1">
              <w:rPr>
                <w:rFonts w:ascii="Arial" w:eastAsia="Arial Unicode MS" w:hAnsi="Arial" w:cs="Arial"/>
                <w:sz w:val="24"/>
                <w:szCs w:val="24"/>
              </w:rPr>
              <w:t xml:space="preserve"> the objectives outlined in Chapter 1. Following the introduction, we will employ the previously examined models and techniques to achieve our research goals. Subsequently, a comprehensive individual assessment of each objective will be conducted to evaluate the impact of foreign direct investment on the UK. Finally, the chapter will culminate in an overarching summary of the findings.</w:t>
            </w:r>
          </w:p>
        </w:tc>
      </w:tr>
      <w:tr w:rsidR="00595271" w:rsidRPr="004A73C1" w14:paraId="2B4F0522" w14:textId="77777777" w:rsidTr="00C26D98">
        <w:trPr>
          <w:trHeight w:val="2182"/>
        </w:trPr>
        <w:tc>
          <w:tcPr>
            <w:tcW w:w="1517" w:type="dxa"/>
          </w:tcPr>
          <w:p w14:paraId="0060FFE7" w14:textId="77777777" w:rsidR="00595271" w:rsidRPr="004A73C1" w:rsidRDefault="00595271" w:rsidP="00EF2E34">
            <w:pPr>
              <w:spacing w:line="360" w:lineRule="auto"/>
              <w:jc w:val="both"/>
              <w:rPr>
                <w:rFonts w:ascii="Arial" w:eastAsia="Arial Unicode MS" w:hAnsi="Arial" w:cs="Arial"/>
                <w:b/>
                <w:bCs/>
                <w:sz w:val="24"/>
                <w:szCs w:val="24"/>
              </w:rPr>
            </w:pPr>
            <w:r w:rsidRPr="004A73C1">
              <w:rPr>
                <w:rFonts w:ascii="Arial" w:eastAsia="Arial Unicode MS" w:hAnsi="Arial" w:cs="Arial"/>
                <w:b/>
                <w:bCs/>
                <w:sz w:val="24"/>
                <w:szCs w:val="24"/>
              </w:rPr>
              <w:t>5</w:t>
            </w:r>
          </w:p>
        </w:tc>
        <w:tc>
          <w:tcPr>
            <w:tcW w:w="1790" w:type="dxa"/>
          </w:tcPr>
          <w:p w14:paraId="2445E6FC" w14:textId="1617C964" w:rsidR="00595271" w:rsidRPr="004A73C1" w:rsidRDefault="00B80C0D" w:rsidP="00EF2E34">
            <w:pPr>
              <w:spacing w:line="360" w:lineRule="auto"/>
              <w:jc w:val="both"/>
              <w:rPr>
                <w:rFonts w:ascii="Arial" w:eastAsia="Arial Unicode MS" w:hAnsi="Arial" w:cs="Arial"/>
                <w:b/>
                <w:bCs/>
                <w:sz w:val="24"/>
                <w:szCs w:val="24"/>
                <w:u w:val="single"/>
              </w:rPr>
            </w:pPr>
            <w:r w:rsidRPr="004A73C1">
              <w:rPr>
                <w:rFonts w:ascii="Arial" w:eastAsia="Arial Unicode MS" w:hAnsi="Arial" w:cs="Arial"/>
                <w:b/>
                <w:bCs/>
                <w:sz w:val="24"/>
                <w:szCs w:val="24"/>
              </w:rPr>
              <w:t>Dissertation Conclusion</w:t>
            </w:r>
          </w:p>
        </w:tc>
        <w:tc>
          <w:tcPr>
            <w:tcW w:w="6398" w:type="dxa"/>
          </w:tcPr>
          <w:p w14:paraId="28BB0F84" w14:textId="66FE8500" w:rsidR="00595271" w:rsidRPr="004A73C1" w:rsidRDefault="00BF0083" w:rsidP="00EF2E34">
            <w:pPr>
              <w:spacing w:line="360" w:lineRule="auto"/>
              <w:jc w:val="both"/>
              <w:rPr>
                <w:rFonts w:ascii="Arial" w:eastAsia="Arial Unicode MS" w:hAnsi="Arial" w:cs="Arial"/>
                <w:b/>
                <w:sz w:val="24"/>
                <w:szCs w:val="24"/>
                <w:u w:val="single"/>
              </w:rPr>
            </w:pPr>
            <w:r w:rsidRPr="004A73C1">
              <w:rPr>
                <w:rFonts w:ascii="Arial" w:eastAsia="Arial Unicode MS" w:hAnsi="Arial" w:cs="Arial"/>
                <w:sz w:val="24"/>
                <w:szCs w:val="24"/>
              </w:rPr>
              <w:t xml:space="preserve">As the dissertation </w:t>
            </w:r>
            <w:r w:rsidR="006804DC" w:rsidRPr="004A73C1">
              <w:rPr>
                <w:rFonts w:ascii="Arial" w:eastAsia="Arial Unicode MS" w:hAnsi="Arial" w:cs="Arial"/>
                <w:sz w:val="24"/>
                <w:szCs w:val="24"/>
              </w:rPr>
              <w:t>ends</w:t>
            </w:r>
            <w:r w:rsidRPr="004A73C1">
              <w:rPr>
                <w:rFonts w:ascii="Arial" w:eastAsia="Arial Unicode MS" w:hAnsi="Arial" w:cs="Arial"/>
                <w:sz w:val="24"/>
                <w:szCs w:val="24"/>
              </w:rPr>
              <w:t xml:space="preserve">, the final section will neatly </w:t>
            </w:r>
            <w:r w:rsidR="006804DC" w:rsidRPr="004A73C1">
              <w:rPr>
                <w:rFonts w:ascii="Arial" w:eastAsia="Arial Unicode MS" w:hAnsi="Arial" w:cs="Arial"/>
                <w:sz w:val="24"/>
                <w:szCs w:val="24"/>
              </w:rPr>
              <w:t>summarise</w:t>
            </w:r>
            <w:r w:rsidRPr="004A73C1">
              <w:rPr>
                <w:rFonts w:ascii="Arial" w:eastAsia="Arial Unicode MS" w:hAnsi="Arial" w:cs="Arial"/>
                <w:sz w:val="24"/>
                <w:szCs w:val="24"/>
              </w:rPr>
              <w:t xml:space="preserve"> the main points of each chapter and offer important concluding insights for the entire work. It will also highlight the significant contributions made within this dissertation.</w:t>
            </w:r>
          </w:p>
        </w:tc>
      </w:tr>
    </w:tbl>
    <w:p w14:paraId="286D67B0" w14:textId="77777777" w:rsidR="00EF2E34" w:rsidRPr="004A73C1" w:rsidRDefault="00EF2E34" w:rsidP="00EF2E34">
      <w:pPr>
        <w:pStyle w:val="Heading2"/>
        <w:spacing w:line="360" w:lineRule="auto"/>
        <w:rPr>
          <w:rFonts w:ascii="Arial" w:hAnsi="Arial" w:cs="Arial"/>
          <w:color w:val="auto"/>
        </w:rPr>
      </w:pPr>
    </w:p>
    <w:p w14:paraId="35348D65" w14:textId="187F0BAC" w:rsidR="00FF2777" w:rsidRPr="004A73C1" w:rsidRDefault="00D11768" w:rsidP="00EF2E34">
      <w:pPr>
        <w:pStyle w:val="Heading2"/>
        <w:spacing w:line="360" w:lineRule="auto"/>
        <w:rPr>
          <w:rFonts w:ascii="Arial" w:hAnsi="Arial" w:cs="Arial"/>
          <w:color w:val="auto"/>
        </w:rPr>
      </w:pPr>
      <w:bookmarkStart w:id="42" w:name="_Toc175056442"/>
      <w:bookmarkStart w:id="43" w:name="_Toc175675330"/>
      <w:r w:rsidRPr="004A73C1">
        <w:rPr>
          <w:rFonts w:ascii="Arial" w:hAnsi="Arial" w:cs="Arial"/>
          <w:color w:val="auto"/>
        </w:rPr>
        <w:t>1.16</w:t>
      </w:r>
      <w:r w:rsidRPr="004A73C1">
        <w:rPr>
          <w:rFonts w:ascii="Arial" w:hAnsi="Arial" w:cs="Arial"/>
          <w:color w:val="auto"/>
        </w:rPr>
        <w:tab/>
      </w:r>
      <w:r w:rsidR="00B63B17" w:rsidRPr="004A73C1">
        <w:rPr>
          <w:rFonts w:ascii="Arial" w:hAnsi="Arial" w:cs="Arial"/>
          <w:color w:val="auto"/>
        </w:rPr>
        <w:t>Chapter Summary</w:t>
      </w:r>
      <w:bookmarkEnd w:id="42"/>
      <w:bookmarkEnd w:id="43"/>
      <w:r w:rsidR="00B63B17" w:rsidRPr="004A73C1">
        <w:rPr>
          <w:rFonts w:ascii="Arial" w:hAnsi="Arial" w:cs="Arial"/>
          <w:color w:val="auto"/>
        </w:rPr>
        <w:t xml:space="preserve"> </w:t>
      </w:r>
    </w:p>
    <w:p w14:paraId="3C212C51" w14:textId="573E1577" w:rsidR="00FF2777" w:rsidRPr="004A73C1" w:rsidRDefault="005D0DF6" w:rsidP="00EF2E34">
      <w:pPr>
        <w:spacing w:line="360" w:lineRule="auto"/>
        <w:jc w:val="both"/>
        <w:rPr>
          <w:rFonts w:ascii="Arial" w:eastAsia="Arial Unicode MS" w:hAnsi="Arial" w:cs="Arial"/>
        </w:rPr>
      </w:pPr>
      <w:r w:rsidRPr="004A73C1">
        <w:rPr>
          <w:rFonts w:ascii="Arial" w:eastAsia="Arial Unicode MS" w:hAnsi="Arial" w:cs="Arial"/>
        </w:rPr>
        <w:t>The chapter centres on the principal objective of this dissertation, which is to thoroughly analyse the impact of Foreign Direct Investment (FDI) and Brexit on the economic growth of the United Kingdom. The focus is on examining current research gaps and evaluating the specific influence of FDI on the overall financial performance of the UK. The analysis aims to delve into the intricacies of these factors, providing a detailed understanding of their interplay and implications for the UK economy.</w:t>
      </w:r>
      <w:r w:rsidR="00FF2777" w:rsidRPr="004A73C1">
        <w:rPr>
          <w:rFonts w:ascii="Arial" w:eastAsia="Arial Unicode MS" w:hAnsi="Arial" w:cs="Arial"/>
        </w:rPr>
        <w:br w:type="page"/>
      </w:r>
    </w:p>
    <w:p w14:paraId="2052FF53" w14:textId="40DB6EEC" w:rsidR="009A1733" w:rsidRPr="004A73C1" w:rsidRDefault="007D4E14" w:rsidP="00EF2E34">
      <w:pPr>
        <w:pStyle w:val="Heading1"/>
        <w:spacing w:line="360" w:lineRule="auto"/>
        <w:rPr>
          <w:rFonts w:ascii="Arial" w:hAnsi="Arial" w:cs="Arial"/>
          <w:b/>
          <w:bCs/>
          <w:color w:val="002060"/>
          <w:sz w:val="28"/>
          <w:szCs w:val="28"/>
        </w:rPr>
      </w:pPr>
      <w:bookmarkStart w:id="44" w:name="_Toc175056443"/>
      <w:bookmarkStart w:id="45" w:name="_Toc175675331"/>
      <w:r w:rsidRPr="004A73C1">
        <w:rPr>
          <w:rFonts w:ascii="Arial" w:hAnsi="Arial" w:cs="Arial"/>
          <w:b/>
          <w:bCs/>
          <w:color w:val="002060"/>
          <w:sz w:val="28"/>
          <w:szCs w:val="28"/>
        </w:rPr>
        <w:lastRenderedPageBreak/>
        <w:t>Chapter 2: Literature Review</w:t>
      </w:r>
      <w:bookmarkEnd w:id="1"/>
      <w:bookmarkEnd w:id="0"/>
      <w:bookmarkEnd w:id="44"/>
      <w:bookmarkEnd w:id="45"/>
    </w:p>
    <w:p w14:paraId="3FC97225" w14:textId="2E342742" w:rsidR="00E11091" w:rsidRPr="004A73C1" w:rsidRDefault="00000000" w:rsidP="00EF2E34">
      <w:pPr>
        <w:spacing w:line="360" w:lineRule="auto"/>
        <w:jc w:val="both"/>
        <w:rPr>
          <w:rFonts w:ascii="Arial" w:hAnsi="Arial" w:cs="Arial"/>
        </w:rPr>
      </w:pPr>
      <w:r>
        <w:rPr>
          <w:rFonts w:ascii="Arial" w:hAnsi="Arial" w:cs="Arial"/>
        </w:rPr>
        <w:pict w14:anchorId="21D2EA04">
          <v:rect id="_x0000_i1026" style="width:0;height:1.5pt" o:hralign="center" o:hrstd="t" o:hr="t" fillcolor="#a0a0a0" stroked="f"/>
        </w:pict>
      </w:r>
    </w:p>
    <w:p w14:paraId="064F8CBA" w14:textId="4120AC1C" w:rsidR="009A1733" w:rsidRPr="004A73C1" w:rsidRDefault="00D11768" w:rsidP="00EF2E34">
      <w:pPr>
        <w:pStyle w:val="Heading2"/>
        <w:spacing w:line="360" w:lineRule="auto"/>
        <w:rPr>
          <w:rFonts w:ascii="Arial" w:hAnsi="Arial" w:cs="Arial"/>
          <w:color w:val="auto"/>
        </w:rPr>
      </w:pPr>
      <w:bookmarkStart w:id="46" w:name="_Toc175056444"/>
      <w:bookmarkStart w:id="47" w:name="_Toc175675332"/>
      <w:r w:rsidRPr="004A73C1">
        <w:rPr>
          <w:rFonts w:ascii="Arial" w:hAnsi="Arial" w:cs="Arial"/>
          <w:color w:val="auto"/>
        </w:rPr>
        <w:t>2.1</w:t>
      </w:r>
      <w:r w:rsidRPr="004A73C1">
        <w:rPr>
          <w:rFonts w:ascii="Arial" w:hAnsi="Arial" w:cs="Arial"/>
          <w:color w:val="auto"/>
        </w:rPr>
        <w:tab/>
      </w:r>
      <w:r w:rsidR="009A1733" w:rsidRPr="004A73C1">
        <w:rPr>
          <w:rFonts w:ascii="Arial" w:hAnsi="Arial" w:cs="Arial"/>
          <w:color w:val="auto"/>
        </w:rPr>
        <w:t>Introduction</w:t>
      </w:r>
      <w:bookmarkEnd w:id="46"/>
      <w:bookmarkEnd w:id="47"/>
      <w:r w:rsidR="009A1733" w:rsidRPr="004A73C1">
        <w:rPr>
          <w:rFonts w:ascii="Arial" w:hAnsi="Arial" w:cs="Arial"/>
          <w:color w:val="auto"/>
        </w:rPr>
        <w:t xml:space="preserve"> </w:t>
      </w:r>
    </w:p>
    <w:p w14:paraId="34A85C01" w14:textId="77777777" w:rsidR="00491A3E" w:rsidRPr="00491A3E" w:rsidRDefault="00491A3E" w:rsidP="00491A3E">
      <w:pPr>
        <w:spacing w:line="360" w:lineRule="auto"/>
        <w:jc w:val="both"/>
        <w:rPr>
          <w:rFonts w:ascii="Arial" w:hAnsi="Arial" w:cs="Arial"/>
        </w:rPr>
      </w:pPr>
      <w:bookmarkStart w:id="48" w:name="_Toc175056445"/>
      <w:r w:rsidRPr="00491A3E">
        <w:rPr>
          <w:rFonts w:ascii="Arial" w:hAnsi="Arial" w:cs="Arial"/>
        </w:rPr>
        <w:t>Foreign direct investment (FDI) significantly influences the global economy. This literature review aims to conduct a comprehensive examination of recent academic articles and research pertaining to FDI and its impact on the economies of various countries. The primary objective of this analysis is to explore the factors that influence FDI, the diverse forms of FDI, and the pivotal role of governments in both fostering and regulating FDI within their respective nations. By shedding light on the intricate dynamics of FDI and its implications for economic development, this review underscores the indispensable contribution of policymakers in this process.</w:t>
      </w:r>
    </w:p>
    <w:p w14:paraId="61F0B65C" w14:textId="77777777" w:rsidR="002E707B" w:rsidRPr="004A73C1" w:rsidRDefault="002E707B" w:rsidP="002E707B">
      <w:pPr>
        <w:rPr>
          <w:rFonts w:ascii="Arial" w:hAnsi="Arial" w:cs="Arial"/>
        </w:rPr>
      </w:pPr>
    </w:p>
    <w:p w14:paraId="20270A38" w14:textId="08D2932F" w:rsidR="009A1733" w:rsidRPr="004A73C1" w:rsidRDefault="00D11768" w:rsidP="00EF2E34">
      <w:pPr>
        <w:pStyle w:val="Heading2"/>
        <w:spacing w:line="360" w:lineRule="auto"/>
        <w:rPr>
          <w:rFonts w:ascii="Arial" w:hAnsi="Arial" w:cs="Arial"/>
          <w:color w:val="auto"/>
        </w:rPr>
      </w:pPr>
      <w:bookmarkStart w:id="49" w:name="_Toc175675333"/>
      <w:r w:rsidRPr="004A73C1">
        <w:rPr>
          <w:rFonts w:ascii="Arial" w:hAnsi="Arial" w:cs="Arial"/>
          <w:color w:val="auto"/>
        </w:rPr>
        <w:t>2.2</w:t>
      </w:r>
      <w:r w:rsidRPr="004A73C1">
        <w:rPr>
          <w:rFonts w:ascii="Arial" w:hAnsi="Arial" w:cs="Arial"/>
          <w:color w:val="auto"/>
        </w:rPr>
        <w:tab/>
      </w:r>
      <w:r w:rsidR="007D4E14" w:rsidRPr="004A73C1">
        <w:rPr>
          <w:rFonts w:ascii="Arial" w:hAnsi="Arial" w:cs="Arial"/>
          <w:color w:val="auto"/>
        </w:rPr>
        <w:t>Economic Growth &amp; Foreign Direct Investment</w:t>
      </w:r>
      <w:bookmarkEnd w:id="48"/>
      <w:bookmarkEnd w:id="49"/>
    </w:p>
    <w:p w14:paraId="4D8A3EDB" w14:textId="18B52847" w:rsidR="006053DE" w:rsidRPr="004A73C1" w:rsidRDefault="00A07CA2" w:rsidP="00EF2E34">
      <w:pPr>
        <w:pStyle w:val="ListParagraph"/>
        <w:spacing w:after="0" w:line="360" w:lineRule="auto"/>
        <w:ind w:left="0"/>
        <w:jc w:val="both"/>
        <w:rPr>
          <w:rFonts w:ascii="Arial" w:hAnsi="Arial" w:cs="Arial"/>
        </w:rPr>
      </w:pPr>
      <w:r w:rsidRPr="004A73C1">
        <w:rPr>
          <w:rFonts w:ascii="Arial" w:hAnsi="Arial" w:cs="Arial"/>
        </w:rPr>
        <w:t xml:space="preserve">Foreign Direct Investment (FDI) denotes the utilisation of technological, production, or management advantages by a multinational corporation (MNC) to engage in operations in a foreign country through licensing or a subsidiary branch. FDI plays a </w:t>
      </w:r>
      <w:r w:rsidR="00BF0083" w:rsidRPr="004A73C1">
        <w:rPr>
          <w:rFonts w:ascii="Arial" w:hAnsi="Arial" w:cs="Arial"/>
        </w:rPr>
        <w:t xml:space="preserve">crucial </w:t>
      </w:r>
      <w:r w:rsidRPr="004A73C1">
        <w:rPr>
          <w:rFonts w:ascii="Arial" w:hAnsi="Arial" w:cs="Arial"/>
        </w:rPr>
        <w:t xml:space="preserve">role in globalisation, yielding mutual benefits for the host country and the investing entities, with a prevalent focus on the manufacturing and service </w:t>
      </w:r>
      <w:r w:rsidR="009D3A77" w:rsidRPr="004A73C1">
        <w:rPr>
          <w:rFonts w:ascii="Arial" w:hAnsi="Arial" w:cs="Arial"/>
        </w:rPr>
        <w:t>industries (Bhattarai, K., 2016)</w:t>
      </w:r>
      <w:r w:rsidRPr="004A73C1">
        <w:rPr>
          <w:rFonts w:ascii="Arial" w:hAnsi="Arial" w:cs="Arial"/>
        </w:rPr>
        <w:t>. The multifaceted nature of FDI encompasses micro and macro dimensions, where micro-level operations are guided by profit-maximising endeavours. At the same time, macro-level involvement complements domestic investment, fostering capital accumulation and expediting economic growth, providing a reassuring outlook for the future</w:t>
      </w:r>
      <w:r w:rsidR="006053DE" w:rsidRPr="004A73C1">
        <w:rPr>
          <w:rFonts w:ascii="Arial" w:hAnsi="Arial" w:cs="Arial"/>
        </w:rPr>
        <w:t xml:space="preserve">. </w:t>
      </w:r>
    </w:p>
    <w:p w14:paraId="68F7CC70" w14:textId="77777777" w:rsidR="005E1029" w:rsidRPr="004A73C1" w:rsidRDefault="005E1029" w:rsidP="00EF2E34">
      <w:pPr>
        <w:pStyle w:val="ListParagraph"/>
        <w:spacing w:after="0" w:line="360" w:lineRule="auto"/>
        <w:ind w:left="0"/>
        <w:jc w:val="both"/>
        <w:rPr>
          <w:rFonts w:ascii="Arial" w:hAnsi="Arial" w:cs="Arial"/>
        </w:rPr>
      </w:pPr>
    </w:p>
    <w:p w14:paraId="51C512B3" w14:textId="6D697489" w:rsidR="002E707B" w:rsidRPr="004A73C1" w:rsidRDefault="002E707B" w:rsidP="00CD0082">
      <w:pPr>
        <w:pStyle w:val="ListParagraph"/>
        <w:spacing w:line="360" w:lineRule="auto"/>
        <w:ind w:left="0"/>
        <w:jc w:val="both"/>
        <w:rPr>
          <w:rFonts w:ascii="Arial" w:hAnsi="Arial" w:cs="Arial"/>
        </w:rPr>
      </w:pPr>
      <w:r w:rsidRPr="004A73C1">
        <w:rPr>
          <w:rFonts w:ascii="Arial" w:hAnsi="Arial" w:cs="Arial"/>
        </w:rPr>
        <w:t xml:space="preserve">In the field of foreign direct investment (FDI) study, Wallis (1968) conducted a thorough analysis of the increasing FDI inflows into the EU from the US. He evaluated FDI's critical role in propelling economic progress with great consideration. Feldstein and Horioka (1980) also calculated the effect of FDI on investment and saving. </w:t>
      </w:r>
      <w:r w:rsidR="00CD0082" w:rsidRPr="004A73C1">
        <w:rPr>
          <w:rFonts w:ascii="Arial" w:hAnsi="Arial" w:cs="Arial"/>
        </w:rPr>
        <w:t>To</w:t>
      </w:r>
      <w:r w:rsidRPr="004A73C1">
        <w:rPr>
          <w:rFonts w:ascii="Arial" w:hAnsi="Arial" w:cs="Arial"/>
        </w:rPr>
        <w:t xml:space="preserve"> properly analyze our data and findings, this study will assist us in placing the findings within the context of the UK.</w:t>
      </w:r>
    </w:p>
    <w:p w14:paraId="63AF3CA8" w14:textId="77777777" w:rsidR="00BF0083" w:rsidRPr="004A73C1" w:rsidRDefault="00BF0083" w:rsidP="00EF2E34">
      <w:pPr>
        <w:pStyle w:val="ListParagraph"/>
        <w:spacing w:after="0" w:line="360" w:lineRule="auto"/>
        <w:ind w:left="0"/>
        <w:jc w:val="both"/>
        <w:rPr>
          <w:rFonts w:ascii="Arial" w:hAnsi="Arial" w:cs="Arial"/>
        </w:rPr>
      </w:pPr>
    </w:p>
    <w:p w14:paraId="06F03CB8" w14:textId="77777777" w:rsidR="00CD0082" w:rsidRPr="004A73C1" w:rsidRDefault="00CD0082" w:rsidP="00CD0082">
      <w:pPr>
        <w:pStyle w:val="ListParagraph"/>
        <w:spacing w:line="360" w:lineRule="auto"/>
        <w:ind w:left="0"/>
        <w:jc w:val="both"/>
        <w:rPr>
          <w:rFonts w:ascii="Arial" w:hAnsi="Arial" w:cs="Arial"/>
        </w:rPr>
      </w:pPr>
      <w:r w:rsidRPr="004A73C1">
        <w:rPr>
          <w:rFonts w:ascii="Arial" w:hAnsi="Arial" w:cs="Arial"/>
        </w:rPr>
        <w:t xml:space="preserve">Later, Desai, Foley, and Hines (2005) found a nearly one-to-one positive relationship between FDI inflows and investment and saving GDP ratios, while FDI outflows were negatively correlated with decreased investment in OECD nations in the 1990s. Furthermore, a study on FDI flows from industrialized countries to 69 developing nations by Borensztein et al. (1998) established the essential requirement for domestic absorptive capacity to elevate FDI to a prominent position in affecting economic growth. </w:t>
      </w:r>
    </w:p>
    <w:p w14:paraId="65CBD985" w14:textId="77777777" w:rsidR="00E74B12" w:rsidRPr="004A73C1" w:rsidRDefault="00E74B12" w:rsidP="00EF2E34">
      <w:pPr>
        <w:pStyle w:val="ListParagraph"/>
        <w:spacing w:after="0" w:line="360" w:lineRule="auto"/>
        <w:ind w:left="0"/>
        <w:jc w:val="both"/>
        <w:rPr>
          <w:rFonts w:ascii="Arial" w:hAnsi="Arial" w:cs="Arial"/>
        </w:rPr>
      </w:pPr>
    </w:p>
    <w:p w14:paraId="2888E6B6" w14:textId="77777777" w:rsidR="00E74B12" w:rsidRPr="004A73C1" w:rsidRDefault="00A07CA2" w:rsidP="00EF2E34">
      <w:pPr>
        <w:pStyle w:val="ListParagraph"/>
        <w:spacing w:after="0" w:line="360" w:lineRule="auto"/>
        <w:ind w:left="0"/>
        <w:jc w:val="both"/>
        <w:rPr>
          <w:rFonts w:ascii="Arial" w:hAnsi="Arial" w:cs="Arial"/>
        </w:rPr>
      </w:pPr>
      <w:r w:rsidRPr="004A73C1">
        <w:rPr>
          <w:rFonts w:ascii="Arial" w:hAnsi="Arial" w:cs="Arial"/>
        </w:rPr>
        <w:lastRenderedPageBreak/>
        <w:t xml:space="preserve">In a recent study, de Mello (1999) employed a panel data model to discern that the nexus between growth and FDI is contingent upon country-specific factors and essentially buttresses a </w:t>
      </w:r>
      <w:r w:rsidR="00E74B12" w:rsidRPr="004A73C1">
        <w:rPr>
          <w:rFonts w:ascii="Arial" w:hAnsi="Arial" w:cs="Arial"/>
        </w:rPr>
        <w:t>favourable</w:t>
      </w:r>
      <w:r w:rsidRPr="004A73C1">
        <w:rPr>
          <w:rFonts w:ascii="Arial" w:hAnsi="Arial" w:cs="Arial"/>
        </w:rPr>
        <w:t xml:space="preserve"> association between FDI and long-term economic growth. </w:t>
      </w:r>
    </w:p>
    <w:p w14:paraId="6A845A60" w14:textId="77777777" w:rsidR="00E74B12" w:rsidRPr="004A73C1" w:rsidRDefault="00E74B12" w:rsidP="00EF2E34">
      <w:pPr>
        <w:pStyle w:val="ListParagraph"/>
        <w:spacing w:after="0" w:line="360" w:lineRule="auto"/>
        <w:ind w:left="0"/>
        <w:jc w:val="both"/>
        <w:rPr>
          <w:rFonts w:ascii="Arial" w:hAnsi="Arial" w:cs="Arial"/>
        </w:rPr>
      </w:pPr>
    </w:p>
    <w:p w14:paraId="40811777" w14:textId="77777777" w:rsidR="00491A3E" w:rsidRPr="00491A3E" w:rsidRDefault="00491A3E" w:rsidP="00491A3E">
      <w:pPr>
        <w:pStyle w:val="ListParagraph"/>
        <w:spacing w:line="360" w:lineRule="auto"/>
        <w:ind w:left="0"/>
        <w:jc w:val="both"/>
        <w:rPr>
          <w:rFonts w:ascii="Arial" w:hAnsi="Arial" w:cs="Arial"/>
        </w:rPr>
      </w:pPr>
      <w:r w:rsidRPr="00491A3E">
        <w:rPr>
          <w:rFonts w:ascii="Arial" w:hAnsi="Arial" w:cs="Arial"/>
        </w:rPr>
        <w:t>Spickernell's (2014) research highlights the significant impact of foreign direct investment (FDI) on the economies of host countries. The findings emphasize that FDI is a crucial driver of economic growth and is often considered the primary source of capital in most host countries. Additionally, FDI, similar to domestic private investments, contributes to GDP growth. Furthermore, FDI plays a vital role in the transfer of technology and dissemination of knowledge by introducing new and advanced technologies to the host country through its investments.</w:t>
      </w:r>
    </w:p>
    <w:p w14:paraId="58B06992" w14:textId="77777777" w:rsidR="006053DE" w:rsidRPr="004A73C1" w:rsidRDefault="006053DE" w:rsidP="00CD0082">
      <w:pPr>
        <w:pStyle w:val="ListParagraph"/>
        <w:spacing w:after="0" w:line="360" w:lineRule="auto"/>
        <w:ind w:left="0"/>
        <w:jc w:val="both"/>
        <w:rPr>
          <w:rFonts w:ascii="Arial" w:hAnsi="Arial" w:cs="Arial"/>
        </w:rPr>
      </w:pPr>
    </w:p>
    <w:p w14:paraId="23D27DEC" w14:textId="77777777" w:rsidR="00CD0082" w:rsidRPr="004A73C1" w:rsidRDefault="00CD0082" w:rsidP="00CD0082">
      <w:pPr>
        <w:pStyle w:val="ListParagraph"/>
        <w:spacing w:line="360" w:lineRule="auto"/>
        <w:ind w:left="0"/>
        <w:jc w:val="both"/>
        <w:rPr>
          <w:rFonts w:ascii="Arial" w:hAnsi="Arial" w:cs="Arial"/>
        </w:rPr>
      </w:pPr>
      <w:r w:rsidRPr="004A73C1">
        <w:rPr>
          <w:rFonts w:ascii="Arial" w:hAnsi="Arial" w:cs="Arial"/>
        </w:rPr>
        <w:t>Chete et al. (2013) state that before host economies can fully profit from FDI, they must first reach certain milestones in development parameters, like education and critical infrastructure. Therefore, foreign direct investment may not have a major effect on the acceleration of economic development rates in less developed nations.</w:t>
      </w:r>
    </w:p>
    <w:p w14:paraId="6BB21C68" w14:textId="77777777" w:rsidR="00D70583" w:rsidRPr="004A73C1" w:rsidRDefault="00D70583" w:rsidP="00EF2E34">
      <w:pPr>
        <w:pStyle w:val="ListParagraph"/>
        <w:spacing w:after="0" w:line="360" w:lineRule="auto"/>
        <w:ind w:left="0"/>
        <w:jc w:val="both"/>
        <w:rPr>
          <w:rFonts w:ascii="Arial" w:hAnsi="Arial" w:cs="Arial"/>
        </w:rPr>
      </w:pPr>
    </w:p>
    <w:p w14:paraId="64B18ACA" w14:textId="7D5E1C34" w:rsidR="00CD0082" w:rsidRPr="004A73C1" w:rsidRDefault="00CD0082" w:rsidP="00CD0082">
      <w:pPr>
        <w:pStyle w:val="ListParagraph"/>
        <w:spacing w:line="360" w:lineRule="auto"/>
        <w:ind w:left="0"/>
        <w:jc w:val="both"/>
        <w:rPr>
          <w:rFonts w:ascii="Arial" w:hAnsi="Arial" w:cs="Arial"/>
        </w:rPr>
      </w:pPr>
      <w:r w:rsidRPr="004A73C1">
        <w:rPr>
          <w:rFonts w:ascii="Arial" w:hAnsi="Arial" w:cs="Arial"/>
        </w:rPr>
        <w:t xml:space="preserve">According to Dunning (2012), foreign direct investment draws in matching local investment that either uses the foreign investors' output or supplies inputs. Because foreign direct investment fosters the development of innovative technologies, technical know-how, and best management practices, it has been seen as a driver of economic progress. The host nation's productivity is increased by these elements. Additionally, as a vote of confidence in the host economy, foreign direct investment encourages inward investment in host nations. Furthermore, it is essential to enhance native resources in the host nations. </w:t>
      </w:r>
    </w:p>
    <w:p w14:paraId="437CDC1E" w14:textId="77777777" w:rsidR="00CD0082" w:rsidRPr="004A73C1" w:rsidRDefault="00CD0082" w:rsidP="00CD0082">
      <w:pPr>
        <w:pStyle w:val="ListParagraph"/>
        <w:spacing w:line="360" w:lineRule="auto"/>
        <w:ind w:left="0"/>
        <w:jc w:val="both"/>
        <w:rPr>
          <w:rFonts w:ascii="Arial" w:hAnsi="Arial" w:cs="Arial"/>
        </w:rPr>
      </w:pPr>
    </w:p>
    <w:p w14:paraId="3CA8A893" w14:textId="0C230FCE" w:rsidR="00CD0082" w:rsidRPr="004A73C1" w:rsidRDefault="00CD0082" w:rsidP="00260344">
      <w:pPr>
        <w:pStyle w:val="ListParagraph"/>
        <w:spacing w:line="360" w:lineRule="auto"/>
        <w:ind w:left="0"/>
        <w:jc w:val="both"/>
        <w:rPr>
          <w:rFonts w:ascii="Arial" w:hAnsi="Arial" w:cs="Arial"/>
        </w:rPr>
      </w:pPr>
      <w:r w:rsidRPr="004A73C1">
        <w:rPr>
          <w:rFonts w:ascii="Arial" w:hAnsi="Arial" w:cs="Arial"/>
        </w:rPr>
        <w:t xml:space="preserve">Infrastructure and energy comprise more than half of all new projects in the UK, highlighting FDI's important role in the country's economy. Foreign direct investment is seen by the UK government as a key engine of economic expansion. Foreign investors must abide by industry-specific legislation (such as those in the manufacturing or energy sectors) just like other businesses, even though the UK does not have a special statute governing foreign direct </w:t>
      </w:r>
      <w:r w:rsidR="00BF24CC" w:rsidRPr="004A73C1">
        <w:rPr>
          <w:rFonts w:ascii="Arial" w:hAnsi="Arial" w:cs="Arial"/>
        </w:rPr>
        <w:t>investment. (</w:t>
      </w:r>
      <w:r w:rsidRPr="004A73C1">
        <w:rPr>
          <w:rFonts w:ascii="Arial" w:hAnsi="Arial" w:cs="Arial"/>
        </w:rPr>
        <w:t>ONS.Gov.UK/Asset publication,2021).</w:t>
      </w:r>
      <w:r w:rsidR="00491A3E" w:rsidRPr="004A73C1">
        <w:rPr>
          <w:rFonts w:ascii="Arial" w:hAnsi="Arial" w:cs="Arial"/>
          <w:color w:val="1C1C1C"/>
          <w:sz w:val="21"/>
          <w:szCs w:val="21"/>
          <w:shd w:val="clear" w:color="auto" w:fill="FFFFFF"/>
        </w:rPr>
        <w:t xml:space="preserve"> </w:t>
      </w:r>
      <w:r w:rsidR="00491A3E" w:rsidRPr="004A73C1">
        <w:rPr>
          <w:rFonts w:ascii="Arial" w:hAnsi="Arial" w:cs="Arial"/>
        </w:rPr>
        <w:t xml:space="preserve">The government has acknowledged the need for significant investment in sectors like information and communication technology (ICT), renewable energy, life sciences, and creative industries. This is crucial due to Brexit and the impact of inward investment on the UK economy. The UK, known for its open economy, has a history of trade deficits. </w:t>
      </w:r>
      <w:r w:rsidRPr="004A73C1">
        <w:rPr>
          <w:rFonts w:ascii="Arial" w:hAnsi="Arial" w:cs="Arial"/>
        </w:rPr>
        <w:t>(</w:t>
      </w:r>
      <w:r w:rsidR="00BF24CC" w:rsidRPr="004A73C1">
        <w:rPr>
          <w:rFonts w:ascii="Arial" w:hAnsi="Arial" w:cs="Arial"/>
        </w:rPr>
        <w:t>cer.eu/publications, 2022)</w:t>
      </w:r>
    </w:p>
    <w:p w14:paraId="5C2216F9" w14:textId="2D57E9D8" w:rsidR="00A07CA2" w:rsidRPr="004A73C1" w:rsidRDefault="00A07CA2" w:rsidP="00CD0082">
      <w:pPr>
        <w:pStyle w:val="ListParagraph"/>
        <w:spacing w:line="360" w:lineRule="auto"/>
        <w:ind w:left="0"/>
        <w:jc w:val="both"/>
        <w:rPr>
          <w:rFonts w:ascii="Arial" w:hAnsi="Arial" w:cs="Arial"/>
        </w:rPr>
      </w:pPr>
    </w:p>
    <w:p w14:paraId="67E6DD10" w14:textId="2691FDC7" w:rsidR="00C667F1" w:rsidRPr="004A73C1" w:rsidRDefault="00C667F1" w:rsidP="00EF2E34">
      <w:pPr>
        <w:pStyle w:val="ListParagraph"/>
        <w:spacing w:after="0" w:line="360" w:lineRule="auto"/>
        <w:ind w:left="0"/>
        <w:jc w:val="both"/>
        <w:rPr>
          <w:rFonts w:ascii="Arial" w:hAnsi="Arial" w:cs="Arial"/>
          <w:shd w:val="clear" w:color="auto" w:fill="FFFFFF"/>
        </w:rPr>
      </w:pPr>
      <w:r w:rsidRPr="004A73C1">
        <w:rPr>
          <w:rFonts w:ascii="Arial" w:hAnsi="Arial" w:cs="Arial"/>
          <w:shd w:val="clear" w:color="auto" w:fill="FFFFFF"/>
        </w:rPr>
        <w:t xml:space="preserve">Furthermore, while there is emerging literature on the impact of Brexit on inward investment, it </w:t>
      </w:r>
      <w:r w:rsidR="00614F78" w:rsidRPr="004A73C1">
        <w:rPr>
          <w:rFonts w:ascii="Arial" w:hAnsi="Arial" w:cs="Arial"/>
          <w:shd w:val="clear" w:color="auto" w:fill="FFFFFF"/>
        </w:rPr>
        <w:t>essentially</w:t>
      </w:r>
      <w:r w:rsidRPr="004A73C1">
        <w:rPr>
          <w:rFonts w:ascii="Arial" w:hAnsi="Arial" w:cs="Arial"/>
          <w:shd w:val="clear" w:color="auto" w:fill="FFFFFF"/>
        </w:rPr>
        <w:t xml:space="preserve"> adds to existing research on the geographical distribution of foreign direct investment (FDI) by considering the effects of Brexit (Bruno et al. (2016), Simionescu (2017)). </w:t>
      </w:r>
    </w:p>
    <w:p w14:paraId="202AAA28" w14:textId="77777777" w:rsidR="00C667F1" w:rsidRPr="004A73C1" w:rsidRDefault="00C667F1" w:rsidP="00EF2E34">
      <w:pPr>
        <w:pStyle w:val="ListParagraph"/>
        <w:spacing w:after="0" w:line="360" w:lineRule="auto"/>
        <w:ind w:left="0"/>
        <w:jc w:val="both"/>
        <w:rPr>
          <w:rFonts w:ascii="Arial" w:hAnsi="Arial" w:cs="Arial"/>
          <w:shd w:val="clear" w:color="auto" w:fill="FFFFFF"/>
        </w:rPr>
      </w:pPr>
    </w:p>
    <w:p w14:paraId="5A29F64C" w14:textId="2F0706D2" w:rsidR="00A07CA2" w:rsidRPr="004A73C1" w:rsidRDefault="00B63B17" w:rsidP="00EF2E34">
      <w:pPr>
        <w:pStyle w:val="ListParagraph"/>
        <w:spacing w:after="0" w:line="360" w:lineRule="auto"/>
        <w:ind w:left="0"/>
        <w:jc w:val="both"/>
        <w:rPr>
          <w:rFonts w:ascii="Arial" w:hAnsi="Arial" w:cs="Arial"/>
          <w:shd w:val="clear" w:color="auto" w:fill="FFFFFF"/>
        </w:rPr>
      </w:pPr>
      <w:r w:rsidRPr="004A73C1">
        <w:rPr>
          <w:rFonts w:ascii="Arial" w:hAnsi="Arial" w:cs="Arial"/>
          <w:shd w:val="clear" w:color="auto" w:fill="FFFFFF"/>
        </w:rPr>
        <w:t xml:space="preserve">Gudgin et al. (2017) overlooked this factor and its potential impact in their Brexit analysis. Considering this, </w:t>
      </w:r>
      <w:r w:rsidR="005E1029" w:rsidRPr="004A73C1">
        <w:rPr>
          <w:rFonts w:ascii="Arial" w:hAnsi="Arial" w:cs="Arial"/>
          <w:shd w:val="clear" w:color="auto" w:fill="FFFFFF"/>
        </w:rPr>
        <w:t>they have proposed</w:t>
      </w:r>
      <w:r w:rsidRPr="004A73C1">
        <w:rPr>
          <w:rFonts w:ascii="Arial" w:hAnsi="Arial" w:cs="Arial"/>
          <w:shd w:val="clear" w:color="auto" w:fill="FFFFFF"/>
        </w:rPr>
        <w:t xml:space="preserve"> to investigate the dynamics of inward FDI in the macroeconomy using the structural vector autoregression (SVAR) paradigm</w:t>
      </w:r>
      <w:r w:rsidR="00C667F1" w:rsidRPr="004A73C1">
        <w:rPr>
          <w:rFonts w:ascii="Arial" w:hAnsi="Arial" w:cs="Arial"/>
          <w:shd w:val="clear" w:color="auto" w:fill="FFFFFF"/>
        </w:rPr>
        <w:t xml:space="preserve"> to provide a more comprehensive understanding of the impact of Brexit on inward FDI.</w:t>
      </w:r>
    </w:p>
    <w:p w14:paraId="4FDA9C4F" w14:textId="77777777" w:rsidR="00C667F1" w:rsidRPr="004A73C1" w:rsidRDefault="00C667F1" w:rsidP="00EF2E34">
      <w:pPr>
        <w:pStyle w:val="ListParagraph"/>
        <w:spacing w:after="0" w:line="360" w:lineRule="auto"/>
        <w:ind w:left="0"/>
        <w:jc w:val="both"/>
        <w:rPr>
          <w:rFonts w:ascii="Arial" w:hAnsi="Arial" w:cs="Arial"/>
        </w:rPr>
      </w:pPr>
    </w:p>
    <w:p w14:paraId="376DED79" w14:textId="58C5BBAE" w:rsidR="00DB33A6" w:rsidRPr="004A73C1" w:rsidRDefault="00E11EFD" w:rsidP="00EF2E34">
      <w:pPr>
        <w:pStyle w:val="ListParagraph"/>
        <w:autoSpaceDE w:val="0"/>
        <w:autoSpaceDN w:val="0"/>
        <w:adjustRightInd w:val="0"/>
        <w:spacing w:after="0" w:line="360" w:lineRule="auto"/>
        <w:ind w:left="0"/>
        <w:jc w:val="both"/>
        <w:rPr>
          <w:rFonts w:ascii="Arial" w:hAnsi="Arial" w:cs="Arial"/>
        </w:rPr>
      </w:pPr>
      <w:r w:rsidRPr="004A73C1">
        <w:rPr>
          <w:rFonts w:ascii="Arial" w:hAnsi="Arial" w:cs="Arial"/>
        </w:rPr>
        <w:t xml:space="preserve">The study conducted by </w:t>
      </w:r>
      <w:r w:rsidR="00DB33A6" w:rsidRPr="004A73C1">
        <w:rPr>
          <w:rFonts w:ascii="Arial" w:hAnsi="Arial" w:cs="Arial"/>
        </w:rPr>
        <w:t xml:space="preserve">CBI commissioned PwC to conduct an in-depth quantitative assessment of the potential economic implications of a UK exit from the EU. PwC evaluated two scenarios: one where the UK negotiates a Free Trade Agreement with the EU within five years of the referendum and another where trade defaults to World Trade Organization rules. </w:t>
      </w:r>
      <w:r w:rsidR="005E1029" w:rsidRPr="004A73C1">
        <w:rPr>
          <w:rFonts w:ascii="Arial" w:hAnsi="Arial" w:cs="Arial"/>
        </w:rPr>
        <w:t xml:space="preserve">The essence of the study revealed that if </w:t>
      </w:r>
      <w:r w:rsidR="00DB33A6" w:rsidRPr="004A73C1">
        <w:rPr>
          <w:rFonts w:ascii="Arial" w:hAnsi="Arial" w:cs="Arial"/>
        </w:rPr>
        <w:t>Both scenarios were compared to a hypothetical scenario where the UK remained in a reformed EU, assuming the UK's economy would grow at a long-term trend rate of 2.3% per year.</w:t>
      </w:r>
    </w:p>
    <w:p w14:paraId="1BD743BD" w14:textId="77777777" w:rsidR="00A07CA2" w:rsidRPr="004A73C1" w:rsidRDefault="00A07CA2" w:rsidP="00EF2E34">
      <w:pPr>
        <w:pStyle w:val="ListParagraph"/>
        <w:autoSpaceDE w:val="0"/>
        <w:autoSpaceDN w:val="0"/>
        <w:adjustRightInd w:val="0"/>
        <w:spacing w:after="0" w:line="360" w:lineRule="auto"/>
        <w:ind w:left="0"/>
        <w:jc w:val="both"/>
        <w:rPr>
          <w:rFonts w:ascii="Arial" w:hAnsi="Arial" w:cs="Arial"/>
        </w:rPr>
      </w:pPr>
    </w:p>
    <w:p w14:paraId="7B5231AD" w14:textId="2972B751" w:rsidR="00FB451C" w:rsidRPr="004A73C1" w:rsidRDefault="006B671E" w:rsidP="00EF2E34">
      <w:pPr>
        <w:pStyle w:val="ListParagraph"/>
        <w:autoSpaceDE w:val="0"/>
        <w:autoSpaceDN w:val="0"/>
        <w:adjustRightInd w:val="0"/>
        <w:spacing w:after="0" w:line="360" w:lineRule="auto"/>
        <w:ind w:left="0"/>
        <w:jc w:val="both"/>
        <w:rPr>
          <w:rFonts w:ascii="Arial" w:hAnsi="Arial" w:cs="Arial"/>
        </w:rPr>
      </w:pPr>
      <w:r w:rsidRPr="004A73C1">
        <w:rPr>
          <w:rFonts w:ascii="Arial" w:hAnsi="Arial" w:cs="Arial"/>
        </w:rPr>
        <w:t>As per Simionescu, l</w:t>
      </w:r>
      <w:r w:rsidR="00E109D3" w:rsidRPr="004A73C1">
        <w:rPr>
          <w:rFonts w:ascii="Arial" w:hAnsi="Arial" w:cs="Arial"/>
        </w:rPr>
        <w:t>eaving the EU (‘Brexit’) would lower trade between the UK and the EU because of higher tariff and non-tariff barriers to trade. In addition, the UK would benefit less from future market integration within the EU</w:t>
      </w:r>
      <w:r w:rsidRPr="004A73C1">
        <w:rPr>
          <w:rFonts w:ascii="Arial" w:hAnsi="Arial" w:cs="Arial"/>
        </w:rPr>
        <w:t xml:space="preserve"> </w:t>
      </w:r>
      <w:r w:rsidR="00EB7080" w:rsidRPr="004A73C1">
        <w:rPr>
          <w:rFonts w:ascii="Arial" w:hAnsi="Arial" w:cs="Arial"/>
        </w:rPr>
        <w:t>(Simionescu, M., 2017)</w:t>
      </w:r>
      <w:r w:rsidR="00E109D3" w:rsidRPr="004A73C1">
        <w:rPr>
          <w:rFonts w:ascii="Arial" w:hAnsi="Arial" w:cs="Arial"/>
        </w:rPr>
        <w:t>.</w:t>
      </w:r>
    </w:p>
    <w:p w14:paraId="6B9FBBD9" w14:textId="6CC9072D" w:rsidR="00A07CA2" w:rsidRPr="004A73C1" w:rsidRDefault="006B671E" w:rsidP="00EF2E34">
      <w:pPr>
        <w:pStyle w:val="ListParagraph"/>
        <w:autoSpaceDE w:val="0"/>
        <w:autoSpaceDN w:val="0"/>
        <w:adjustRightInd w:val="0"/>
        <w:spacing w:after="0" w:line="360" w:lineRule="auto"/>
        <w:ind w:left="0"/>
        <w:jc w:val="both"/>
        <w:rPr>
          <w:rFonts w:ascii="Arial" w:hAnsi="Arial" w:cs="Arial"/>
        </w:rPr>
      </w:pPr>
      <w:r w:rsidRPr="004A73C1">
        <w:rPr>
          <w:rFonts w:ascii="Arial" w:hAnsi="Arial" w:cs="Arial"/>
        </w:rPr>
        <w:t>Shatz and Venables (2000) found that companies want to improve their service to the local market and reduce input costs. They believe that companies expand globally mainly to find new markets and minimize production costs. The authors note that what drives foreign investment in developing countries may not apply to developed or underdeveloped nations. Therefore, we should be careful about assuming that what's true for developing countries also applies to developed countries.</w:t>
      </w:r>
    </w:p>
    <w:p w14:paraId="013F4A90" w14:textId="77777777" w:rsidR="00A07CA2" w:rsidRPr="004A73C1" w:rsidRDefault="00A07CA2" w:rsidP="00EF2E34">
      <w:pPr>
        <w:pStyle w:val="ListParagraph"/>
        <w:autoSpaceDE w:val="0"/>
        <w:autoSpaceDN w:val="0"/>
        <w:adjustRightInd w:val="0"/>
        <w:spacing w:after="0" w:line="360" w:lineRule="auto"/>
        <w:ind w:left="0"/>
        <w:jc w:val="both"/>
        <w:rPr>
          <w:rFonts w:ascii="Arial" w:hAnsi="Arial" w:cs="Arial"/>
        </w:rPr>
      </w:pPr>
    </w:p>
    <w:p w14:paraId="0F68F9EE" w14:textId="6F124751" w:rsidR="00DB33A6" w:rsidRPr="004A73C1" w:rsidRDefault="00DB33A6" w:rsidP="00EF2E34">
      <w:pPr>
        <w:pStyle w:val="ListParagraph"/>
        <w:spacing w:after="0" w:line="360" w:lineRule="auto"/>
        <w:ind w:left="0"/>
        <w:jc w:val="both"/>
        <w:rPr>
          <w:rFonts w:ascii="Arial" w:hAnsi="Arial" w:cs="Arial"/>
        </w:rPr>
      </w:pPr>
      <w:r w:rsidRPr="004A73C1">
        <w:rPr>
          <w:rFonts w:ascii="Arial" w:hAnsi="Arial" w:cs="Arial"/>
        </w:rPr>
        <w:t>In their 2016 study, Driffield and Karoglou found that Brexit hurt the UK's Foreign Direct Investment (FDI). Using a Markov regime-switching structural vector-autoregression, they suggested potential policies for Great Britain, including increasing labour market flexibility, pursuing more intensive trade with countries offering lower costs, and decreasing employment protection.</w:t>
      </w:r>
    </w:p>
    <w:p w14:paraId="7BB6147C" w14:textId="77777777" w:rsidR="00A07CA2" w:rsidRPr="004A73C1" w:rsidRDefault="00A07CA2" w:rsidP="00EF2E34">
      <w:pPr>
        <w:pStyle w:val="ListParagraph"/>
        <w:spacing w:after="0" w:line="360" w:lineRule="auto"/>
        <w:ind w:left="0"/>
        <w:jc w:val="both"/>
        <w:rPr>
          <w:rFonts w:ascii="Arial" w:hAnsi="Arial" w:cs="Arial"/>
        </w:rPr>
      </w:pPr>
    </w:p>
    <w:p w14:paraId="39764C48" w14:textId="63B2BA95" w:rsidR="00DB33A6" w:rsidRPr="004A73C1" w:rsidRDefault="00DB33A6" w:rsidP="00EF2E34">
      <w:pPr>
        <w:pStyle w:val="ListParagraph"/>
        <w:spacing w:after="0" w:line="360" w:lineRule="auto"/>
        <w:ind w:left="0"/>
        <w:jc w:val="both"/>
        <w:rPr>
          <w:rFonts w:ascii="Arial" w:hAnsi="Arial" w:cs="Arial"/>
        </w:rPr>
      </w:pPr>
      <w:r w:rsidRPr="004A73C1">
        <w:rPr>
          <w:rFonts w:ascii="Arial" w:hAnsi="Arial" w:cs="Arial"/>
        </w:rPr>
        <w:t>Additionally, Ebell and Warren's 2016 research showed that EU membership positively affected inward FDI in the UK. They attributed this to the advantages of free capital movement, trade in goods and services, labour mobility, and passports, collectively making the UK the most attractive FDI destination in Europe.</w:t>
      </w:r>
    </w:p>
    <w:p w14:paraId="6226F9FB" w14:textId="77777777" w:rsidR="00A07CA2" w:rsidRPr="004A73C1" w:rsidRDefault="00A07CA2" w:rsidP="00EF2E34">
      <w:pPr>
        <w:pStyle w:val="ListParagraph"/>
        <w:spacing w:after="0" w:line="360" w:lineRule="auto"/>
        <w:ind w:left="0"/>
        <w:jc w:val="both"/>
        <w:rPr>
          <w:rFonts w:ascii="Arial" w:hAnsi="Arial" w:cs="Arial"/>
        </w:rPr>
      </w:pPr>
    </w:p>
    <w:p w14:paraId="51C7C290" w14:textId="3E68D93D" w:rsidR="00380A7D" w:rsidRPr="004A73C1" w:rsidRDefault="006B671E" w:rsidP="00EF2E34">
      <w:pPr>
        <w:pStyle w:val="ListParagraph"/>
        <w:autoSpaceDE w:val="0"/>
        <w:autoSpaceDN w:val="0"/>
        <w:adjustRightInd w:val="0"/>
        <w:spacing w:after="0" w:line="360" w:lineRule="auto"/>
        <w:ind w:left="0"/>
        <w:jc w:val="both"/>
        <w:rPr>
          <w:rFonts w:ascii="Arial" w:eastAsia="Arial Unicode MS" w:hAnsi="Arial" w:cs="Arial"/>
        </w:rPr>
      </w:pPr>
      <w:r w:rsidRPr="004A73C1">
        <w:rPr>
          <w:rFonts w:ascii="Arial" w:eastAsia="Arial Unicode MS" w:hAnsi="Arial" w:cs="Arial"/>
        </w:rPr>
        <w:t>In the second chapter of his book, D. Sachs Jeffery expounds on the nontraditional</w:t>
      </w:r>
      <w:r w:rsidR="00DB33A6" w:rsidRPr="004A73C1">
        <w:rPr>
          <w:rFonts w:ascii="Arial" w:eastAsia="Arial Unicode MS" w:hAnsi="Arial" w:cs="Arial"/>
        </w:rPr>
        <w:t xml:space="preserve"> factors affecting foreign direct investment. His analysis thoroughly examines the challenges stemming from a nation's natural resources, including </w:t>
      </w:r>
      <w:r w:rsidR="00E74B12" w:rsidRPr="004A73C1">
        <w:rPr>
          <w:rFonts w:ascii="Arial" w:eastAsia="Arial Unicode MS" w:hAnsi="Arial" w:cs="Arial"/>
        </w:rPr>
        <w:t>exploitation, governance, and environmental sustainability issues</w:t>
      </w:r>
      <w:r w:rsidR="00DB33A6" w:rsidRPr="004A73C1">
        <w:rPr>
          <w:rFonts w:ascii="Arial" w:eastAsia="Arial Unicode MS" w:hAnsi="Arial" w:cs="Arial"/>
        </w:rPr>
        <w:t xml:space="preserve">. Furthermore, he scrutinises the country's economic growth sustainability </w:t>
      </w:r>
      <w:r w:rsidR="00DB33A6" w:rsidRPr="004A73C1">
        <w:rPr>
          <w:rFonts w:ascii="Arial" w:eastAsia="Arial Unicode MS" w:hAnsi="Arial" w:cs="Arial"/>
        </w:rPr>
        <w:lastRenderedPageBreak/>
        <w:t xml:space="preserve">intricacies, encompassing factors such as infrastructure development, technological advancement, and policy implementation, </w:t>
      </w:r>
      <w:r w:rsidR="00E74B12" w:rsidRPr="004A73C1">
        <w:rPr>
          <w:rFonts w:ascii="Arial" w:eastAsia="Arial Unicode MS" w:hAnsi="Arial" w:cs="Arial"/>
        </w:rPr>
        <w:t>collectively influencing</w:t>
      </w:r>
      <w:r w:rsidR="00DB33A6" w:rsidRPr="004A73C1">
        <w:rPr>
          <w:rFonts w:ascii="Arial" w:eastAsia="Arial Unicode MS" w:hAnsi="Arial" w:cs="Arial"/>
        </w:rPr>
        <w:t xml:space="preserve"> the country's attractiveness as a destination for foreign direct investment.</w:t>
      </w:r>
    </w:p>
    <w:p w14:paraId="7AAC6D81" w14:textId="77777777" w:rsidR="006B671E" w:rsidRPr="004A73C1" w:rsidRDefault="006B671E" w:rsidP="00EF2E34">
      <w:pPr>
        <w:pStyle w:val="ListParagraph"/>
        <w:autoSpaceDE w:val="0"/>
        <w:autoSpaceDN w:val="0"/>
        <w:adjustRightInd w:val="0"/>
        <w:spacing w:after="0" w:line="360" w:lineRule="auto"/>
        <w:ind w:left="0"/>
        <w:jc w:val="both"/>
        <w:rPr>
          <w:rFonts w:ascii="Arial" w:hAnsi="Arial" w:cs="Arial"/>
          <w:color w:val="000000"/>
          <w:shd w:val="clear" w:color="auto" w:fill="FFFFFF"/>
        </w:rPr>
      </w:pPr>
    </w:p>
    <w:bookmarkEnd w:id="2"/>
    <w:p w14:paraId="5E5644B4" w14:textId="77777777" w:rsidR="00D9708D" w:rsidRPr="004A73C1" w:rsidRDefault="00D9708D" w:rsidP="00EF2E34">
      <w:pPr>
        <w:pStyle w:val="ListParagraph"/>
        <w:autoSpaceDE w:val="0"/>
        <w:autoSpaceDN w:val="0"/>
        <w:adjustRightInd w:val="0"/>
        <w:spacing w:after="0" w:line="360" w:lineRule="auto"/>
        <w:ind w:left="0"/>
        <w:jc w:val="both"/>
        <w:rPr>
          <w:rFonts w:ascii="Arial" w:hAnsi="Arial" w:cs="Arial"/>
          <w:color w:val="000000"/>
          <w:shd w:val="clear" w:color="auto" w:fill="FFFFFF"/>
        </w:rPr>
      </w:pPr>
      <w:r w:rsidRPr="004A73C1">
        <w:rPr>
          <w:rFonts w:ascii="Arial" w:hAnsi="Arial" w:cs="Arial"/>
          <w:color w:val="000000"/>
          <w:shd w:val="clear" w:color="auto" w:fill="FFFFFF"/>
        </w:rPr>
        <w:t>Ruxanda (2010) identified two important ways in which foreign direct investment (FDI) can help economies grow. Firstly, FDI can bring in advanced technology, which local companies can then adopt. Secondly, investing firms can introduce new management methods and effective organizational structures, which helps transfer valuable knowledge to the host economy.</w:t>
      </w:r>
    </w:p>
    <w:p w14:paraId="61EB1BCA" w14:textId="77777777" w:rsidR="00D9708D" w:rsidRPr="004A73C1" w:rsidRDefault="00D9708D" w:rsidP="00EF2E34">
      <w:pPr>
        <w:pStyle w:val="ListParagraph"/>
        <w:autoSpaceDE w:val="0"/>
        <w:autoSpaceDN w:val="0"/>
        <w:adjustRightInd w:val="0"/>
        <w:spacing w:after="0" w:line="360" w:lineRule="auto"/>
        <w:ind w:left="0"/>
        <w:jc w:val="both"/>
        <w:rPr>
          <w:rFonts w:ascii="Arial" w:hAnsi="Arial" w:cs="Arial"/>
          <w:color w:val="000000"/>
          <w:shd w:val="clear" w:color="auto" w:fill="FFFFFF"/>
        </w:rPr>
      </w:pPr>
    </w:p>
    <w:p w14:paraId="4C137662" w14:textId="6D50745D" w:rsidR="00491A3E" w:rsidRPr="004A73C1" w:rsidRDefault="00491A3E" w:rsidP="00EF2E34">
      <w:pPr>
        <w:pStyle w:val="ListParagraph"/>
        <w:autoSpaceDE w:val="0"/>
        <w:autoSpaceDN w:val="0"/>
        <w:adjustRightInd w:val="0"/>
        <w:spacing w:after="0" w:line="360" w:lineRule="auto"/>
        <w:ind w:left="0"/>
        <w:jc w:val="both"/>
        <w:rPr>
          <w:rFonts w:ascii="Arial" w:hAnsi="Arial" w:cs="Arial"/>
          <w:color w:val="000000"/>
          <w:shd w:val="clear" w:color="auto" w:fill="FFFFFF"/>
        </w:rPr>
      </w:pPr>
      <w:r w:rsidRPr="004A73C1">
        <w:rPr>
          <w:rFonts w:ascii="Arial" w:hAnsi="Arial" w:cs="Arial"/>
          <w:color w:val="000000"/>
          <w:shd w:val="clear" w:color="auto" w:fill="FFFFFF"/>
        </w:rPr>
        <w:t>In less developed countries, foreign direct investment (FDI) may not significantly boost economic growth. Chete et al. (2013) argues that host economies must meet specific milestones in education and infrastructure development before fully benefiting from FDI. Therefore, the conditions in the host country can impact the realization of FDI benefits.</w:t>
      </w:r>
    </w:p>
    <w:p w14:paraId="75C08B71" w14:textId="77777777" w:rsidR="00491A3E" w:rsidRPr="004A73C1" w:rsidRDefault="00491A3E" w:rsidP="00EF2E34">
      <w:pPr>
        <w:pStyle w:val="ListParagraph"/>
        <w:autoSpaceDE w:val="0"/>
        <w:autoSpaceDN w:val="0"/>
        <w:adjustRightInd w:val="0"/>
        <w:spacing w:after="0" w:line="360" w:lineRule="auto"/>
        <w:ind w:left="0"/>
        <w:jc w:val="both"/>
        <w:rPr>
          <w:rFonts w:ascii="Arial" w:hAnsi="Arial" w:cs="Arial"/>
          <w:color w:val="000000"/>
          <w:shd w:val="clear" w:color="auto" w:fill="FFFFFF"/>
        </w:rPr>
      </w:pPr>
    </w:p>
    <w:p w14:paraId="1520BADB" w14:textId="77777777" w:rsidR="008C7B52" w:rsidRPr="004A73C1" w:rsidRDefault="008C7B52" w:rsidP="00EF2E34">
      <w:pPr>
        <w:spacing w:line="360" w:lineRule="auto"/>
        <w:jc w:val="both"/>
        <w:rPr>
          <w:rFonts w:ascii="Arial" w:hAnsi="Arial" w:cs="Arial"/>
        </w:rPr>
      </w:pPr>
      <w:r w:rsidRPr="004A73C1">
        <w:rPr>
          <w:rFonts w:ascii="Arial" w:hAnsi="Arial" w:cs="Arial"/>
        </w:rPr>
        <w:t>The contrast between foreign direct investment (FDI) between developed and developing countries is substantial and multifaceted. However, FDI has the potential to bridge these gaps. Developed countries, with their stable political and economic environments, established infrastructure, and access to a skilled workforce, tend to attract a higher volume of FDI. This influx of investment often contributes to further economic development and technological advancement. Conversely, developing countries face challenges attracting FDI due to political instability, underdeveloped infrastructure, and higher perceived risks. But with the right conditions, they, too, can benefit from FDI. Consequently, this potential for FDI to bridge economic discrepancies can inspire optimism about the future of global economics.</w:t>
      </w:r>
    </w:p>
    <w:p w14:paraId="23AD3156" w14:textId="77777777" w:rsidR="008C7B52" w:rsidRDefault="008C7B52" w:rsidP="00EF2E34">
      <w:pPr>
        <w:spacing w:line="360" w:lineRule="auto"/>
        <w:jc w:val="both"/>
        <w:rPr>
          <w:rFonts w:ascii="Arial" w:hAnsi="Arial" w:cs="Arial"/>
        </w:rPr>
      </w:pPr>
      <w:r w:rsidRPr="004A73C1">
        <w:rPr>
          <w:rFonts w:ascii="Arial" w:hAnsi="Arial" w:cs="Arial"/>
        </w:rPr>
        <w:t>There are two main ways foreign direct investment (FDI) can benefit the host nations' economy, as explained by Ruxanda (2010). FDI can promote economic growth by transferring advanced technology and knowledge. Technology is mainly spread through spillovers. When new technology is introduced, local businesses quickly adopt it, especially if it is not patented. Additionally, investment businesses can bring in new management techniques and effective organisational structures, leading to knowledge transfer. However, the realisation of these FDI benefits may be influenced by the conditions in the host nation.</w:t>
      </w:r>
    </w:p>
    <w:p w14:paraId="2DF4B48E" w14:textId="71E5E6F2" w:rsidR="002608AF" w:rsidRPr="004A73C1" w:rsidRDefault="002608AF" w:rsidP="002608AF">
      <w:pPr>
        <w:spacing w:line="360" w:lineRule="auto"/>
        <w:jc w:val="both"/>
        <w:rPr>
          <w:rFonts w:ascii="Arial" w:hAnsi="Arial" w:cs="Arial"/>
        </w:rPr>
      </w:pPr>
      <w:bookmarkStart w:id="50" w:name="_Toc175056446"/>
      <w:r w:rsidRPr="004A73C1">
        <w:rPr>
          <w:rFonts w:ascii="Arial" w:hAnsi="Arial" w:cs="Arial"/>
        </w:rPr>
        <w:t>The literature mentioned above significantly aided our comprehension of the current research conducted in the field of foreign direct investment (FDI). However, while reviewing the existing literature, we identified certain research gaps. It is important to acknowledge that FDI is an intricate and continually evolving topic, given that economic conditions are subject to constant change due to various factors. As an example, in the present era, countries exhibit a growing need for investments that prioritize environmental sustainability, technology, and artificial intelligence (AI). And we can</w:t>
      </w:r>
      <w:r w:rsidR="001D5456" w:rsidRPr="004A73C1">
        <w:rPr>
          <w:rFonts w:ascii="Arial" w:hAnsi="Arial" w:cs="Arial"/>
        </w:rPr>
        <w:t xml:space="preserve">not </w:t>
      </w:r>
      <w:r w:rsidRPr="004A73C1">
        <w:rPr>
          <w:rFonts w:ascii="Arial" w:hAnsi="Arial" w:cs="Arial"/>
        </w:rPr>
        <w:t xml:space="preserve"> find much study and FDI </w:t>
      </w:r>
      <w:r w:rsidR="001D5456" w:rsidRPr="004A73C1">
        <w:rPr>
          <w:rFonts w:ascii="Arial" w:hAnsi="Arial" w:cs="Arial"/>
        </w:rPr>
        <w:t>behaviour</w:t>
      </w:r>
      <w:r w:rsidRPr="004A73C1">
        <w:rPr>
          <w:rFonts w:ascii="Arial" w:hAnsi="Arial" w:cs="Arial"/>
        </w:rPr>
        <w:t xml:space="preserve"> in this context.</w:t>
      </w:r>
    </w:p>
    <w:p w14:paraId="0B38C771" w14:textId="1D8A7063" w:rsidR="00733034" w:rsidRPr="004A73C1" w:rsidRDefault="00733034" w:rsidP="002608AF">
      <w:pPr>
        <w:spacing w:line="360" w:lineRule="auto"/>
        <w:jc w:val="both"/>
        <w:rPr>
          <w:rFonts w:ascii="Arial" w:hAnsi="Arial" w:cs="Arial"/>
        </w:rPr>
      </w:pPr>
      <w:r w:rsidRPr="004A73C1">
        <w:rPr>
          <w:rFonts w:ascii="Arial" w:hAnsi="Arial" w:cs="Arial"/>
        </w:rPr>
        <w:lastRenderedPageBreak/>
        <w:t>Based on the current literature, there seems to be a gap in the research related to the impact of Brexit on the geographical distribution of foreign direct investment (FDI) in the UK. While there are existing studies that consider the effects of Brexit on FDI, there is a need for more comprehensive research focusing on the recent developments and emerging trends in FDI flows to the UK post-Brexit. Additionally, there is also a need for studies that explore the specific industry sectors or regions within the UK that might be most affected by changes in FDI patterns. This gap presents an opportunity for future research to provide a deeper understanding of the post-Brexit FDI landscape in the UK.</w:t>
      </w:r>
    </w:p>
    <w:p w14:paraId="0CBFD9B4" w14:textId="77777777" w:rsidR="002608AF" w:rsidRPr="004A73C1" w:rsidRDefault="002608AF" w:rsidP="00EF2E34">
      <w:pPr>
        <w:pStyle w:val="Heading2"/>
        <w:spacing w:line="360" w:lineRule="auto"/>
        <w:rPr>
          <w:rFonts w:ascii="Arial" w:eastAsiaTheme="minorEastAsia" w:hAnsi="Arial" w:cs="Arial"/>
          <w:color w:val="auto"/>
          <w:sz w:val="22"/>
          <w:szCs w:val="22"/>
        </w:rPr>
      </w:pPr>
    </w:p>
    <w:p w14:paraId="1D46BADB" w14:textId="1FBF662F" w:rsidR="00077736" w:rsidRPr="004A73C1" w:rsidRDefault="00D11768" w:rsidP="00EF2E34">
      <w:pPr>
        <w:pStyle w:val="Heading2"/>
        <w:spacing w:line="360" w:lineRule="auto"/>
        <w:rPr>
          <w:rFonts w:ascii="Arial" w:hAnsi="Arial" w:cs="Arial"/>
          <w:color w:val="auto"/>
        </w:rPr>
      </w:pPr>
      <w:bookmarkStart w:id="51" w:name="_Toc175675334"/>
      <w:r w:rsidRPr="004A73C1">
        <w:rPr>
          <w:rFonts w:ascii="Arial" w:hAnsi="Arial" w:cs="Arial"/>
          <w:color w:val="auto"/>
        </w:rPr>
        <w:t>2.3</w:t>
      </w:r>
      <w:r w:rsidRPr="004A73C1">
        <w:rPr>
          <w:rFonts w:ascii="Arial" w:hAnsi="Arial" w:cs="Arial"/>
          <w:color w:val="auto"/>
        </w:rPr>
        <w:tab/>
      </w:r>
      <w:r w:rsidR="00DB196A" w:rsidRPr="004A73C1">
        <w:rPr>
          <w:rFonts w:ascii="Arial" w:hAnsi="Arial" w:cs="Arial"/>
          <w:color w:val="auto"/>
        </w:rPr>
        <w:t>Types of FDI</w:t>
      </w:r>
      <w:bookmarkEnd w:id="50"/>
      <w:bookmarkEnd w:id="51"/>
    </w:p>
    <w:p w14:paraId="03C85AAA" w14:textId="734E4B0D" w:rsidR="007D4E14" w:rsidRDefault="00D11768" w:rsidP="003F68BF">
      <w:pPr>
        <w:pStyle w:val="Heading2"/>
        <w:rPr>
          <w:rFonts w:ascii="Arial" w:hAnsi="Arial" w:cs="Arial"/>
          <w:color w:val="auto"/>
        </w:rPr>
      </w:pPr>
      <w:bookmarkStart w:id="52" w:name="_Toc175056447"/>
      <w:bookmarkStart w:id="53" w:name="_Toc175675335"/>
      <w:r w:rsidRPr="004A73C1">
        <w:rPr>
          <w:rFonts w:ascii="Arial" w:hAnsi="Arial" w:cs="Arial"/>
          <w:color w:val="auto"/>
        </w:rPr>
        <w:t>2.3.1</w:t>
      </w:r>
      <w:r w:rsidRPr="004A73C1">
        <w:rPr>
          <w:rFonts w:ascii="Arial" w:hAnsi="Arial" w:cs="Arial"/>
          <w:color w:val="auto"/>
        </w:rPr>
        <w:tab/>
      </w:r>
      <w:r w:rsidR="00DB196A" w:rsidRPr="004A73C1">
        <w:rPr>
          <w:rFonts w:ascii="Arial" w:hAnsi="Arial" w:cs="Arial"/>
          <w:color w:val="auto"/>
        </w:rPr>
        <w:t>Greenfield Investment</w:t>
      </w:r>
      <w:bookmarkEnd w:id="52"/>
      <w:bookmarkEnd w:id="53"/>
    </w:p>
    <w:p w14:paraId="6CF09960" w14:textId="77777777" w:rsidR="000D7E53" w:rsidRPr="000D7E53" w:rsidRDefault="000D7E53" w:rsidP="000D7E53"/>
    <w:p w14:paraId="597811E5" w14:textId="65864DA6" w:rsidR="00DB196A" w:rsidRPr="004A73C1" w:rsidRDefault="00DB196A" w:rsidP="003F68BF">
      <w:pPr>
        <w:rPr>
          <w:rFonts w:ascii="Arial" w:hAnsi="Arial" w:cs="Arial"/>
          <w:b/>
          <w:bCs/>
          <w:sz w:val="24"/>
          <w:szCs w:val="24"/>
        </w:rPr>
      </w:pPr>
      <w:bookmarkStart w:id="54" w:name="_Toc175056448"/>
      <w:r w:rsidRPr="004A73C1">
        <w:rPr>
          <w:rFonts w:ascii="Arial" w:hAnsi="Arial" w:cs="Arial"/>
          <w:b/>
          <w:bCs/>
          <w:sz w:val="24"/>
          <w:szCs w:val="24"/>
        </w:rPr>
        <w:t>Characteristics</w:t>
      </w:r>
      <w:bookmarkEnd w:id="54"/>
    </w:p>
    <w:p w14:paraId="343E69D1" w14:textId="68D6BFD8" w:rsidR="00BF24CC" w:rsidRPr="004A73C1" w:rsidRDefault="00BF24CC" w:rsidP="00BF24CC">
      <w:pPr>
        <w:spacing w:line="360" w:lineRule="auto"/>
        <w:jc w:val="both"/>
        <w:rPr>
          <w:rFonts w:ascii="Arial" w:hAnsi="Arial" w:cs="Arial"/>
        </w:rPr>
      </w:pPr>
      <w:r w:rsidRPr="004A73C1">
        <w:rPr>
          <w:rFonts w:ascii="Arial" w:hAnsi="Arial" w:cs="Arial"/>
        </w:rPr>
        <w:t>When a business constructs brand-new facilities and infrastructure from the bottom up abroad, it is referred to as a "greenfield" investment. With this investment, the business gains total authority over the creation, development, and management of the new endeavour. Although it is sometimes viewed as a long-term, high-risk venture, it can present potential for expansion into new markets as well as substantial strategic advantages.</w:t>
      </w:r>
    </w:p>
    <w:p w14:paraId="5359B056" w14:textId="77777777" w:rsidR="00DB196A" w:rsidRPr="004A73C1" w:rsidRDefault="00DB196A" w:rsidP="003F68BF">
      <w:pPr>
        <w:rPr>
          <w:rFonts w:ascii="Arial" w:hAnsi="Arial" w:cs="Arial"/>
          <w:b/>
          <w:bCs/>
          <w:sz w:val="24"/>
          <w:szCs w:val="24"/>
        </w:rPr>
      </w:pPr>
      <w:r w:rsidRPr="004A73C1">
        <w:rPr>
          <w:rFonts w:ascii="Arial" w:hAnsi="Arial" w:cs="Arial"/>
          <w:b/>
          <w:bCs/>
          <w:sz w:val="24"/>
          <w:szCs w:val="24"/>
        </w:rPr>
        <w:t>Advantages</w:t>
      </w:r>
    </w:p>
    <w:p w14:paraId="3F3A2023" w14:textId="2329B341" w:rsidR="00DB196A" w:rsidRDefault="00DB196A" w:rsidP="00EF2E34">
      <w:pPr>
        <w:pStyle w:val="ListParagraph"/>
        <w:spacing w:after="0" w:line="360" w:lineRule="auto"/>
        <w:ind w:left="0"/>
        <w:jc w:val="both"/>
        <w:rPr>
          <w:rFonts w:ascii="Arial" w:hAnsi="Arial" w:cs="Arial"/>
        </w:rPr>
      </w:pPr>
      <w:r w:rsidRPr="004A73C1">
        <w:rPr>
          <w:rFonts w:ascii="Arial" w:hAnsi="Arial" w:cs="Arial"/>
        </w:rPr>
        <w:t xml:space="preserve">The advantages of greenfield investment include building </w:t>
      </w:r>
      <w:r w:rsidR="00E74B12" w:rsidRPr="004A73C1">
        <w:rPr>
          <w:rFonts w:ascii="Arial" w:hAnsi="Arial" w:cs="Arial"/>
        </w:rPr>
        <w:t>customised</w:t>
      </w:r>
      <w:r w:rsidRPr="004A73C1">
        <w:rPr>
          <w:rFonts w:ascii="Arial" w:hAnsi="Arial" w:cs="Arial"/>
        </w:rPr>
        <w:t xml:space="preserve"> facilities, access to new markets, and the potential for higher returns due to lower initial overhead costs.</w:t>
      </w:r>
    </w:p>
    <w:p w14:paraId="52A3AAD7" w14:textId="77777777" w:rsidR="000D7E53" w:rsidRPr="004A73C1" w:rsidRDefault="000D7E53" w:rsidP="00EF2E34">
      <w:pPr>
        <w:pStyle w:val="ListParagraph"/>
        <w:spacing w:after="0" w:line="360" w:lineRule="auto"/>
        <w:ind w:left="0"/>
        <w:jc w:val="both"/>
        <w:rPr>
          <w:rFonts w:ascii="Arial" w:hAnsi="Arial" w:cs="Arial"/>
        </w:rPr>
      </w:pPr>
    </w:p>
    <w:p w14:paraId="33EFA7B2" w14:textId="77777777" w:rsidR="00DB196A" w:rsidRPr="004A73C1" w:rsidRDefault="00DB196A" w:rsidP="003F68BF">
      <w:pPr>
        <w:rPr>
          <w:rFonts w:ascii="Arial" w:hAnsi="Arial" w:cs="Arial"/>
          <w:b/>
          <w:bCs/>
          <w:sz w:val="24"/>
          <w:szCs w:val="24"/>
        </w:rPr>
      </w:pPr>
      <w:bookmarkStart w:id="55" w:name="_Toc175056449"/>
      <w:r w:rsidRPr="004A73C1">
        <w:rPr>
          <w:rFonts w:ascii="Arial" w:hAnsi="Arial" w:cs="Arial"/>
          <w:b/>
          <w:bCs/>
          <w:sz w:val="24"/>
          <w:szCs w:val="24"/>
        </w:rPr>
        <w:t>Examples of Companies</w:t>
      </w:r>
      <w:bookmarkEnd w:id="55"/>
    </w:p>
    <w:p w14:paraId="0C012E5C" w14:textId="1F6042DF" w:rsidR="00DB196A" w:rsidRDefault="00DB196A" w:rsidP="00EF2E34">
      <w:pPr>
        <w:spacing w:after="0" w:line="360" w:lineRule="auto"/>
        <w:jc w:val="both"/>
        <w:rPr>
          <w:rFonts w:ascii="Arial" w:hAnsi="Arial" w:cs="Arial"/>
        </w:rPr>
      </w:pPr>
      <w:r w:rsidRPr="004A73C1">
        <w:rPr>
          <w:rFonts w:ascii="Arial" w:hAnsi="Arial" w:cs="Arial"/>
        </w:rPr>
        <w:t>Some examples of greenfield investments in the UK include constructing manufacturing facilities by multinational corporations, establishing new research and development centres, and developing renewable energy infrastructure such as wind farms. Additionally, companies from overseas have built new office complexes and retail outlets as part of their greenfield investments in the UK. These investments have allowed foreign companies to establish a significant presence in the UK market while contributing to economic growth and job creation</w:t>
      </w:r>
      <w:r w:rsidR="00BF24CC" w:rsidRPr="004A73C1">
        <w:rPr>
          <w:rFonts w:ascii="Arial" w:hAnsi="Arial" w:cs="Arial"/>
        </w:rPr>
        <w:t xml:space="preserve"> (Source- Financial Times,2022)</w:t>
      </w:r>
    </w:p>
    <w:p w14:paraId="2D428997" w14:textId="77777777" w:rsidR="000D7E53" w:rsidRPr="004A73C1" w:rsidRDefault="000D7E53" w:rsidP="00EF2E34">
      <w:pPr>
        <w:spacing w:after="0" w:line="360" w:lineRule="auto"/>
        <w:jc w:val="both"/>
        <w:rPr>
          <w:rFonts w:ascii="Arial" w:hAnsi="Arial" w:cs="Arial"/>
        </w:rPr>
      </w:pPr>
    </w:p>
    <w:p w14:paraId="245C38F8" w14:textId="7CCC696A" w:rsidR="00DB196A" w:rsidRPr="004A73C1" w:rsidRDefault="00DB196A" w:rsidP="003F68BF">
      <w:pPr>
        <w:rPr>
          <w:rFonts w:ascii="Arial" w:hAnsi="Arial" w:cs="Arial"/>
          <w:b/>
          <w:bCs/>
          <w:sz w:val="24"/>
          <w:szCs w:val="24"/>
        </w:rPr>
      </w:pPr>
      <w:bookmarkStart w:id="56" w:name="_Toc175056450"/>
      <w:r w:rsidRPr="004A73C1">
        <w:rPr>
          <w:rFonts w:ascii="Arial" w:hAnsi="Arial" w:cs="Arial"/>
          <w:b/>
          <w:bCs/>
          <w:sz w:val="24"/>
          <w:szCs w:val="24"/>
        </w:rPr>
        <w:t xml:space="preserve">Global Greenfield FDI Capital Expenditure </w:t>
      </w:r>
      <w:r w:rsidR="003F68BF" w:rsidRPr="004A73C1">
        <w:rPr>
          <w:rFonts w:ascii="Arial" w:hAnsi="Arial" w:cs="Arial"/>
          <w:b/>
          <w:bCs/>
          <w:sz w:val="24"/>
          <w:szCs w:val="24"/>
        </w:rPr>
        <w:t>T</w:t>
      </w:r>
      <w:r w:rsidRPr="004A73C1">
        <w:rPr>
          <w:rFonts w:ascii="Arial" w:hAnsi="Arial" w:cs="Arial"/>
          <w:b/>
          <w:bCs/>
          <w:sz w:val="24"/>
          <w:szCs w:val="24"/>
        </w:rPr>
        <w:t>rends</w:t>
      </w:r>
      <w:bookmarkEnd w:id="56"/>
    </w:p>
    <w:p w14:paraId="2813FAB1" w14:textId="4BC64213" w:rsidR="00BF24CC" w:rsidRPr="004A73C1" w:rsidRDefault="00BF24CC" w:rsidP="00BF24CC">
      <w:pPr>
        <w:spacing w:after="0" w:line="360" w:lineRule="auto"/>
        <w:jc w:val="both"/>
        <w:rPr>
          <w:rFonts w:ascii="Arial" w:hAnsi="Arial" w:cs="Arial"/>
        </w:rPr>
      </w:pPr>
      <w:r w:rsidRPr="004A73C1">
        <w:rPr>
          <w:rFonts w:ascii="Arial" w:hAnsi="Arial" w:cs="Arial"/>
        </w:rPr>
        <w:t>In terms of greenfield FDI, the UK has brought in the third most money (£720 billion) during the past 20 years. With £1,302 billion and the US at £1,095 billion, the UK is now just behind China and the US. (Source- ONS.Gov.UK,2023)</w:t>
      </w:r>
    </w:p>
    <w:p w14:paraId="00365078" w14:textId="633BE8F6" w:rsidR="00BF24CC" w:rsidRPr="004A73C1" w:rsidRDefault="00BF24CC" w:rsidP="00BF24CC">
      <w:pPr>
        <w:spacing w:after="0" w:line="360" w:lineRule="auto"/>
        <w:jc w:val="both"/>
        <w:rPr>
          <w:rFonts w:ascii="Arial" w:hAnsi="Arial" w:cs="Arial"/>
        </w:rPr>
      </w:pPr>
      <w:r w:rsidRPr="004A73C1">
        <w:rPr>
          <w:rFonts w:ascii="Arial" w:hAnsi="Arial" w:cs="Arial"/>
        </w:rPr>
        <w:br/>
        <w:t xml:space="preserve">The UK overtook China in 2021 and 2022 to take the second spot after the US as the most </w:t>
      </w:r>
      <w:r w:rsidRPr="004A73C1">
        <w:rPr>
          <w:rFonts w:ascii="Arial" w:hAnsi="Arial" w:cs="Arial"/>
        </w:rPr>
        <w:lastRenderedPageBreak/>
        <w:t>popular location for foreign direct investment.The UK's greenfield FDI total of £720 billion is higher than the combined sums of Germany's and France's (£305 billion and £205 billion, respectively). In terms of Greenfield FDI capital expenditure, Germany comes in at number nine, while France comes in at number seventeen. (Source- ONS.Gov.UK,2023)</w:t>
      </w:r>
    </w:p>
    <w:p w14:paraId="5A754A84" w14:textId="1BBB6C4C" w:rsidR="00DB196A" w:rsidRPr="004A73C1" w:rsidRDefault="00DB196A" w:rsidP="00EF2E34">
      <w:pPr>
        <w:spacing w:after="0" w:line="360" w:lineRule="auto"/>
        <w:jc w:val="both"/>
        <w:rPr>
          <w:rFonts w:ascii="Arial" w:hAnsi="Arial" w:cs="Arial"/>
        </w:rPr>
      </w:pPr>
      <w:r w:rsidRPr="004A73C1">
        <w:rPr>
          <w:rFonts w:ascii="Arial" w:hAnsi="Arial" w:cs="Arial"/>
          <w:noProof/>
        </w:rPr>
        <w:drawing>
          <wp:inline distT="0" distB="0" distL="0" distR="0" wp14:anchorId="6A92BC3A" wp14:editId="1A4BEA9E">
            <wp:extent cx="5731510" cy="2646680"/>
            <wp:effectExtent l="0" t="0" r="2540" b="1270"/>
            <wp:docPr id="1367589354"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589354" name="Picture 1" descr="A graph of different colored lines&#10;&#10;Description automatically generated"/>
                    <pic:cNvPicPr/>
                  </pic:nvPicPr>
                  <pic:blipFill>
                    <a:blip r:embed="rId8"/>
                    <a:stretch>
                      <a:fillRect/>
                    </a:stretch>
                  </pic:blipFill>
                  <pic:spPr>
                    <a:xfrm>
                      <a:off x="0" y="0"/>
                      <a:ext cx="5731510" cy="2646680"/>
                    </a:xfrm>
                    <a:prstGeom prst="rect">
                      <a:avLst/>
                    </a:prstGeom>
                  </pic:spPr>
                </pic:pic>
              </a:graphicData>
            </a:graphic>
          </wp:inline>
        </w:drawing>
      </w:r>
    </w:p>
    <w:p w14:paraId="0D3EF325" w14:textId="76388DCB" w:rsidR="00691E95" w:rsidRPr="004A73C1" w:rsidRDefault="00691E95" w:rsidP="00EF2E34">
      <w:pPr>
        <w:spacing w:after="0" w:line="360" w:lineRule="auto"/>
        <w:jc w:val="both"/>
        <w:rPr>
          <w:rFonts w:ascii="Arial" w:hAnsi="Arial" w:cs="Arial"/>
        </w:rPr>
      </w:pPr>
      <w:r w:rsidRPr="004A73C1">
        <w:rPr>
          <w:rFonts w:ascii="Arial" w:hAnsi="Arial" w:cs="Arial"/>
          <w:noProof/>
        </w:rPr>
        <w:drawing>
          <wp:inline distT="0" distB="0" distL="0" distR="0" wp14:anchorId="72A49FDA" wp14:editId="0C798E7E">
            <wp:extent cx="6007555" cy="574675"/>
            <wp:effectExtent l="0" t="0" r="0" b="0"/>
            <wp:docPr id="244234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234243" name=""/>
                    <pic:cNvPicPr/>
                  </pic:nvPicPr>
                  <pic:blipFill>
                    <a:blip r:embed="rId9"/>
                    <a:stretch>
                      <a:fillRect/>
                    </a:stretch>
                  </pic:blipFill>
                  <pic:spPr>
                    <a:xfrm>
                      <a:off x="0" y="0"/>
                      <a:ext cx="6010972" cy="575002"/>
                    </a:xfrm>
                    <a:prstGeom prst="rect">
                      <a:avLst/>
                    </a:prstGeom>
                  </pic:spPr>
                </pic:pic>
              </a:graphicData>
            </a:graphic>
          </wp:inline>
        </w:drawing>
      </w:r>
    </w:p>
    <w:tbl>
      <w:tblPr>
        <w:tblW w:w="8600" w:type="dxa"/>
        <w:tblLook w:val="04A0" w:firstRow="1" w:lastRow="0" w:firstColumn="1" w:lastColumn="0" w:noHBand="0" w:noVBand="1"/>
      </w:tblPr>
      <w:tblGrid>
        <w:gridCol w:w="1560"/>
        <w:gridCol w:w="750"/>
        <w:gridCol w:w="750"/>
        <w:gridCol w:w="750"/>
        <w:gridCol w:w="750"/>
        <w:gridCol w:w="750"/>
        <w:gridCol w:w="750"/>
        <w:gridCol w:w="750"/>
        <w:gridCol w:w="750"/>
        <w:gridCol w:w="1040"/>
      </w:tblGrid>
      <w:tr w:rsidR="00DB196A" w:rsidRPr="004A73C1" w14:paraId="6FE559A8" w14:textId="77777777" w:rsidTr="009019C5">
        <w:trPr>
          <w:trHeight w:val="300"/>
        </w:trPr>
        <w:tc>
          <w:tcPr>
            <w:tcW w:w="1560" w:type="dxa"/>
            <w:tcBorders>
              <w:top w:val="nil"/>
              <w:left w:val="nil"/>
              <w:bottom w:val="nil"/>
              <w:right w:val="nil"/>
            </w:tcBorders>
            <w:shd w:val="clear" w:color="auto" w:fill="auto"/>
            <w:noWrap/>
            <w:vAlign w:val="bottom"/>
            <w:hideMark/>
          </w:tcPr>
          <w:p w14:paraId="3552F67D" w14:textId="77777777" w:rsidR="00DB196A" w:rsidRPr="004A73C1" w:rsidRDefault="00DB196A" w:rsidP="00EF2E34">
            <w:pPr>
              <w:spacing w:after="0" w:line="360" w:lineRule="auto"/>
              <w:jc w:val="both"/>
              <w:rPr>
                <w:rFonts w:ascii="Arial" w:eastAsia="Times New Roman" w:hAnsi="Arial" w:cs="Arial"/>
                <w:lang w:eastAsia="en-GB"/>
              </w:rPr>
            </w:pPr>
          </w:p>
        </w:tc>
        <w:tc>
          <w:tcPr>
            <w:tcW w:w="2250" w:type="dxa"/>
            <w:gridSpan w:val="3"/>
            <w:tcBorders>
              <w:top w:val="nil"/>
              <w:left w:val="nil"/>
              <w:bottom w:val="single" w:sz="4" w:space="0" w:color="auto"/>
              <w:right w:val="nil"/>
            </w:tcBorders>
            <w:shd w:val="clear" w:color="auto" w:fill="auto"/>
            <w:noWrap/>
            <w:vAlign w:val="bottom"/>
            <w:hideMark/>
          </w:tcPr>
          <w:p w14:paraId="4AC6FA11" w14:textId="241E1B46" w:rsidR="00DB196A" w:rsidRPr="004A73C1" w:rsidRDefault="00B80C0D" w:rsidP="00EF2E34">
            <w:pPr>
              <w:spacing w:after="0" w:line="360" w:lineRule="auto"/>
              <w:jc w:val="center"/>
              <w:rPr>
                <w:rFonts w:ascii="Arial" w:eastAsia="Times New Roman" w:hAnsi="Arial" w:cs="Arial"/>
                <w:b/>
                <w:bCs/>
                <w:color w:val="000000"/>
                <w:lang w:eastAsia="en-GB"/>
              </w:rPr>
            </w:pPr>
            <w:r w:rsidRPr="004A73C1">
              <w:rPr>
                <w:rFonts w:ascii="Arial" w:eastAsia="Times New Roman" w:hAnsi="Arial" w:cs="Arial"/>
                <w:b/>
                <w:bCs/>
                <w:color w:val="000000"/>
                <w:lang w:eastAsia="en-GB"/>
              </w:rPr>
              <w:t>In £ Billions</w:t>
            </w:r>
          </w:p>
        </w:tc>
        <w:tc>
          <w:tcPr>
            <w:tcW w:w="750" w:type="dxa"/>
            <w:tcBorders>
              <w:top w:val="nil"/>
              <w:left w:val="nil"/>
              <w:bottom w:val="nil"/>
              <w:right w:val="nil"/>
            </w:tcBorders>
            <w:shd w:val="clear" w:color="auto" w:fill="auto"/>
            <w:noWrap/>
            <w:vAlign w:val="bottom"/>
            <w:hideMark/>
          </w:tcPr>
          <w:p w14:paraId="4E744427" w14:textId="77777777" w:rsidR="00DB196A" w:rsidRPr="004A73C1" w:rsidRDefault="00DB196A" w:rsidP="00EF2E34">
            <w:pPr>
              <w:spacing w:after="0" w:line="360" w:lineRule="auto"/>
              <w:jc w:val="both"/>
              <w:rPr>
                <w:rFonts w:ascii="Arial" w:eastAsia="Times New Roman" w:hAnsi="Arial" w:cs="Arial"/>
                <w:color w:val="000000"/>
                <w:lang w:eastAsia="en-GB"/>
              </w:rPr>
            </w:pPr>
          </w:p>
        </w:tc>
        <w:tc>
          <w:tcPr>
            <w:tcW w:w="750" w:type="dxa"/>
            <w:tcBorders>
              <w:top w:val="nil"/>
              <w:left w:val="nil"/>
              <w:bottom w:val="nil"/>
              <w:right w:val="nil"/>
            </w:tcBorders>
            <w:shd w:val="clear" w:color="auto" w:fill="auto"/>
            <w:noWrap/>
            <w:vAlign w:val="bottom"/>
            <w:hideMark/>
          </w:tcPr>
          <w:p w14:paraId="5D676E2C" w14:textId="77777777" w:rsidR="00DB196A" w:rsidRPr="004A73C1" w:rsidRDefault="00DB196A" w:rsidP="00EF2E34">
            <w:pPr>
              <w:spacing w:after="0" w:line="360" w:lineRule="auto"/>
              <w:jc w:val="both"/>
              <w:rPr>
                <w:rFonts w:ascii="Arial" w:eastAsia="Times New Roman" w:hAnsi="Arial" w:cs="Arial"/>
                <w:sz w:val="20"/>
                <w:szCs w:val="20"/>
                <w:lang w:eastAsia="en-GB"/>
              </w:rPr>
            </w:pPr>
          </w:p>
        </w:tc>
        <w:tc>
          <w:tcPr>
            <w:tcW w:w="750" w:type="dxa"/>
            <w:tcBorders>
              <w:top w:val="nil"/>
              <w:left w:val="nil"/>
              <w:bottom w:val="nil"/>
              <w:right w:val="nil"/>
            </w:tcBorders>
            <w:shd w:val="clear" w:color="auto" w:fill="auto"/>
            <w:noWrap/>
            <w:vAlign w:val="bottom"/>
            <w:hideMark/>
          </w:tcPr>
          <w:p w14:paraId="63FA7E4D" w14:textId="77777777" w:rsidR="00DB196A" w:rsidRPr="004A73C1" w:rsidRDefault="00DB196A" w:rsidP="00EF2E34">
            <w:pPr>
              <w:spacing w:after="0" w:line="360" w:lineRule="auto"/>
              <w:jc w:val="both"/>
              <w:rPr>
                <w:rFonts w:ascii="Arial" w:eastAsia="Times New Roman" w:hAnsi="Arial" w:cs="Arial"/>
                <w:sz w:val="20"/>
                <w:szCs w:val="20"/>
                <w:lang w:eastAsia="en-GB"/>
              </w:rPr>
            </w:pPr>
          </w:p>
        </w:tc>
        <w:tc>
          <w:tcPr>
            <w:tcW w:w="750" w:type="dxa"/>
            <w:tcBorders>
              <w:top w:val="nil"/>
              <w:left w:val="nil"/>
              <w:bottom w:val="nil"/>
              <w:right w:val="nil"/>
            </w:tcBorders>
            <w:shd w:val="clear" w:color="auto" w:fill="auto"/>
            <w:noWrap/>
            <w:vAlign w:val="bottom"/>
            <w:hideMark/>
          </w:tcPr>
          <w:p w14:paraId="1BCC3487" w14:textId="77777777" w:rsidR="00DB196A" w:rsidRPr="004A73C1" w:rsidRDefault="00DB196A" w:rsidP="00EF2E34">
            <w:pPr>
              <w:spacing w:after="0" w:line="360" w:lineRule="auto"/>
              <w:jc w:val="both"/>
              <w:rPr>
                <w:rFonts w:ascii="Arial" w:eastAsia="Times New Roman" w:hAnsi="Arial" w:cs="Arial"/>
                <w:sz w:val="20"/>
                <w:szCs w:val="20"/>
                <w:lang w:eastAsia="en-GB"/>
              </w:rPr>
            </w:pPr>
          </w:p>
        </w:tc>
        <w:tc>
          <w:tcPr>
            <w:tcW w:w="750" w:type="dxa"/>
            <w:tcBorders>
              <w:top w:val="nil"/>
              <w:left w:val="nil"/>
              <w:bottom w:val="nil"/>
              <w:right w:val="nil"/>
            </w:tcBorders>
            <w:shd w:val="clear" w:color="auto" w:fill="auto"/>
            <w:noWrap/>
            <w:vAlign w:val="bottom"/>
            <w:hideMark/>
          </w:tcPr>
          <w:p w14:paraId="0407EFBF" w14:textId="77777777" w:rsidR="00DB196A" w:rsidRPr="004A73C1" w:rsidRDefault="00DB196A" w:rsidP="00EF2E34">
            <w:pPr>
              <w:spacing w:after="0" w:line="360" w:lineRule="auto"/>
              <w:jc w:val="both"/>
              <w:rPr>
                <w:rFonts w:ascii="Arial" w:eastAsia="Times New Roman" w:hAnsi="Arial" w:cs="Arial"/>
                <w:sz w:val="20"/>
                <w:szCs w:val="20"/>
                <w:lang w:eastAsia="en-GB"/>
              </w:rPr>
            </w:pPr>
          </w:p>
        </w:tc>
        <w:tc>
          <w:tcPr>
            <w:tcW w:w="1040" w:type="dxa"/>
            <w:tcBorders>
              <w:top w:val="nil"/>
              <w:left w:val="nil"/>
              <w:bottom w:val="nil"/>
              <w:right w:val="nil"/>
            </w:tcBorders>
            <w:shd w:val="clear" w:color="auto" w:fill="auto"/>
            <w:noWrap/>
            <w:vAlign w:val="bottom"/>
            <w:hideMark/>
          </w:tcPr>
          <w:p w14:paraId="3F85178D" w14:textId="77777777" w:rsidR="00DB196A" w:rsidRPr="004A73C1" w:rsidRDefault="00DB196A" w:rsidP="00EF2E34">
            <w:pPr>
              <w:spacing w:after="0" w:line="360" w:lineRule="auto"/>
              <w:jc w:val="both"/>
              <w:rPr>
                <w:rFonts w:ascii="Arial" w:eastAsia="Times New Roman" w:hAnsi="Arial" w:cs="Arial"/>
                <w:sz w:val="20"/>
                <w:szCs w:val="20"/>
                <w:lang w:eastAsia="en-GB"/>
              </w:rPr>
            </w:pPr>
          </w:p>
        </w:tc>
      </w:tr>
      <w:tr w:rsidR="00F46779" w:rsidRPr="004A73C1" w14:paraId="1BA6DFC8" w14:textId="77777777" w:rsidTr="009019C5">
        <w:trPr>
          <w:trHeight w:val="315"/>
        </w:trPr>
        <w:tc>
          <w:tcPr>
            <w:tcW w:w="1560" w:type="dxa"/>
            <w:tcBorders>
              <w:top w:val="single" w:sz="4" w:space="0" w:color="auto"/>
              <w:left w:val="single" w:sz="4" w:space="0" w:color="auto"/>
              <w:bottom w:val="single" w:sz="4" w:space="0" w:color="auto"/>
              <w:right w:val="single" w:sz="4" w:space="0" w:color="auto"/>
            </w:tcBorders>
            <w:shd w:val="clear" w:color="000000" w:fill="FFFFFF"/>
            <w:hideMark/>
          </w:tcPr>
          <w:p w14:paraId="4CAD6F47"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Country</w:t>
            </w:r>
          </w:p>
        </w:tc>
        <w:tc>
          <w:tcPr>
            <w:tcW w:w="750" w:type="dxa"/>
            <w:tcBorders>
              <w:top w:val="nil"/>
              <w:left w:val="nil"/>
              <w:bottom w:val="single" w:sz="4" w:space="0" w:color="auto"/>
              <w:right w:val="single" w:sz="4" w:space="0" w:color="auto"/>
            </w:tcBorders>
            <w:shd w:val="clear" w:color="000000" w:fill="FFFFFF"/>
            <w:hideMark/>
          </w:tcPr>
          <w:p w14:paraId="3492CA57"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2015</w:t>
            </w:r>
          </w:p>
        </w:tc>
        <w:tc>
          <w:tcPr>
            <w:tcW w:w="750" w:type="dxa"/>
            <w:tcBorders>
              <w:top w:val="nil"/>
              <w:left w:val="nil"/>
              <w:bottom w:val="single" w:sz="4" w:space="0" w:color="auto"/>
              <w:right w:val="single" w:sz="4" w:space="0" w:color="auto"/>
            </w:tcBorders>
            <w:shd w:val="clear" w:color="000000" w:fill="FFFFFF"/>
            <w:hideMark/>
          </w:tcPr>
          <w:p w14:paraId="7E693362"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2016</w:t>
            </w:r>
          </w:p>
        </w:tc>
        <w:tc>
          <w:tcPr>
            <w:tcW w:w="750" w:type="dxa"/>
            <w:tcBorders>
              <w:top w:val="nil"/>
              <w:left w:val="nil"/>
              <w:bottom w:val="single" w:sz="4" w:space="0" w:color="auto"/>
              <w:right w:val="single" w:sz="4" w:space="0" w:color="auto"/>
            </w:tcBorders>
            <w:shd w:val="clear" w:color="000000" w:fill="FFFFFF"/>
            <w:hideMark/>
          </w:tcPr>
          <w:p w14:paraId="24E53741"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2017</w:t>
            </w:r>
          </w:p>
        </w:tc>
        <w:tc>
          <w:tcPr>
            <w:tcW w:w="750" w:type="dxa"/>
            <w:tcBorders>
              <w:top w:val="single" w:sz="4" w:space="0" w:color="auto"/>
              <w:left w:val="nil"/>
              <w:bottom w:val="single" w:sz="4" w:space="0" w:color="auto"/>
              <w:right w:val="single" w:sz="4" w:space="0" w:color="auto"/>
            </w:tcBorders>
            <w:shd w:val="clear" w:color="000000" w:fill="FFFFFF"/>
            <w:hideMark/>
          </w:tcPr>
          <w:p w14:paraId="08858DCF"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2018</w:t>
            </w:r>
          </w:p>
        </w:tc>
        <w:tc>
          <w:tcPr>
            <w:tcW w:w="750" w:type="dxa"/>
            <w:tcBorders>
              <w:top w:val="single" w:sz="4" w:space="0" w:color="auto"/>
              <w:left w:val="nil"/>
              <w:bottom w:val="single" w:sz="4" w:space="0" w:color="auto"/>
              <w:right w:val="single" w:sz="4" w:space="0" w:color="auto"/>
            </w:tcBorders>
            <w:shd w:val="clear" w:color="000000" w:fill="FFFFFF"/>
            <w:hideMark/>
          </w:tcPr>
          <w:p w14:paraId="069E05D6"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2019</w:t>
            </w:r>
          </w:p>
        </w:tc>
        <w:tc>
          <w:tcPr>
            <w:tcW w:w="750" w:type="dxa"/>
            <w:tcBorders>
              <w:top w:val="single" w:sz="4" w:space="0" w:color="auto"/>
              <w:left w:val="nil"/>
              <w:bottom w:val="single" w:sz="4" w:space="0" w:color="auto"/>
              <w:right w:val="single" w:sz="4" w:space="0" w:color="auto"/>
            </w:tcBorders>
            <w:shd w:val="clear" w:color="000000" w:fill="FFFFFF"/>
            <w:hideMark/>
          </w:tcPr>
          <w:p w14:paraId="775288BA"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2020</w:t>
            </w:r>
          </w:p>
        </w:tc>
        <w:tc>
          <w:tcPr>
            <w:tcW w:w="750" w:type="dxa"/>
            <w:tcBorders>
              <w:top w:val="single" w:sz="4" w:space="0" w:color="auto"/>
              <w:left w:val="nil"/>
              <w:bottom w:val="single" w:sz="4" w:space="0" w:color="auto"/>
              <w:right w:val="single" w:sz="4" w:space="0" w:color="auto"/>
            </w:tcBorders>
            <w:shd w:val="clear" w:color="000000" w:fill="FFFFFF"/>
            <w:hideMark/>
          </w:tcPr>
          <w:p w14:paraId="34544B4C"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2021</w:t>
            </w:r>
          </w:p>
        </w:tc>
        <w:tc>
          <w:tcPr>
            <w:tcW w:w="750" w:type="dxa"/>
            <w:tcBorders>
              <w:top w:val="single" w:sz="4" w:space="0" w:color="auto"/>
              <w:left w:val="nil"/>
              <w:bottom w:val="single" w:sz="4" w:space="0" w:color="auto"/>
              <w:right w:val="single" w:sz="4" w:space="0" w:color="auto"/>
            </w:tcBorders>
            <w:shd w:val="clear" w:color="000000" w:fill="FFFFFF"/>
            <w:hideMark/>
          </w:tcPr>
          <w:p w14:paraId="20D962AD"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2022</w:t>
            </w:r>
          </w:p>
        </w:tc>
        <w:tc>
          <w:tcPr>
            <w:tcW w:w="1040" w:type="dxa"/>
            <w:tcBorders>
              <w:top w:val="single" w:sz="4" w:space="0" w:color="auto"/>
              <w:left w:val="nil"/>
              <w:bottom w:val="single" w:sz="4" w:space="0" w:color="auto"/>
              <w:right w:val="single" w:sz="4" w:space="0" w:color="auto"/>
            </w:tcBorders>
            <w:shd w:val="clear" w:color="000000" w:fill="FFFFFF"/>
            <w:hideMark/>
          </w:tcPr>
          <w:p w14:paraId="4EAB45F0"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2015-22</w:t>
            </w:r>
          </w:p>
        </w:tc>
      </w:tr>
      <w:tr w:rsidR="00F46779" w:rsidRPr="004A73C1" w14:paraId="5B1334DB" w14:textId="77777777" w:rsidTr="009019C5">
        <w:trPr>
          <w:trHeight w:val="315"/>
        </w:trPr>
        <w:tc>
          <w:tcPr>
            <w:tcW w:w="1560" w:type="dxa"/>
            <w:tcBorders>
              <w:top w:val="nil"/>
              <w:left w:val="single" w:sz="4" w:space="0" w:color="auto"/>
              <w:bottom w:val="single" w:sz="4" w:space="0" w:color="auto"/>
              <w:right w:val="single" w:sz="4" w:space="0" w:color="auto"/>
            </w:tcBorders>
            <w:shd w:val="clear" w:color="000000" w:fill="FFFFFF"/>
            <w:hideMark/>
          </w:tcPr>
          <w:p w14:paraId="6BE3BC18"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China</w:t>
            </w:r>
          </w:p>
        </w:tc>
        <w:tc>
          <w:tcPr>
            <w:tcW w:w="750" w:type="dxa"/>
            <w:tcBorders>
              <w:top w:val="nil"/>
              <w:left w:val="nil"/>
              <w:bottom w:val="single" w:sz="4" w:space="0" w:color="auto"/>
              <w:right w:val="single" w:sz="4" w:space="0" w:color="auto"/>
            </w:tcBorders>
            <w:shd w:val="clear" w:color="000000" w:fill="FFFFFF"/>
            <w:hideMark/>
          </w:tcPr>
          <w:p w14:paraId="1AB3C6A7"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£46</w:t>
            </w:r>
          </w:p>
        </w:tc>
        <w:tc>
          <w:tcPr>
            <w:tcW w:w="750" w:type="dxa"/>
            <w:tcBorders>
              <w:top w:val="nil"/>
              <w:left w:val="nil"/>
              <w:bottom w:val="single" w:sz="4" w:space="0" w:color="auto"/>
              <w:right w:val="single" w:sz="4" w:space="0" w:color="auto"/>
            </w:tcBorders>
            <w:shd w:val="clear" w:color="000000" w:fill="FFFFFF"/>
            <w:hideMark/>
          </w:tcPr>
          <w:p w14:paraId="7DD8B7BA"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£50</w:t>
            </w:r>
          </w:p>
        </w:tc>
        <w:tc>
          <w:tcPr>
            <w:tcW w:w="750" w:type="dxa"/>
            <w:tcBorders>
              <w:top w:val="nil"/>
              <w:left w:val="nil"/>
              <w:bottom w:val="single" w:sz="4" w:space="0" w:color="auto"/>
              <w:right w:val="single" w:sz="4" w:space="0" w:color="auto"/>
            </w:tcBorders>
            <w:shd w:val="clear" w:color="000000" w:fill="FFFFFF"/>
            <w:hideMark/>
          </w:tcPr>
          <w:p w14:paraId="7E0D4A36"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£42</w:t>
            </w:r>
          </w:p>
        </w:tc>
        <w:tc>
          <w:tcPr>
            <w:tcW w:w="750" w:type="dxa"/>
            <w:tcBorders>
              <w:top w:val="nil"/>
              <w:left w:val="nil"/>
              <w:bottom w:val="single" w:sz="4" w:space="0" w:color="auto"/>
              <w:right w:val="single" w:sz="4" w:space="0" w:color="auto"/>
            </w:tcBorders>
            <w:shd w:val="clear" w:color="000000" w:fill="FFFFFF"/>
            <w:hideMark/>
          </w:tcPr>
          <w:p w14:paraId="5EE4EC55"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£88</w:t>
            </w:r>
          </w:p>
        </w:tc>
        <w:tc>
          <w:tcPr>
            <w:tcW w:w="750" w:type="dxa"/>
            <w:tcBorders>
              <w:top w:val="nil"/>
              <w:left w:val="nil"/>
              <w:bottom w:val="single" w:sz="4" w:space="0" w:color="auto"/>
              <w:right w:val="single" w:sz="4" w:space="0" w:color="auto"/>
            </w:tcBorders>
            <w:shd w:val="clear" w:color="000000" w:fill="FFFFFF"/>
            <w:hideMark/>
          </w:tcPr>
          <w:p w14:paraId="0F4B5651"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£58</w:t>
            </w:r>
          </w:p>
        </w:tc>
        <w:tc>
          <w:tcPr>
            <w:tcW w:w="750" w:type="dxa"/>
            <w:tcBorders>
              <w:top w:val="nil"/>
              <w:left w:val="nil"/>
              <w:bottom w:val="single" w:sz="4" w:space="0" w:color="auto"/>
              <w:right w:val="single" w:sz="4" w:space="0" w:color="auto"/>
            </w:tcBorders>
            <w:shd w:val="clear" w:color="000000" w:fill="FFFFFF"/>
            <w:hideMark/>
          </w:tcPr>
          <w:p w14:paraId="583B284F"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£29</w:t>
            </w:r>
          </w:p>
        </w:tc>
        <w:tc>
          <w:tcPr>
            <w:tcW w:w="750" w:type="dxa"/>
            <w:tcBorders>
              <w:top w:val="nil"/>
              <w:left w:val="nil"/>
              <w:bottom w:val="single" w:sz="4" w:space="0" w:color="auto"/>
              <w:right w:val="single" w:sz="4" w:space="0" w:color="auto"/>
            </w:tcBorders>
            <w:shd w:val="clear" w:color="000000" w:fill="FFFFFF"/>
            <w:hideMark/>
          </w:tcPr>
          <w:p w14:paraId="70863217"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£26</w:t>
            </w:r>
          </w:p>
        </w:tc>
        <w:tc>
          <w:tcPr>
            <w:tcW w:w="750" w:type="dxa"/>
            <w:tcBorders>
              <w:top w:val="nil"/>
              <w:left w:val="nil"/>
              <w:bottom w:val="single" w:sz="4" w:space="0" w:color="auto"/>
              <w:right w:val="single" w:sz="4" w:space="0" w:color="auto"/>
            </w:tcBorders>
            <w:shd w:val="clear" w:color="000000" w:fill="FFFFFF"/>
            <w:hideMark/>
          </w:tcPr>
          <w:p w14:paraId="673CA2ED"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£15</w:t>
            </w:r>
          </w:p>
        </w:tc>
        <w:tc>
          <w:tcPr>
            <w:tcW w:w="1040" w:type="dxa"/>
            <w:tcBorders>
              <w:top w:val="nil"/>
              <w:left w:val="nil"/>
              <w:bottom w:val="single" w:sz="4" w:space="0" w:color="auto"/>
              <w:right w:val="single" w:sz="4" w:space="0" w:color="auto"/>
            </w:tcBorders>
            <w:shd w:val="clear" w:color="000000" w:fill="FFFFFF"/>
            <w:hideMark/>
          </w:tcPr>
          <w:p w14:paraId="1C4340A2"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£354</w:t>
            </w:r>
          </w:p>
        </w:tc>
      </w:tr>
      <w:tr w:rsidR="00F46779" w:rsidRPr="004A73C1" w14:paraId="4ABA80FB" w14:textId="77777777" w:rsidTr="009019C5">
        <w:trPr>
          <w:trHeight w:val="315"/>
        </w:trPr>
        <w:tc>
          <w:tcPr>
            <w:tcW w:w="1560" w:type="dxa"/>
            <w:tcBorders>
              <w:top w:val="nil"/>
              <w:left w:val="single" w:sz="4" w:space="0" w:color="auto"/>
              <w:bottom w:val="single" w:sz="4" w:space="0" w:color="auto"/>
              <w:right w:val="single" w:sz="4" w:space="0" w:color="auto"/>
            </w:tcBorders>
            <w:shd w:val="clear" w:color="000000" w:fill="FFFFFF"/>
            <w:hideMark/>
          </w:tcPr>
          <w:p w14:paraId="0ADFA3A2"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France</w:t>
            </w:r>
          </w:p>
        </w:tc>
        <w:tc>
          <w:tcPr>
            <w:tcW w:w="750" w:type="dxa"/>
            <w:tcBorders>
              <w:top w:val="nil"/>
              <w:left w:val="nil"/>
              <w:bottom w:val="single" w:sz="4" w:space="0" w:color="auto"/>
              <w:right w:val="single" w:sz="4" w:space="0" w:color="auto"/>
            </w:tcBorders>
            <w:shd w:val="clear" w:color="000000" w:fill="FFFFFF"/>
            <w:hideMark/>
          </w:tcPr>
          <w:p w14:paraId="40952ACF"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£7</w:t>
            </w:r>
          </w:p>
        </w:tc>
        <w:tc>
          <w:tcPr>
            <w:tcW w:w="750" w:type="dxa"/>
            <w:tcBorders>
              <w:top w:val="nil"/>
              <w:left w:val="nil"/>
              <w:bottom w:val="single" w:sz="4" w:space="0" w:color="auto"/>
              <w:right w:val="single" w:sz="4" w:space="0" w:color="auto"/>
            </w:tcBorders>
            <w:shd w:val="clear" w:color="000000" w:fill="FFFFFF"/>
            <w:hideMark/>
          </w:tcPr>
          <w:p w14:paraId="35982071"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£11</w:t>
            </w:r>
          </w:p>
        </w:tc>
        <w:tc>
          <w:tcPr>
            <w:tcW w:w="750" w:type="dxa"/>
            <w:tcBorders>
              <w:top w:val="nil"/>
              <w:left w:val="nil"/>
              <w:bottom w:val="single" w:sz="4" w:space="0" w:color="auto"/>
              <w:right w:val="single" w:sz="4" w:space="0" w:color="auto"/>
            </w:tcBorders>
            <w:shd w:val="clear" w:color="000000" w:fill="FFFFFF"/>
            <w:hideMark/>
          </w:tcPr>
          <w:p w14:paraId="28214F57"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£11</w:t>
            </w:r>
          </w:p>
        </w:tc>
        <w:tc>
          <w:tcPr>
            <w:tcW w:w="750" w:type="dxa"/>
            <w:tcBorders>
              <w:top w:val="nil"/>
              <w:left w:val="nil"/>
              <w:bottom w:val="single" w:sz="4" w:space="0" w:color="auto"/>
              <w:right w:val="single" w:sz="4" w:space="0" w:color="auto"/>
            </w:tcBorders>
            <w:shd w:val="clear" w:color="000000" w:fill="FFFFFF"/>
            <w:hideMark/>
          </w:tcPr>
          <w:p w14:paraId="20ED909A"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£15</w:t>
            </w:r>
          </w:p>
        </w:tc>
        <w:tc>
          <w:tcPr>
            <w:tcW w:w="750" w:type="dxa"/>
            <w:tcBorders>
              <w:top w:val="nil"/>
              <w:left w:val="nil"/>
              <w:bottom w:val="single" w:sz="4" w:space="0" w:color="auto"/>
              <w:right w:val="single" w:sz="4" w:space="0" w:color="auto"/>
            </w:tcBorders>
            <w:shd w:val="clear" w:color="000000" w:fill="FFFFFF"/>
            <w:hideMark/>
          </w:tcPr>
          <w:p w14:paraId="54D12F2C"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£15</w:t>
            </w:r>
          </w:p>
        </w:tc>
        <w:tc>
          <w:tcPr>
            <w:tcW w:w="750" w:type="dxa"/>
            <w:tcBorders>
              <w:top w:val="nil"/>
              <w:left w:val="nil"/>
              <w:bottom w:val="single" w:sz="4" w:space="0" w:color="auto"/>
              <w:right w:val="single" w:sz="4" w:space="0" w:color="auto"/>
            </w:tcBorders>
            <w:shd w:val="clear" w:color="000000" w:fill="FFFFFF"/>
            <w:hideMark/>
          </w:tcPr>
          <w:p w14:paraId="780B92E8"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£12</w:t>
            </w:r>
          </w:p>
        </w:tc>
        <w:tc>
          <w:tcPr>
            <w:tcW w:w="750" w:type="dxa"/>
            <w:tcBorders>
              <w:top w:val="nil"/>
              <w:left w:val="nil"/>
              <w:bottom w:val="single" w:sz="4" w:space="0" w:color="auto"/>
              <w:right w:val="single" w:sz="4" w:space="0" w:color="auto"/>
            </w:tcBorders>
            <w:shd w:val="clear" w:color="000000" w:fill="FFFFFF"/>
            <w:hideMark/>
          </w:tcPr>
          <w:p w14:paraId="6F0FCC02"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£11</w:t>
            </w:r>
          </w:p>
        </w:tc>
        <w:tc>
          <w:tcPr>
            <w:tcW w:w="750" w:type="dxa"/>
            <w:tcBorders>
              <w:top w:val="nil"/>
              <w:left w:val="nil"/>
              <w:bottom w:val="single" w:sz="4" w:space="0" w:color="auto"/>
              <w:right w:val="single" w:sz="4" w:space="0" w:color="auto"/>
            </w:tcBorders>
            <w:shd w:val="clear" w:color="000000" w:fill="FFFFFF"/>
            <w:hideMark/>
          </w:tcPr>
          <w:p w14:paraId="4C126123"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£17</w:t>
            </w:r>
          </w:p>
        </w:tc>
        <w:tc>
          <w:tcPr>
            <w:tcW w:w="1040" w:type="dxa"/>
            <w:tcBorders>
              <w:top w:val="nil"/>
              <w:left w:val="nil"/>
              <w:bottom w:val="single" w:sz="4" w:space="0" w:color="auto"/>
              <w:right w:val="single" w:sz="4" w:space="0" w:color="auto"/>
            </w:tcBorders>
            <w:shd w:val="clear" w:color="000000" w:fill="FFFFFF"/>
            <w:hideMark/>
          </w:tcPr>
          <w:p w14:paraId="782551A8"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£99</w:t>
            </w:r>
          </w:p>
        </w:tc>
      </w:tr>
      <w:tr w:rsidR="00F46779" w:rsidRPr="004A73C1" w14:paraId="3DFAD77E" w14:textId="77777777" w:rsidTr="009019C5">
        <w:trPr>
          <w:trHeight w:val="315"/>
        </w:trPr>
        <w:tc>
          <w:tcPr>
            <w:tcW w:w="1560" w:type="dxa"/>
            <w:tcBorders>
              <w:top w:val="nil"/>
              <w:left w:val="single" w:sz="4" w:space="0" w:color="auto"/>
              <w:bottom w:val="single" w:sz="4" w:space="0" w:color="auto"/>
              <w:right w:val="single" w:sz="4" w:space="0" w:color="auto"/>
            </w:tcBorders>
            <w:shd w:val="clear" w:color="000000" w:fill="FFFFFF"/>
            <w:hideMark/>
          </w:tcPr>
          <w:p w14:paraId="6FF30D33"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Germany</w:t>
            </w:r>
          </w:p>
        </w:tc>
        <w:tc>
          <w:tcPr>
            <w:tcW w:w="750" w:type="dxa"/>
            <w:tcBorders>
              <w:top w:val="nil"/>
              <w:left w:val="nil"/>
              <w:bottom w:val="single" w:sz="4" w:space="0" w:color="auto"/>
              <w:right w:val="single" w:sz="4" w:space="0" w:color="auto"/>
            </w:tcBorders>
            <w:shd w:val="clear" w:color="000000" w:fill="FFFFFF"/>
            <w:hideMark/>
          </w:tcPr>
          <w:p w14:paraId="5A4E4C92"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£12</w:t>
            </w:r>
          </w:p>
        </w:tc>
        <w:tc>
          <w:tcPr>
            <w:tcW w:w="750" w:type="dxa"/>
            <w:tcBorders>
              <w:top w:val="nil"/>
              <w:left w:val="nil"/>
              <w:bottom w:val="single" w:sz="4" w:space="0" w:color="auto"/>
              <w:right w:val="single" w:sz="4" w:space="0" w:color="auto"/>
            </w:tcBorders>
            <w:shd w:val="clear" w:color="000000" w:fill="FFFFFF"/>
            <w:hideMark/>
          </w:tcPr>
          <w:p w14:paraId="08DC5E60"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£11</w:t>
            </w:r>
          </w:p>
        </w:tc>
        <w:tc>
          <w:tcPr>
            <w:tcW w:w="750" w:type="dxa"/>
            <w:tcBorders>
              <w:top w:val="nil"/>
              <w:left w:val="nil"/>
              <w:bottom w:val="single" w:sz="4" w:space="0" w:color="auto"/>
              <w:right w:val="single" w:sz="4" w:space="0" w:color="auto"/>
            </w:tcBorders>
            <w:shd w:val="clear" w:color="000000" w:fill="FFFFFF"/>
            <w:hideMark/>
          </w:tcPr>
          <w:p w14:paraId="091D3A7B"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£15</w:t>
            </w:r>
          </w:p>
        </w:tc>
        <w:tc>
          <w:tcPr>
            <w:tcW w:w="750" w:type="dxa"/>
            <w:tcBorders>
              <w:top w:val="nil"/>
              <w:left w:val="nil"/>
              <w:bottom w:val="single" w:sz="4" w:space="0" w:color="auto"/>
              <w:right w:val="single" w:sz="4" w:space="0" w:color="auto"/>
            </w:tcBorders>
            <w:shd w:val="clear" w:color="000000" w:fill="FFFFFF"/>
            <w:hideMark/>
          </w:tcPr>
          <w:p w14:paraId="41593D9A"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£18</w:t>
            </w:r>
          </w:p>
        </w:tc>
        <w:tc>
          <w:tcPr>
            <w:tcW w:w="750" w:type="dxa"/>
            <w:tcBorders>
              <w:top w:val="nil"/>
              <w:left w:val="nil"/>
              <w:bottom w:val="single" w:sz="4" w:space="0" w:color="auto"/>
              <w:right w:val="single" w:sz="4" w:space="0" w:color="auto"/>
            </w:tcBorders>
            <w:shd w:val="clear" w:color="000000" w:fill="FFFFFF"/>
            <w:hideMark/>
          </w:tcPr>
          <w:p w14:paraId="179D0A46"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£22</w:t>
            </w:r>
          </w:p>
        </w:tc>
        <w:tc>
          <w:tcPr>
            <w:tcW w:w="750" w:type="dxa"/>
            <w:tcBorders>
              <w:top w:val="nil"/>
              <w:left w:val="nil"/>
              <w:bottom w:val="single" w:sz="4" w:space="0" w:color="auto"/>
              <w:right w:val="single" w:sz="4" w:space="0" w:color="auto"/>
            </w:tcBorders>
            <w:shd w:val="clear" w:color="000000" w:fill="FFFFFF"/>
            <w:hideMark/>
          </w:tcPr>
          <w:p w14:paraId="7E9FE449"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£20</w:t>
            </w:r>
          </w:p>
        </w:tc>
        <w:tc>
          <w:tcPr>
            <w:tcW w:w="750" w:type="dxa"/>
            <w:tcBorders>
              <w:top w:val="nil"/>
              <w:left w:val="nil"/>
              <w:bottom w:val="single" w:sz="4" w:space="0" w:color="auto"/>
              <w:right w:val="single" w:sz="4" w:space="0" w:color="auto"/>
            </w:tcBorders>
            <w:shd w:val="clear" w:color="000000" w:fill="FFFFFF"/>
            <w:hideMark/>
          </w:tcPr>
          <w:p w14:paraId="5705C1F3"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£47</w:t>
            </w:r>
          </w:p>
        </w:tc>
        <w:tc>
          <w:tcPr>
            <w:tcW w:w="750" w:type="dxa"/>
            <w:tcBorders>
              <w:top w:val="nil"/>
              <w:left w:val="nil"/>
              <w:bottom w:val="single" w:sz="4" w:space="0" w:color="auto"/>
              <w:right w:val="single" w:sz="4" w:space="0" w:color="auto"/>
            </w:tcBorders>
            <w:shd w:val="clear" w:color="000000" w:fill="FFFFFF"/>
            <w:hideMark/>
          </w:tcPr>
          <w:p w14:paraId="12EE63D1"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£27</w:t>
            </w:r>
          </w:p>
        </w:tc>
        <w:tc>
          <w:tcPr>
            <w:tcW w:w="1040" w:type="dxa"/>
            <w:tcBorders>
              <w:top w:val="nil"/>
              <w:left w:val="nil"/>
              <w:bottom w:val="single" w:sz="4" w:space="0" w:color="auto"/>
              <w:right w:val="single" w:sz="4" w:space="0" w:color="auto"/>
            </w:tcBorders>
            <w:shd w:val="clear" w:color="000000" w:fill="FFFFFF"/>
            <w:hideMark/>
          </w:tcPr>
          <w:p w14:paraId="5E7808EA"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£172</w:t>
            </w:r>
          </w:p>
        </w:tc>
      </w:tr>
      <w:tr w:rsidR="00DB196A" w:rsidRPr="004A73C1" w14:paraId="09DE633C" w14:textId="77777777" w:rsidTr="009019C5">
        <w:trPr>
          <w:trHeight w:val="315"/>
        </w:trPr>
        <w:tc>
          <w:tcPr>
            <w:tcW w:w="1560" w:type="dxa"/>
            <w:tcBorders>
              <w:top w:val="nil"/>
              <w:left w:val="single" w:sz="4" w:space="0" w:color="auto"/>
              <w:bottom w:val="single" w:sz="4" w:space="0" w:color="auto"/>
              <w:right w:val="single" w:sz="4" w:space="0" w:color="auto"/>
            </w:tcBorders>
            <w:shd w:val="clear" w:color="000000" w:fill="FFFFFF"/>
            <w:hideMark/>
          </w:tcPr>
          <w:p w14:paraId="5B29D87C"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India</w:t>
            </w:r>
          </w:p>
        </w:tc>
        <w:tc>
          <w:tcPr>
            <w:tcW w:w="750" w:type="dxa"/>
            <w:tcBorders>
              <w:top w:val="nil"/>
              <w:left w:val="nil"/>
              <w:bottom w:val="single" w:sz="4" w:space="0" w:color="auto"/>
              <w:right w:val="single" w:sz="4" w:space="0" w:color="auto"/>
            </w:tcBorders>
            <w:shd w:val="clear" w:color="000000" w:fill="FFFFFF"/>
            <w:hideMark/>
          </w:tcPr>
          <w:p w14:paraId="6F62F379"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£45</w:t>
            </w:r>
          </w:p>
        </w:tc>
        <w:tc>
          <w:tcPr>
            <w:tcW w:w="750" w:type="dxa"/>
            <w:tcBorders>
              <w:top w:val="nil"/>
              <w:left w:val="nil"/>
              <w:bottom w:val="single" w:sz="4" w:space="0" w:color="auto"/>
              <w:right w:val="single" w:sz="4" w:space="0" w:color="auto"/>
            </w:tcBorders>
            <w:shd w:val="clear" w:color="000000" w:fill="FFFFFF"/>
            <w:hideMark/>
          </w:tcPr>
          <w:p w14:paraId="42234E69"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£45</w:t>
            </w:r>
          </w:p>
        </w:tc>
        <w:tc>
          <w:tcPr>
            <w:tcW w:w="750" w:type="dxa"/>
            <w:tcBorders>
              <w:top w:val="nil"/>
              <w:left w:val="nil"/>
              <w:bottom w:val="single" w:sz="4" w:space="0" w:color="auto"/>
              <w:right w:val="single" w:sz="4" w:space="0" w:color="auto"/>
            </w:tcBorders>
            <w:shd w:val="clear" w:color="000000" w:fill="FFFFFF"/>
            <w:hideMark/>
          </w:tcPr>
          <w:p w14:paraId="5F83E9E2"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£20</w:t>
            </w:r>
          </w:p>
        </w:tc>
        <w:tc>
          <w:tcPr>
            <w:tcW w:w="750" w:type="dxa"/>
            <w:tcBorders>
              <w:top w:val="nil"/>
              <w:left w:val="nil"/>
              <w:bottom w:val="single" w:sz="4" w:space="0" w:color="auto"/>
              <w:right w:val="single" w:sz="4" w:space="0" w:color="auto"/>
            </w:tcBorders>
            <w:shd w:val="clear" w:color="000000" w:fill="FFFFFF"/>
            <w:hideMark/>
          </w:tcPr>
          <w:p w14:paraId="62B077D7"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£42</w:t>
            </w:r>
          </w:p>
        </w:tc>
        <w:tc>
          <w:tcPr>
            <w:tcW w:w="750" w:type="dxa"/>
            <w:tcBorders>
              <w:top w:val="nil"/>
              <w:left w:val="nil"/>
              <w:bottom w:val="single" w:sz="4" w:space="0" w:color="auto"/>
              <w:right w:val="single" w:sz="4" w:space="0" w:color="auto"/>
            </w:tcBorders>
            <w:shd w:val="clear" w:color="000000" w:fill="FFFFFF"/>
            <w:hideMark/>
          </w:tcPr>
          <w:p w14:paraId="26F24CCC"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£28</w:t>
            </w:r>
          </w:p>
        </w:tc>
        <w:tc>
          <w:tcPr>
            <w:tcW w:w="750" w:type="dxa"/>
            <w:tcBorders>
              <w:top w:val="nil"/>
              <w:left w:val="nil"/>
              <w:bottom w:val="single" w:sz="4" w:space="0" w:color="auto"/>
              <w:right w:val="single" w:sz="4" w:space="0" w:color="auto"/>
            </w:tcBorders>
            <w:shd w:val="clear" w:color="000000" w:fill="FFFFFF"/>
            <w:hideMark/>
          </w:tcPr>
          <w:p w14:paraId="3878F1D8"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£17</w:t>
            </w:r>
          </w:p>
        </w:tc>
        <w:tc>
          <w:tcPr>
            <w:tcW w:w="750" w:type="dxa"/>
            <w:tcBorders>
              <w:top w:val="nil"/>
              <w:left w:val="nil"/>
              <w:bottom w:val="single" w:sz="4" w:space="0" w:color="auto"/>
              <w:right w:val="single" w:sz="4" w:space="0" w:color="auto"/>
            </w:tcBorders>
            <w:shd w:val="clear" w:color="000000" w:fill="FFFFFF"/>
            <w:hideMark/>
          </w:tcPr>
          <w:p w14:paraId="12E2CD1A"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£13</w:t>
            </w:r>
          </w:p>
        </w:tc>
        <w:tc>
          <w:tcPr>
            <w:tcW w:w="750" w:type="dxa"/>
            <w:tcBorders>
              <w:top w:val="nil"/>
              <w:left w:val="nil"/>
              <w:bottom w:val="single" w:sz="4" w:space="0" w:color="auto"/>
              <w:right w:val="single" w:sz="4" w:space="0" w:color="auto"/>
            </w:tcBorders>
            <w:shd w:val="clear" w:color="000000" w:fill="FFFFFF"/>
            <w:hideMark/>
          </w:tcPr>
          <w:p w14:paraId="21E32BEC"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£60</w:t>
            </w:r>
          </w:p>
        </w:tc>
        <w:tc>
          <w:tcPr>
            <w:tcW w:w="1040" w:type="dxa"/>
            <w:tcBorders>
              <w:top w:val="nil"/>
              <w:left w:val="nil"/>
              <w:bottom w:val="single" w:sz="4" w:space="0" w:color="auto"/>
              <w:right w:val="single" w:sz="4" w:space="0" w:color="auto"/>
            </w:tcBorders>
            <w:shd w:val="clear" w:color="000000" w:fill="FFFFFF"/>
            <w:hideMark/>
          </w:tcPr>
          <w:p w14:paraId="2318CF88"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£270</w:t>
            </w:r>
          </w:p>
        </w:tc>
      </w:tr>
      <w:tr w:rsidR="00DB196A" w:rsidRPr="004A73C1" w14:paraId="2FD524A2" w14:textId="77777777" w:rsidTr="009019C5">
        <w:trPr>
          <w:trHeight w:val="630"/>
        </w:trPr>
        <w:tc>
          <w:tcPr>
            <w:tcW w:w="1560" w:type="dxa"/>
            <w:tcBorders>
              <w:top w:val="single" w:sz="4" w:space="0" w:color="auto"/>
              <w:left w:val="single" w:sz="4" w:space="0" w:color="auto"/>
              <w:bottom w:val="single" w:sz="4" w:space="0" w:color="auto"/>
              <w:right w:val="single" w:sz="4" w:space="0" w:color="auto"/>
            </w:tcBorders>
            <w:shd w:val="clear" w:color="000000" w:fill="FFFFFF"/>
            <w:hideMark/>
          </w:tcPr>
          <w:p w14:paraId="3391AB92"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United Kingdom</w:t>
            </w:r>
          </w:p>
        </w:tc>
        <w:tc>
          <w:tcPr>
            <w:tcW w:w="750" w:type="dxa"/>
            <w:tcBorders>
              <w:top w:val="nil"/>
              <w:left w:val="nil"/>
              <w:bottom w:val="single" w:sz="4" w:space="0" w:color="auto"/>
              <w:right w:val="single" w:sz="4" w:space="0" w:color="auto"/>
            </w:tcBorders>
            <w:shd w:val="clear" w:color="000000" w:fill="FFFFFF"/>
            <w:hideMark/>
          </w:tcPr>
          <w:p w14:paraId="766FD168"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£45</w:t>
            </w:r>
          </w:p>
        </w:tc>
        <w:tc>
          <w:tcPr>
            <w:tcW w:w="750" w:type="dxa"/>
            <w:tcBorders>
              <w:top w:val="nil"/>
              <w:left w:val="nil"/>
              <w:bottom w:val="single" w:sz="4" w:space="0" w:color="auto"/>
              <w:right w:val="single" w:sz="4" w:space="0" w:color="auto"/>
            </w:tcBorders>
            <w:shd w:val="clear" w:color="000000" w:fill="FFFFFF"/>
            <w:hideMark/>
          </w:tcPr>
          <w:p w14:paraId="3AC18D06"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£31</w:t>
            </w:r>
          </w:p>
        </w:tc>
        <w:tc>
          <w:tcPr>
            <w:tcW w:w="750" w:type="dxa"/>
            <w:tcBorders>
              <w:top w:val="nil"/>
              <w:left w:val="nil"/>
              <w:bottom w:val="single" w:sz="4" w:space="0" w:color="auto"/>
              <w:right w:val="single" w:sz="4" w:space="0" w:color="auto"/>
            </w:tcBorders>
            <w:shd w:val="clear" w:color="000000" w:fill="FFFFFF"/>
            <w:hideMark/>
          </w:tcPr>
          <w:p w14:paraId="2E4BFDF7"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£26</w:t>
            </w:r>
          </w:p>
        </w:tc>
        <w:tc>
          <w:tcPr>
            <w:tcW w:w="750" w:type="dxa"/>
            <w:tcBorders>
              <w:top w:val="nil"/>
              <w:left w:val="nil"/>
              <w:bottom w:val="single" w:sz="4" w:space="0" w:color="auto"/>
              <w:right w:val="single" w:sz="4" w:space="0" w:color="auto"/>
            </w:tcBorders>
            <w:shd w:val="clear" w:color="000000" w:fill="FFFFFF"/>
            <w:hideMark/>
          </w:tcPr>
          <w:p w14:paraId="345ABDF4"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£31</w:t>
            </w:r>
          </w:p>
        </w:tc>
        <w:tc>
          <w:tcPr>
            <w:tcW w:w="750" w:type="dxa"/>
            <w:tcBorders>
              <w:top w:val="nil"/>
              <w:left w:val="nil"/>
              <w:bottom w:val="single" w:sz="4" w:space="0" w:color="auto"/>
              <w:right w:val="single" w:sz="4" w:space="0" w:color="auto"/>
            </w:tcBorders>
            <w:shd w:val="clear" w:color="000000" w:fill="FFFFFF"/>
            <w:hideMark/>
          </w:tcPr>
          <w:p w14:paraId="18360F96"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£30</w:t>
            </w:r>
          </w:p>
        </w:tc>
        <w:tc>
          <w:tcPr>
            <w:tcW w:w="750" w:type="dxa"/>
            <w:tcBorders>
              <w:top w:val="nil"/>
              <w:left w:val="nil"/>
              <w:bottom w:val="single" w:sz="4" w:space="0" w:color="auto"/>
              <w:right w:val="single" w:sz="4" w:space="0" w:color="auto"/>
            </w:tcBorders>
            <w:shd w:val="clear" w:color="000000" w:fill="FFFFFF"/>
            <w:hideMark/>
          </w:tcPr>
          <w:p w14:paraId="6D00AE14"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£34</w:t>
            </w:r>
          </w:p>
        </w:tc>
        <w:tc>
          <w:tcPr>
            <w:tcW w:w="750" w:type="dxa"/>
            <w:tcBorders>
              <w:top w:val="nil"/>
              <w:left w:val="nil"/>
              <w:bottom w:val="single" w:sz="4" w:space="0" w:color="auto"/>
              <w:right w:val="single" w:sz="4" w:space="0" w:color="auto"/>
            </w:tcBorders>
            <w:shd w:val="clear" w:color="000000" w:fill="FFFFFF"/>
            <w:hideMark/>
          </w:tcPr>
          <w:p w14:paraId="4E232522"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£49</w:t>
            </w:r>
          </w:p>
        </w:tc>
        <w:tc>
          <w:tcPr>
            <w:tcW w:w="750" w:type="dxa"/>
            <w:tcBorders>
              <w:top w:val="nil"/>
              <w:left w:val="nil"/>
              <w:bottom w:val="single" w:sz="4" w:space="0" w:color="auto"/>
              <w:right w:val="single" w:sz="4" w:space="0" w:color="auto"/>
            </w:tcBorders>
            <w:shd w:val="clear" w:color="000000" w:fill="FFFFFF"/>
            <w:hideMark/>
          </w:tcPr>
          <w:p w14:paraId="35546A89"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£79</w:t>
            </w:r>
          </w:p>
        </w:tc>
        <w:tc>
          <w:tcPr>
            <w:tcW w:w="1040" w:type="dxa"/>
            <w:tcBorders>
              <w:top w:val="nil"/>
              <w:left w:val="nil"/>
              <w:bottom w:val="single" w:sz="4" w:space="0" w:color="auto"/>
              <w:right w:val="single" w:sz="4" w:space="0" w:color="auto"/>
            </w:tcBorders>
            <w:shd w:val="clear" w:color="000000" w:fill="FFFFFF"/>
            <w:hideMark/>
          </w:tcPr>
          <w:p w14:paraId="0287D3CE"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£325</w:t>
            </w:r>
          </w:p>
        </w:tc>
      </w:tr>
      <w:tr w:rsidR="00DB196A" w:rsidRPr="004A73C1" w14:paraId="60DA6A14" w14:textId="77777777" w:rsidTr="009019C5">
        <w:trPr>
          <w:trHeight w:val="645"/>
        </w:trPr>
        <w:tc>
          <w:tcPr>
            <w:tcW w:w="1560" w:type="dxa"/>
            <w:tcBorders>
              <w:top w:val="single" w:sz="4" w:space="0" w:color="auto"/>
              <w:left w:val="single" w:sz="4" w:space="0" w:color="auto"/>
              <w:bottom w:val="single" w:sz="4" w:space="0" w:color="auto"/>
              <w:right w:val="nil"/>
            </w:tcBorders>
            <w:shd w:val="clear" w:color="000000" w:fill="FFFFFF"/>
            <w:hideMark/>
          </w:tcPr>
          <w:p w14:paraId="1EEB276F"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United States</w:t>
            </w:r>
          </w:p>
        </w:tc>
        <w:tc>
          <w:tcPr>
            <w:tcW w:w="750" w:type="dxa"/>
            <w:tcBorders>
              <w:top w:val="nil"/>
              <w:left w:val="single" w:sz="4" w:space="0" w:color="auto"/>
              <w:bottom w:val="single" w:sz="4" w:space="0" w:color="auto"/>
              <w:right w:val="single" w:sz="4" w:space="0" w:color="auto"/>
            </w:tcBorders>
            <w:shd w:val="clear" w:color="000000" w:fill="FFFFFF"/>
            <w:hideMark/>
          </w:tcPr>
          <w:p w14:paraId="3E5489DE"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£61</w:t>
            </w:r>
          </w:p>
        </w:tc>
        <w:tc>
          <w:tcPr>
            <w:tcW w:w="750" w:type="dxa"/>
            <w:tcBorders>
              <w:top w:val="nil"/>
              <w:left w:val="nil"/>
              <w:bottom w:val="single" w:sz="4" w:space="0" w:color="auto"/>
              <w:right w:val="single" w:sz="4" w:space="0" w:color="auto"/>
            </w:tcBorders>
            <w:shd w:val="clear" w:color="000000" w:fill="FFFFFF"/>
            <w:hideMark/>
          </w:tcPr>
          <w:p w14:paraId="4C39DA7F"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£49</w:t>
            </w:r>
          </w:p>
        </w:tc>
        <w:tc>
          <w:tcPr>
            <w:tcW w:w="750" w:type="dxa"/>
            <w:tcBorders>
              <w:top w:val="nil"/>
              <w:left w:val="nil"/>
              <w:bottom w:val="single" w:sz="4" w:space="0" w:color="auto"/>
              <w:right w:val="single" w:sz="4" w:space="0" w:color="auto"/>
            </w:tcBorders>
            <w:shd w:val="clear" w:color="000000" w:fill="FFFFFF"/>
            <w:hideMark/>
          </w:tcPr>
          <w:p w14:paraId="62801399"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£68</w:t>
            </w:r>
          </w:p>
        </w:tc>
        <w:tc>
          <w:tcPr>
            <w:tcW w:w="750" w:type="dxa"/>
            <w:tcBorders>
              <w:top w:val="nil"/>
              <w:left w:val="nil"/>
              <w:bottom w:val="single" w:sz="4" w:space="0" w:color="auto"/>
              <w:right w:val="single" w:sz="4" w:space="0" w:color="auto"/>
            </w:tcBorders>
            <w:shd w:val="clear" w:color="000000" w:fill="FFFFFF"/>
            <w:hideMark/>
          </w:tcPr>
          <w:p w14:paraId="667CD023"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£68</w:t>
            </w:r>
          </w:p>
        </w:tc>
        <w:tc>
          <w:tcPr>
            <w:tcW w:w="750" w:type="dxa"/>
            <w:tcBorders>
              <w:top w:val="nil"/>
              <w:left w:val="nil"/>
              <w:bottom w:val="single" w:sz="4" w:space="0" w:color="auto"/>
              <w:right w:val="single" w:sz="4" w:space="0" w:color="auto"/>
            </w:tcBorders>
            <w:shd w:val="clear" w:color="000000" w:fill="FFFFFF"/>
            <w:hideMark/>
          </w:tcPr>
          <w:p w14:paraId="5D49BCB5"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£76</w:t>
            </w:r>
          </w:p>
        </w:tc>
        <w:tc>
          <w:tcPr>
            <w:tcW w:w="750" w:type="dxa"/>
            <w:tcBorders>
              <w:top w:val="nil"/>
              <w:left w:val="nil"/>
              <w:bottom w:val="single" w:sz="4" w:space="0" w:color="auto"/>
              <w:right w:val="single" w:sz="4" w:space="0" w:color="auto"/>
            </w:tcBorders>
            <w:shd w:val="clear" w:color="000000" w:fill="FFFFFF"/>
            <w:hideMark/>
          </w:tcPr>
          <w:p w14:paraId="70D95E77"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£53</w:t>
            </w:r>
          </w:p>
        </w:tc>
        <w:tc>
          <w:tcPr>
            <w:tcW w:w="750" w:type="dxa"/>
            <w:tcBorders>
              <w:top w:val="nil"/>
              <w:left w:val="nil"/>
              <w:bottom w:val="single" w:sz="4" w:space="0" w:color="auto"/>
              <w:right w:val="single" w:sz="4" w:space="0" w:color="auto"/>
            </w:tcBorders>
            <w:shd w:val="clear" w:color="000000" w:fill="FFFFFF"/>
            <w:hideMark/>
          </w:tcPr>
          <w:p w14:paraId="5E09FEF4"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£73</w:t>
            </w:r>
          </w:p>
        </w:tc>
        <w:tc>
          <w:tcPr>
            <w:tcW w:w="750" w:type="dxa"/>
            <w:tcBorders>
              <w:top w:val="nil"/>
              <w:left w:val="nil"/>
              <w:bottom w:val="single" w:sz="4" w:space="0" w:color="auto"/>
              <w:right w:val="single" w:sz="4" w:space="0" w:color="auto"/>
            </w:tcBorders>
            <w:shd w:val="clear" w:color="000000" w:fill="FFFFFF"/>
            <w:hideMark/>
          </w:tcPr>
          <w:p w14:paraId="4086BD11"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£129</w:t>
            </w:r>
          </w:p>
        </w:tc>
        <w:tc>
          <w:tcPr>
            <w:tcW w:w="1040" w:type="dxa"/>
            <w:tcBorders>
              <w:top w:val="nil"/>
              <w:left w:val="nil"/>
              <w:bottom w:val="single" w:sz="4" w:space="0" w:color="auto"/>
              <w:right w:val="single" w:sz="4" w:space="0" w:color="auto"/>
            </w:tcBorders>
            <w:shd w:val="clear" w:color="000000" w:fill="FFFFFF"/>
            <w:hideMark/>
          </w:tcPr>
          <w:p w14:paraId="0C101AA2"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£577</w:t>
            </w:r>
          </w:p>
        </w:tc>
      </w:tr>
    </w:tbl>
    <w:p w14:paraId="57940B2A" w14:textId="77777777" w:rsidR="00691E95" w:rsidRPr="004A73C1" w:rsidRDefault="00691E95" w:rsidP="00EF2E34">
      <w:pPr>
        <w:spacing w:after="0" w:line="360" w:lineRule="auto"/>
        <w:jc w:val="both"/>
        <w:rPr>
          <w:rFonts w:ascii="Arial" w:hAnsi="Arial" w:cs="Arial"/>
        </w:rPr>
      </w:pPr>
    </w:p>
    <w:p w14:paraId="0D416995" w14:textId="01FCABB3" w:rsidR="00691E95" w:rsidRPr="004A73C1" w:rsidRDefault="00691E95" w:rsidP="00691E95">
      <w:pPr>
        <w:spacing w:after="0" w:line="360" w:lineRule="auto"/>
        <w:ind w:left="-284"/>
        <w:jc w:val="both"/>
        <w:rPr>
          <w:rFonts w:ascii="Arial" w:hAnsi="Arial" w:cs="Arial"/>
        </w:rPr>
      </w:pPr>
      <w:r w:rsidRPr="004A73C1">
        <w:rPr>
          <w:rFonts w:ascii="Arial" w:hAnsi="Arial" w:cs="Arial"/>
          <w:noProof/>
        </w:rPr>
        <w:drawing>
          <wp:inline distT="0" distB="0" distL="0" distR="0" wp14:anchorId="55539B76" wp14:editId="14D4DF7B">
            <wp:extent cx="5408762" cy="652477"/>
            <wp:effectExtent l="0" t="0" r="1905" b="0"/>
            <wp:docPr id="783348739"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348739" name="Picture 1" descr="A close-up of a number&#10;&#10;Description automatically generated"/>
                    <pic:cNvPicPr/>
                  </pic:nvPicPr>
                  <pic:blipFill>
                    <a:blip r:embed="rId10"/>
                    <a:stretch>
                      <a:fillRect/>
                    </a:stretch>
                  </pic:blipFill>
                  <pic:spPr>
                    <a:xfrm>
                      <a:off x="0" y="0"/>
                      <a:ext cx="5445694" cy="656932"/>
                    </a:xfrm>
                    <a:prstGeom prst="rect">
                      <a:avLst/>
                    </a:prstGeom>
                  </pic:spPr>
                </pic:pic>
              </a:graphicData>
            </a:graphic>
          </wp:inline>
        </w:drawing>
      </w:r>
    </w:p>
    <w:p w14:paraId="2DB9361C" w14:textId="58C516AC" w:rsidR="00DB196A" w:rsidRDefault="00D11768" w:rsidP="00EF2E34">
      <w:pPr>
        <w:pStyle w:val="Heading2"/>
        <w:spacing w:line="360" w:lineRule="auto"/>
        <w:rPr>
          <w:rFonts w:ascii="Arial" w:hAnsi="Arial" w:cs="Arial"/>
          <w:color w:val="auto"/>
        </w:rPr>
      </w:pPr>
      <w:bookmarkStart w:id="57" w:name="_Toc175056451"/>
      <w:bookmarkStart w:id="58" w:name="_Toc175675336"/>
      <w:r w:rsidRPr="004A73C1">
        <w:rPr>
          <w:rFonts w:ascii="Arial" w:hAnsi="Arial" w:cs="Arial"/>
          <w:color w:val="auto"/>
        </w:rPr>
        <w:t>2.3.2</w:t>
      </w:r>
      <w:r w:rsidRPr="004A73C1">
        <w:rPr>
          <w:rFonts w:ascii="Arial" w:hAnsi="Arial" w:cs="Arial"/>
          <w:color w:val="auto"/>
        </w:rPr>
        <w:tab/>
      </w:r>
      <w:r w:rsidR="00DB196A" w:rsidRPr="004A73C1">
        <w:rPr>
          <w:rFonts w:ascii="Arial" w:hAnsi="Arial" w:cs="Arial"/>
          <w:color w:val="auto"/>
        </w:rPr>
        <w:t>Mergers and Acquisitions</w:t>
      </w:r>
      <w:bookmarkEnd w:id="57"/>
      <w:bookmarkEnd w:id="58"/>
    </w:p>
    <w:p w14:paraId="1B5E8B43" w14:textId="77777777" w:rsidR="000D7E53" w:rsidRPr="000D7E53" w:rsidRDefault="000D7E53" w:rsidP="000D7E53"/>
    <w:p w14:paraId="355D9329" w14:textId="275BDB12" w:rsidR="00DB196A" w:rsidRPr="004A73C1" w:rsidRDefault="00DB196A" w:rsidP="003F68BF">
      <w:pPr>
        <w:rPr>
          <w:rFonts w:ascii="Arial" w:hAnsi="Arial" w:cs="Arial"/>
          <w:b/>
          <w:bCs/>
          <w:sz w:val="24"/>
          <w:szCs w:val="24"/>
        </w:rPr>
      </w:pPr>
      <w:bookmarkStart w:id="59" w:name="_Toc175056452"/>
      <w:r w:rsidRPr="004A73C1">
        <w:rPr>
          <w:rFonts w:ascii="Arial" w:hAnsi="Arial" w:cs="Arial"/>
          <w:b/>
          <w:bCs/>
          <w:sz w:val="24"/>
          <w:szCs w:val="24"/>
        </w:rPr>
        <w:t>Characteristics</w:t>
      </w:r>
      <w:bookmarkEnd w:id="59"/>
    </w:p>
    <w:p w14:paraId="2B976D3E" w14:textId="77777777" w:rsidR="007D4E14" w:rsidRPr="004A73C1" w:rsidRDefault="00DB196A" w:rsidP="00EF2E34">
      <w:pPr>
        <w:spacing w:after="0" w:line="360" w:lineRule="auto"/>
        <w:jc w:val="both"/>
        <w:rPr>
          <w:rFonts w:ascii="Arial" w:hAnsi="Arial" w:cs="Arial"/>
        </w:rPr>
      </w:pPr>
      <w:r w:rsidRPr="004A73C1">
        <w:rPr>
          <w:rFonts w:ascii="Arial" w:hAnsi="Arial" w:cs="Arial"/>
        </w:rPr>
        <w:t xml:space="preserve">This type of investment occurs when two or more companies come together to expand their business or create new business units. It involves the transfer of business assets between local and foreign markets. If foreign players invest in a local company, the foreign companies </w:t>
      </w:r>
      <w:r w:rsidRPr="004A73C1">
        <w:rPr>
          <w:rFonts w:ascii="Arial" w:hAnsi="Arial" w:cs="Arial"/>
        </w:rPr>
        <w:lastRenderedPageBreak/>
        <w:t xml:space="preserve">or players become the controlling authorities, effectively making the local company a part of the foreign company. The foreign company then takes the profit made by the local company according to their shareholding. Despite this, such investments by foreign companies are considered crucial for the local market, as they serve as an </w:t>
      </w:r>
      <w:r w:rsidR="00E74B12" w:rsidRPr="004A73C1">
        <w:rPr>
          <w:rFonts w:ascii="Arial" w:hAnsi="Arial" w:cs="Arial"/>
        </w:rPr>
        <w:t>essential</w:t>
      </w:r>
      <w:r w:rsidRPr="004A73C1">
        <w:rPr>
          <w:rFonts w:ascii="Arial" w:hAnsi="Arial" w:cs="Arial"/>
        </w:rPr>
        <w:t xml:space="preserve"> source of foreign direct investment and lead to an inflow of finance and capital assets into the local country.</w:t>
      </w:r>
    </w:p>
    <w:p w14:paraId="11B66329" w14:textId="77777777" w:rsidR="007D4E14" w:rsidRPr="004A73C1" w:rsidRDefault="007D4E14" w:rsidP="00EF2E34">
      <w:pPr>
        <w:spacing w:after="0" w:line="360" w:lineRule="auto"/>
        <w:jc w:val="both"/>
        <w:rPr>
          <w:rFonts w:ascii="Arial" w:hAnsi="Arial" w:cs="Arial"/>
        </w:rPr>
      </w:pPr>
    </w:p>
    <w:p w14:paraId="683C1793" w14:textId="24F6D007" w:rsidR="00DB196A" w:rsidRPr="004A73C1" w:rsidRDefault="00DB196A" w:rsidP="003F68BF">
      <w:pPr>
        <w:rPr>
          <w:rFonts w:ascii="Arial" w:hAnsi="Arial" w:cs="Arial"/>
          <w:b/>
          <w:bCs/>
          <w:sz w:val="24"/>
          <w:szCs w:val="24"/>
        </w:rPr>
      </w:pPr>
      <w:bookmarkStart w:id="60" w:name="_Toc175056453"/>
      <w:r w:rsidRPr="004A73C1">
        <w:rPr>
          <w:rFonts w:ascii="Arial" w:hAnsi="Arial" w:cs="Arial"/>
          <w:b/>
          <w:bCs/>
          <w:sz w:val="24"/>
          <w:szCs w:val="24"/>
        </w:rPr>
        <w:t>Advantages</w:t>
      </w:r>
      <w:bookmarkEnd w:id="60"/>
    </w:p>
    <w:p w14:paraId="646157D0" w14:textId="0DB069CD" w:rsidR="00DB196A" w:rsidRPr="004A73C1" w:rsidRDefault="00DB196A" w:rsidP="00EF2E34">
      <w:pPr>
        <w:spacing w:after="0" w:line="360" w:lineRule="auto"/>
        <w:jc w:val="both"/>
        <w:rPr>
          <w:rFonts w:ascii="Arial" w:hAnsi="Arial" w:cs="Arial"/>
        </w:rPr>
      </w:pPr>
      <w:r w:rsidRPr="004A73C1">
        <w:rPr>
          <w:rFonts w:ascii="Arial" w:hAnsi="Arial" w:cs="Arial"/>
        </w:rPr>
        <w:t xml:space="preserve">Mergers and acquisitions for foreign direct investment (FDI) can bring </w:t>
      </w:r>
      <w:r w:rsidR="00E74B12" w:rsidRPr="004A73C1">
        <w:rPr>
          <w:rFonts w:ascii="Arial" w:hAnsi="Arial" w:cs="Arial"/>
        </w:rPr>
        <w:t>several advantages for local and foreign companies</w:t>
      </w:r>
      <w:r w:rsidRPr="004A73C1">
        <w:rPr>
          <w:rFonts w:ascii="Arial" w:hAnsi="Arial" w:cs="Arial"/>
        </w:rPr>
        <w:t>. One of the primary benefits is the potential for business expansion and increased market share. By combining resources and expertise, companies can achieve economies of scale, access new markets, and diversify their product offerings.</w:t>
      </w:r>
    </w:p>
    <w:p w14:paraId="0572B89B" w14:textId="77777777" w:rsidR="00DB196A" w:rsidRPr="004A73C1" w:rsidRDefault="00DB196A" w:rsidP="00EF2E34">
      <w:pPr>
        <w:spacing w:after="0" w:line="360" w:lineRule="auto"/>
        <w:jc w:val="both"/>
        <w:rPr>
          <w:rFonts w:ascii="Arial" w:hAnsi="Arial" w:cs="Arial"/>
        </w:rPr>
      </w:pPr>
      <w:r w:rsidRPr="004A73C1">
        <w:rPr>
          <w:rFonts w:ascii="Arial" w:hAnsi="Arial" w:cs="Arial"/>
        </w:rPr>
        <w:t>Additionally, mergers for FDI can lead to enhanced competitiveness and innovation. The exchange of knowledge, technology, and best practices between the merging entities can result in improved products and services. This, in turn, can drive growth and strengthen the overall industry.</w:t>
      </w:r>
    </w:p>
    <w:p w14:paraId="1D20D752" w14:textId="365488C6" w:rsidR="00DB196A" w:rsidRPr="004A73C1" w:rsidRDefault="00DB196A" w:rsidP="00EF2E34">
      <w:pPr>
        <w:spacing w:after="0" w:line="360" w:lineRule="auto"/>
        <w:jc w:val="both"/>
        <w:rPr>
          <w:rFonts w:ascii="Arial" w:hAnsi="Arial" w:cs="Arial"/>
        </w:rPr>
      </w:pPr>
      <w:r w:rsidRPr="004A73C1">
        <w:rPr>
          <w:rFonts w:ascii="Arial" w:hAnsi="Arial" w:cs="Arial"/>
        </w:rPr>
        <w:t xml:space="preserve">Furthermore, FDI through mergers can facilitate the transfer of advanced technologies and management skills to domestic companies, ultimately contributing to the development of the local workforce and infrastructure. It also </w:t>
      </w:r>
      <w:r w:rsidR="00E74B12" w:rsidRPr="004A73C1">
        <w:rPr>
          <w:rFonts w:ascii="Arial" w:hAnsi="Arial" w:cs="Arial"/>
        </w:rPr>
        <w:t>attracts</w:t>
      </w:r>
      <w:r w:rsidRPr="004A73C1">
        <w:rPr>
          <w:rFonts w:ascii="Arial" w:hAnsi="Arial" w:cs="Arial"/>
        </w:rPr>
        <w:t xml:space="preserve"> foreign capital and investment, </w:t>
      </w:r>
      <w:r w:rsidR="00E74B12" w:rsidRPr="004A73C1">
        <w:rPr>
          <w:rFonts w:ascii="Arial" w:hAnsi="Arial" w:cs="Arial"/>
        </w:rPr>
        <w:t>stimulating economic growth and creating</w:t>
      </w:r>
      <w:r w:rsidRPr="004A73C1">
        <w:rPr>
          <w:rFonts w:ascii="Arial" w:hAnsi="Arial" w:cs="Arial"/>
        </w:rPr>
        <w:t xml:space="preserve"> employment opportunities.</w:t>
      </w:r>
    </w:p>
    <w:p w14:paraId="0FF1236F" w14:textId="77777777" w:rsidR="00DB196A" w:rsidRPr="004A73C1" w:rsidRDefault="00DB196A" w:rsidP="00EF2E34">
      <w:pPr>
        <w:spacing w:after="0" w:line="360" w:lineRule="auto"/>
        <w:jc w:val="both"/>
        <w:rPr>
          <w:rFonts w:ascii="Arial" w:hAnsi="Arial" w:cs="Arial"/>
        </w:rPr>
      </w:pPr>
    </w:p>
    <w:p w14:paraId="5661A7B4" w14:textId="77777777" w:rsidR="007D4E14" w:rsidRPr="004A73C1" w:rsidRDefault="00DB196A" w:rsidP="00EF2E34">
      <w:pPr>
        <w:spacing w:after="0" w:line="360" w:lineRule="auto"/>
        <w:jc w:val="both"/>
        <w:rPr>
          <w:rFonts w:ascii="Arial" w:hAnsi="Arial" w:cs="Arial"/>
        </w:rPr>
      </w:pPr>
      <w:r w:rsidRPr="004A73C1">
        <w:rPr>
          <w:rFonts w:ascii="Arial" w:hAnsi="Arial" w:cs="Arial"/>
        </w:rPr>
        <w:t xml:space="preserve">Overall, mergers for FDI can </w:t>
      </w:r>
      <w:r w:rsidR="00E74B12" w:rsidRPr="004A73C1">
        <w:rPr>
          <w:rFonts w:ascii="Arial" w:hAnsi="Arial" w:cs="Arial"/>
        </w:rPr>
        <w:t>mutually benefit</w:t>
      </w:r>
      <w:r w:rsidRPr="004A73C1">
        <w:rPr>
          <w:rFonts w:ascii="Arial" w:hAnsi="Arial" w:cs="Arial"/>
        </w:rPr>
        <w:t xml:space="preserve"> local and foreign entities, fostering growth, innovation, and strategic collaborations.</w:t>
      </w:r>
    </w:p>
    <w:p w14:paraId="0A3C2470" w14:textId="77777777" w:rsidR="00B63B17" w:rsidRPr="004A73C1" w:rsidRDefault="00B63B17" w:rsidP="00EF2E34">
      <w:pPr>
        <w:spacing w:after="0" w:line="360" w:lineRule="auto"/>
        <w:jc w:val="both"/>
        <w:rPr>
          <w:rFonts w:ascii="Arial" w:hAnsi="Arial" w:cs="Arial"/>
        </w:rPr>
      </w:pPr>
    </w:p>
    <w:p w14:paraId="76C26FF8" w14:textId="7B6B808D" w:rsidR="00DB196A" w:rsidRPr="004A73C1" w:rsidRDefault="00DB196A" w:rsidP="003F68BF">
      <w:pPr>
        <w:rPr>
          <w:rFonts w:ascii="Arial" w:hAnsi="Arial" w:cs="Arial"/>
          <w:b/>
          <w:bCs/>
          <w:sz w:val="24"/>
          <w:szCs w:val="24"/>
        </w:rPr>
      </w:pPr>
      <w:bookmarkStart w:id="61" w:name="_Toc175056454"/>
      <w:r w:rsidRPr="004A73C1">
        <w:rPr>
          <w:rFonts w:ascii="Arial" w:hAnsi="Arial" w:cs="Arial"/>
          <w:b/>
          <w:bCs/>
          <w:sz w:val="24"/>
          <w:szCs w:val="24"/>
        </w:rPr>
        <w:t>Examples</w:t>
      </w:r>
      <w:bookmarkEnd w:id="61"/>
    </w:p>
    <w:p w14:paraId="1257D484" w14:textId="4C64F274" w:rsidR="00595271" w:rsidRPr="004A73C1" w:rsidRDefault="00595271" w:rsidP="00EF2E34">
      <w:pPr>
        <w:spacing w:line="360" w:lineRule="auto"/>
        <w:jc w:val="both"/>
        <w:rPr>
          <w:rFonts w:ascii="Arial" w:hAnsi="Arial" w:cs="Arial"/>
          <w:sz w:val="24"/>
          <w:szCs w:val="24"/>
        </w:rPr>
      </w:pPr>
      <w:r w:rsidRPr="004A73C1">
        <w:rPr>
          <w:rFonts w:ascii="Arial" w:hAnsi="Arial" w:cs="Arial"/>
          <w:sz w:val="24"/>
          <w:szCs w:val="24"/>
        </w:rPr>
        <w:t xml:space="preserve">Some notable examples of mergers and acquisitions in the UK through foreign direct investment (FDI) include the acquisition of ARM Holdings, a leading semiconductor and software design company, by SoftBank Group from Japan in 2016. Another significant deal is the acquisition of BG Group, a British multinational oil and gas company, by Royal Dutch Shell, a Netherlands-based company, in 2016. Additionally, the acquisition of Cadbury, a British multinational confectionery company, by Kraft Foods from the United States in 2010 is an </w:t>
      </w:r>
      <w:r w:rsidR="00E11091" w:rsidRPr="004A73C1">
        <w:rPr>
          <w:rFonts w:ascii="Arial" w:hAnsi="Arial" w:cs="Arial"/>
          <w:sz w:val="24"/>
          <w:szCs w:val="24"/>
        </w:rPr>
        <w:t>essential</w:t>
      </w:r>
      <w:r w:rsidRPr="004A73C1">
        <w:rPr>
          <w:rFonts w:ascii="Arial" w:hAnsi="Arial" w:cs="Arial"/>
          <w:sz w:val="24"/>
          <w:szCs w:val="24"/>
        </w:rPr>
        <w:t xml:space="preserve"> example of FDI through mergers and acquisitions in the UK. These are just a few examples of the various mergers and acquisitions that have taken place in the UK through foreign direct investment.</w:t>
      </w:r>
    </w:p>
    <w:p w14:paraId="0B09D446" w14:textId="20B927EE" w:rsidR="00DB196A" w:rsidRPr="004A73C1" w:rsidRDefault="00DB196A" w:rsidP="00EF2E34">
      <w:pPr>
        <w:pStyle w:val="ListParagraph"/>
        <w:spacing w:after="0" w:line="360" w:lineRule="auto"/>
        <w:ind w:left="0"/>
        <w:jc w:val="both"/>
        <w:rPr>
          <w:rFonts w:ascii="Arial" w:hAnsi="Arial" w:cs="Arial"/>
        </w:rPr>
      </w:pPr>
      <w:r w:rsidRPr="004A73C1">
        <w:rPr>
          <w:rFonts w:ascii="Arial" w:hAnsi="Arial" w:cs="Arial"/>
          <w:noProof/>
        </w:rPr>
        <w:lastRenderedPageBreak/>
        <w:drawing>
          <wp:inline distT="0" distB="0" distL="0" distR="0" wp14:anchorId="6D74784D" wp14:editId="28381810">
            <wp:extent cx="5731510" cy="4161790"/>
            <wp:effectExtent l="0" t="0" r="2540" b="0"/>
            <wp:docPr id="1159372928" name="Picture 1" descr="A graph of projects in the u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372928" name="Picture 1" descr="A graph of projects in the uk&#10;&#10;Description automatically generated"/>
                    <pic:cNvPicPr/>
                  </pic:nvPicPr>
                  <pic:blipFill>
                    <a:blip r:embed="rId11"/>
                    <a:stretch>
                      <a:fillRect/>
                    </a:stretch>
                  </pic:blipFill>
                  <pic:spPr>
                    <a:xfrm>
                      <a:off x="0" y="0"/>
                      <a:ext cx="5731510" cy="4161790"/>
                    </a:xfrm>
                    <a:prstGeom prst="rect">
                      <a:avLst/>
                    </a:prstGeom>
                  </pic:spPr>
                </pic:pic>
              </a:graphicData>
            </a:graphic>
          </wp:inline>
        </w:drawing>
      </w:r>
    </w:p>
    <w:p w14:paraId="3C43169E" w14:textId="5ED7DABE" w:rsidR="00B80C0D" w:rsidRPr="004A73C1" w:rsidRDefault="00B80C0D" w:rsidP="00EF2E34">
      <w:pPr>
        <w:spacing w:after="0" w:line="360" w:lineRule="auto"/>
        <w:jc w:val="both"/>
        <w:rPr>
          <w:rFonts w:ascii="Arial" w:hAnsi="Arial" w:cs="Arial"/>
        </w:rPr>
      </w:pPr>
      <w:r w:rsidRPr="004A73C1">
        <w:rPr>
          <w:rFonts w:ascii="Arial" w:hAnsi="Arial" w:cs="Arial"/>
        </w:rPr>
        <w:t>Figure 3</w:t>
      </w:r>
    </w:p>
    <w:p w14:paraId="13212CE4" w14:textId="0298D57F" w:rsidR="00DB196A" w:rsidRPr="004A73C1" w:rsidRDefault="00DB196A" w:rsidP="00EF2E34">
      <w:pPr>
        <w:spacing w:after="0" w:line="360" w:lineRule="auto"/>
        <w:jc w:val="both"/>
        <w:rPr>
          <w:rFonts w:ascii="Arial" w:hAnsi="Arial" w:cs="Arial"/>
        </w:rPr>
      </w:pPr>
      <w:r w:rsidRPr="004A73C1">
        <w:rPr>
          <w:rFonts w:ascii="Arial" w:hAnsi="Arial" w:cs="Arial"/>
        </w:rPr>
        <w:t>Source- Department of International Trade.</w:t>
      </w:r>
    </w:p>
    <w:p w14:paraId="7AC3E7CA" w14:textId="3E5A6E05" w:rsidR="00DB196A" w:rsidRPr="004A73C1" w:rsidRDefault="00DB196A" w:rsidP="00EF2E34">
      <w:pPr>
        <w:spacing w:after="0" w:line="360" w:lineRule="auto"/>
        <w:jc w:val="both"/>
        <w:rPr>
          <w:rFonts w:ascii="Arial" w:hAnsi="Arial" w:cs="Arial"/>
        </w:rPr>
      </w:pPr>
      <w:r w:rsidRPr="004A73C1">
        <w:rPr>
          <w:rFonts w:ascii="Arial" w:hAnsi="Arial" w:cs="Arial"/>
        </w:rPr>
        <w:t>The following data outlines the number of Foreign Direct Investment (FDI) projects accomplished in the UK during 2016-2017, 2017-2018, 2018-2019, 2019-2020, and 2020-2021.</w:t>
      </w:r>
    </w:p>
    <w:p w14:paraId="48A01CBB" w14:textId="77777777" w:rsidR="00DB196A" w:rsidRPr="004A73C1" w:rsidRDefault="00DB196A" w:rsidP="00EF2E34">
      <w:pPr>
        <w:spacing w:after="0" w:line="360" w:lineRule="auto"/>
        <w:jc w:val="both"/>
        <w:rPr>
          <w:rFonts w:ascii="Arial" w:hAnsi="Arial" w:cs="Arial"/>
        </w:rPr>
      </w:pPr>
    </w:p>
    <w:p w14:paraId="417AFE96" w14:textId="77777777" w:rsidR="00DB196A" w:rsidRPr="004A73C1" w:rsidRDefault="00DB196A" w:rsidP="00EF2E34">
      <w:pPr>
        <w:spacing w:after="0" w:line="360" w:lineRule="auto"/>
        <w:jc w:val="both"/>
        <w:rPr>
          <w:rFonts w:ascii="Arial" w:hAnsi="Arial" w:cs="Arial"/>
        </w:rPr>
      </w:pPr>
      <w:r w:rsidRPr="004A73C1">
        <w:rPr>
          <w:rFonts w:ascii="Arial" w:hAnsi="Arial" w:cs="Arial"/>
        </w:rPr>
        <w:t>- 2016-2017: 2,265 projects</w:t>
      </w:r>
    </w:p>
    <w:p w14:paraId="2685935D" w14:textId="77777777" w:rsidR="00DB196A" w:rsidRPr="004A73C1" w:rsidRDefault="00DB196A" w:rsidP="00EF2E34">
      <w:pPr>
        <w:spacing w:after="0" w:line="360" w:lineRule="auto"/>
        <w:jc w:val="both"/>
        <w:rPr>
          <w:rFonts w:ascii="Arial" w:hAnsi="Arial" w:cs="Arial"/>
        </w:rPr>
      </w:pPr>
      <w:r w:rsidRPr="004A73C1">
        <w:rPr>
          <w:rFonts w:ascii="Arial" w:hAnsi="Arial" w:cs="Arial"/>
        </w:rPr>
        <w:t>- 2017-2018: 2,072 projects</w:t>
      </w:r>
    </w:p>
    <w:p w14:paraId="6D732C93" w14:textId="77777777" w:rsidR="00DB196A" w:rsidRPr="004A73C1" w:rsidRDefault="00DB196A" w:rsidP="00EF2E34">
      <w:pPr>
        <w:spacing w:after="0" w:line="360" w:lineRule="auto"/>
        <w:jc w:val="both"/>
        <w:rPr>
          <w:rFonts w:ascii="Arial" w:hAnsi="Arial" w:cs="Arial"/>
        </w:rPr>
      </w:pPr>
      <w:r w:rsidRPr="004A73C1">
        <w:rPr>
          <w:rFonts w:ascii="Arial" w:hAnsi="Arial" w:cs="Arial"/>
        </w:rPr>
        <w:t>- 2018-2019: 1,782 projects</w:t>
      </w:r>
    </w:p>
    <w:p w14:paraId="768202C7" w14:textId="77777777" w:rsidR="00DB196A" w:rsidRPr="004A73C1" w:rsidRDefault="00DB196A" w:rsidP="00EF2E34">
      <w:pPr>
        <w:spacing w:after="0" w:line="360" w:lineRule="auto"/>
        <w:jc w:val="both"/>
        <w:rPr>
          <w:rFonts w:ascii="Arial" w:hAnsi="Arial" w:cs="Arial"/>
        </w:rPr>
      </w:pPr>
      <w:r w:rsidRPr="004A73C1">
        <w:rPr>
          <w:rFonts w:ascii="Arial" w:hAnsi="Arial" w:cs="Arial"/>
        </w:rPr>
        <w:t>- 2019-2020: 1,852 projects</w:t>
      </w:r>
    </w:p>
    <w:p w14:paraId="74B18466" w14:textId="77777777" w:rsidR="00DB196A" w:rsidRPr="004A73C1" w:rsidRDefault="00DB196A" w:rsidP="00EF2E34">
      <w:pPr>
        <w:spacing w:after="0" w:line="360" w:lineRule="auto"/>
        <w:jc w:val="both"/>
        <w:rPr>
          <w:rFonts w:ascii="Arial" w:hAnsi="Arial" w:cs="Arial"/>
        </w:rPr>
      </w:pPr>
      <w:r w:rsidRPr="004A73C1">
        <w:rPr>
          <w:rFonts w:ascii="Arial" w:hAnsi="Arial" w:cs="Arial"/>
        </w:rPr>
        <w:t>- 2020-2021: 1,538 projects</w:t>
      </w:r>
    </w:p>
    <w:p w14:paraId="593143D9" w14:textId="77777777" w:rsidR="00DB196A" w:rsidRPr="004A73C1" w:rsidRDefault="00DB196A" w:rsidP="00EF2E34">
      <w:pPr>
        <w:spacing w:after="0" w:line="360" w:lineRule="auto"/>
        <w:jc w:val="both"/>
        <w:rPr>
          <w:rFonts w:ascii="Arial" w:hAnsi="Arial" w:cs="Arial"/>
        </w:rPr>
      </w:pPr>
    </w:p>
    <w:p w14:paraId="3B099190" w14:textId="39337571" w:rsidR="00595271" w:rsidRPr="004A73C1" w:rsidRDefault="00595271" w:rsidP="00EF2E34">
      <w:pPr>
        <w:spacing w:after="0" w:line="360" w:lineRule="auto"/>
        <w:jc w:val="both"/>
        <w:rPr>
          <w:rFonts w:ascii="Arial" w:hAnsi="Arial" w:cs="Arial"/>
        </w:rPr>
      </w:pPr>
      <w:r w:rsidRPr="004A73C1">
        <w:rPr>
          <w:rFonts w:ascii="Arial" w:hAnsi="Arial" w:cs="Arial"/>
        </w:rPr>
        <w:t>In the fiscal year 2020-2021, the Department for International Trade supported 1,131 out of 1,538 Foreign Direct Investment (FDI) projects. Notably, 39% of these projects (596) originated from new investors in the UK, while existing investors contributed the remaining 61% (942 projects).</w:t>
      </w:r>
    </w:p>
    <w:p w14:paraId="6CA61345" w14:textId="77777777" w:rsidR="00C2494D" w:rsidRPr="004A73C1" w:rsidRDefault="00C2494D" w:rsidP="00EF2E34">
      <w:pPr>
        <w:spacing w:after="0" w:line="360" w:lineRule="auto"/>
        <w:jc w:val="both"/>
        <w:rPr>
          <w:rFonts w:ascii="Arial" w:hAnsi="Arial" w:cs="Arial"/>
        </w:rPr>
      </w:pPr>
    </w:p>
    <w:p w14:paraId="01382B32" w14:textId="77777777" w:rsidR="00C2494D" w:rsidRPr="004A73C1" w:rsidRDefault="00C2494D" w:rsidP="00EF2E34">
      <w:pPr>
        <w:spacing w:after="0" w:line="360" w:lineRule="auto"/>
        <w:jc w:val="both"/>
        <w:rPr>
          <w:rFonts w:ascii="Arial" w:hAnsi="Arial" w:cs="Arial"/>
        </w:rPr>
      </w:pPr>
    </w:p>
    <w:p w14:paraId="73888A84" w14:textId="77777777" w:rsidR="00C2494D" w:rsidRPr="004A73C1" w:rsidRDefault="00C2494D" w:rsidP="00EF2E34">
      <w:pPr>
        <w:spacing w:after="0" w:line="360" w:lineRule="auto"/>
        <w:jc w:val="both"/>
        <w:rPr>
          <w:rFonts w:ascii="Arial" w:hAnsi="Arial" w:cs="Arial"/>
        </w:rPr>
      </w:pPr>
    </w:p>
    <w:p w14:paraId="4A243BEC" w14:textId="77777777" w:rsidR="00C2494D" w:rsidRPr="004A73C1" w:rsidRDefault="00C2494D" w:rsidP="00EF2E34">
      <w:pPr>
        <w:spacing w:after="0" w:line="360" w:lineRule="auto"/>
        <w:jc w:val="both"/>
        <w:rPr>
          <w:rFonts w:ascii="Arial" w:hAnsi="Arial" w:cs="Arial"/>
        </w:rPr>
      </w:pPr>
    </w:p>
    <w:p w14:paraId="6615F271" w14:textId="77777777" w:rsidR="009F1A70" w:rsidRPr="004A73C1" w:rsidRDefault="009F1A70" w:rsidP="00EF2E34">
      <w:pPr>
        <w:spacing w:after="0" w:line="360" w:lineRule="auto"/>
        <w:jc w:val="both"/>
        <w:rPr>
          <w:rFonts w:ascii="Arial" w:hAnsi="Arial" w:cs="Arial"/>
        </w:rPr>
      </w:pPr>
    </w:p>
    <w:p w14:paraId="7E4A131C" w14:textId="77777777" w:rsidR="00595271" w:rsidRPr="004A73C1" w:rsidRDefault="00595271" w:rsidP="00EF2E34">
      <w:pPr>
        <w:spacing w:after="0" w:line="360" w:lineRule="auto"/>
        <w:jc w:val="both"/>
        <w:rPr>
          <w:rFonts w:ascii="Arial" w:hAnsi="Arial" w:cs="Arial"/>
        </w:rPr>
      </w:pPr>
    </w:p>
    <w:p w14:paraId="5D6B953E" w14:textId="1351951E" w:rsidR="00C2494D" w:rsidRPr="004A73C1" w:rsidRDefault="00C2494D" w:rsidP="00EF2E34">
      <w:pPr>
        <w:spacing w:after="0" w:line="360" w:lineRule="auto"/>
        <w:jc w:val="both"/>
        <w:rPr>
          <w:rFonts w:ascii="Arial" w:hAnsi="Arial" w:cs="Arial"/>
        </w:rPr>
      </w:pPr>
      <w:r w:rsidRPr="004A73C1">
        <w:rPr>
          <w:rFonts w:ascii="Arial" w:hAnsi="Arial" w:cs="Arial"/>
          <w:noProof/>
        </w:rPr>
        <w:drawing>
          <wp:inline distT="0" distB="0" distL="0" distR="0" wp14:anchorId="3BD24C1B" wp14:editId="6338A7B2">
            <wp:extent cx="5852280" cy="2400935"/>
            <wp:effectExtent l="0" t="0" r="0" b="0"/>
            <wp:docPr id="954463285" name="Picture 1" descr="A white grid with numbers and a numb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463285" name="Picture 1" descr="A white grid with numbers and a number on it&#10;&#10;Description automatically generated"/>
                    <pic:cNvPicPr/>
                  </pic:nvPicPr>
                  <pic:blipFill>
                    <a:blip r:embed="rId12"/>
                    <a:stretch>
                      <a:fillRect/>
                    </a:stretch>
                  </pic:blipFill>
                  <pic:spPr>
                    <a:xfrm>
                      <a:off x="0" y="0"/>
                      <a:ext cx="5854288" cy="2401759"/>
                    </a:xfrm>
                    <a:prstGeom prst="rect">
                      <a:avLst/>
                    </a:prstGeom>
                  </pic:spPr>
                </pic:pic>
              </a:graphicData>
            </a:graphic>
          </wp:inline>
        </w:drawing>
      </w:r>
    </w:p>
    <w:p w14:paraId="2A844F58" w14:textId="5C91B8CE" w:rsidR="00595271" w:rsidRPr="004A73C1" w:rsidRDefault="00B80C0D" w:rsidP="00EF2E34">
      <w:pPr>
        <w:spacing w:after="0" w:line="360" w:lineRule="auto"/>
        <w:jc w:val="both"/>
        <w:rPr>
          <w:rFonts w:ascii="Arial" w:hAnsi="Arial" w:cs="Arial"/>
        </w:rPr>
      </w:pPr>
      <w:r w:rsidRPr="004A73C1">
        <w:rPr>
          <w:rFonts w:ascii="Arial" w:hAnsi="Arial" w:cs="Arial"/>
        </w:rPr>
        <w:t>Figure 4</w:t>
      </w:r>
    </w:p>
    <w:p w14:paraId="4FB3D367" w14:textId="79220E1C" w:rsidR="00DB196A" w:rsidRPr="004A73C1" w:rsidRDefault="00DB196A" w:rsidP="00EF2E34">
      <w:pPr>
        <w:spacing w:after="0" w:line="360" w:lineRule="auto"/>
        <w:jc w:val="both"/>
        <w:rPr>
          <w:rFonts w:ascii="Arial" w:hAnsi="Arial" w:cs="Arial"/>
        </w:rPr>
      </w:pPr>
      <w:r w:rsidRPr="004A73C1">
        <w:rPr>
          <w:rFonts w:ascii="Arial" w:hAnsi="Arial" w:cs="Arial"/>
        </w:rPr>
        <w:t>Source – Department of International Trade.</w:t>
      </w:r>
    </w:p>
    <w:p w14:paraId="40C1F919" w14:textId="5B15F869" w:rsidR="00DB196A" w:rsidRPr="004A73C1" w:rsidRDefault="00D11768" w:rsidP="00EF2E34">
      <w:pPr>
        <w:pStyle w:val="Heading2"/>
        <w:spacing w:line="360" w:lineRule="auto"/>
        <w:rPr>
          <w:rFonts w:ascii="Arial" w:hAnsi="Arial" w:cs="Arial"/>
          <w:color w:val="auto"/>
        </w:rPr>
      </w:pPr>
      <w:bookmarkStart w:id="62" w:name="_Toc175056455"/>
      <w:bookmarkStart w:id="63" w:name="_Toc175675337"/>
      <w:r w:rsidRPr="004A73C1">
        <w:rPr>
          <w:rFonts w:ascii="Arial" w:hAnsi="Arial" w:cs="Arial"/>
          <w:color w:val="auto"/>
        </w:rPr>
        <w:t>2.3.4</w:t>
      </w:r>
      <w:r w:rsidRPr="004A73C1">
        <w:rPr>
          <w:rFonts w:ascii="Arial" w:hAnsi="Arial" w:cs="Arial"/>
          <w:color w:val="auto"/>
        </w:rPr>
        <w:tab/>
      </w:r>
      <w:r w:rsidR="00DB196A" w:rsidRPr="004A73C1">
        <w:rPr>
          <w:rFonts w:ascii="Arial" w:hAnsi="Arial" w:cs="Arial"/>
          <w:color w:val="auto"/>
        </w:rPr>
        <w:t>Joint Ventures</w:t>
      </w:r>
      <w:bookmarkEnd w:id="62"/>
      <w:bookmarkEnd w:id="63"/>
    </w:p>
    <w:p w14:paraId="6C7E1663" w14:textId="364430F2" w:rsidR="00DB196A" w:rsidRPr="004A73C1" w:rsidRDefault="00DB196A" w:rsidP="003F68BF">
      <w:pPr>
        <w:rPr>
          <w:rFonts w:ascii="Arial" w:hAnsi="Arial" w:cs="Arial"/>
          <w:b/>
          <w:bCs/>
          <w:sz w:val="24"/>
          <w:szCs w:val="24"/>
        </w:rPr>
      </w:pPr>
      <w:r w:rsidRPr="004A73C1">
        <w:rPr>
          <w:rFonts w:ascii="Arial" w:hAnsi="Arial" w:cs="Arial"/>
          <w:b/>
          <w:bCs/>
          <w:sz w:val="24"/>
          <w:szCs w:val="24"/>
        </w:rPr>
        <w:t>Characteristics</w:t>
      </w:r>
    </w:p>
    <w:p w14:paraId="3C2DB9CB" w14:textId="087C57EC" w:rsidR="00DB196A" w:rsidRPr="004A73C1" w:rsidRDefault="00DB196A" w:rsidP="00643808">
      <w:pPr>
        <w:spacing w:line="360" w:lineRule="auto"/>
        <w:jc w:val="both"/>
        <w:rPr>
          <w:rFonts w:ascii="Arial" w:hAnsi="Arial" w:cs="Arial"/>
        </w:rPr>
      </w:pPr>
      <w:r w:rsidRPr="004A73C1">
        <w:rPr>
          <w:rFonts w:ascii="Arial" w:hAnsi="Arial" w:cs="Arial"/>
        </w:rPr>
        <w:t xml:space="preserve">Joint ventures typically involve two or more businesses joining forces for a specific project or period. The partners in a joint venture share the risks and rewards of the </w:t>
      </w:r>
      <w:r w:rsidR="00A75559" w:rsidRPr="004A73C1">
        <w:rPr>
          <w:rFonts w:ascii="Arial" w:hAnsi="Arial" w:cs="Arial"/>
        </w:rPr>
        <w:t>endeavour</w:t>
      </w:r>
      <w:r w:rsidRPr="004A73C1">
        <w:rPr>
          <w:rFonts w:ascii="Arial" w:hAnsi="Arial" w:cs="Arial"/>
        </w:rPr>
        <w:t xml:space="preserve">, working together to achieve a common goal. Depending on the agreement, they may contribute capital, technology, expertise, or other resources to the joint venture. Each partner retains its identity and is not merged into a new entity, distinguishing joint ventures from mergers or </w:t>
      </w:r>
      <w:r w:rsidR="00A75559" w:rsidRPr="004A73C1">
        <w:rPr>
          <w:rFonts w:ascii="Arial" w:hAnsi="Arial" w:cs="Arial"/>
        </w:rPr>
        <w:t>complete</w:t>
      </w:r>
      <w:r w:rsidRPr="004A73C1">
        <w:rPr>
          <w:rFonts w:ascii="Arial" w:hAnsi="Arial" w:cs="Arial"/>
        </w:rPr>
        <w:t xml:space="preserve"> acquisitions.</w:t>
      </w:r>
    </w:p>
    <w:p w14:paraId="413D74E4" w14:textId="6E5F5F90" w:rsidR="00DB196A" w:rsidRPr="004A73C1" w:rsidRDefault="00DB196A" w:rsidP="003F68BF">
      <w:pPr>
        <w:rPr>
          <w:rFonts w:ascii="Arial" w:hAnsi="Arial" w:cs="Arial"/>
          <w:b/>
          <w:bCs/>
          <w:sz w:val="24"/>
          <w:szCs w:val="24"/>
        </w:rPr>
      </w:pPr>
      <w:r w:rsidRPr="004A73C1">
        <w:rPr>
          <w:rFonts w:ascii="Arial" w:hAnsi="Arial" w:cs="Arial"/>
          <w:b/>
          <w:bCs/>
          <w:sz w:val="24"/>
          <w:szCs w:val="24"/>
        </w:rPr>
        <w:t>Advantages</w:t>
      </w:r>
    </w:p>
    <w:p w14:paraId="6DBA27FE" w14:textId="77777777" w:rsidR="00DB196A" w:rsidRPr="004A73C1" w:rsidRDefault="00DB196A" w:rsidP="00EF2E34">
      <w:pPr>
        <w:spacing w:after="0" w:line="360" w:lineRule="auto"/>
        <w:jc w:val="both"/>
        <w:rPr>
          <w:rFonts w:ascii="Arial" w:hAnsi="Arial" w:cs="Arial"/>
        </w:rPr>
      </w:pPr>
      <w:r w:rsidRPr="004A73C1">
        <w:rPr>
          <w:rFonts w:ascii="Arial" w:hAnsi="Arial" w:cs="Arial"/>
        </w:rPr>
        <w:t>Some advantages of joint ventures include:</w:t>
      </w:r>
    </w:p>
    <w:p w14:paraId="199D1AF6" w14:textId="46BC7932" w:rsidR="00DB196A" w:rsidRPr="004A73C1" w:rsidRDefault="00DB196A" w:rsidP="00EF2E34">
      <w:pPr>
        <w:spacing w:after="0" w:line="360" w:lineRule="auto"/>
        <w:jc w:val="both"/>
        <w:rPr>
          <w:rFonts w:ascii="Arial" w:hAnsi="Arial" w:cs="Arial"/>
        </w:rPr>
      </w:pPr>
      <w:r w:rsidRPr="004A73C1">
        <w:rPr>
          <w:rFonts w:ascii="Arial" w:hAnsi="Arial" w:cs="Arial"/>
        </w:rPr>
        <w:t xml:space="preserve">1. Access to new markets and distribution networks: Joint ventures allow businesses to enter new markets and </w:t>
      </w:r>
      <w:r w:rsidR="00A75559" w:rsidRPr="004A73C1">
        <w:rPr>
          <w:rFonts w:ascii="Arial" w:hAnsi="Arial" w:cs="Arial"/>
        </w:rPr>
        <w:t>access</w:t>
      </w:r>
      <w:r w:rsidRPr="004A73C1">
        <w:rPr>
          <w:rFonts w:ascii="Arial" w:hAnsi="Arial" w:cs="Arial"/>
        </w:rPr>
        <w:t xml:space="preserve"> existing distribution channels </w:t>
      </w:r>
      <w:r w:rsidR="00A75559" w:rsidRPr="004A73C1">
        <w:rPr>
          <w:rFonts w:ascii="Arial" w:hAnsi="Arial" w:cs="Arial"/>
        </w:rPr>
        <w:t>by partnering</w:t>
      </w:r>
      <w:r w:rsidRPr="004A73C1">
        <w:rPr>
          <w:rFonts w:ascii="Arial" w:hAnsi="Arial" w:cs="Arial"/>
        </w:rPr>
        <w:t xml:space="preserve"> with other companies.</w:t>
      </w:r>
    </w:p>
    <w:p w14:paraId="3B200132" w14:textId="59F061A3" w:rsidR="00DB196A" w:rsidRPr="004A73C1" w:rsidRDefault="00DB196A" w:rsidP="00EF2E34">
      <w:pPr>
        <w:spacing w:after="0" w:line="360" w:lineRule="auto"/>
        <w:jc w:val="both"/>
        <w:rPr>
          <w:rFonts w:ascii="Arial" w:hAnsi="Arial" w:cs="Arial"/>
        </w:rPr>
      </w:pPr>
      <w:r w:rsidRPr="004A73C1">
        <w:rPr>
          <w:rFonts w:ascii="Arial" w:hAnsi="Arial" w:cs="Arial"/>
        </w:rPr>
        <w:t>2. Sharing of risks and costs: By collaborating in a joint venture, businesses can share the financial risks and costs associated with a specific project or market entry, reducing the burden on each partner.</w:t>
      </w:r>
    </w:p>
    <w:p w14:paraId="55DAACFC" w14:textId="05D4F0AD" w:rsidR="00DB196A" w:rsidRPr="004A73C1" w:rsidRDefault="00DB196A" w:rsidP="00EF2E34">
      <w:pPr>
        <w:spacing w:after="0" w:line="360" w:lineRule="auto"/>
        <w:jc w:val="both"/>
        <w:rPr>
          <w:rFonts w:ascii="Arial" w:hAnsi="Arial" w:cs="Arial"/>
        </w:rPr>
      </w:pPr>
      <w:r w:rsidRPr="004A73C1">
        <w:rPr>
          <w:rFonts w:ascii="Arial" w:hAnsi="Arial" w:cs="Arial"/>
        </w:rPr>
        <w:t xml:space="preserve">3. Pooling of resources and expertise: Joint ventures enable partners to combine their resources, knowledge, and expertise, leading to synergy that can enhance the </w:t>
      </w:r>
      <w:r w:rsidR="00A75559" w:rsidRPr="004A73C1">
        <w:rPr>
          <w:rFonts w:ascii="Arial" w:hAnsi="Arial" w:cs="Arial"/>
        </w:rPr>
        <w:t>venture's success</w:t>
      </w:r>
      <w:r w:rsidRPr="004A73C1">
        <w:rPr>
          <w:rFonts w:ascii="Arial" w:hAnsi="Arial" w:cs="Arial"/>
        </w:rPr>
        <w:t>.</w:t>
      </w:r>
    </w:p>
    <w:p w14:paraId="412B26E0" w14:textId="6F099DDC" w:rsidR="00DB196A" w:rsidRPr="004A73C1" w:rsidRDefault="00DB196A" w:rsidP="00EF2E34">
      <w:pPr>
        <w:spacing w:after="0" w:line="360" w:lineRule="auto"/>
        <w:jc w:val="both"/>
        <w:rPr>
          <w:rFonts w:ascii="Arial" w:hAnsi="Arial" w:cs="Arial"/>
        </w:rPr>
      </w:pPr>
      <w:r w:rsidRPr="004A73C1">
        <w:rPr>
          <w:rFonts w:ascii="Arial" w:hAnsi="Arial" w:cs="Arial"/>
        </w:rPr>
        <w:t xml:space="preserve">4. Reduced barriers to entry: Joint ventures can help businesses overcome regulatory or cultural barriers when entering a new market, leveraging </w:t>
      </w:r>
      <w:r w:rsidR="00A75559" w:rsidRPr="004A73C1">
        <w:rPr>
          <w:rFonts w:ascii="Arial" w:hAnsi="Arial" w:cs="Arial"/>
        </w:rPr>
        <w:t>their partners' local knowledge and connections</w:t>
      </w:r>
      <w:r w:rsidRPr="004A73C1">
        <w:rPr>
          <w:rFonts w:ascii="Arial" w:hAnsi="Arial" w:cs="Arial"/>
        </w:rPr>
        <w:t>.</w:t>
      </w:r>
    </w:p>
    <w:p w14:paraId="2F7F255C" w14:textId="664A8CC6" w:rsidR="00DB196A" w:rsidRPr="004A73C1" w:rsidRDefault="00DB196A" w:rsidP="00EF2E34">
      <w:pPr>
        <w:spacing w:after="0" w:line="360" w:lineRule="auto"/>
        <w:jc w:val="both"/>
        <w:rPr>
          <w:rFonts w:ascii="Arial" w:hAnsi="Arial" w:cs="Arial"/>
        </w:rPr>
      </w:pPr>
      <w:r w:rsidRPr="004A73C1">
        <w:rPr>
          <w:rFonts w:ascii="Arial" w:hAnsi="Arial" w:cs="Arial"/>
        </w:rPr>
        <w:t>5. Learning opportunities: Partners in a joint venture can learn from each other, gaining insights into business practices, technologies, and market dynamics.</w:t>
      </w:r>
    </w:p>
    <w:p w14:paraId="3BC906ED" w14:textId="77777777" w:rsidR="00DB196A" w:rsidRPr="004A73C1" w:rsidRDefault="00DB196A" w:rsidP="00EF2E34">
      <w:pPr>
        <w:spacing w:after="0" w:line="360" w:lineRule="auto"/>
        <w:jc w:val="both"/>
        <w:rPr>
          <w:rFonts w:ascii="Arial" w:hAnsi="Arial" w:cs="Arial"/>
        </w:rPr>
      </w:pPr>
    </w:p>
    <w:p w14:paraId="2A1B7709" w14:textId="01FC1B57" w:rsidR="00DB196A" w:rsidRDefault="00DB196A" w:rsidP="00EF2E34">
      <w:pPr>
        <w:spacing w:after="0" w:line="360" w:lineRule="auto"/>
        <w:jc w:val="both"/>
        <w:rPr>
          <w:rFonts w:ascii="Arial" w:hAnsi="Arial" w:cs="Arial"/>
        </w:rPr>
      </w:pPr>
      <w:r w:rsidRPr="004A73C1">
        <w:rPr>
          <w:rFonts w:ascii="Arial" w:hAnsi="Arial" w:cs="Arial"/>
        </w:rPr>
        <w:lastRenderedPageBreak/>
        <w:t xml:space="preserve">These are just a few advantages </w:t>
      </w:r>
      <w:r w:rsidR="00A75559" w:rsidRPr="004A73C1">
        <w:rPr>
          <w:rFonts w:ascii="Arial" w:hAnsi="Arial" w:cs="Arial"/>
        </w:rPr>
        <w:t>of</w:t>
      </w:r>
      <w:r w:rsidRPr="004A73C1">
        <w:rPr>
          <w:rFonts w:ascii="Arial" w:hAnsi="Arial" w:cs="Arial"/>
        </w:rPr>
        <w:t xml:space="preserve"> joint ventures, making them </w:t>
      </w:r>
      <w:r w:rsidR="00A75559" w:rsidRPr="004A73C1">
        <w:rPr>
          <w:rFonts w:ascii="Arial" w:hAnsi="Arial" w:cs="Arial"/>
        </w:rPr>
        <w:t xml:space="preserve">appealing </w:t>
      </w:r>
      <w:r w:rsidRPr="004A73C1">
        <w:rPr>
          <w:rFonts w:ascii="Arial" w:hAnsi="Arial" w:cs="Arial"/>
        </w:rPr>
        <w:t>for business collaboration.</w:t>
      </w:r>
    </w:p>
    <w:p w14:paraId="507E4A6A" w14:textId="77777777" w:rsidR="00ED3916" w:rsidRPr="004A73C1" w:rsidRDefault="00ED3916" w:rsidP="00EF2E34">
      <w:pPr>
        <w:spacing w:after="0" w:line="360" w:lineRule="auto"/>
        <w:jc w:val="both"/>
        <w:rPr>
          <w:rFonts w:ascii="Arial" w:hAnsi="Arial" w:cs="Arial"/>
        </w:rPr>
      </w:pPr>
    </w:p>
    <w:p w14:paraId="7AB24BF0" w14:textId="6C4453E6" w:rsidR="00DB196A" w:rsidRPr="004A73C1" w:rsidRDefault="00DB196A" w:rsidP="003F68BF">
      <w:pPr>
        <w:rPr>
          <w:rFonts w:ascii="Arial" w:hAnsi="Arial" w:cs="Arial"/>
          <w:b/>
          <w:bCs/>
          <w:sz w:val="24"/>
          <w:szCs w:val="24"/>
        </w:rPr>
      </w:pPr>
      <w:r w:rsidRPr="004A73C1">
        <w:rPr>
          <w:rFonts w:ascii="Arial" w:hAnsi="Arial" w:cs="Arial"/>
          <w:b/>
          <w:bCs/>
          <w:sz w:val="24"/>
          <w:szCs w:val="24"/>
        </w:rPr>
        <w:t>Examples of Companies</w:t>
      </w:r>
    </w:p>
    <w:p w14:paraId="251834D1" w14:textId="1AF5494E" w:rsidR="00DB196A" w:rsidRPr="004A73C1" w:rsidRDefault="00DB196A" w:rsidP="00EF2E34">
      <w:pPr>
        <w:spacing w:after="0" w:line="360" w:lineRule="auto"/>
        <w:jc w:val="both"/>
        <w:rPr>
          <w:rFonts w:ascii="Arial" w:hAnsi="Arial" w:cs="Arial"/>
        </w:rPr>
      </w:pPr>
      <w:r w:rsidRPr="004A73C1">
        <w:rPr>
          <w:rFonts w:ascii="Arial" w:hAnsi="Arial" w:cs="Arial"/>
        </w:rPr>
        <w:t xml:space="preserve">Some examples of joint ventures in the UK since 2020 include the partnership between Jaguar Land Rover and BMW to develop electric drive units and the collaboration between BP and German energy firm Energie Baden-Württemberg (EnBW) to </w:t>
      </w:r>
      <w:r w:rsidR="00A75559" w:rsidRPr="004A73C1">
        <w:rPr>
          <w:rFonts w:ascii="Arial" w:hAnsi="Arial" w:cs="Arial"/>
        </w:rPr>
        <w:t>build</w:t>
      </w:r>
      <w:r w:rsidRPr="004A73C1">
        <w:rPr>
          <w:rFonts w:ascii="Arial" w:hAnsi="Arial" w:cs="Arial"/>
        </w:rPr>
        <w:t xml:space="preserve"> and operate offshore wind farms in the UK. These joint ventures showcase international cooperation and technology sharing in the UK's automotive and renewable energy sectors.</w:t>
      </w:r>
    </w:p>
    <w:p w14:paraId="2CAF0EDE" w14:textId="77777777" w:rsidR="00DB196A" w:rsidRPr="004A73C1" w:rsidRDefault="00DB196A" w:rsidP="00EF2E34">
      <w:pPr>
        <w:spacing w:after="0" w:line="360" w:lineRule="auto"/>
        <w:jc w:val="both"/>
        <w:rPr>
          <w:rFonts w:ascii="Arial" w:hAnsi="Arial" w:cs="Arial"/>
        </w:rPr>
      </w:pPr>
    </w:p>
    <w:p w14:paraId="07B86127" w14:textId="4773C340" w:rsidR="00691E95" w:rsidRPr="004A73C1" w:rsidRDefault="00C2494D" w:rsidP="00EF2E34">
      <w:pPr>
        <w:spacing w:after="0" w:line="360" w:lineRule="auto"/>
        <w:jc w:val="both"/>
        <w:rPr>
          <w:rFonts w:ascii="Arial" w:hAnsi="Arial" w:cs="Arial"/>
        </w:rPr>
      </w:pPr>
      <w:r w:rsidRPr="004A73C1">
        <w:rPr>
          <w:rFonts w:ascii="Arial" w:hAnsi="Arial" w:cs="Arial"/>
          <w:noProof/>
        </w:rPr>
        <w:drawing>
          <wp:inline distT="0" distB="0" distL="0" distR="0" wp14:anchorId="627C583D" wp14:editId="1CFDDBD2">
            <wp:extent cx="6262777" cy="2320960"/>
            <wp:effectExtent l="0" t="0" r="5080" b="3175"/>
            <wp:docPr id="304381482"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381482" name="Picture 1" descr="A table with numbers and text&#10;&#10;Description automatically generated"/>
                    <pic:cNvPicPr/>
                  </pic:nvPicPr>
                  <pic:blipFill>
                    <a:blip r:embed="rId13"/>
                    <a:stretch>
                      <a:fillRect/>
                    </a:stretch>
                  </pic:blipFill>
                  <pic:spPr>
                    <a:xfrm>
                      <a:off x="0" y="0"/>
                      <a:ext cx="6265714" cy="2322049"/>
                    </a:xfrm>
                    <a:prstGeom prst="rect">
                      <a:avLst/>
                    </a:prstGeom>
                  </pic:spPr>
                </pic:pic>
              </a:graphicData>
            </a:graphic>
          </wp:inline>
        </w:drawing>
      </w:r>
      <w:r w:rsidR="00B80C0D" w:rsidRPr="004A73C1">
        <w:rPr>
          <w:rFonts w:ascii="Arial" w:hAnsi="Arial" w:cs="Arial"/>
        </w:rPr>
        <w:t>Figure 5</w:t>
      </w:r>
    </w:p>
    <w:p w14:paraId="4CFB9F7F" w14:textId="77777777" w:rsidR="00691E95" w:rsidRPr="004A73C1" w:rsidRDefault="00DB196A" w:rsidP="00EF2E34">
      <w:pPr>
        <w:spacing w:after="0" w:line="360" w:lineRule="auto"/>
        <w:jc w:val="both"/>
        <w:rPr>
          <w:rFonts w:ascii="Arial" w:hAnsi="Arial" w:cs="Arial"/>
        </w:rPr>
      </w:pPr>
      <w:r w:rsidRPr="004A73C1">
        <w:rPr>
          <w:rFonts w:ascii="Arial" w:hAnsi="Arial" w:cs="Arial"/>
        </w:rPr>
        <w:t>Source – Department of International Trade.</w:t>
      </w:r>
    </w:p>
    <w:p w14:paraId="532C1F4C" w14:textId="77777777" w:rsidR="00691E95" w:rsidRPr="004A73C1" w:rsidRDefault="00691E95" w:rsidP="00EF2E34">
      <w:pPr>
        <w:spacing w:after="0" w:line="360" w:lineRule="auto"/>
        <w:jc w:val="both"/>
        <w:rPr>
          <w:rFonts w:ascii="Arial" w:hAnsi="Arial" w:cs="Arial"/>
        </w:rPr>
      </w:pPr>
    </w:p>
    <w:p w14:paraId="163C57D5" w14:textId="21C2E5EE" w:rsidR="00DB196A" w:rsidRPr="004A73C1" w:rsidRDefault="00691E95" w:rsidP="00EF2E34">
      <w:pPr>
        <w:spacing w:after="0" w:line="360" w:lineRule="auto"/>
        <w:jc w:val="both"/>
        <w:rPr>
          <w:rFonts w:ascii="Arial" w:hAnsi="Arial" w:cs="Arial"/>
        </w:rPr>
      </w:pPr>
      <w:r w:rsidRPr="004A73C1">
        <w:rPr>
          <w:rFonts w:ascii="Arial" w:hAnsi="Arial" w:cs="Arial"/>
          <w:noProof/>
        </w:rPr>
        <w:drawing>
          <wp:inline distT="0" distB="0" distL="0" distR="0" wp14:anchorId="06118FAB" wp14:editId="360A63E7">
            <wp:extent cx="5480685" cy="2670175"/>
            <wp:effectExtent l="0" t="0" r="5715" b="0"/>
            <wp:docPr id="15887565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0685" cy="2670175"/>
                    </a:xfrm>
                    <a:prstGeom prst="rect">
                      <a:avLst/>
                    </a:prstGeom>
                    <a:noFill/>
                  </pic:spPr>
                </pic:pic>
              </a:graphicData>
            </a:graphic>
          </wp:inline>
        </w:drawing>
      </w:r>
    </w:p>
    <w:p w14:paraId="02685D5E" w14:textId="77777777" w:rsidR="000D7E53" w:rsidRDefault="00691E95" w:rsidP="00691E95">
      <w:pPr>
        <w:spacing w:after="0" w:line="360" w:lineRule="auto"/>
        <w:jc w:val="both"/>
        <w:rPr>
          <w:rFonts w:ascii="Arial" w:hAnsi="Arial" w:cs="Arial"/>
        </w:rPr>
      </w:pPr>
      <w:r w:rsidRPr="004A73C1">
        <w:rPr>
          <w:rFonts w:ascii="Arial" w:hAnsi="Arial" w:cs="Arial"/>
        </w:rPr>
        <w:t xml:space="preserve">Figure </w:t>
      </w:r>
      <w:r w:rsidR="000D7E53" w:rsidRPr="004A73C1">
        <w:rPr>
          <w:rFonts w:ascii="Arial" w:hAnsi="Arial" w:cs="Arial"/>
        </w:rPr>
        <w:t xml:space="preserve">6 </w:t>
      </w:r>
    </w:p>
    <w:p w14:paraId="7349107E" w14:textId="480578A2" w:rsidR="00691E95" w:rsidRPr="004A73C1" w:rsidRDefault="000D7E53" w:rsidP="00691E95">
      <w:pPr>
        <w:spacing w:after="0" w:line="360" w:lineRule="auto"/>
        <w:jc w:val="both"/>
        <w:rPr>
          <w:rFonts w:ascii="Arial" w:hAnsi="Arial" w:cs="Arial"/>
        </w:rPr>
      </w:pPr>
      <w:r>
        <w:rPr>
          <w:rFonts w:ascii="Arial" w:hAnsi="Arial" w:cs="Arial"/>
        </w:rPr>
        <w:t xml:space="preserve">Source: </w:t>
      </w:r>
      <w:r w:rsidRPr="004A73C1">
        <w:rPr>
          <w:rFonts w:ascii="Arial" w:hAnsi="Arial" w:cs="Arial"/>
        </w:rPr>
        <w:t>Department</w:t>
      </w:r>
      <w:r w:rsidR="00691E95" w:rsidRPr="004A73C1">
        <w:rPr>
          <w:rFonts w:ascii="Arial" w:hAnsi="Arial" w:cs="Arial"/>
        </w:rPr>
        <w:t xml:space="preserve"> of International Trade.</w:t>
      </w:r>
    </w:p>
    <w:p w14:paraId="0D78EDD7" w14:textId="77777777" w:rsidR="00691E95" w:rsidRPr="004A73C1" w:rsidRDefault="00691E95" w:rsidP="00EF2E34">
      <w:pPr>
        <w:spacing w:after="0" w:line="360" w:lineRule="auto"/>
        <w:jc w:val="both"/>
        <w:rPr>
          <w:rFonts w:ascii="Arial" w:hAnsi="Arial" w:cs="Arial"/>
        </w:rPr>
      </w:pPr>
    </w:p>
    <w:p w14:paraId="61E2C3F9" w14:textId="77777777" w:rsidR="00ED3916" w:rsidRDefault="00ED3916" w:rsidP="00EF2E34">
      <w:pPr>
        <w:pStyle w:val="Heading2"/>
        <w:spacing w:line="360" w:lineRule="auto"/>
        <w:rPr>
          <w:rFonts w:ascii="Arial" w:hAnsi="Arial" w:cs="Arial"/>
          <w:color w:val="auto"/>
        </w:rPr>
      </w:pPr>
      <w:bookmarkStart w:id="64" w:name="_Toc316005667"/>
      <w:bookmarkStart w:id="65" w:name="_Toc175056456"/>
    </w:p>
    <w:p w14:paraId="037283BF" w14:textId="17F9B6B4" w:rsidR="00DB196A" w:rsidRPr="004A73C1" w:rsidRDefault="00D11768" w:rsidP="00EF2E34">
      <w:pPr>
        <w:pStyle w:val="Heading2"/>
        <w:spacing w:line="360" w:lineRule="auto"/>
        <w:rPr>
          <w:rFonts w:ascii="Arial" w:hAnsi="Arial" w:cs="Arial"/>
          <w:color w:val="auto"/>
        </w:rPr>
      </w:pPr>
      <w:bookmarkStart w:id="66" w:name="_Toc175675338"/>
      <w:r w:rsidRPr="004A73C1">
        <w:rPr>
          <w:rFonts w:ascii="Arial" w:hAnsi="Arial" w:cs="Arial"/>
          <w:color w:val="auto"/>
        </w:rPr>
        <w:t>2.4</w:t>
      </w:r>
      <w:r w:rsidRPr="004A73C1">
        <w:rPr>
          <w:rFonts w:ascii="Arial" w:hAnsi="Arial" w:cs="Arial"/>
          <w:color w:val="auto"/>
        </w:rPr>
        <w:tab/>
      </w:r>
      <w:r w:rsidR="00DB196A" w:rsidRPr="004A73C1">
        <w:rPr>
          <w:rFonts w:ascii="Arial" w:hAnsi="Arial" w:cs="Arial"/>
          <w:color w:val="auto"/>
        </w:rPr>
        <w:t>FDI BY DIRECTION</w:t>
      </w:r>
      <w:bookmarkEnd w:id="64"/>
      <w:bookmarkEnd w:id="65"/>
      <w:bookmarkEnd w:id="66"/>
    </w:p>
    <w:p w14:paraId="5B34D88D" w14:textId="74D33E82" w:rsidR="00DB196A" w:rsidRPr="004A73C1" w:rsidRDefault="00DB196A" w:rsidP="00EF2E34">
      <w:pPr>
        <w:spacing w:after="0" w:line="360" w:lineRule="auto"/>
        <w:jc w:val="both"/>
        <w:rPr>
          <w:rFonts w:ascii="Arial" w:hAnsi="Arial" w:cs="Arial"/>
        </w:rPr>
      </w:pPr>
      <w:r w:rsidRPr="004A73C1">
        <w:rPr>
          <w:rFonts w:ascii="Arial" w:hAnsi="Arial" w:cs="Arial"/>
        </w:rPr>
        <w:t xml:space="preserve">FDI by directions has two </w:t>
      </w:r>
      <w:r w:rsidR="00595271" w:rsidRPr="004A73C1">
        <w:rPr>
          <w:rFonts w:ascii="Arial" w:hAnsi="Arial" w:cs="Arial"/>
        </w:rPr>
        <w:t>types:</w:t>
      </w:r>
    </w:p>
    <w:p w14:paraId="156492D6" w14:textId="77777777" w:rsidR="00DB196A" w:rsidRPr="004A73C1" w:rsidRDefault="00DB196A" w:rsidP="00EF2E34">
      <w:pPr>
        <w:spacing w:after="0" w:line="360" w:lineRule="auto"/>
        <w:jc w:val="both"/>
        <w:rPr>
          <w:rFonts w:ascii="Arial" w:hAnsi="Arial" w:cs="Arial"/>
        </w:rPr>
      </w:pPr>
      <w:r w:rsidRPr="004A73C1">
        <w:rPr>
          <w:rFonts w:ascii="Arial" w:hAnsi="Arial" w:cs="Arial"/>
        </w:rPr>
        <w:t>Inward FDI</w:t>
      </w:r>
    </w:p>
    <w:p w14:paraId="4E61C7A6" w14:textId="77777777" w:rsidR="00DB196A" w:rsidRPr="004A73C1" w:rsidRDefault="00DB196A" w:rsidP="00EF2E34">
      <w:pPr>
        <w:spacing w:after="0" w:line="360" w:lineRule="auto"/>
        <w:jc w:val="both"/>
        <w:rPr>
          <w:rFonts w:ascii="Arial" w:hAnsi="Arial" w:cs="Arial"/>
        </w:rPr>
      </w:pPr>
      <w:r w:rsidRPr="004A73C1">
        <w:rPr>
          <w:rFonts w:ascii="Arial" w:hAnsi="Arial" w:cs="Arial"/>
        </w:rPr>
        <w:t>Outward FDI</w:t>
      </w:r>
    </w:p>
    <w:p w14:paraId="18351615" w14:textId="05CBE01B" w:rsidR="00DB196A" w:rsidRPr="004A73C1" w:rsidRDefault="00D11768" w:rsidP="00EF2E34">
      <w:pPr>
        <w:pStyle w:val="Heading3"/>
        <w:spacing w:line="360" w:lineRule="auto"/>
        <w:rPr>
          <w:rFonts w:ascii="Arial" w:hAnsi="Arial" w:cs="Arial"/>
          <w:color w:val="auto"/>
        </w:rPr>
      </w:pPr>
      <w:bookmarkStart w:id="67" w:name="_Toc175056457"/>
      <w:bookmarkStart w:id="68" w:name="_Toc175675339"/>
      <w:r w:rsidRPr="004A73C1">
        <w:rPr>
          <w:rFonts w:ascii="Arial" w:hAnsi="Arial" w:cs="Arial"/>
          <w:color w:val="auto"/>
        </w:rPr>
        <w:t>2.4.1</w:t>
      </w:r>
      <w:r w:rsidRPr="004A73C1">
        <w:rPr>
          <w:rFonts w:ascii="Arial" w:hAnsi="Arial" w:cs="Arial"/>
          <w:color w:val="auto"/>
        </w:rPr>
        <w:tab/>
      </w:r>
      <w:r w:rsidR="00DB196A" w:rsidRPr="004A73C1">
        <w:rPr>
          <w:rFonts w:ascii="Arial" w:hAnsi="Arial" w:cs="Arial"/>
          <w:color w:val="auto"/>
        </w:rPr>
        <w:t>Inward FDI</w:t>
      </w:r>
      <w:bookmarkEnd w:id="67"/>
      <w:bookmarkEnd w:id="68"/>
    </w:p>
    <w:p w14:paraId="479CD0E3" w14:textId="3448E3D2" w:rsidR="00DB196A" w:rsidRPr="004A73C1" w:rsidRDefault="00DB196A" w:rsidP="00EF2E34">
      <w:pPr>
        <w:spacing w:after="0" w:line="360" w:lineRule="auto"/>
        <w:jc w:val="both"/>
        <w:rPr>
          <w:rFonts w:ascii="Arial" w:hAnsi="Arial" w:cs="Arial"/>
        </w:rPr>
      </w:pPr>
      <w:r w:rsidRPr="004A73C1">
        <w:rPr>
          <w:rFonts w:ascii="Arial" w:hAnsi="Arial" w:cs="Arial"/>
        </w:rPr>
        <w:t xml:space="preserve">Inward foreign direct investment (FDI) occurs when a company or individual from one country invests </w:t>
      </w:r>
      <w:r w:rsidR="00A75559" w:rsidRPr="004A73C1">
        <w:rPr>
          <w:rFonts w:ascii="Arial" w:hAnsi="Arial" w:cs="Arial"/>
        </w:rPr>
        <w:t xml:space="preserve">in </w:t>
      </w:r>
      <w:r w:rsidRPr="004A73C1">
        <w:rPr>
          <w:rFonts w:ascii="Arial" w:hAnsi="Arial" w:cs="Arial"/>
        </w:rPr>
        <w:t xml:space="preserve">a business located in another country. This can take the form of acquiring a stake in an existing company, establishing new operations, or reinvesting profits from international business activities. Inward FDI is a </w:t>
      </w:r>
      <w:r w:rsidR="00A75559" w:rsidRPr="004A73C1">
        <w:rPr>
          <w:rFonts w:ascii="Arial" w:hAnsi="Arial" w:cs="Arial"/>
        </w:rPr>
        <w:t>crucial</w:t>
      </w:r>
      <w:r w:rsidRPr="004A73C1">
        <w:rPr>
          <w:rFonts w:ascii="Arial" w:hAnsi="Arial" w:cs="Arial"/>
        </w:rPr>
        <w:t xml:space="preserve"> measure of a country's appeal to foreign investors and can significantly impact the economy and business environment.</w:t>
      </w:r>
    </w:p>
    <w:p w14:paraId="66066336" w14:textId="1B632A2D" w:rsidR="00DB196A" w:rsidRPr="004A73C1" w:rsidRDefault="00DB196A" w:rsidP="00EF2E34">
      <w:pPr>
        <w:spacing w:after="0" w:line="360" w:lineRule="auto"/>
        <w:jc w:val="both"/>
        <w:rPr>
          <w:rFonts w:ascii="Arial" w:hAnsi="Arial" w:cs="Arial"/>
        </w:rPr>
      </w:pPr>
      <w:r w:rsidRPr="004A73C1">
        <w:rPr>
          <w:rFonts w:ascii="Arial" w:hAnsi="Arial" w:cs="Arial"/>
        </w:rPr>
        <w:t xml:space="preserve">1. Amazon's expansion in the UK: Following Brexit, Amazon announced plans to expand its investment in the UK. The company committed to creating thousands of new jobs and investing in new </w:t>
      </w:r>
      <w:r w:rsidR="00A75559" w:rsidRPr="004A73C1">
        <w:rPr>
          <w:rFonts w:ascii="Arial" w:hAnsi="Arial" w:cs="Arial"/>
        </w:rPr>
        <w:t>fulfilment centres</w:t>
      </w:r>
      <w:r w:rsidRPr="004A73C1">
        <w:rPr>
          <w:rFonts w:ascii="Arial" w:hAnsi="Arial" w:cs="Arial"/>
        </w:rPr>
        <w:t xml:space="preserve"> and corporate offices, indicating confidence in the UK market post-Brexit ("Amazon to create 10,000 new UK jobs post-Brexit" - The Guardian).</w:t>
      </w:r>
    </w:p>
    <w:p w14:paraId="41CD864C" w14:textId="4E322F3D" w:rsidR="00DB196A" w:rsidRPr="004A73C1" w:rsidRDefault="00DB196A" w:rsidP="00EF2E34">
      <w:pPr>
        <w:spacing w:after="0" w:line="360" w:lineRule="auto"/>
        <w:jc w:val="both"/>
        <w:rPr>
          <w:rFonts w:ascii="Arial" w:hAnsi="Arial" w:cs="Arial"/>
        </w:rPr>
      </w:pPr>
      <w:r w:rsidRPr="004A73C1">
        <w:rPr>
          <w:rFonts w:ascii="Arial" w:hAnsi="Arial" w:cs="Arial"/>
        </w:rPr>
        <w:t xml:space="preserve">2. Nissan's commitment to UK manufacturing: Despite </w:t>
      </w:r>
      <w:r w:rsidR="00A75559" w:rsidRPr="004A73C1">
        <w:rPr>
          <w:rFonts w:ascii="Arial" w:hAnsi="Arial" w:cs="Arial"/>
        </w:rPr>
        <w:t>Brexit uncertainties</w:t>
      </w:r>
      <w:r w:rsidRPr="004A73C1">
        <w:rPr>
          <w:rFonts w:ascii="Arial" w:hAnsi="Arial" w:cs="Arial"/>
        </w:rPr>
        <w:t xml:space="preserve">, Nissan confirmed its commitment to producing new vehicle models in the UK. The company's investment </w:t>
      </w:r>
      <w:r w:rsidR="00A75559" w:rsidRPr="004A73C1">
        <w:rPr>
          <w:rFonts w:ascii="Arial" w:hAnsi="Arial" w:cs="Arial"/>
        </w:rPr>
        <w:t xml:space="preserve">signalled a vote of confidence in the UK's automotive industry post-Brexit ("Nissan to build two new car models in post-Brexit boost for the </w:t>
      </w:r>
      <w:r w:rsidRPr="004A73C1">
        <w:rPr>
          <w:rFonts w:ascii="Arial" w:hAnsi="Arial" w:cs="Arial"/>
        </w:rPr>
        <w:t>UK" - Financial Times).</w:t>
      </w:r>
    </w:p>
    <w:p w14:paraId="6DB93BC4" w14:textId="77777777" w:rsidR="00DB196A" w:rsidRPr="004A73C1" w:rsidRDefault="00DB196A" w:rsidP="00EF2E34">
      <w:pPr>
        <w:spacing w:after="0" w:line="360" w:lineRule="auto"/>
        <w:jc w:val="both"/>
        <w:rPr>
          <w:rFonts w:ascii="Arial" w:hAnsi="Arial" w:cs="Arial"/>
        </w:rPr>
      </w:pPr>
      <w:r w:rsidRPr="004A73C1">
        <w:rPr>
          <w:rFonts w:ascii="Arial" w:hAnsi="Arial" w:cs="Arial"/>
        </w:rPr>
        <w:t>3. Inward FDI in UK financial services: Several international financial institutions, including JPMorgan Chase and Goldman Sachs, have announced plans to expand their operations in the UK post-Brexit, demonstrating ongoing investment and confidence in the UK's financial services sector ("JPMorgan Chase to expand UK presence post-Brexit" - Reuters).</w:t>
      </w:r>
    </w:p>
    <w:p w14:paraId="2A9A1728" w14:textId="58005A32" w:rsidR="00DB196A" w:rsidRPr="004A73C1" w:rsidRDefault="00DB196A" w:rsidP="00EF2E34">
      <w:pPr>
        <w:spacing w:after="0" w:line="360" w:lineRule="auto"/>
        <w:jc w:val="both"/>
        <w:rPr>
          <w:rFonts w:ascii="Arial" w:hAnsi="Arial" w:cs="Arial"/>
        </w:rPr>
      </w:pPr>
      <w:r w:rsidRPr="004A73C1">
        <w:rPr>
          <w:rFonts w:ascii="Arial" w:hAnsi="Arial" w:cs="Arial"/>
        </w:rPr>
        <w:t xml:space="preserve">These examples show that despite Brexit, the UK continues to attract significant inward FDI across various sectors, </w:t>
      </w:r>
      <w:r w:rsidR="00595271" w:rsidRPr="004A73C1">
        <w:rPr>
          <w:rFonts w:ascii="Arial" w:hAnsi="Arial" w:cs="Arial"/>
        </w:rPr>
        <w:t>signalling</w:t>
      </w:r>
      <w:r w:rsidRPr="004A73C1">
        <w:rPr>
          <w:rFonts w:ascii="Arial" w:hAnsi="Arial" w:cs="Arial"/>
        </w:rPr>
        <w:t xml:space="preserve"> continued confidence in the country's economy and business environment.</w:t>
      </w:r>
    </w:p>
    <w:p w14:paraId="74771300" w14:textId="44256296" w:rsidR="00DB196A" w:rsidRPr="004A73C1" w:rsidRDefault="00D11768" w:rsidP="00EF2E34">
      <w:pPr>
        <w:pStyle w:val="Heading3"/>
        <w:spacing w:line="360" w:lineRule="auto"/>
        <w:rPr>
          <w:rFonts w:ascii="Arial" w:hAnsi="Arial" w:cs="Arial"/>
          <w:color w:val="auto"/>
        </w:rPr>
      </w:pPr>
      <w:bookmarkStart w:id="69" w:name="_Toc175056458"/>
      <w:bookmarkStart w:id="70" w:name="_Toc175675340"/>
      <w:r w:rsidRPr="004A73C1">
        <w:rPr>
          <w:rFonts w:ascii="Arial" w:hAnsi="Arial" w:cs="Arial"/>
          <w:color w:val="auto"/>
        </w:rPr>
        <w:t>2.4.2</w:t>
      </w:r>
      <w:r w:rsidRPr="004A73C1">
        <w:rPr>
          <w:rFonts w:ascii="Arial" w:hAnsi="Arial" w:cs="Arial"/>
          <w:color w:val="auto"/>
        </w:rPr>
        <w:tab/>
      </w:r>
      <w:r w:rsidR="00DB196A" w:rsidRPr="004A73C1">
        <w:rPr>
          <w:rFonts w:ascii="Arial" w:hAnsi="Arial" w:cs="Arial"/>
          <w:color w:val="auto"/>
        </w:rPr>
        <w:t>Outward FDI</w:t>
      </w:r>
      <w:bookmarkEnd w:id="69"/>
      <w:bookmarkEnd w:id="70"/>
    </w:p>
    <w:p w14:paraId="1720CD0E" w14:textId="69D15044" w:rsidR="00DB196A" w:rsidRPr="004A73C1" w:rsidRDefault="00DB196A" w:rsidP="00EF2E34">
      <w:pPr>
        <w:spacing w:after="0" w:line="360" w:lineRule="auto"/>
        <w:jc w:val="both"/>
        <w:rPr>
          <w:rFonts w:ascii="Arial" w:hAnsi="Arial" w:cs="Arial"/>
        </w:rPr>
      </w:pPr>
      <w:r w:rsidRPr="004A73C1">
        <w:rPr>
          <w:rFonts w:ascii="Arial" w:hAnsi="Arial" w:cs="Arial"/>
        </w:rPr>
        <w:t xml:space="preserve">Outward FDI, </w:t>
      </w:r>
      <w:r w:rsidR="00B63B17" w:rsidRPr="004A73C1">
        <w:rPr>
          <w:rFonts w:ascii="Arial" w:hAnsi="Arial" w:cs="Arial"/>
        </w:rPr>
        <w:t>or</w:t>
      </w:r>
      <w:r w:rsidRPr="004A73C1">
        <w:rPr>
          <w:rFonts w:ascii="Arial" w:hAnsi="Arial" w:cs="Arial"/>
        </w:rPr>
        <w:t xml:space="preserve"> "direct investment abroad," </w:t>
      </w:r>
      <w:r w:rsidR="00595271" w:rsidRPr="004A73C1">
        <w:rPr>
          <w:rFonts w:ascii="Arial" w:hAnsi="Arial" w:cs="Arial"/>
        </w:rPr>
        <w:t>occurs when a domestic company invests in business operations or acquires assets in a foreign country. This type of investment is often made to gain access to new markets, resources, and business opportunities</w:t>
      </w:r>
      <w:r w:rsidRPr="004A73C1">
        <w:rPr>
          <w:rFonts w:ascii="Arial" w:hAnsi="Arial" w:cs="Arial"/>
        </w:rPr>
        <w:t xml:space="preserve"> and </w:t>
      </w:r>
      <w:r w:rsidR="00B63B17" w:rsidRPr="004A73C1">
        <w:rPr>
          <w:rFonts w:ascii="Arial" w:hAnsi="Arial" w:cs="Arial"/>
        </w:rPr>
        <w:t>diversify a company's global operations</w:t>
      </w:r>
      <w:r w:rsidRPr="004A73C1">
        <w:rPr>
          <w:rFonts w:ascii="Arial" w:hAnsi="Arial" w:cs="Arial"/>
        </w:rPr>
        <w:t>.</w:t>
      </w:r>
    </w:p>
    <w:p w14:paraId="606754D8" w14:textId="77777777" w:rsidR="00DB196A" w:rsidRPr="004A73C1" w:rsidRDefault="00DB196A" w:rsidP="00EF2E34">
      <w:pPr>
        <w:spacing w:after="0" w:line="360" w:lineRule="auto"/>
        <w:jc w:val="both"/>
        <w:rPr>
          <w:rFonts w:ascii="Arial" w:hAnsi="Arial" w:cs="Arial"/>
        </w:rPr>
      </w:pPr>
    </w:p>
    <w:p w14:paraId="772EDC99" w14:textId="3AEE70B4" w:rsidR="00DB196A" w:rsidRPr="004A73C1" w:rsidRDefault="00DB196A" w:rsidP="00EF2E34">
      <w:pPr>
        <w:spacing w:after="0" w:line="360" w:lineRule="auto"/>
        <w:jc w:val="both"/>
        <w:rPr>
          <w:rFonts w:ascii="Arial" w:hAnsi="Arial" w:cs="Arial"/>
        </w:rPr>
      </w:pPr>
      <w:r w:rsidRPr="004A73C1">
        <w:rPr>
          <w:rFonts w:ascii="Arial" w:hAnsi="Arial" w:cs="Arial"/>
        </w:rPr>
        <w:t xml:space="preserve">In the United Kingdom (UK), there are numerous examples of outward FDI by UK-based companies. One prominent example is BP (British Petroleum), a major multinational oil and gas company. BP has engaged in outward FDI by investing in oil exploration and production ventures in various countries </w:t>
      </w:r>
      <w:r w:rsidR="00595271" w:rsidRPr="004A73C1">
        <w:rPr>
          <w:rFonts w:ascii="Arial" w:hAnsi="Arial" w:cs="Arial"/>
        </w:rPr>
        <w:t>worldwide</w:t>
      </w:r>
      <w:r w:rsidRPr="004A73C1">
        <w:rPr>
          <w:rFonts w:ascii="Arial" w:hAnsi="Arial" w:cs="Arial"/>
        </w:rPr>
        <w:t>, including the United States, Russia, and other countries. This strategic approach has allowed BP to diversify its global operations and access valuable energy resources in different regions.</w:t>
      </w:r>
    </w:p>
    <w:p w14:paraId="1D0A00DB" w14:textId="77777777" w:rsidR="00DB196A" w:rsidRPr="004A73C1" w:rsidRDefault="00DB196A" w:rsidP="00EF2E34">
      <w:pPr>
        <w:spacing w:after="0" w:line="360" w:lineRule="auto"/>
        <w:jc w:val="both"/>
        <w:rPr>
          <w:rFonts w:ascii="Arial" w:hAnsi="Arial" w:cs="Arial"/>
        </w:rPr>
      </w:pPr>
      <w:r w:rsidRPr="004A73C1">
        <w:rPr>
          <w:rFonts w:ascii="Arial" w:hAnsi="Arial" w:cs="Arial"/>
        </w:rPr>
        <w:lastRenderedPageBreak/>
        <w:t>Another example is Vodafone, a leading telecommunications company headquartered in the UK. Vodafone has pursued outward FDI by acquiring and investing in mobile networks and telecommunications infrastructure in multiple countries, such as India, Germany, and South Africa. These investments have enabled Vodafone to expand its global reach and offer telecommunication services in diverse markets.</w:t>
      </w:r>
    </w:p>
    <w:p w14:paraId="6BB0D61F" w14:textId="77777777" w:rsidR="00DB196A" w:rsidRPr="004A73C1" w:rsidRDefault="00DB196A" w:rsidP="00EF2E34">
      <w:pPr>
        <w:spacing w:after="0" w:line="360" w:lineRule="auto"/>
        <w:jc w:val="both"/>
        <w:rPr>
          <w:rFonts w:ascii="Arial" w:hAnsi="Arial" w:cs="Arial"/>
        </w:rPr>
      </w:pPr>
      <w:r w:rsidRPr="004A73C1">
        <w:rPr>
          <w:rFonts w:ascii="Arial" w:hAnsi="Arial" w:cs="Arial"/>
        </w:rPr>
        <w:t>Furthermore, pharmaceutical companies such as GlaxoSmithKline (GSK) and AstraZeneca have engaged in outward FDI by establishing research and development facilities, manufacturing plants, and sales operations in various countries outside the UK.</w:t>
      </w:r>
    </w:p>
    <w:p w14:paraId="4FFEF60D" w14:textId="75063606" w:rsidR="00DB196A" w:rsidRPr="004A73C1" w:rsidRDefault="00DB196A" w:rsidP="00EF2E34">
      <w:pPr>
        <w:spacing w:after="0" w:line="360" w:lineRule="auto"/>
        <w:jc w:val="both"/>
        <w:rPr>
          <w:rFonts w:ascii="Arial" w:hAnsi="Arial" w:cs="Arial"/>
        </w:rPr>
      </w:pPr>
      <w:r w:rsidRPr="004A73C1">
        <w:rPr>
          <w:rFonts w:ascii="Arial" w:hAnsi="Arial" w:cs="Arial"/>
        </w:rPr>
        <w:t xml:space="preserve">These examples illustrate how UK-based companies undertake outward FDI to access new markets, </w:t>
      </w:r>
      <w:r w:rsidR="00F46779" w:rsidRPr="004A73C1">
        <w:rPr>
          <w:rFonts w:ascii="Arial" w:hAnsi="Arial" w:cs="Arial"/>
        </w:rPr>
        <w:t>capitalise</w:t>
      </w:r>
      <w:r w:rsidRPr="004A73C1">
        <w:rPr>
          <w:rFonts w:ascii="Arial" w:hAnsi="Arial" w:cs="Arial"/>
        </w:rPr>
        <w:t xml:space="preserve"> on growth opportunities, and diversify their operations across different geographical regions, ultimately contributing to global competitiveness and growth.</w:t>
      </w:r>
    </w:p>
    <w:p w14:paraId="257B63EC" w14:textId="77777777" w:rsidR="00E305FC" w:rsidRPr="004A73C1" w:rsidRDefault="00E305FC" w:rsidP="00EF2E34">
      <w:pPr>
        <w:spacing w:after="0" w:line="360" w:lineRule="auto"/>
        <w:jc w:val="both"/>
        <w:rPr>
          <w:rFonts w:ascii="Arial" w:hAnsi="Arial" w:cs="Arial"/>
        </w:rPr>
      </w:pPr>
    </w:p>
    <w:p w14:paraId="01B54989" w14:textId="09727078" w:rsidR="00E305FC" w:rsidRPr="004A73C1" w:rsidRDefault="00E305FC" w:rsidP="00EF2E34">
      <w:pPr>
        <w:spacing w:after="0" w:line="360" w:lineRule="auto"/>
        <w:jc w:val="both"/>
        <w:rPr>
          <w:rFonts w:ascii="Arial" w:hAnsi="Arial" w:cs="Arial"/>
        </w:rPr>
      </w:pPr>
      <w:r w:rsidRPr="004A73C1">
        <w:rPr>
          <w:rFonts w:ascii="Arial" w:hAnsi="Arial" w:cs="Arial"/>
        </w:rPr>
        <w:t>The following Table shows the FDI Project recorded from 2014 to 2023.</w:t>
      </w:r>
    </w:p>
    <w:p w14:paraId="0BE0B260" w14:textId="77777777" w:rsidR="00EF2E34" w:rsidRPr="004A73C1" w:rsidRDefault="00EF2E34" w:rsidP="00EF2E34">
      <w:pPr>
        <w:spacing w:after="0" w:line="360" w:lineRule="auto"/>
        <w:jc w:val="both"/>
        <w:rPr>
          <w:rFonts w:ascii="Arial" w:hAnsi="Arial" w:cs="Arial"/>
        </w:rPr>
      </w:pPr>
    </w:p>
    <w:p w14:paraId="39F1E7E0" w14:textId="26498D7C" w:rsidR="00E305FC" w:rsidRPr="004A73C1" w:rsidRDefault="00E305FC" w:rsidP="00EF2E34">
      <w:pPr>
        <w:spacing w:after="0" w:line="360" w:lineRule="auto"/>
        <w:rPr>
          <w:rFonts w:ascii="Arial" w:hAnsi="Arial" w:cs="Arial"/>
          <w:noProof/>
          <w:u w:val="single"/>
        </w:rPr>
      </w:pPr>
    </w:p>
    <w:p w14:paraId="265CBFD8" w14:textId="77777777" w:rsidR="00E305FC" w:rsidRPr="004A73C1" w:rsidRDefault="00E305FC" w:rsidP="00EF2E34">
      <w:pPr>
        <w:spacing w:after="0" w:line="360" w:lineRule="auto"/>
        <w:rPr>
          <w:rFonts w:ascii="Arial" w:hAnsi="Arial" w:cs="Arial"/>
        </w:rPr>
      </w:pPr>
    </w:p>
    <w:p w14:paraId="03322578" w14:textId="459A6630" w:rsidR="00DB196A" w:rsidRPr="004A73C1" w:rsidRDefault="00DB196A" w:rsidP="00EF2E34">
      <w:pPr>
        <w:spacing w:after="0" w:line="360" w:lineRule="auto"/>
        <w:rPr>
          <w:rFonts w:ascii="Arial" w:hAnsi="Arial" w:cs="Arial"/>
        </w:rPr>
      </w:pPr>
      <w:r w:rsidRPr="004A73C1">
        <w:rPr>
          <w:rFonts w:ascii="Arial" w:hAnsi="Arial" w:cs="Arial"/>
          <w:noProof/>
        </w:rPr>
        <w:drawing>
          <wp:inline distT="0" distB="0" distL="0" distR="0" wp14:anchorId="4C155C4B" wp14:editId="3388C274">
            <wp:extent cx="5917721" cy="3995748"/>
            <wp:effectExtent l="0" t="0" r="6985" b="5080"/>
            <wp:docPr id="1139291900"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291900" name="Picture 1" descr="A graph with a line going up&#10;&#10;Description automatically generated"/>
                    <pic:cNvPicPr/>
                  </pic:nvPicPr>
                  <pic:blipFill>
                    <a:blip r:embed="rId15"/>
                    <a:stretch>
                      <a:fillRect/>
                    </a:stretch>
                  </pic:blipFill>
                  <pic:spPr>
                    <a:xfrm>
                      <a:off x="0" y="0"/>
                      <a:ext cx="5946736" cy="4015340"/>
                    </a:xfrm>
                    <a:prstGeom prst="rect">
                      <a:avLst/>
                    </a:prstGeom>
                  </pic:spPr>
                </pic:pic>
              </a:graphicData>
            </a:graphic>
          </wp:inline>
        </w:drawing>
      </w:r>
    </w:p>
    <w:p w14:paraId="147A360C" w14:textId="212E8401" w:rsidR="00EF2E34" w:rsidRPr="004A73C1" w:rsidRDefault="00EF2E34" w:rsidP="00EF2E34">
      <w:pPr>
        <w:spacing w:after="0" w:line="360" w:lineRule="auto"/>
        <w:rPr>
          <w:rFonts w:ascii="Arial" w:hAnsi="Arial" w:cs="Arial"/>
        </w:rPr>
      </w:pPr>
      <w:r w:rsidRPr="004A73C1">
        <w:rPr>
          <w:rFonts w:ascii="Arial" w:hAnsi="Arial" w:cs="Arial"/>
        </w:rPr>
        <w:t>Table 6</w:t>
      </w:r>
      <w:r w:rsidR="00260344" w:rsidRPr="004A73C1">
        <w:rPr>
          <w:rFonts w:ascii="Arial" w:hAnsi="Arial" w:cs="Arial"/>
        </w:rPr>
        <w:t xml:space="preserve"> </w:t>
      </w:r>
    </w:p>
    <w:p w14:paraId="652461A1" w14:textId="77777777" w:rsidR="00EF2E34" w:rsidRPr="004A73C1" w:rsidRDefault="00EF2E34" w:rsidP="00EF2E34">
      <w:pPr>
        <w:spacing w:after="0" w:line="360" w:lineRule="auto"/>
        <w:rPr>
          <w:rFonts w:ascii="Arial" w:hAnsi="Arial" w:cs="Arial"/>
          <w:noProof/>
        </w:rPr>
      </w:pPr>
    </w:p>
    <w:p w14:paraId="35D430C8" w14:textId="18927E45" w:rsidR="00DB196A" w:rsidRPr="004A73C1" w:rsidRDefault="00EF2E34" w:rsidP="00EF2E34">
      <w:pPr>
        <w:spacing w:after="0" w:line="360" w:lineRule="auto"/>
        <w:rPr>
          <w:rFonts w:ascii="Arial" w:hAnsi="Arial" w:cs="Arial"/>
        </w:rPr>
      </w:pPr>
      <w:r w:rsidRPr="004A73C1">
        <w:rPr>
          <w:rFonts w:ascii="Arial" w:hAnsi="Arial" w:cs="Arial"/>
          <w:u w:val="single"/>
        </w:rPr>
        <w:lastRenderedPageBreak/>
        <w:t>Table 7</w:t>
      </w:r>
      <w:r w:rsidR="00DB196A" w:rsidRPr="004A73C1">
        <w:rPr>
          <w:rFonts w:ascii="Arial" w:hAnsi="Arial" w:cs="Arial"/>
          <w:noProof/>
        </w:rPr>
        <w:drawing>
          <wp:inline distT="0" distB="0" distL="0" distR="0" wp14:anchorId="2F52AD7B" wp14:editId="6221F576">
            <wp:extent cx="5966749" cy="3518580"/>
            <wp:effectExtent l="0" t="0" r="0" b="5715"/>
            <wp:docPr id="1146624940" name="Picture 1" descr="A graph with green ba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624940" name="Picture 1" descr="A graph with green bars and numbers&#10;&#10;Description automatically generated"/>
                    <pic:cNvPicPr/>
                  </pic:nvPicPr>
                  <pic:blipFill>
                    <a:blip r:embed="rId16"/>
                    <a:stretch>
                      <a:fillRect/>
                    </a:stretch>
                  </pic:blipFill>
                  <pic:spPr>
                    <a:xfrm>
                      <a:off x="0" y="0"/>
                      <a:ext cx="5969486" cy="3520194"/>
                    </a:xfrm>
                    <a:prstGeom prst="rect">
                      <a:avLst/>
                    </a:prstGeom>
                  </pic:spPr>
                </pic:pic>
              </a:graphicData>
            </a:graphic>
          </wp:inline>
        </w:drawing>
      </w:r>
    </w:p>
    <w:p w14:paraId="01152CE8" w14:textId="0F5AEF73" w:rsidR="00691E95" w:rsidRPr="004A73C1" w:rsidRDefault="00691E95" w:rsidP="00691E95">
      <w:pPr>
        <w:spacing w:after="0" w:line="360" w:lineRule="auto"/>
        <w:jc w:val="both"/>
        <w:rPr>
          <w:rFonts w:ascii="Arial" w:hAnsi="Arial" w:cs="Arial"/>
        </w:rPr>
      </w:pPr>
      <w:r w:rsidRPr="004A73C1">
        <w:rPr>
          <w:rFonts w:ascii="Arial" w:hAnsi="Arial" w:cs="Arial"/>
        </w:rPr>
        <w:t xml:space="preserve">The impact of Brexit and the coronavirus outbreak on foreign direct investment in the UK has sparked much discussion. Since the EU referendum in June 2016, there has been a consistent uptick in inbound investment in the UK, as indicated by analysis of quarterly data from the Office for National Statistics (ONS). From Q1 2017 to Q4 2021, growth was recorded in 14 out of 20 quarters. It's worth noting, however, that this growth was not as rapid as it was in 2016, which saw particularly high levels of investment. Moreover, it's important to bear in mind that flows of foreign direct investment (FDI) can be erratic. </w:t>
      </w:r>
      <w:r w:rsidR="00C2494D" w:rsidRPr="004A73C1">
        <w:rPr>
          <w:rFonts w:ascii="Arial" w:hAnsi="Arial" w:cs="Arial"/>
        </w:rPr>
        <w:t>Despite experiencing positive trends in every quarter, investment saw a significant slowdown after Q1 2020. Following a £20.6 billion net inflow in Q1, there was a sharp 95% decrease to £1.1 billion in Q2</w:t>
      </w:r>
      <w:r w:rsidRPr="004A73C1">
        <w:rPr>
          <w:rFonts w:ascii="Arial" w:hAnsi="Arial" w:cs="Arial"/>
        </w:rPr>
        <w:t>.</w:t>
      </w:r>
    </w:p>
    <w:p w14:paraId="5CBAE826" w14:textId="77777777" w:rsidR="009F1A70" w:rsidRPr="004A73C1" w:rsidRDefault="009F1A70" w:rsidP="00EF2E34">
      <w:pPr>
        <w:spacing w:after="0" w:line="360" w:lineRule="auto"/>
        <w:jc w:val="both"/>
        <w:rPr>
          <w:rFonts w:ascii="Arial" w:hAnsi="Arial" w:cs="Arial"/>
        </w:rPr>
      </w:pPr>
    </w:p>
    <w:p w14:paraId="1635CAFC" w14:textId="77777777" w:rsidR="009F1A70" w:rsidRPr="004A73C1" w:rsidRDefault="009F1A70" w:rsidP="00EF2E34">
      <w:pPr>
        <w:spacing w:after="0" w:line="360" w:lineRule="auto"/>
        <w:jc w:val="both"/>
        <w:rPr>
          <w:rFonts w:ascii="Arial" w:hAnsi="Arial" w:cs="Arial"/>
        </w:rPr>
      </w:pPr>
    </w:p>
    <w:p w14:paraId="5A27C1C9" w14:textId="77777777" w:rsidR="009F1A70" w:rsidRPr="004A73C1" w:rsidRDefault="009F1A70" w:rsidP="00EF2E34">
      <w:pPr>
        <w:spacing w:after="0" w:line="360" w:lineRule="auto"/>
        <w:jc w:val="both"/>
        <w:rPr>
          <w:rFonts w:ascii="Arial" w:hAnsi="Arial" w:cs="Arial"/>
        </w:rPr>
      </w:pPr>
    </w:p>
    <w:p w14:paraId="7D8C7C3C" w14:textId="77777777" w:rsidR="009F1A70" w:rsidRPr="004A73C1" w:rsidRDefault="009F1A70" w:rsidP="00EF2E34">
      <w:pPr>
        <w:spacing w:after="0" w:line="360" w:lineRule="auto"/>
        <w:jc w:val="both"/>
        <w:rPr>
          <w:rFonts w:ascii="Arial" w:hAnsi="Arial" w:cs="Arial"/>
        </w:rPr>
      </w:pPr>
    </w:p>
    <w:p w14:paraId="04F64F68" w14:textId="77777777" w:rsidR="009F1A70" w:rsidRDefault="009F1A70" w:rsidP="00EF2E34">
      <w:pPr>
        <w:spacing w:after="0" w:line="360" w:lineRule="auto"/>
        <w:jc w:val="both"/>
        <w:rPr>
          <w:rFonts w:ascii="Arial" w:hAnsi="Arial" w:cs="Arial"/>
        </w:rPr>
      </w:pPr>
    </w:p>
    <w:p w14:paraId="051453BC" w14:textId="77777777" w:rsidR="00BE222C" w:rsidRDefault="00BE222C" w:rsidP="00EF2E34">
      <w:pPr>
        <w:spacing w:after="0" w:line="360" w:lineRule="auto"/>
        <w:jc w:val="both"/>
        <w:rPr>
          <w:rFonts w:ascii="Arial" w:hAnsi="Arial" w:cs="Arial"/>
        </w:rPr>
      </w:pPr>
    </w:p>
    <w:p w14:paraId="7C1C9D5C" w14:textId="77777777" w:rsidR="00BE222C" w:rsidRDefault="00BE222C" w:rsidP="00EF2E34">
      <w:pPr>
        <w:spacing w:after="0" w:line="360" w:lineRule="auto"/>
        <w:jc w:val="both"/>
        <w:rPr>
          <w:rFonts w:ascii="Arial" w:hAnsi="Arial" w:cs="Arial"/>
        </w:rPr>
      </w:pPr>
    </w:p>
    <w:p w14:paraId="20C8D076" w14:textId="77777777" w:rsidR="00BE222C" w:rsidRDefault="00BE222C" w:rsidP="00EF2E34">
      <w:pPr>
        <w:spacing w:after="0" w:line="360" w:lineRule="auto"/>
        <w:jc w:val="both"/>
        <w:rPr>
          <w:rFonts w:ascii="Arial" w:hAnsi="Arial" w:cs="Arial"/>
        </w:rPr>
      </w:pPr>
    </w:p>
    <w:p w14:paraId="2912D2D0" w14:textId="77777777" w:rsidR="00BE222C" w:rsidRDefault="00BE222C" w:rsidP="00EF2E34">
      <w:pPr>
        <w:spacing w:after="0" w:line="360" w:lineRule="auto"/>
        <w:jc w:val="both"/>
        <w:rPr>
          <w:rFonts w:ascii="Arial" w:hAnsi="Arial" w:cs="Arial"/>
        </w:rPr>
      </w:pPr>
    </w:p>
    <w:p w14:paraId="51FFDE40" w14:textId="77777777" w:rsidR="00BE222C" w:rsidRDefault="00BE222C" w:rsidP="00EF2E34">
      <w:pPr>
        <w:spacing w:after="0" w:line="360" w:lineRule="auto"/>
        <w:jc w:val="both"/>
        <w:rPr>
          <w:rFonts w:ascii="Arial" w:hAnsi="Arial" w:cs="Arial"/>
        </w:rPr>
      </w:pPr>
    </w:p>
    <w:p w14:paraId="31D41E83" w14:textId="77777777" w:rsidR="00BE222C" w:rsidRPr="004A73C1" w:rsidRDefault="00BE222C" w:rsidP="00EF2E34">
      <w:pPr>
        <w:spacing w:after="0" w:line="360" w:lineRule="auto"/>
        <w:jc w:val="both"/>
        <w:rPr>
          <w:rFonts w:ascii="Arial" w:hAnsi="Arial" w:cs="Arial"/>
        </w:rPr>
      </w:pPr>
    </w:p>
    <w:p w14:paraId="5876C44A" w14:textId="77777777" w:rsidR="009F1A70" w:rsidRPr="004A73C1" w:rsidRDefault="009F1A70" w:rsidP="00EF2E34">
      <w:pPr>
        <w:spacing w:after="0" w:line="360" w:lineRule="auto"/>
        <w:jc w:val="both"/>
        <w:rPr>
          <w:rFonts w:ascii="Arial" w:hAnsi="Arial" w:cs="Arial"/>
        </w:rPr>
      </w:pPr>
    </w:p>
    <w:p w14:paraId="63E9B6C9" w14:textId="77777777" w:rsidR="009F1A70" w:rsidRPr="004A73C1" w:rsidRDefault="009F1A70" w:rsidP="00EF2E34">
      <w:pPr>
        <w:spacing w:after="0" w:line="360" w:lineRule="auto"/>
        <w:jc w:val="both"/>
        <w:rPr>
          <w:rFonts w:ascii="Arial" w:hAnsi="Arial" w:cs="Arial"/>
        </w:rPr>
      </w:pPr>
    </w:p>
    <w:p w14:paraId="266B9A13" w14:textId="77777777" w:rsidR="009F1A70" w:rsidRPr="004A73C1" w:rsidRDefault="009F1A70" w:rsidP="00EF2E34">
      <w:pPr>
        <w:spacing w:after="0" w:line="360" w:lineRule="auto"/>
        <w:jc w:val="both"/>
        <w:rPr>
          <w:rFonts w:ascii="Arial" w:hAnsi="Arial" w:cs="Arial"/>
        </w:rPr>
      </w:pPr>
    </w:p>
    <w:p w14:paraId="74FC9161" w14:textId="708BC869" w:rsidR="00E305FC" w:rsidRPr="004A73C1" w:rsidRDefault="00E305FC" w:rsidP="00EF2E34">
      <w:pPr>
        <w:spacing w:after="0" w:line="360" w:lineRule="auto"/>
        <w:jc w:val="both"/>
        <w:rPr>
          <w:rFonts w:ascii="Arial" w:hAnsi="Arial" w:cs="Arial"/>
          <w:u w:val="single"/>
        </w:rPr>
      </w:pPr>
      <w:r w:rsidRPr="004A73C1">
        <w:rPr>
          <w:rFonts w:ascii="Arial" w:hAnsi="Arial" w:cs="Arial"/>
          <w:u w:val="single"/>
        </w:rPr>
        <w:lastRenderedPageBreak/>
        <w:t xml:space="preserve">Table </w:t>
      </w:r>
      <w:r w:rsidR="00B80C0D" w:rsidRPr="004A73C1">
        <w:rPr>
          <w:rFonts w:ascii="Arial" w:hAnsi="Arial" w:cs="Arial"/>
          <w:u w:val="single"/>
        </w:rPr>
        <w:t>8</w:t>
      </w:r>
    </w:p>
    <w:p w14:paraId="46224177" w14:textId="1400FF86" w:rsidR="00DB196A" w:rsidRPr="004A73C1" w:rsidRDefault="00DB196A" w:rsidP="00EF2E34">
      <w:pPr>
        <w:spacing w:after="0" w:line="360" w:lineRule="auto"/>
        <w:jc w:val="both"/>
        <w:rPr>
          <w:rFonts w:ascii="Arial" w:hAnsi="Arial" w:cs="Arial"/>
        </w:rPr>
      </w:pPr>
      <w:r w:rsidRPr="004A73C1">
        <w:rPr>
          <w:rFonts w:ascii="Arial" w:hAnsi="Arial" w:cs="Arial"/>
          <w:noProof/>
        </w:rPr>
        <w:drawing>
          <wp:inline distT="0" distB="0" distL="0" distR="0" wp14:anchorId="5B97E877" wp14:editId="6DBE1676">
            <wp:extent cx="5220429" cy="3400900"/>
            <wp:effectExtent l="0" t="0" r="0" b="9525"/>
            <wp:docPr id="139699536" name="Picture 1" descr="A graph with green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99536" name="Picture 1" descr="A graph with green lines&#10;&#10;Description automatically generated"/>
                    <pic:cNvPicPr/>
                  </pic:nvPicPr>
                  <pic:blipFill>
                    <a:blip r:embed="rId17"/>
                    <a:stretch>
                      <a:fillRect/>
                    </a:stretch>
                  </pic:blipFill>
                  <pic:spPr>
                    <a:xfrm>
                      <a:off x="0" y="0"/>
                      <a:ext cx="5220429" cy="3400900"/>
                    </a:xfrm>
                    <a:prstGeom prst="rect">
                      <a:avLst/>
                    </a:prstGeom>
                  </pic:spPr>
                </pic:pic>
              </a:graphicData>
            </a:graphic>
          </wp:inline>
        </w:drawing>
      </w:r>
    </w:p>
    <w:p w14:paraId="7ED2B2CB" w14:textId="77777777" w:rsidR="00C2494D" w:rsidRPr="004A73C1" w:rsidRDefault="00C2494D" w:rsidP="00C2494D">
      <w:pPr>
        <w:spacing w:after="0" w:line="360" w:lineRule="auto"/>
        <w:jc w:val="both"/>
        <w:rPr>
          <w:rFonts w:ascii="Arial" w:hAnsi="Arial" w:cs="Arial"/>
        </w:rPr>
      </w:pPr>
      <w:r w:rsidRPr="004A73C1">
        <w:rPr>
          <w:rFonts w:ascii="Arial" w:hAnsi="Arial" w:cs="Arial"/>
        </w:rPr>
        <w:t xml:space="preserve">The UK remained a desirable location for international investors because of its stable legal system and low corporate tax, even in the face of Brexit uncertainties, according to a 2019 Economist article. </w:t>
      </w:r>
    </w:p>
    <w:p w14:paraId="59E30695" w14:textId="5D075EF5" w:rsidR="00595271" w:rsidRPr="004A73C1" w:rsidRDefault="00595271" w:rsidP="00880023">
      <w:pPr>
        <w:spacing w:line="360" w:lineRule="auto"/>
        <w:jc w:val="both"/>
        <w:rPr>
          <w:rFonts w:ascii="Arial" w:hAnsi="Arial" w:cs="Arial"/>
        </w:rPr>
      </w:pPr>
      <w:r w:rsidRPr="004A73C1">
        <w:rPr>
          <w:rFonts w:ascii="Arial" w:hAnsi="Arial" w:cs="Arial"/>
        </w:rPr>
        <w:t>However, contrasting views suggest that post-referendum foreign direct investment (FDI) may have primarily involved acquiring British companies at discounted prices rather than substantial investment in the country's growth.</w:t>
      </w:r>
    </w:p>
    <w:p w14:paraId="29E0AA7F" w14:textId="21BD695B" w:rsidR="00595271" w:rsidRPr="004A73C1" w:rsidRDefault="00595271" w:rsidP="00880023">
      <w:pPr>
        <w:spacing w:line="360" w:lineRule="auto"/>
        <w:jc w:val="both"/>
        <w:rPr>
          <w:rFonts w:ascii="Arial" w:hAnsi="Arial" w:cs="Arial"/>
        </w:rPr>
      </w:pPr>
      <w:r w:rsidRPr="004A73C1">
        <w:rPr>
          <w:rFonts w:ascii="Arial" w:hAnsi="Arial" w:cs="Arial"/>
        </w:rPr>
        <w:t>In a recent statement, British Minister for Investment, Lord Dominic Johnson, emphasised the availability of significant funding to support burgeoning industries through various programs. Johnson underscored the importance of strategically promoting the country's support subsidies, grants, and investment initiatives.</w:t>
      </w:r>
    </w:p>
    <w:p w14:paraId="5C3CB8B5" w14:textId="77777777" w:rsidR="00C2494D" w:rsidRPr="004A73C1" w:rsidRDefault="00C2494D" w:rsidP="00880023">
      <w:pPr>
        <w:spacing w:line="360" w:lineRule="auto"/>
        <w:jc w:val="both"/>
        <w:rPr>
          <w:rFonts w:ascii="Arial" w:hAnsi="Arial" w:cs="Arial"/>
        </w:rPr>
      </w:pPr>
      <w:bookmarkStart w:id="71" w:name="_Toc175056459"/>
      <w:r w:rsidRPr="004A73C1">
        <w:rPr>
          <w:rFonts w:ascii="Arial" w:hAnsi="Arial" w:cs="Arial"/>
        </w:rPr>
        <w:t>However, in terms of drawing in foreign direct investment (FDI) projects last year, France did better than the UK, according to the EY European Attractiveness Survey. According to the report, the UK's proportion of European digital tech initiatives has declined, from 28.3% on average over the previous ten years to 19.8% in 2022.</w:t>
      </w:r>
    </w:p>
    <w:p w14:paraId="625DB9BA" w14:textId="692FB313" w:rsidR="00CE2452" w:rsidRPr="004A73C1" w:rsidRDefault="00D11768" w:rsidP="00EF2E34">
      <w:pPr>
        <w:pStyle w:val="Heading2"/>
        <w:spacing w:line="360" w:lineRule="auto"/>
        <w:rPr>
          <w:rFonts w:ascii="Arial" w:hAnsi="Arial" w:cs="Arial"/>
          <w:color w:val="auto"/>
        </w:rPr>
      </w:pPr>
      <w:bookmarkStart w:id="72" w:name="_Toc175675341"/>
      <w:r w:rsidRPr="004A73C1">
        <w:rPr>
          <w:rFonts w:ascii="Arial" w:hAnsi="Arial" w:cs="Arial"/>
          <w:color w:val="auto"/>
        </w:rPr>
        <w:t>2.5</w:t>
      </w:r>
      <w:r w:rsidRPr="004A73C1">
        <w:rPr>
          <w:rFonts w:ascii="Arial" w:hAnsi="Arial" w:cs="Arial"/>
          <w:color w:val="auto"/>
        </w:rPr>
        <w:tab/>
      </w:r>
      <w:r w:rsidR="00CE2452" w:rsidRPr="004A73C1">
        <w:rPr>
          <w:rFonts w:ascii="Arial" w:hAnsi="Arial" w:cs="Arial"/>
          <w:color w:val="auto"/>
        </w:rPr>
        <w:t>Chapter Summary</w:t>
      </w:r>
      <w:bookmarkEnd w:id="71"/>
      <w:bookmarkEnd w:id="72"/>
    </w:p>
    <w:p w14:paraId="11BD53BA" w14:textId="194D786F" w:rsidR="00CE2452" w:rsidRPr="004A73C1" w:rsidRDefault="00CE2452" w:rsidP="00EF2E34">
      <w:pPr>
        <w:spacing w:line="360" w:lineRule="auto"/>
        <w:jc w:val="both"/>
        <w:rPr>
          <w:rFonts w:ascii="Arial" w:hAnsi="Arial" w:cs="Arial"/>
        </w:rPr>
      </w:pPr>
      <w:r w:rsidRPr="004A73C1">
        <w:rPr>
          <w:rFonts w:ascii="Arial" w:hAnsi="Arial" w:cs="Arial"/>
        </w:rPr>
        <w:t xml:space="preserve">The literature review chapter provides an overview of existing research, theories, and knowledge related to the topic of interest. It aims to identify gaps in the current understanding and establish the groundwork for the </w:t>
      </w:r>
      <w:r w:rsidR="00E11091" w:rsidRPr="004A73C1">
        <w:rPr>
          <w:rFonts w:ascii="Arial" w:hAnsi="Arial" w:cs="Arial"/>
        </w:rPr>
        <w:t>study</w:t>
      </w:r>
      <w:r w:rsidRPr="004A73C1">
        <w:rPr>
          <w:rFonts w:ascii="Arial" w:hAnsi="Arial" w:cs="Arial"/>
        </w:rPr>
        <w:t xml:space="preserve">. </w:t>
      </w:r>
      <w:r w:rsidR="00E11091" w:rsidRPr="004A73C1">
        <w:rPr>
          <w:rFonts w:ascii="Arial" w:hAnsi="Arial" w:cs="Arial"/>
        </w:rPr>
        <w:t>This literature review focuses</w:t>
      </w:r>
      <w:r w:rsidRPr="004A73C1">
        <w:rPr>
          <w:rFonts w:ascii="Arial" w:hAnsi="Arial" w:cs="Arial"/>
        </w:rPr>
        <w:t xml:space="preserve"> on </w:t>
      </w:r>
      <w:r w:rsidR="00A704B7" w:rsidRPr="004A73C1">
        <w:rPr>
          <w:rFonts w:ascii="Arial" w:hAnsi="Arial" w:cs="Arial"/>
        </w:rPr>
        <w:t>analysing</w:t>
      </w:r>
      <w:r w:rsidRPr="004A73C1">
        <w:rPr>
          <w:rFonts w:ascii="Arial" w:hAnsi="Arial" w:cs="Arial"/>
        </w:rPr>
        <w:t xml:space="preserve"> Foreign Direct Investment (FDI) projects and the impacts of joint ventures, with a specific emphasis on the UK market.</w:t>
      </w:r>
    </w:p>
    <w:p w14:paraId="432027C2" w14:textId="77777777" w:rsidR="00CE2452" w:rsidRPr="004A73C1" w:rsidRDefault="00CE2452" w:rsidP="00EF2E34">
      <w:pPr>
        <w:spacing w:line="360" w:lineRule="auto"/>
        <w:jc w:val="both"/>
        <w:rPr>
          <w:rFonts w:ascii="Arial" w:hAnsi="Arial" w:cs="Arial"/>
        </w:rPr>
      </w:pPr>
      <w:r w:rsidRPr="004A73C1">
        <w:rPr>
          <w:rFonts w:ascii="Arial" w:hAnsi="Arial" w:cs="Arial"/>
        </w:rPr>
        <w:t xml:space="preserve">The chapter begins with a detailed analysis of FDI statistics, highlighting the number of projects, types of investment, and changes observed over the years. It delves into the role of </w:t>
      </w:r>
      <w:r w:rsidRPr="004A73C1">
        <w:rPr>
          <w:rFonts w:ascii="Arial" w:hAnsi="Arial" w:cs="Arial"/>
        </w:rPr>
        <w:lastRenderedPageBreak/>
        <w:t>the Department for International Trade in supporting FDI projects, showcasing the scale and significance of foreign investment in the UK.</w:t>
      </w:r>
    </w:p>
    <w:p w14:paraId="1F81BFAE" w14:textId="77777777" w:rsidR="00CE2452" w:rsidRPr="004A73C1" w:rsidRDefault="00CE2452" w:rsidP="00EF2E34">
      <w:pPr>
        <w:spacing w:line="360" w:lineRule="auto"/>
        <w:jc w:val="both"/>
        <w:rPr>
          <w:rFonts w:ascii="Arial" w:hAnsi="Arial" w:cs="Arial"/>
        </w:rPr>
      </w:pPr>
      <w:r w:rsidRPr="004A73C1">
        <w:rPr>
          <w:rFonts w:ascii="Arial" w:hAnsi="Arial" w:cs="Arial"/>
        </w:rPr>
        <w:t>Additionally, the chapter delves into the concept of FDI by direction, distinguishing between inward FDI and outward FDI. Through real-world examples, it illustrates the impact of inward FDI on the UK economy, demonstrating how international companies continue to invest in the UK market despite uncertainties such as Brexit. It also sheds light on the nature of outward FDI and how domestic companies expand their investments abroad.</w:t>
      </w:r>
    </w:p>
    <w:p w14:paraId="6050A5B7" w14:textId="77CD0160" w:rsidR="00317BCF" w:rsidRPr="004A73C1" w:rsidRDefault="00CE2452" w:rsidP="00EF2E34">
      <w:pPr>
        <w:spacing w:line="360" w:lineRule="auto"/>
        <w:jc w:val="both"/>
        <w:rPr>
          <w:rFonts w:ascii="Arial" w:hAnsi="Arial" w:cs="Arial"/>
        </w:rPr>
      </w:pPr>
      <w:r w:rsidRPr="004A73C1">
        <w:rPr>
          <w:rFonts w:ascii="Arial" w:hAnsi="Arial" w:cs="Arial"/>
        </w:rPr>
        <w:t xml:space="preserve">Overall, the literature review aims to </w:t>
      </w:r>
      <w:r w:rsidR="00E11091" w:rsidRPr="004A73C1">
        <w:rPr>
          <w:rFonts w:ascii="Arial" w:hAnsi="Arial" w:cs="Arial"/>
        </w:rPr>
        <w:t>comprehensively understand</w:t>
      </w:r>
      <w:r w:rsidRPr="004A73C1">
        <w:rPr>
          <w:rFonts w:ascii="Arial" w:hAnsi="Arial" w:cs="Arial"/>
        </w:rPr>
        <w:t xml:space="preserve"> FDI projects, joint ventures, and the dynamics of inward and outward investment. It sets the stage for the research by providing a solid foundation of knowledge and insights into the complex world of international business and investment.</w:t>
      </w:r>
      <w:r w:rsidR="00317BCF" w:rsidRPr="004A73C1">
        <w:rPr>
          <w:rFonts w:ascii="Arial" w:hAnsi="Arial" w:cs="Arial"/>
        </w:rPr>
        <w:br w:type="page"/>
      </w:r>
    </w:p>
    <w:p w14:paraId="6320DAB7" w14:textId="7AADC93A" w:rsidR="00E11091" w:rsidRPr="004A73C1" w:rsidRDefault="00317BCF" w:rsidP="00EF2E34">
      <w:pPr>
        <w:pStyle w:val="Heading1"/>
        <w:spacing w:line="360" w:lineRule="auto"/>
        <w:rPr>
          <w:rFonts w:ascii="Arial" w:hAnsi="Arial" w:cs="Arial"/>
          <w:b/>
          <w:bCs/>
          <w:color w:val="002060"/>
          <w:sz w:val="28"/>
          <w:szCs w:val="28"/>
        </w:rPr>
      </w:pPr>
      <w:bookmarkStart w:id="73" w:name="_Toc316005687"/>
      <w:bookmarkStart w:id="74" w:name="_Toc175056460"/>
      <w:bookmarkStart w:id="75" w:name="_Toc175675342"/>
      <w:r w:rsidRPr="004A73C1">
        <w:rPr>
          <w:rFonts w:ascii="Arial" w:hAnsi="Arial" w:cs="Arial"/>
          <w:b/>
          <w:bCs/>
          <w:color w:val="002060"/>
          <w:sz w:val="28"/>
          <w:szCs w:val="28"/>
        </w:rPr>
        <w:lastRenderedPageBreak/>
        <w:t xml:space="preserve">CHAPTER </w:t>
      </w:r>
      <w:r w:rsidR="00E11091" w:rsidRPr="004A73C1">
        <w:rPr>
          <w:rFonts w:ascii="Arial" w:hAnsi="Arial" w:cs="Arial"/>
          <w:b/>
          <w:bCs/>
          <w:color w:val="002060"/>
          <w:sz w:val="28"/>
          <w:szCs w:val="28"/>
        </w:rPr>
        <w:t>3</w:t>
      </w:r>
      <w:bookmarkEnd w:id="73"/>
      <w:r w:rsidR="00E11091" w:rsidRPr="004A73C1">
        <w:rPr>
          <w:rFonts w:ascii="Arial" w:hAnsi="Arial" w:cs="Arial"/>
          <w:b/>
          <w:bCs/>
          <w:color w:val="002060"/>
          <w:sz w:val="28"/>
          <w:szCs w:val="28"/>
        </w:rPr>
        <w:t>- Research Methodologies</w:t>
      </w:r>
      <w:bookmarkEnd w:id="74"/>
      <w:bookmarkEnd w:id="75"/>
    </w:p>
    <w:p w14:paraId="73DEBF1B" w14:textId="4AA9EAD6" w:rsidR="00E11091" w:rsidRPr="004A73C1" w:rsidRDefault="00000000" w:rsidP="00EF2E34">
      <w:pPr>
        <w:spacing w:line="360" w:lineRule="auto"/>
        <w:jc w:val="both"/>
        <w:rPr>
          <w:rFonts w:ascii="Arial" w:hAnsi="Arial" w:cs="Arial"/>
        </w:rPr>
      </w:pPr>
      <w:r>
        <w:rPr>
          <w:rFonts w:ascii="Arial" w:hAnsi="Arial" w:cs="Arial"/>
        </w:rPr>
        <w:pict w14:anchorId="14EFB2C5">
          <v:rect id="_x0000_i1027" style="width:0;height:1.5pt" o:hralign="center" o:hrstd="t" o:hr="t" fillcolor="#a0a0a0" stroked="f"/>
        </w:pict>
      </w:r>
    </w:p>
    <w:p w14:paraId="37A891CE" w14:textId="393031AD" w:rsidR="00317BCF" w:rsidRPr="004A73C1" w:rsidRDefault="00D11768" w:rsidP="00EF2E34">
      <w:pPr>
        <w:pStyle w:val="Heading2"/>
        <w:spacing w:line="360" w:lineRule="auto"/>
        <w:rPr>
          <w:rFonts w:ascii="Arial" w:hAnsi="Arial" w:cs="Arial"/>
          <w:color w:val="auto"/>
        </w:rPr>
      </w:pPr>
      <w:bookmarkStart w:id="76" w:name="_Toc316005688"/>
      <w:bookmarkStart w:id="77" w:name="_Toc175056461"/>
      <w:bookmarkStart w:id="78" w:name="_Toc175675343"/>
      <w:r w:rsidRPr="004A73C1">
        <w:rPr>
          <w:rFonts w:ascii="Arial" w:hAnsi="Arial" w:cs="Arial"/>
          <w:color w:val="auto"/>
        </w:rPr>
        <w:t>3.1</w:t>
      </w:r>
      <w:r w:rsidRPr="004A73C1">
        <w:rPr>
          <w:rFonts w:ascii="Arial" w:hAnsi="Arial" w:cs="Arial"/>
          <w:color w:val="auto"/>
        </w:rPr>
        <w:tab/>
      </w:r>
      <w:r w:rsidR="009F1A70" w:rsidRPr="004A73C1">
        <w:rPr>
          <w:rFonts w:ascii="Arial" w:hAnsi="Arial" w:cs="Arial"/>
          <w:color w:val="auto"/>
        </w:rPr>
        <w:t>Introduction</w:t>
      </w:r>
      <w:bookmarkEnd w:id="76"/>
      <w:bookmarkEnd w:id="77"/>
      <w:bookmarkEnd w:id="78"/>
    </w:p>
    <w:p w14:paraId="7DAA3A3E" w14:textId="41E0DBAE" w:rsidR="00B90250" w:rsidRPr="004A73C1" w:rsidRDefault="00B90250" w:rsidP="00EF2E34">
      <w:pPr>
        <w:spacing w:after="0" w:line="360" w:lineRule="auto"/>
        <w:jc w:val="both"/>
        <w:rPr>
          <w:rFonts w:ascii="Arial" w:hAnsi="Arial" w:cs="Arial"/>
        </w:rPr>
      </w:pPr>
      <w:r w:rsidRPr="004A73C1">
        <w:rPr>
          <w:rFonts w:ascii="Arial" w:hAnsi="Arial" w:cs="Arial"/>
        </w:rPr>
        <w:t>This chapter will present an overview of the dissertation's methodology and discuss the various research types and procedures available for scholarly investigation.</w:t>
      </w:r>
    </w:p>
    <w:p w14:paraId="4CFCF0BB" w14:textId="2633446B" w:rsidR="00B90250" w:rsidRPr="004A73C1" w:rsidRDefault="00D11768" w:rsidP="00EF2E34">
      <w:pPr>
        <w:pStyle w:val="Heading2"/>
        <w:spacing w:line="360" w:lineRule="auto"/>
        <w:rPr>
          <w:rFonts w:ascii="Arial" w:hAnsi="Arial" w:cs="Arial"/>
          <w:color w:val="auto"/>
        </w:rPr>
      </w:pPr>
      <w:bookmarkStart w:id="79" w:name="_Toc175056462"/>
      <w:bookmarkStart w:id="80" w:name="_Toc175675344"/>
      <w:r w:rsidRPr="004A73C1">
        <w:rPr>
          <w:rFonts w:ascii="Arial" w:hAnsi="Arial" w:cs="Arial"/>
          <w:color w:val="auto"/>
        </w:rPr>
        <w:t>3.2</w:t>
      </w:r>
      <w:r w:rsidRPr="004A73C1">
        <w:rPr>
          <w:rFonts w:ascii="Arial" w:hAnsi="Arial" w:cs="Arial"/>
          <w:color w:val="auto"/>
        </w:rPr>
        <w:tab/>
      </w:r>
      <w:r w:rsidR="00B90250" w:rsidRPr="004A73C1">
        <w:rPr>
          <w:rFonts w:ascii="Arial" w:hAnsi="Arial" w:cs="Arial"/>
          <w:color w:val="auto"/>
        </w:rPr>
        <w:t xml:space="preserve">Research </w:t>
      </w:r>
      <w:r w:rsidR="00C13730">
        <w:rPr>
          <w:rFonts w:ascii="Arial" w:hAnsi="Arial" w:cs="Arial"/>
          <w:color w:val="auto"/>
        </w:rPr>
        <w:t>M</w:t>
      </w:r>
      <w:r w:rsidR="00B90250" w:rsidRPr="004A73C1">
        <w:rPr>
          <w:rFonts w:ascii="Arial" w:hAnsi="Arial" w:cs="Arial"/>
          <w:color w:val="auto"/>
        </w:rPr>
        <w:t>ethodologies</w:t>
      </w:r>
      <w:bookmarkEnd w:id="79"/>
      <w:bookmarkEnd w:id="80"/>
    </w:p>
    <w:p w14:paraId="58EE6A52" w14:textId="7E01945F" w:rsidR="00317BCF" w:rsidRDefault="00317BCF" w:rsidP="00EF2E34">
      <w:pPr>
        <w:spacing w:after="0" w:line="360" w:lineRule="auto"/>
        <w:jc w:val="both"/>
        <w:rPr>
          <w:rFonts w:ascii="Arial" w:eastAsia="Arial Unicode MS" w:hAnsi="Arial" w:cs="Arial"/>
        </w:rPr>
      </w:pPr>
      <w:r w:rsidRPr="004A73C1">
        <w:rPr>
          <w:rFonts w:ascii="Arial" w:hAnsi="Arial" w:cs="Arial"/>
        </w:rPr>
        <w:t>Research methodologies refer to the systematic and structured techniques and procedures researchers use to conduct their studies and gather relevant data. These methodologies assist researchers in achieving their objectives and drawing conclusions from their research. Various research methodologies, such as pure and applied research, serve different purposes and utilise distinct approaches to gather and interpret data. The research process involves several steps, including formulating research questions, reviewing existing literature, collecting and analysing data, and drawing conclusions based on the findings. These steps are crucial in guiding researchers towards completing their research projects (</w:t>
      </w:r>
      <w:r w:rsidRPr="004A73C1">
        <w:rPr>
          <w:rFonts w:ascii="Arial" w:eastAsia="Arial Unicode MS" w:hAnsi="Arial" w:cs="Arial"/>
        </w:rPr>
        <w:t>Kothari, C.R, 1985).</w:t>
      </w:r>
    </w:p>
    <w:p w14:paraId="08F91F15" w14:textId="77777777" w:rsidR="000D7E53" w:rsidRPr="004A73C1" w:rsidRDefault="000D7E53" w:rsidP="00EF2E34">
      <w:pPr>
        <w:spacing w:after="0" w:line="360" w:lineRule="auto"/>
        <w:jc w:val="both"/>
        <w:rPr>
          <w:rFonts w:ascii="Arial" w:eastAsia="Arial Unicode MS" w:hAnsi="Arial" w:cs="Arial"/>
        </w:rPr>
      </w:pPr>
    </w:p>
    <w:p w14:paraId="6ABA27C1" w14:textId="27312F54" w:rsidR="00317BCF" w:rsidRPr="004A73C1" w:rsidRDefault="00D11768" w:rsidP="00EF2E34">
      <w:pPr>
        <w:pStyle w:val="Heading2"/>
        <w:spacing w:line="360" w:lineRule="auto"/>
        <w:rPr>
          <w:rFonts w:ascii="Arial" w:hAnsi="Arial" w:cs="Arial"/>
          <w:color w:val="auto"/>
        </w:rPr>
      </w:pPr>
      <w:bookmarkStart w:id="81" w:name="_Toc175056463"/>
      <w:bookmarkStart w:id="82" w:name="_Toc175675345"/>
      <w:r w:rsidRPr="004A73C1">
        <w:rPr>
          <w:rFonts w:ascii="Arial" w:hAnsi="Arial" w:cs="Arial"/>
          <w:color w:val="auto"/>
        </w:rPr>
        <w:t>3.3</w:t>
      </w:r>
      <w:r w:rsidRPr="004A73C1">
        <w:rPr>
          <w:rFonts w:ascii="Arial" w:hAnsi="Arial" w:cs="Arial"/>
          <w:color w:val="auto"/>
        </w:rPr>
        <w:tab/>
      </w:r>
      <w:r w:rsidR="00317BCF" w:rsidRPr="004A73C1">
        <w:rPr>
          <w:rFonts w:ascii="Arial" w:hAnsi="Arial" w:cs="Arial"/>
          <w:color w:val="auto"/>
        </w:rPr>
        <w:t xml:space="preserve">The </w:t>
      </w:r>
      <w:r w:rsidR="00C13730">
        <w:rPr>
          <w:rFonts w:ascii="Arial" w:hAnsi="Arial" w:cs="Arial"/>
          <w:color w:val="auto"/>
        </w:rPr>
        <w:t>M</w:t>
      </w:r>
      <w:r w:rsidR="00317BCF" w:rsidRPr="004A73C1">
        <w:rPr>
          <w:rFonts w:ascii="Arial" w:hAnsi="Arial" w:cs="Arial"/>
          <w:color w:val="auto"/>
        </w:rPr>
        <w:t xml:space="preserve">ain </w:t>
      </w:r>
      <w:r w:rsidR="00C13730">
        <w:rPr>
          <w:rFonts w:ascii="Arial" w:hAnsi="Arial" w:cs="Arial"/>
          <w:color w:val="auto"/>
        </w:rPr>
        <w:t>T</w:t>
      </w:r>
      <w:r w:rsidR="00317BCF" w:rsidRPr="004A73C1">
        <w:rPr>
          <w:rFonts w:ascii="Arial" w:hAnsi="Arial" w:cs="Arial"/>
          <w:color w:val="auto"/>
        </w:rPr>
        <w:t xml:space="preserve">ypes </w:t>
      </w:r>
      <w:r w:rsidR="00C13730">
        <w:rPr>
          <w:rFonts w:ascii="Arial" w:hAnsi="Arial" w:cs="Arial"/>
          <w:color w:val="auto"/>
        </w:rPr>
        <w:t>O</w:t>
      </w:r>
      <w:r w:rsidR="00317BCF" w:rsidRPr="004A73C1">
        <w:rPr>
          <w:rFonts w:ascii="Arial" w:hAnsi="Arial" w:cs="Arial"/>
          <w:color w:val="auto"/>
        </w:rPr>
        <w:t xml:space="preserve">f </w:t>
      </w:r>
      <w:r w:rsidR="00C13730">
        <w:rPr>
          <w:rFonts w:ascii="Arial" w:hAnsi="Arial" w:cs="Arial"/>
          <w:color w:val="auto"/>
        </w:rPr>
        <w:t>R</w:t>
      </w:r>
      <w:r w:rsidR="00317BCF" w:rsidRPr="004A73C1">
        <w:rPr>
          <w:rFonts w:ascii="Arial" w:hAnsi="Arial" w:cs="Arial"/>
          <w:color w:val="auto"/>
        </w:rPr>
        <w:t>esearch</w:t>
      </w:r>
      <w:bookmarkEnd w:id="81"/>
      <w:bookmarkEnd w:id="82"/>
      <w:r w:rsidR="00317BCF" w:rsidRPr="004A73C1">
        <w:rPr>
          <w:rFonts w:ascii="Arial" w:hAnsi="Arial" w:cs="Arial"/>
          <w:color w:val="auto"/>
        </w:rPr>
        <w:t xml:space="preserve"> </w:t>
      </w:r>
    </w:p>
    <w:p w14:paraId="6D9FB606" w14:textId="7A440E1D" w:rsidR="00321E92" w:rsidRPr="004A73C1" w:rsidRDefault="00321E92" w:rsidP="00EF2E34">
      <w:pPr>
        <w:spacing w:after="0" w:line="360" w:lineRule="auto"/>
        <w:jc w:val="both"/>
        <w:rPr>
          <w:rFonts w:ascii="Arial" w:hAnsi="Arial" w:cs="Arial"/>
        </w:rPr>
      </w:pPr>
      <w:r w:rsidRPr="004A73C1">
        <w:rPr>
          <w:rFonts w:ascii="Arial" w:hAnsi="Arial" w:cs="Arial"/>
        </w:rPr>
        <w:t>There are three types of research:</w:t>
      </w:r>
    </w:p>
    <w:p w14:paraId="0293F899" w14:textId="77777777" w:rsidR="00317BCF" w:rsidRPr="004A73C1" w:rsidRDefault="00317BCF" w:rsidP="00EF2E34">
      <w:pPr>
        <w:spacing w:after="0" w:line="360" w:lineRule="auto"/>
        <w:jc w:val="both"/>
        <w:rPr>
          <w:rFonts w:ascii="Arial" w:hAnsi="Arial" w:cs="Arial"/>
        </w:rPr>
      </w:pPr>
      <w:r w:rsidRPr="004A73C1">
        <w:rPr>
          <w:rFonts w:ascii="Arial" w:hAnsi="Arial" w:cs="Arial"/>
        </w:rPr>
        <w:t>1. Quantitative research</w:t>
      </w:r>
    </w:p>
    <w:p w14:paraId="01B4C520" w14:textId="77777777" w:rsidR="00317BCF" w:rsidRPr="004A73C1" w:rsidRDefault="00317BCF" w:rsidP="00EF2E34">
      <w:pPr>
        <w:spacing w:after="0" w:line="360" w:lineRule="auto"/>
        <w:jc w:val="both"/>
        <w:rPr>
          <w:rFonts w:ascii="Arial" w:hAnsi="Arial" w:cs="Arial"/>
        </w:rPr>
      </w:pPr>
      <w:r w:rsidRPr="004A73C1">
        <w:rPr>
          <w:rFonts w:ascii="Arial" w:hAnsi="Arial" w:cs="Arial"/>
        </w:rPr>
        <w:t>2. Qualitative research</w:t>
      </w:r>
    </w:p>
    <w:p w14:paraId="0EFB114E" w14:textId="77777777" w:rsidR="00317BCF" w:rsidRDefault="00317BCF" w:rsidP="00EF2E34">
      <w:pPr>
        <w:spacing w:after="0" w:line="360" w:lineRule="auto"/>
        <w:jc w:val="both"/>
        <w:rPr>
          <w:rFonts w:ascii="Arial" w:hAnsi="Arial" w:cs="Arial"/>
        </w:rPr>
      </w:pPr>
      <w:r w:rsidRPr="004A73C1">
        <w:rPr>
          <w:rFonts w:ascii="Arial" w:hAnsi="Arial" w:cs="Arial"/>
        </w:rPr>
        <w:t>3. Mixed-method research</w:t>
      </w:r>
    </w:p>
    <w:p w14:paraId="6495F1AF" w14:textId="77777777" w:rsidR="000D7E53" w:rsidRPr="004A73C1" w:rsidRDefault="000D7E53" w:rsidP="00EF2E34">
      <w:pPr>
        <w:spacing w:after="0" w:line="360" w:lineRule="auto"/>
        <w:jc w:val="both"/>
        <w:rPr>
          <w:rFonts w:ascii="Arial" w:hAnsi="Arial" w:cs="Arial"/>
        </w:rPr>
      </w:pPr>
    </w:p>
    <w:p w14:paraId="2E033D10" w14:textId="5EEA5B82" w:rsidR="00127D43" w:rsidRPr="004A73C1" w:rsidRDefault="00D11768" w:rsidP="00EF2E34">
      <w:pPr>
        <w:pStyle w:val="Heading2"/>
        <w:spacing w:line="360" w:lineRule="auto"/>
        <w:rPr>
          <w:rFonts w:ascii="Arial" w:hAnsi="Arial" w:cs="Arial"/>
          <w:color w:val="auto"/>
        </w:rPr>
      </w:pPr>
      <w:bookmarkStart w:id="83" w:name="_Toc175056464"/>
      <w:bookmarkStart w:id="84" w:name="_Toc175675346"/>
      <w:r w:rsidRPr="004A73C1">
        <w:rPr>
          <w:rFonts w:ascii="Arial" w:hAnsi="Arial" w:cs="Arial"/>
          <w:color w:val="auto"/>
        </w:rPr>
        <w:t>3.3.1</w:t>
      </w:r>
      <w:r w:rsidRPr="004A73C1">
        <w:rPr>
          <w:rFonts w:ascii="Arial" w:hAnsi="Arial" w:cs="Arial"/>
          <w:color w:val="auto"/>
        </w:rPr>
        <w:tab/>
      </w:r>
      <w:r w:rsidR="00127D43" w:rsidRPr="004A73C1">
        <w:rPr>
          <w:rFonts w:ascii="Arial" w:hAnsi="Arial" w:cs="Arial"/>
          <w:color w:val="auto"/>
        </w:rPr>
        <w:t xml:space="preserve">Quantitative </w:t>
      </w:r>
      <w:r w:rsidR="00C13730">
        <w:rPr>
          <w:rFonts w:ascii="Arial" w:hAnsi="Arial" w:cs="Arial"/>
          <w:color w:val="auto"/>
        </w:rPr>
        <w:t>R</w:t>
      </w:r>
      <w:r w:rsidR="00127D43" w:rsidRPr="004A73C1">
        <w:rPr>
          <w:rFonts w:ascii="Arial" w:hAnsi="Arial" w:cs="Arial"/>
          <w:color w:val="auto"/>
        </w:rPr>
        <w:t>esearch</w:t>
      </w:r>
      <w:bookmarkEnd w:id="83"/>
      <w:bookmarkEnd w:id="84"/>
    </w:p>
    <w:p w14:paraId="121FE5AC" w14:textId="77777777" w:rsidR="000C06A6" w:rsidRPr="004A73C1" w:rsidRDefault="002B08F4" w:rsidP="00EF2E34">
      <w:pPr>
        <w:spacing w:after="0" w:line="360" w:lineRule="auto"/>
        <w:jc w:val="both"/>
        <w:rPr>
          <w:rFonts w:ascii="Arial" w:hAnsi="Arial" w:cs="Arial"/>
        </w:rPr>
      </w:pPr>
      <w:r w:rsidRPr="004A73C1">
        <w:rPr>
          <w:rFonts w:ascii="Arial" w:hAnsi="Arial" w:cs="Arial"/>
        </w:rPr>
        <w:t xml:space="preserve">When conducting quantitative research for Foreign Direct Investment (FDI), detailed analysis involves utilizing statistical and econometric methods to examine specific aspects of FDI and its impact on the economy. </w:t>
      </w:r>
    </w:p>
    <w:p w14:paraId="13B6D34E" w14:textId="77777777" w:rsidR="000D7E53" w:rsidRDefault="000D7E53" w:rsidP="00EF2E34">
      <w:pPr>
        <w:spacing w:after="0" w:line="360" w:lineRule="auto"/>
        <w:jc w:val="both"/>
        <w:rPr>
          <w:rFonts w:ascii="Arial" w:hAnsi="Arial" w:cs="Arial"/>
        </w:rPr>
      </w:pPr>
    </w:p>
    <w:p w14:paraId="581CFBD3" w14:textId="67D5E4C9" w:rsidR="00433E60" w:rsidRPr="004A73C1" w:rsidRDefault="00433E60" w:rsidP="00EF2E34">
      <w:pPr>
        <w:spacing w:after="0" w:line="360" w:lineRule="auto"/>
        <w:jc w:val="both"/>
        <w:rPr>
          <w:rFonts w:ascii="Arial" w:hAnsi="Arial" w:cs="Arial"/>
        </w:rPr>
      </w:pPr>
      <w:r w:rsidRPr="004A73C1">
        <w:rPr>
          <w:rFonts w:ascii="Arial" w:hAnsi="Arial" w:cs="Arial"/>
        </w:rPr>
        <w:t>To effectively achieve our research objectives, it is imperative to undertake a thorough analysis aimed at uncovering the answers to our specific research inquiries. This involves comprehensively grasping and effectively leveraging data derived from various sources. To meticulously compare the secondary data, we will employ a range of analysis methods which are detailed below. These methods will allow us to quantitatively assess the data and provide a thorough and detailed analysis.</w:t>
      </w:r>
    </w:p>
    <w:p w14:paraId="230FD5D7" w14:textId="77777777" w:rsidR="006C3437" w:rsidRDefault="006C3437" w:rsidP="00EF2E34">
      <w:pPr>
        <w:spacing w:after="0" w:line="360" w:lineRule="auto"/>
        <w:jc w:val="both"/>
        <w:rPr>
          <w:rFonts w:ascii="Arial" w:hAnsi="Arial" w:cs="Arial"/>
        </w:rPr>
      </w:pPr>
    </w:p>
    <w:p w14:paraId="39ACA4BB" w14:textId="6CBAA377" w:rsidR="002B08F4" w:rsidRPr="004A73C1" w:rsidRDefault="002B08F4" w:rsidP="00EF2E34">
      <w:pPr>
        <w:spacing w:after="0" w:line="360" w:lineRule="auto"/>
        <w:jc w:val="both"/>
        <w:rPr>
          <w:rFonts w:ascii="Arial" w:hAnsi="Arial" w:cs="Arial"/>
        </w:rPr>
      </w:pPr>
      <w:r w:rsidRPr="004A73C1">
        <w:rPr>
          <w:rFonts w:ascii="Arial" w:hAnsi="Arial" w:cs="Arial"/>
        </w:rPr>
        <w:t>Here are a few quantitative research techniques and examples of their application in FDI analysis:</w:t>
      </w:r>
    </w:p>
    <w:p w14:paraId="2F385D4C" w14:textId="77777777" w:rsidR="002B08F4" w:rsidRPr="004A73C1" w:rsidRDefault="002B08F4" w:rsidP="00EF2E34">
      <w:pPr>
        <w:spacing w:after="0" w:line="360" w:lineRule="auto"/>
        <w:jc w:val="both"/>
        <w:rPr>
          <w:rFonts w:ascii="Arial" w:hAnsi="Arial" w:cs="Arial"/>
        </w:rPr>
      </w:pPr>
    </w:p>
    <w:p w14:paraId="0602CD24" w14:textId="42976D28" w:rsidR="00994D7E" w:rsidRPr="004A73C1" w:rsidRDefault="00D11768" w:rsidP="00EF2E34">
      <w:pPr>
        <w:pStyle w:val="Heading3"/>
        <w:spacing w:line="360" w:lineRule="auto"/>
        <w:rPr>
          <w:rStyle w:val="Heading2Char"/>
          <w:rFonts w:ascii="Arial" w:hAnsi="Arial" w:cs="Arial"/>
          <w:color w:val="auto"/>
          <w:sz w:val="26"/>
          <w:szCs w:val="26"/>
        </w:rPr>
      </w:pPr>
      <w:bookmarkStart w:id="85" w:name="_Toc175056465"/>
      <w:bookmarkStart w:id="86" w:name="_Toc175675347"/>
      <w:r w:rsidRPr="004A73C1">
        <w:rPr>
          <w:rStyle w:val="Heading2Char"/>
          <w:rFonts w:ascii="Arial" w:hAnsi="Arial" w:cs="Arial"/>
          <w:color w:val="auto"/>
          <w:sz w:val="26"/>
          <w:szCs w:val="26"/>
        </w:rPr>
        <w:lastRenderedPageBreak/>
        <w:t>3.3.</w:t>
      </w:r>
      <w:r w:rsidR="00646CBB" w:rsidRPr="004A73C1">
        <w:rPr>
          <w:rStyle w:val="Heading2Char"/>
          <w:rFonts w:ascii="Arial" w:hAnsi="Arial" w:cs="Arial"/>
          <w:color w:val="auto"/>
          <w:sz w:val="26"/>
          <w:szCs w:val="26"/>
        </w:rPr>
        <w:t>2</w:t>
      </w:r>
      <w:r w:rsidRPr="004A73C1">
        <w:rPr>
          <w:rStyle w:val="Heading2Char"/>
          <w:rFonts w:ascii="Arial" w:hAnsi="Arial" w:cs="Arial"/>
          <w:color w:val="auto"/>
          <w:sz w:val="26"/>
          <w:szCs w:val="26"/>
        </w:rPr>
        <w:tab/>
      </w:r>
      <w:r w:rsidR="00994D7E" w:rsidRPr="004A73C1">
        <w:rPr>
          <w:rStyle w:val="Heading2Char"/>
          <w:rFonts w:ascii="Arial" w:hAnsi="Arial" w:cs="Arial"/>
          <w:color w:val="auto"/>
          <w:sz w:val="26"/>
          <w:szCs w:val="26"/>
        </w:rPr>
        <w:t>Quantitative Research Techniques</w:t>
      </w:r>
      <w:bookmarkEnd w:id="86"/>
    </w:p>
    <w:p w14:paraId="205FEB67" w14:textId="208C1E48" w:rsidR="002B08F4" w:rsidRPr="004A73C1" w:rsidRDefault="00994D7E" w:rsidP="00EF2E34">
      <w:pPr>
        <w:pStyle w:val="Heading3"/>
        <w:spacing w:line="360" w:lineRule="auto"/>
        <w:rPr>
          <w:rStyle w:val="Heading2Char"/>
          <w:rFonts w:ascii="Arial" w:hAnsi="Arial" w:cs="Arial"/>
          <w:color w:val="auto"/>
          <w:sz w:val="26"/>
          <w:szCs w:val="26"/>
        </w:rPr>
      </w:pPr>
      <w:bookmarkStart w:id="87" w:name="_Toc175675348"/>
      <w:r w:rsidRPr="004A73C1">
        <w:rPr>
          <w:rStyle w:val="Heading2Char"/>
          <w:rFonts w:ascii="Arial" w:hAnsi="Arial" w:cs="Arial"/>
          <w:color w:val="auto"/>
          <w:sz w:val="26"/>
          <w:szCs w:val="26"/>
        </w:rPr>
        <w:t>1</w:t>
      </w:r>
      <w:r w:rsidRPr="004A73C1">
        <w:rPr>
          <w:rStyle w:val="Heading2Char"/>
          <w:rFonts w:ascii="Arial" w:hAnsi="Arial" w:cs="Arial"/>
          <w:color w:val="auto"/>
          <w:sz w:val="26"/>
          <w:szCs w:val="26"/>
        </w:rPr>
        <w:tab/>
      </w:r>
      <w:r w:rsidR="002B08F4" w:rsidRPr="004A73C1">
        <w:rPr>
          <w:rStyle w:val="Heading2Char"/>
          <w:rFonts w:ascii="Arial" w:hAnsi="Arial" w:cs="Arial"/>
          <w:color w:val="auto"/>
          <w:sz w:val="26"/>
          <w:szCs w:val="26"/>
        </w:rPr>
        <w:t>Regression Analysis:</w:t>
      </w:r>
      <w:bookmarkEnd w:id="85"/>
      <w:bookmarkEnd w:id="87"/>
    </w:p>
    <w:p w14:paraId="1AD68A23" w14:textId="74A4D69D" w:rsidR="002B08F4" w:rsidRPr="004A73C1" w:rsidRDefault="002B08F4" w:rsidP="00EF2E34">
      <w:pPr>
        <w:spacing w:after="0" w:line="360" w:lineRule="auto"/>
        <w:jc w:val="both"/>
        <w:rPr>
          <w:rFonts w:ascii="Arial" w:hAnsi="Arial" w:cs="Arial"/>
        </w:rPr>
      </w:pPr>
      <w:r w:rsidRPr="004A73C1">
        <w:rPr>
          <w:rFonts w:ascii="Arial" w:hAnsi="Arial" w:cs="Arial"/>
        </w:rPr>
        <w:t>Regression analysis can be used to identify the determinants of FDI.</w:t>
      </w:r>
      <w:r w:rsidR="00E305FC" w:rsidRPr="004A73C1">
        <w:rPr>
          <w:rFonts w:ascii="Arial" w:hAnsi="Arial" w:cs="Arial"/>
        </w:rPr>
        <w:t xml:space="preserve"> This allows us to</w:t>
      </w:r>
      <w:r w:rsidRPr="004A73C1">
        <w:rPr>
          <w:rFonts w:ascii="Arial" w:hAnsi="Arial" w:cs="Arial"/>
        </w:rPr>
        <w:t xml:space="preserve"> examine the relationship between FDI inflows and various factors such as market size, labour costs, infrastructure, government policies, and economic stability. For example, a study may use regression analysis to assess the impact of tax incentives on FDI inflows in a specific industry or region.</w:t>
      </w:r>
    </w:p>
    <w:p w14:paraId="0B431AA7" w14:textId="7BE5DB09" w:rsidR="002B08F4" w:rsidRPr="004A73C1" w:rsidRDefault="00994D7E" w:rsidP="00EF2E34">
      <w:pPr>
        <w:pStyle w:val="Heading3"/>
        <w:spacing w:line="360" w:lineRule="auto"/>
        <w:rPr>
          <w:rStyle w:val="Heading2Char"/>
          <w:rFonts w:ascii="Arial" w:hAnsi="Arial" w:cs="Arial"/>
          <w:color w:val="auto"/>
          <w:sz w:val="26"/>
          <w:szCs w:val="26"/>
        </w:rPr>
      </w:pPr>
      <w:bookmarkStart w:id="88" w:name="_Toc175056466"/>
      <w:bookmarkStart w:id="89" w:name="_Toc175675349"/>
      <w:r w:rsidRPr="004A73C1">
        <w:rPr>
          <w:rStyle w:val="Heading2Char"/>
          <w:rFonts w:ascii="Arial" w:hAnsi="Arial" w:cs="Arial"/>
          <w:color w:val="auto"/>
          <w:sz w:val="26"/>
          <w:szCs w:val="26"/>
        </w:rPr>
        <w:t>2</w:t>
      </w:r>
      <w:r w:rsidR="00D11768" w:rsidRPr="004A73C1">
        <w:rPr>
          <w:rStyle w:val="Heading2Char"/>
          <w:rFonts w:ascii="Arial" w:hAnsi="Arial" w:cs="Arial"/>
          <w:color w:val="auto"/>
          <w:sz w:val="26"/>
          <w:szCs w:val="26"/>
        </w:rPr>
        <w:tab/>
      </w:r>
      <w:r w:rsidR="002B08F4" w:rsidRPr="004A73C1">
        <w:rPr>
          <w:rStyle w:val="Heading2Char"/>
          <w:rFonts w:ascii="Arial" w:hAnsi="Arial" w:cs="Arial"/>
          <w:color w:val="auto"/>
          <w:sz w:val="26"/>
          <w:szCs w:val="26"/>
        </w:rPr>
        <w:t>Input-Output Analysis:</w:t>
      </w:r>
      <w:bookmarkEnd w:id="88"/>
      <w:bookmarkEnd w:id="89"/>
    </w:p>
    <w:p w14:paraId="28622361" w14:textId="527EE18C" w:rsidR="002B08F4" w:rsidRPr="004A73C1" w:rsidRDefault="002B08F4" w:rsidP="00EF2E34">
      <w:pPr>
        <w:spacing w:after="0" w:line="360" w:lineRule="auto"/>
        <w:jc w:val="both"/>
        <w:rPr>
          <w:rFonts w:ascii="Arial" w:hAnsi="Arial" w:cs="Arial"/>
        </w:rPr>
      </w:pPr>
      <w:r w:rsidRPr="004A73C1">
        <w:rPr>
          <w:rFonts w:ascii="Arial" w:hAnsi="Arial" w:cs="Arial"/>
        </w:rPr>
        <w:t xml:space="preserve"> Input-output analysis can be applied to evaluate the inter-industry linkages and multiplier effects of FDI. </w:t>
      </w:r>
      <w:r w:rsidR="00E305FC" w:rsidRPr="004A73C1">
        <w:rPr>
          <w:rFonts w:ascii="Arial" w:hAnsi="Arial" w:cs="Arial"/>
        </w:rPr>
        <w:t xml:space="preserve">We </w:t>
      </w:r>
      <w:r w:rsidRPr="004A73C1">
        <w:rPr>
          <w:rFonts w:ascii="Arial" w:hAnsi="Arial" w:cs="Arial"/>
        </w:rPr>
        <w:t>can use input-output models to quantify how FDI in a particular sector affects other sectors of the economy</w:t>
      </w:r>
    </w:p>
    <w:p w14:paraId="57F4083E" w14:textId="77777777" w:rsidR="002B08F4" w:rsidRPr="004A73C1" w:rsidRDefault="002B08F4" w:rsidP="00EF2E34">
      <w:pPr>
        <w:spacing w:after="0" w:line="360" w:lineRule="auto"/>
        <w:jc w:val="both"/>
        <w:rPr>
          <w:rFonts w:ascii="Arial" w:hAnsi="Arial" w:cs="Arial"/>
        </w:rPr>
      </w:pPr>
    </w:p>
    <w:p w14:paraId="47ED21B8" w14:textId="03827A5E" w:rsidR="002B08F4" w:rsidRPr="004A73C1" w:rsidRDefault="00994D7E" w:rsidP="00EF2E34">
      <w:pPr>
        <w:pStyle w:val="Heading3"/>
        <w:spacing w:line="360" w:lineRule="auto"/>
        <w:rPr>
          <w:rStyle w:val="Heading2Char"/>
          <w:rFonts w:ascii="Arial" w:hAnsi="Arial" w:cs="Arial"/>
          <w:color w:val="auto"/>
          <w:sz w:val="26"/>
          <w:szCs w:val="26"/>
        </w:rPr>
      </w:pPr>
      <w:bookmarkStart w:id="90" w:name="_Toc175056467"/>
      <w:bookmarkStart w:id="91" w:name="_Toc175675350"/>
      <w:r w:rsidRPr="004A73C1">
        <w:rPr>
          <w:rStyle w:val="Heading2Char"/>
          <w:rFonts w:ascii="Arial" w:hAnsi="Arial" w:cs="Arial"/>
          <w:color w:val="auto"/>
          <w:sz w:val="26"/>
          <w:szCs w:val="26"/>
        </w:rPr>
        <w:t>3</w:t>
      </w:r>
      <w:r w:rsidR="00D11768" w:rsidRPr="004A73C1">
        <w:rPr>
          <w:rStyle w:val="Heading2Char"/>
          <w:rFonts w:ascii="Arial" w:hAnsi="Arial" w:cs="Arial"/>
          <w:color w:val="auto"/>
          <w:sz w:val="26"/>
          <w:szCs w:val="26"/>
        </w:rPr>
        <w:tab/>
      </w:r>
      <w:r w:rsidR="002B08F4" w:rsidRPr="004A73C1">
        <w:rPr>
          <w:rStyle w:val="Heading2Char"/>
          <w:rFonts w:ascii="Arial" w:hAnsi="Arial" w:cs="Arial"/>
          <w:color w:val="auto"/>
          <w:sz w:val="26"/>
          <w:szCs w:val="26"/>
        </w:rPr>
        <w:t>Panel Data Analysis:</w:t>
      </w:r>
      <w:bookmarkEnd w:id="90"/>
      <w:bookmarkEnd w:id="91"/>
    </w:p>
    <w:p w14:paraId="6F335899" w14:textId="17628E9E" w:rsidR="002B08F4" w:rsidRDefault="002B08F4" w:rsidP="00EF2E34">
      <w:pPr>
        <w:spacing w:after="0" w:line="360" w:lineRule="auto"/>
        <w:jc w:val="both"/>
        <w:rPr>
          <w:rFonts w:ascii="Arial" w:hAnsi="Arial" w:cs="Arial"/>
        </w:rPr>
      </w:pPr>
      <w:r w:rsidRPr="004A73C1">
        <w:rPr>
          <w:rFonts w:ascii="Arial" w:hAnsi="Arial" w:cs="Arial"/>
        </w:rPr>
        <w:t xml:space="preserve">Panel data analysis involves using data from multiple </w:t>
      </w:r>
      <w:r w:rsidR="008D0B8F" w:rsidRPr="004A73C1">
        <w:rPr>
          <w:rFonts w:ascii="Arial" w:hAnsi="Arial" w:cs="Arial"/>
        </w:rPr>
        <w:t>periods</w:t>
      </w:r>
      <w:r w:rsidRPr="004A73C1">
        <w:rPr>
          <w:rFonts w:ascii="Arial" w:hAnsi="Arial" w:cs="Arial"/>
        </w:rPr>
        <w:t xml:space="preserve"> and/or geographical units to </w:t>
      </w:r>
      <w:r w:rsidR="008D0B8F" w:rsidRPr="004A73C1">
        <w:rPr>
          <w:rFonts w:ascii="Arial" w:hAnsi="Arial" w:cs="Arial"/>
        </w:rPr>
        <w:t>analyse</w:t>
      </w:r>
      <w:r w:rsidRPr="004A73C1">
        <w:rPr>
          <w:rFonts w:ascii="Arial" w:hAnsi="Arial" w:cs="Arial"/>
        </w:rPr>
        <w:t xml:space="preserve"> the impact of FDI. </w:t>
      </w:r>
      <w:r w:rsidR="00E305FC" w:rsidRPr="004A73C1">
        <w:rPr>
          <w:rFonts w:ascii="Arial" w:hAnsi="Arial" w:cs="Arial"/>
        </w:rPr>
        <w:t>We</w:t>
      </w:r>
      <w:r w:rsidRPr="004A73C1">
        <w:rPr>
          <w:rFonts w:ascii="Arial" w:hAnsi="Arial" w:cs="Arial"/>
        </w:rPr>
        <w:t xml:space="preserve"> can employ </w:t>
      </w:r>
      <w:r w:rsidR="008D0B8F" w:rsidRPr="004A73C1">
        <w:rPr>
          <w:rFonts w:ascii="Arial" w:hAnsi="Arial" w:cs="Arial"/>
        </w:rPr>
        <w:t>fixed</w:t>
      </w:r>
      <w:r w:rsidRPr="004A73C1">
        <w:rPr>
          <w:rFonts w:ascii="Arial" w:hAnsi="Arial" w:cs="Arial"/>
        </w:rPr>
        <w:t xml:space="preserve"> or random effects models to examine how FDI affects economic variables over time or across different regions. For example, a panel data analysis can assess the relationship between FDI and regional economic growth in various countries over a decade.</w:t>
      </w:r>
    </w:p>
    <w:p w14:paraId="6153E7DC" w14:textId="77777777" w:rsidR="00BE222C" w:rsidRPr="004A73C1" w:rsidRDefault="00BE222C" w:rsidP="00EF2E34">
      <w:pPr>
        <w:spacing w:after="0" w:line="360" w:lineRule="auto"/>
        <w:jc w:val="both"/>
        <w:rPr>
          <w:rFonts w:ascii="Arial" w:hAnsi="Arial" w:cs="Arial"/>
        </w:rPr>
      </w:pPr>
    </w:p>
    <w:p w14:paraId="28136B5B" w14:textId="0249AC9B" w:rsidR="002B08F4" w:rsidRPr="004A73C1" w:rsidRDefault="00994D7E" w:rsidP="00EF2E34">
      <w:pPr>
        <w:pStyle w:val="Heading3"/>
        <w:spacing w:line="360" w:lineRule="auto"/>
        <w:rPr>
          <w:rFonts w:ascii="Arial" w:hAnsi="Arial" w:cs="Arial"/>
          <w:color w:val="auto"/>
        </w:rPr>
      </w:pPr>
      <w:bookmarkStart w:id="92" w:name="_Toc175056468"/>
      <w:bookmarkStart w:id="93" w:name="_Toc175675351"/>
      <w:r w:rsidRPr="004A73C1">
        <w:rPr>
          <w:rStyle w:val="Heading2Char"/>
          <w:rFonts w:ascii="Arial" w:hAnsi="Arial" w:cs="Arial"/>
          <w:color w:val="auto"/>
          <w:sz w:val="26"/>
          <w:szCs w:val="26"/>
        </w:rPr>
        <w:t>4</w:t>
      </w:r>
      <w:r w:rsidR="00D11768" w:rsidRPr="004A73C1">
        <w:rPr>
          <w:rStyle w:val="Heading2Char"/>
          <w:rFonts w:ascii="Arial" w:hAnsi="Arial" w:cs="Arial"/>
          <w:color w:val="auto"/>
          <w:sz w:val="26"/>
          <w:szCs w:val="26"/>
        </w:rPr>
        <w:tab/>
      </w:r>
      <w:r w:rsidR="002B08F4" w:rsidRPr="004A73C1">
        <w:rPr>
          <w:rStyle w:val="Heading2Char"/>
          <w:rFonts w:ascii="Arial" w:hAnsi="Arial" w:cs="Arial"/>
          <w:color w:val="auto"/>
          <w:sz w:val="26"/>
          <w:szCs w:val="26"/>
        </w:rPr>
        <w:t xml:space="preserve">Computable General Equilibrium (CGE) </w:t>
      </w:r>
      <w:r w:rsidR="00B4014F" w:rsidRPr="004A73C1">
        <w:rPr>
          <w:rStyle w:val="Heading2Char"/>
          <w:rFonts w:ascii="Arial" w:hAnsi="Arial" w:cs="Arial"/>
          <w:color w:val="auto"/>
          <w:sz w:val="26"/>
          <w:szCs w:val="26"/>
        </w:rPr>
        <w:t>Modelling</w:t>
      </w:r>
      <w:r w:rsidR="002B08F4" w:rsidRPr="004A73C1">
        <w:rPr>
          <w:rStyle w:val="Heading2Char"/>
          <w:rFonts w:ascii="Arial" w:hAnsi="Arial" w:cs="Arial"/>
          <w:color w:val="auto"/>
          <w:sz w:val="26"/>
          <w:szCs w:val="26"/>
        </w:rPr>
        <w:t>:</w:t>
      </w:r>
      <w:bookmarkEnd w:id="92"/>
      <w:bookmarkEnd w:id="93"/>
    </w:p>
    <w:p w14:paraId="0C0A5588" w14:textId="52A3762D" w:rsidR="002B08F4" w:rsidRPr="004A73C1" w:rsidRDefault="002B08F4" w:rsidP="00EF2E34">
      <w:pPr>
        <w:spacing w:after="0" w:line="360" w:lineRule="auto"/>
        <w:jc w:val="both"/>
        <w:rPr>
          <w:rFonts w:ascii="Arial" w:hAnsi="Arial" w:cs="Arial"/>
        </w:rPr>
      </w:pPr>
      <w:r w:rsidRPr="004A73C1">
        <w:rPr>
          <w:rFonts w:ascii="Arial" w:hAnsi="Arial" w:cs="Arial"/>
        </w:rPr>
        <w:t xml:space="preserve">CGE </w:t>
      </w:r>
      <w:r w:rsidR="00B4014F" w:rsidRPr="004A73C1">
        <w:rPr>
          <w:rFonts w:ascii="Arial" w:hAnsi="Arial" w:cs="Arial"/>
        </w:rPr>
        <w:t>modelling</w:t>
      </w:r>
      <w:r w:rsidRPr="004A73C1">
        <w:rPr>
          <w:rFonts w:ascii="Arial" w:hAnsi="Arial" w:cs="Arial"/>
        </w:rPr>
        <w:t xml:space="preserve"> can be </w:t>
      </w:r>
      <w:r w:rsidR="008D0B8F" w:rsidRPr="004A73C1">
        <w:rPr>
          <w:rFonts w:ascii="Arial" w:hAnsi="Arial" w:cs="Arial"/>
        </w:rPr>
        <w:t>utilised</w:t>
      </w:r>
      <w:r w:rsidRPr="004A73C1">
        <w:rPr>
          <w:rFonts w:ascii="Arial" w:hAnsi="Arial" w:cs="Arial"/>
        </w:rPr>
        <w:t xml:space="preserve"> to simulate the effects of FDI on the overall economy. </w:t>
      </w:r>
      <w:r w:rsidR="00E305FC" w:rsidRPr="004A73C1">
        <w:rPr>
          <w:rFonts w:ascii="Arial" w:hAnsi="Arial" w:cs="Arial"/>
        </w:rPr>
        <w:t xml:space="preserve">We </w:t>
      </w:r>
      <w:r w:rsidRPr="004A73C1">
        <w:rPr>
          <w:rFonts w:ascii="Arial" w:hAnsi="Arial" w:cs="Arial"/>
        </w:rPr>
        <w:t xml:space="preserve">can construct a CGE model to estimate the impact of increased FDI in a specific sector on factors such as GDP, employment, trade balance, and income distribution. For instance, a study may use CGE </w:t>
      </w:r>
      <w:r w:rsidR="00B4014F" w:rsidRPr="004A73C1">
        <w:rPr>
          <w:rFonts w:ascii="Arial" w:hAnsi="Arial" w:cs="Arial"/>
        </w:rPr>
        <w:t>modelling</w:t>
      </w:r>
      <w:r w:rsidRPr="004A73C1">
        <w:rPr>
          <w:rFonts w:ascii="Arial" w:hAnsi="Arial" w:cs="Arial"/>
        </w:rPr>
        <w:t xml:space="preserve"> to </w:t>
      </w:r>
      <w:r w:rsidR="00B4014F" w:rsidRPr="004A73C1">
        <w:rPr>
          <w:rFonts w:ascii="Arial" w:hAnsi="Arial" w:cs="Arial"/>
        </w:rPr>
        <w:t>analyse</w:t>
      </w:r>
      <w:r w:rsidRPr="004A73C1">
        <w:rPr>
          <w:rFonts w:ascii="Arial" w:hAnsi="Arial" w:cs="Arial"/>
        </w:rPr>
        <w:t xml:space="preserve"> the effects of FDI in the services sector on the economy of a developing country.</w:t>
      </w:r>
    </w:p>
    <w:p w14:paraId="03800339" w14:textId="77777777" w:rsidR="002B08F4" w:rsidRPr="004A73C1" w:rsidRDefault="002B08F4" w:rsidP="00EF2E34">
      <w:pPr>
        <w:spacing w:after="0" w:line="360" w:lineRule="auto"/>
        <w:jc w:val="both"/>
        <w:rPr>
          <w:rFonts w:ascii="Arial" w:hAnsi="Arial" w:cs="Arial"/>
        </w:rPr>
      </w:pPr>
    </w:p>
    <w:p w14:paraId="34D1F43F" w14:textId="18212811" w:rsidR="002B08F4" w:rsidRPr="004A73C1" w:rsidRDefault="008D0B8F" w:rsidP="00EF2E34">
      <w:pPr>
        <w:spacing w:after="0" w:line="360" w:lineRule="auto"/>
        <w:jc w:val="both"/>
        <w:rPr>
          <w:rFonts w:ascii="Arial" w:hAnsi="Arial" w:cs="Arial"/>
        </w:rPr>
      </w:pPr>
      <w:r w:rsidRPr="004A73C1">
        <w:rPr>
          <w:rFonts w:ascii="Arial" w:hAnsi="Arial" w:cs="Arial"/>
        </w:rPr>
        <w:t xml:space="preserve">When applied to the analysis of FDI, these quantitative research methods </w:t>
      </w:r>
      <w:r w:rsidR="002B08F4" w:rsidRPr="004A73C1">
        <w:rPr>
          <w:rFonts w:ascii="Arial" w:hAnsi="Arial" w:cs="Arial"/>
        </w:rPr>
        <w:t>provide insights into the determinants, impacts, and implications of foreign direct investment on the economy. Each technique offers a unique perspective on the quantitative aspects of FDI and contributes to a comprehensive understanding of its effects on economic growth, employment, productivity, and trade dynamics.</w:t>
      </w:r>
    </w:p>
    <w:p w14:paraId="75B90FC7" w14:textId="77777777" w:rsidR="00E305FC" w:rsidRPr="004A73C1" w:rsidRDefault="00E305FC" w:rsidP="00EF2E34">
      <w:pPr>
        <w:spacing w:after="0" w:line="360" w:lineRule="auto"/>
        <w:jc w:val="both"/>
        <w:rPr>
          <w:rFonts w:ascii="Arial" w:hAnsi="Arial" w:cs="Arial"/>
        </w:rPr>
      </w:pPr>
    </w:p>
    <w:p w14:paraId="15FE0B14" w14:textId="7CD93BA4" w:rsidR="00127D43" w:rsidRPr="004A73C1" w:rsidRDefault="00127D43" w:rsidP="00EF2E34">
      <w:pPr>
        <w:spacing w:after="0" w:line="360" w:lineRule="auto"/>
        <w:jc w:val="both"/>
        <w:rPr>
          <w:rFonts w:ascii="Arial" w:hAnsi="Arial" w:cs="Arial"/>
        </w:rPr>
      </w:pPr>
      <w:r w:rsidRPr="004A73C1">
        <w:rPr>
          <w:rFonts w:ascii="Arial" w:hAnsi="Arial" w:cs="Arial"/>
        </w:rPr>
        <w:t xml:space="preserve">Quantitative research </w:t>
      </w:r>
      <w:r w:rsidR="00077736" w:rsidRPr="004A73C1">
        <w:rPr>
          <w:rFonts w:ascii="Arial" w:hAnsi="Arial" w:cs="Arial"/>
        </w:rPr>
        <w:t>quantifies data and applies</w:t>
      </w:r>
      <w:r w:rsidR="00595271" w:rsidRPr="004A73C1">
        <w:rPr>
          <w:rFonts w:ascii="Arial" w:hAnsi="Arial" w:cs="Arial"/>
        </w:rPr>
        <w:t xml:space="preserve"> statistical and mathematical techniques to analyse and interpret it. This type of research uses a structured methodology to collect data that</w:t>
      </w:r>
      <w:r w:rsidRPr="004A73C1">
        <w:rPr>
          <w:rFonts w:ascii="Arial" w:hAnsi="Arial" w:cs="Arial"/>
        </w:rPr>
        <w:t xml:space="preserve"> can be measured and quantified. It aims to establish </w:t>
      </w:r>
      <w:r w:rsidR="00595271" w:rsidRPr="004A73C1">
        <w:rPr>
          <w:rFonts w:ascii="Arial" w:hAnsi="Arial" w:cs="Arial"/>
        </w:rPr>
        <w:t>generalisable</w:t>
      </w:r>
      <w:r w:rsidRPr="004A73C1">
        <w:rPr>
          <w:rFonts w:ascii="Arial" w:hAnsi="Arial" w:cs="Arial"/>
        </w:rPr>
        <w:t xml:space="preserve"> results and often involves </w:t>
      </w:r>
      <w:r w:rsidR="00595271" w:rsidRPr="004A73C1">
        <w:rPr>
          <w:rFonts w:ascii="Arial" w:hAnsi="Arial" w:cs="Arial"/>
        </w:rPr>
        <w:t>gathering information from surveys, experiments, and structured observations</w:t>
      </w:r>
      <w:r w:rsidRPr="004A73C1">
        <w:rPr>
          <w:rFonts w:ascii="Arial" w:hAnsi="Arial" w:cs="Arial"/>
        </w:rPr>
        <w:t>.</w:t>
      </w:r>
    </w:p>
    <w:p w14:paraId="71A2A791" w14:textId="77777777" w:rsidR="00646CBB" w:rsidRPr="004A73C1" w:rsidRDefault="00646CBB" w:rsidP="00EF2E34">
      <w:pPr>
        <w:spacing w:after="0" w:line="360" w:lineRule="auto"/>
        <w:jc w:val="both"/>
        <w:rPr>
          <w:rFonts w:ascii="Arial" w:hAnsi="Arial" w:cs="Arial"/>
        </w:rPr>
      </w:pPr>
    </w:p>
    <w:p w14:paraId="76DFD21D" w14:textId="77777777" w:rsidR="00077736" w:rsidRPr="004A73C1" w:rsidRDefault="00077736" w:rsidP="00EF2E34">
      <w:pPr>
        <w:spacing w:after="0" w:line="360" w:lineRule="auto"/>
        <w:jc w:val="both"/>
        <w:rPr>
          <w:rFonts w:ascii="Arial" w:hAnsi="Arial" w:cs="Arial"/>
          <w:b/>
          <w:bCs/>
        </w:rPr>
      </w:pPr>
    </w:p>
    <w:p w14:paraId="6C1303D0" w14:textId="05E68440" w:rsidR="00646CBB" w:rsidRPr="004A73C1" w:rsidRDefault="00646CBB" w:rsidP="00646CBB">
      <w:pPr>
        <w:pStyle w:val="Heading2"/>
        <w:rPr>
          <w:rFonts w:ascii="Arial" w:hAnsi="Arial" w:cs="Arial"/>
          <w:color w:val="auto"/>
        </w:rPr>
      </w:pPr>
      <w:bookmarkStart w:id="94" w:name="_Toc175056469"/>
      <w:bookmarkStart w:id="95" w:name="_Toc175675352"/>
      <w:r w:rsidRPr="004A73C1">
        <w:rPr>
          <w:rFonts w:ascii="Arial" w:hAnsi="Arial" w:cs="Arial"/>
          <w:color w:val="auto"/>
        </w:rPr>
        <w:lastRenderedPageBreak/>
        <w:t>3.4</w:t>
      </w:r>
      <w:r w:rsidRPr="004A73C1">
        <w:rPr>
          <w:rFonts w:ascii="Arial" w:hAnsi="Arial" w:cs="Arial"/>
          <w:color w:val="auto"/>
        </w:rPr>
        <w:tab/>
        <w:t>DATA Collection Sources and Limitations</w:t>
      </w:r>
      <w:bookmarkEnd w:id="95"/>
    </w:p>
    <w:p w14:paraId="28866C31" w14:textId="77777777" w:rsidR="000D7E53" w:rsidRDefault="000D7E53" w:rsidP="00646CBB">
      <w:pPr>
        <w:spacing w:line="360" w:lineRule="auto"/>
        <w:jc w:val="both"/>
        <w:rPr>
          <w:rFonts w:ascii="Arial" w:hAnsi="Arial" w:cs="Arial"/>
        </w:rPr>
      </w:pPr>
    </w:p>
    <w:p w14:paraId="25F65668" w14:textId="4DC20D56" w:rsidR="00646CBB" w:rsidRPr="004A73C1" w:rsidRDefault="00646CBB" w:rsidP="00646CBB">
      <w:pPr>
        <w:spacing w:line="360" w:lineRule="auto"/>
        <w:jc w:val="both"/>
        <w:rPr>
          <w:rFonts w:ascii="Arial" w:hAnsi="Arial" w:cs="Arial"/>
        </w:rPr>
      </w:pPr>
      <w:r w:rsidRPr="004A73C1">
        <w:rPr>
          <w:rFonts w:ascii="Arial" w:hAnsi="Arial" w:cs="Arial"/>
        </w:rPr>
        <w:t>When it comes to collecting data for research on Foreign Direct Investment (FDI), several sources can be utilized to gather relevant information. Some of the primary data collection sources for FDI research include official government statistics, reports from international organizations such as the World Bank and the United Nations, academic journals, industry reports, and databases from central banks and financial institutions.</w:t>
      </w:r>
    </w:p>
    <w:p w14:paraId="7E9ECF30" w14:textId="77777777" w:rsidR="00646CBB" w:rsidRPr="004A73C1" w:rsidRDefault="00646CBB" w:rsidP="00646CBB">
      <w:pPr>
        <w:spacing w:line="360" w:lineRule="auto"/>
        <w:jc w:val="both"/>
        <w:rPr>
          <w:rFonts w:ascii="Arial" w:hAnsi="Arial" w:cs="Arial"/>
        </w:rPr>
      </w:pPr>
      <w:r w:rsidRPr="004A73C1">
        <w:rPr>
          <w:rFonts w:ascii="Arial" w:hAnsi="Arial" w:cs="Arial"/>
        </w:rPr>
        <w:t>Official government statistics provide valuable FDI inflow and outflow data, as well as insights into the sectors and countries attracting the most foreign investment. Reports from international organizations offer comprehensive analysis and global perspectives on FDI trends, policies, and impacts. Academic journals provide in-depth scholarly research and case studies on specific aspects of FDI, contributing to a deeper understanding of the subject. Industry reports offer sector-specific data and analysis, highlighting trends and patterns within particular industries. Databases from central banks and financial institutions contain detailed financial and economic data that can be used for FDI analysis.</w:t>
      </w:r>
    </w:p>
    <w:p w14:paraId="2D7F5103" w14:textId="77777777" w:rsidR="00646CBB" w:rsidRPr="004A73C1" w:rsidRDefault="00646CBB" w:rsidP="00646CBB">
      <w:pPr>
        <w:spacing w:line="360" w:lineRule="auto"/>
        <w:jc w:val="both"/>
        <w:rPr>
          <w:rFonts w:ascii="Arial" w:hAnsi="Arial" w:cs="Arial"/>
        </w:rPr>
      </w:pPr>
      <w:r w:rsidRPr="004A73C1">
        <w:rPr>
          <w:rFonts w:ascii="Arial" w:hAnsi="Arial" w:cs="Arial"/>
        </w:rPr>
        <w:t>While these sources offer valuable information for FDI research, it's important to be aware of their limitations. Government statistics may have lags in reporting, inconsistencies in classification, or limited coverage of certain types of FDI. Reports from international organizations can be subject to bias or may not capture the full diversity of FDI experiences across different regions. Academic journals may have a focus on theoretical research and may not always reflect real-time FDI trends. Industry reports may be influenced by the perspectives of specific companies or industry players. Databases from central banks and financial institutions may have data limitations and may not always be directly comparable across different countries.</w:t>
      </w:r>
    </w:p>
    <w:p w14:paraId="21AC5A5A" w14:textId="2A38FF98" w:rsidR="00646CBB" w:rsidRDefault="00646CBB" w:rsidP="00646CBB">
      <w:pPr>
        <w:spacing w:line="360" w:lineRule="auto"/>
        <w:jc w:val="both"/>
        <w:rPr>
          <w:rFonts w:ascii="Arial" w:hAnsi="Arial" w:cs="Arial"/>
        </w:rPr>
      </w:pPr>
      <w:r w:rsidRPr="004A73C1">
        <w:rPr>
          <w:rFonts w:ascii="Arial" w:hAnsi="Arial" w:cs="Arial"/>
        </w:rPr>
        <w:t>Therefore, when collecting data for FDI research, it's essential to critically evaluate the reliability, relevance, and comparability of the sources. Researchers should triangulate data from multiple sources to gain a more comprehensive understanding of FDI patterns and dynamics, and where possible, supplement the secondary data with primary data collection methods such as surveys, interviews, and case studies to enrich the research findings. Additionally, researchers should be transparent about the limitations of the data sources used and the potential impact of these limitations on the research outcomes. By acknowledging these limitations and taking a rigorous approach to data collection, researchers can enhance the credibility and robustness of their FDI research.</w:t>
      </w:r>
    </w:p>
    <w:p w14:paraId="7EC744EB" w14:textId="77777777" w:rsidR="00BE222C" w:rsidRDefault="00BE222C" w:rsidP="00646CBB">
      <w:pPr>
        <w:spacing w:line="360" w:lineRule="auto"/>
        <w:jc w:val="both"/>
        <w:rPr>
          <w:rFonts w:ascii="Arial" w:hAnsi="Arial" w:cs="Arial"/>
        </w:rPr>
      </w:pPr>
    </w:p>
    <w:p w14:paraId="3FC8FB3C" w14:textId="77777777" w:rsidR="00BE222C" w:rsidRDefault="00BE222C" w:rsidP="00646CBB">
      <w:pPr>
        <w:spacing w:line="360" w:lineRule="auto"/>
        <w:jc w:val="both"/>
        <w:rPr>
          <w:rFonts w:ascii="Arial" w:hAnsi="Arial" w:cs="Arial"/>
        </w:rPr>
      </w:pPr>
    </w:p>
    <w:p w14:paraId="7428F64D" w14:textId="77777777" w:rsidR="00BE222C" w:rsidRDefault="00BE222C" w:rsidP="00646CBB">
      <w:pPr>
        <w:spacing w:line="360" w:lineRule="auto"/>
        <w:jc w:val="both"/>
        <w:rPr>
          <w:rFonts w:ascii="Arial" w:hAnsi="Arial" w:cs="Arial"/>
        </w:rPr>
      </w:pPr>
    </w:p>
    <w:p w14:paraId="3B573D2E" w14:textId="77777777" w:rsidR="00BE222C" w:rsidRPr="004A73C1" w:rsidRDefault="00BE222C" w:rsidP="00646CBB">
      <w:pPr>
        <w:spacing w:line="360" w:lineRule="auto"/>
        <w:jc w:val="both"/>
        <w:rPr>
          <w:rFonts w:ascii="Arial" w:hAnsi="Arial" w:cs="Arial"/>
        </w:rPr>
      </w:pPr>
    </w:p>
    <w:p w14:paraId="3A9ED647" w14:textId="7AC250CB" w:rsidR="0036485C" w:rsidRPr="004A73C1" w:rsidRDefault="00CA52E6" w:rsidP="00EF2E34">
      <w:pPr>
        <w:pStyle w:val="Heading2"/>
        <w:spacing w:line="360" w:lineRule="auto"/>
        <w:rPr>
          <w:rFonts w:ascii="Arial" w:hAnsi="Arial" w:cs="Arial"/>
          <w:color w:val="auto"/>
        </w:rPr>
      </w:pPr>
      <w:bookmarkStart w:id="96" w:name="_Toc175675353"/>
      <w:r w:rsidRPr="004A73C1">
        <w:rPr>
          <w:rFonts w:ascii="Arial" w:hAnsi="Arial" w:cs="Arial"/>
          <w:color w:val="auto"/>
        </w:rPr>
        <w:t>3.4</w:t>
      </w:r>
      <w:r w:rsidR="00646CBB" w:rsidRPr="004A73C1">
        <w:rPr>
          <w:rFonts w:ascii="Arial" w:hAnsi="Arial" w:cs="Arial"/>
          <w:color w:val="auto"/>
        </w:rPr>
        <w:t>.1</w:t>
      </w:r>
      <w:r w:rsidRPr="004A73C1">
        <w:rPr>
          <w:rFonts w:ascii="Arial" w:hAnsi="Arial" w:cs="Arial"/>
          <w:color w:val="auto"/>
        </w:rPr>
        <w:tab/>
      </w:r>
      <w:r w:rsidR="00A915F4" w:rsidRPr="004A73C1">
        <w:rPr>
          <w:rFonts w:ascii="Arial" w:hAnsi="Arial" w:cs="Arial"/>
          <w:color w:val="auto"/>
        </w:rPr>
        <w:t>Quantitative Data for the UK for FDI.</w:t>
      </w:r>
      <w:bookmarkEnd w:id="94"/>
      <w:bookmarkEnd w:id="96"/>
    </w:p>
    <w:p w14:paraId="73F6E89D" w14:textId="7B077BC5" w:rsidR="00A915F4" w:rsidRPr="004A73C1" w:rsidRDefault="00A915F4" w:rsidP="00EF2E34">
      <w:pPr>
        <w:spacing w:after="0" w:line="360" w:lineRule="auto"/>
        <w:jc w:val="both"/>
        <w:rPr>
          <w:rFonts w:ascii="Arial" w:hAnsi="Arial" w:cs="Arial"/>
        </w:rPr>
      </w:pPr>
      <w:r w:rsidRPr="004A73C1">
        <w:rPr>
          <w:rFonts w:ascii="Arial" w:hAnsi="Arial" w:cs="Arial"/>
        </w:rPr>
        <w:t>Please see below some of the data which we use to analyse our research objectives.</w:t>
      </w:r>
    </w:p>
    <w:p w14:paraId="1C3CF151" w14:textId="77777777" w:rsidR="00A915F4" w:rsidRPr="004A73C1" w:rsidRDefault="00A915F4" w:rsidP="00EF2E34">
      <w:pPr>
        <w:spacing w:after="0" w:line="360" w:lineRule="auto"/>
        <w:jc w:val="both"/>
        <w:rPr>
          <w:rFonts w:ascii="Arial" w:hAnsi="Arial" w:cs="Arial"/>
        </w:rPr>
      </w:pPr>
    </w:p>
    <w:p w14:paraId="3CF5506F" w14:textId="7296D52A" w:rsidR="00A915F4" w:rsidRPr="004A73C1" w:rsidRDefault="00CA52E6" w:rsidP="00EF2E34">
      <w:pPr>
        <w:pStyle w:val="Heading3"/>
        <w:spacing w:line="360" w:lineRule="auto"/>
        <w:rPr>
          <w:rStyle w:val="Heading2Char"/>
          <w:rFonts w:ascii="Arial" w:hAnsi="Arial" w:cs="Arial"/>
          <w:color w:val="auto"/>
          <w:sz w:val="26"/>
          <w:szCs w:val="26"/>
        </w:rPr>
      </w:pPr>
      <w:bookmarkStart w:id="97" w:name="_Toc175056470"/>
      <w:bookmarkStart w:id="98" w:name="_Toc175675354"/>
      <w:r w:rsidRPr="004A73C1">
        <w:rPr>
          <w:rStyle w:val="Heading2Char"/>
          <w:rFonts w:ascii="Arial" w:hAnsi="Arial" w:cs="Arial"/>
          <w:color w:val="auto"/>
          <w:sz w:val="26"/>
          <w:szCs w:val="26"/>
        </w:rPr>
        <w:t>3.4.</w:t>
      </w:r>
      <w:r w:rsidR="00646CBB" w:rsidRPr="004A73C1">
        <w:rPr>
          <w:rStyle w:val="Heading2Char"/>
          <w:rFonts w:ascii="Arial" w:hAnsi="Arial" w:cs="Arial"/>
          <w:color w:val="auto"/>
          <w:sz w:val="26"/>
          <w:szCs w:val="26"/>
        </w:rPr>
        <w:t>2</w:t>
      </w:r>
      <w:r w:rsidRPr="004A73C1">
        <w:rPr>
          <w:rStyle w:val="Heading2Char"/>
          <w:rFonts w:ascii="Arial" w:hAnsi="Arial" w:cs="Arial"/>
          <w:color w:val="auto"/>
          <w:sz w:val="26"/>
          <w:szCs w:val="26"/>
        </w:rPr>
        <w:tab/>
      </w:r>
      <w:r w:rsidR="00A915F4" w:rsidRPr="004A73C1">
        <w:rPr>
          <w:rStyle w:val="Heading2Char"/>
          <w:rFonts w:ascii="Arial" w:hAnsi="Arial" w:cs="Arial"/>
          <w:color w:val="auto"/>
          <w:sz w:val="26"/>
          <w:szCs w:val="26"/>
        </w:rPr>
        <w:t>Capital Flows</w:t>
      </w:r>
      <w:bookmarkEnd w:id="97"/>
      <w:bookmarkEnd w:id="98"/>
      <w:r w:rsidR="00A915F4" w:rsidRPr="004A73C1">
        <w:rPr>
          <w:rStyle w:val="Heading2Char"/>
          <w:rFonts w:ascii="Arial" w:hAnsi="Arial" w:cs="Arial"/>
          <w:color w:val="auto"/>
          <w:sz w:val="26"/>
          <w:szCs w:val="26"/>
        </w:rPr>
        <w:t xml:space="preserve"> </w:t>
      </w:r>
    </w:p>
    <w:p w14:paraId="61CF9BF5" w14:textId="39DDD115" w:rsidR="00C2494D" w:rsidRPr="004A73C1" w:rsidRDefault="00766D90" w:rsidP="00C2494D">
      <w:pPr>
        <w:spacing w:after="0" w:line="360" w:lineRule="auto"/>
        <w:jc w:val="both"/>
        <w:rPr>
          <w:rFonts w:ascii="Arial" w:hAnsi="Arial" w:cs="Arial"/>
        </w:rPr>
      </w:pPr>
      <w:r w:rsidRPr="004A73C1">
        <w:rPr>
          <w:rFonts w:ascii="Arial" w:hAnsi="Arial" w:cs="Arial"/>
        </w:rPr>
        <w:t>The below diagram shows the capital flow for the UK from 2015 to 2023.</w:t>
      </w:r>
      <w:r w:rsidR="00A915F4" w:rsidRPr="004A73C1">
        <w:rPr>
          <w:rFonts w:ascii="Arial" w:hAnsi="Arial" w:cs="Arial"/>
        </w:rPr>
        <w:t> </w:t>
      </w:r>
      <w:r w:rsidR="00C2494D" w:rsidRPr="004A73C1">
        <w:rPr>
          <w:rFonts w:ascii="Arial" w:hAnsi="Arial" w:cs="Arial"/>
        </w:rPr>
        <w:t>(Source: </w:t>
      </w:r>
      <w:hyperlink r:id="rId18" w:tgtFrame="_blank" w:history="1">
        <w:r w:rsidR="00C2494D" w:rsidRPr="004A73C1">
          <w:rPr>
            <w:rStyle w:val="Hyperlink"/>
            <w:rFonts w:ascii="Arial" w:hAnsi="Arial" w:cs="Arial"/>
            <w:color w:val="auto"/>
          </w:rPr>
          <w:t>Office for National Statistics</w:t>
        </w:r>
      </w:hyperlink>
      <w:r w:rsidR="00C2494D" w:rsidRPr="004A73C1">
        <w:rPr>
          <w:rFonts w:ascii="Arial" w:hAnsi="Arial" w:cs="Arial"/>
        </w:rPr>
        <w:t xml:space="preserve"> UK)</w:t>
      </w:r>
    </w:p>
    <w:p w14:paraId="2A1B9096" w14:textId="749EEA8E" w:rsidR="00A915F4" w:rsidRPr="004A73C1" w:rsidRDefault="00A915F4" w:rsidP="00EF2E34">
      <w:pPr>
        <w:spacing w:line="360" w:lineRule="auto"/>
        <w:jc w:val="both"/>
        <w:rPr>
          <w:rFonts w:ascii="Arial" w:hAnsi="Arial" w:cs="Arial"/>
        </w:rPr>
      </w:pPr>
    </w:p>
    <w:p w14:paraId="7E86914C" w14:textId="77777777" w:rsidR="00A915F4" w:rsidRPr="004A73C1" w:rsidRDefault="00A915F4" w:rsidP="00EF2E34">
      <w:pPr>
        <w:spacing w:after="0" w:line="360" w:lineRule="auto"/>
        <w:jc w:val="both"/>
        <w:rPr>
          <w:rFonts w:ascii="Arial" w:hAnsi="Arial" w:cs="Arial"/>
        </w:rPr>
      </w:pPr>
    </w:p>
    <w:p w14:paraId="0B810367" w14:textId="77777777" w:rsidR="00A915F4" w:rsidRPr="004A73C1" w:rsidRDefault="00A915F4" w:rsidP="00EF2E34">
      <w:pPr>
        <w:spacing w:after="0" w:line="360" w:lineRule="auto"/>
        <w:jc w:val="both"/>
        <w:rPr>
          <w:rFonts w:ascii="Arial" w:hAnsi="Arial" w:cs="Arial"/>
        </w:rPr>
      </w:pPr>
    </w:p>
    <w:p w14:paraId="6F6C4462" w14:textId="77777777" w:rsidR="00A915F4" w:rsidRPr="004A73C1" w:rsidRDefault="00A915F4" w:rsidP="00EF2E34">
      <w:pPr>
        <w:spacing w:after="0" w:line="360" w:lineRule="auto"/>
        <w:jc w:val="both"/>
        <w:rPr>
          <w:rFonts w:ascii="Arial" w:hAnsi="Arial" w:cs="Arial"/>
        </w:rPr>
      </w:pPr>
      <w:r w:rsidRPr="004A73C1">
        <w:rPr>
          <w:rFonts w:ascii="Arial" w:hAnsi="Arial" w:cs="Arial"/>
          <w:noProof/>
        </w:rPr>
        <w:drawing>
          <wp:inline distT="0" distB="0" distL="0" distR="0" wp14:anchorId="31E8FB85" wp14:editId="5205E133">
            <wp:extent cx="5731510" cy="2675255"/>
            <wp:effectExtent l="0" t="0" r="2540" b="0"/>
            <wp:docPr id="1267630929"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630929" name="Picture 1" descr="A graph of a graph&#10;&#10;Description automatically generated with medium confidence"/>
                    <pic:cNvPicPr/>
                  </pic:nvPicPr>
                  <pic:blipFill>
                    <a:blip r:embed="rId19"/>
                    <a:stretch>
                      <a:fillRect/>
                    </a:stretch>
                  </pic:blipFill>
                  <pic:spPr>
                    <a:xfrm>
                      <a:off x="0" y="0"/>
                      <a:ext cx="5731510" cy="2675255"/>
                    </a:xfrm>
                    <a:prstGeom prst="rect">
                      <a:avLst/>
                    </a:prstGeom>
                  </pic:spPr>
                </pic:pic>
              </a:graphicData>
            </a:graphic>
          </wp:inline>
        </w:drawing>
      </w:r>
    </w:p>
    <w:p w14:paraId="6E30F778" w14:textId="76D6F301" w:rsidR="00B80C0D" w:rsidRPr="004A73C1" w:rsidRDefault="00B80C0D" w:rsidP="00EF2E34">
      <w:pPr>
        <w:spacing w:after="0" w:line="360" w:lineRule="auto"/>
        <w:jc w:val="both"/>
        <w:rPr>
          <w:rFonts w:ascii="Arial" w:hAnsi="Arial" w:cs="Arial"/>
        </w:rPr>
      </w:pPr>
      <w:r w:rsidRPr="004A73C1">
        <w:rPr>
          <w:rFonts w:ascii="Arial" w:hAnsi="Arial" w:cs="Arial"/>
        </w:rPr>
        <w:t>Figure 9</w:t>
      </w:r>
    </w:p>
    <w:p w14:paraId="278845C2" w14:textId="7C1935C6" w:rsidR="00A915F4" w:rsidRPr="004A73C1" w:rsidRDefault="00A915F4" w:rsidP="00EF2E34">
      <w:pPr>
        <w:spacing w:after="0" w:line="360" w:lineRule="auto"/>
        <w:jc w:val="both"/>
        <w:rPr>
          <w:rFonts w:ascii="Arial" w:hAnsi="Arial" w:cs="Arial"/>
        </w:rPr>
      </w:pPr>
      <w:r w:rsidRPr="004A73C1">
        <w:rPr>
          <w:rFonts w:ascii="Arial" w:hAnsi="Arial" w:cs="Arial"/>
        </w:rPr>
        <w:t>source: </w:t>
      </w:r>
      <w:hyperlink r:id="rId20" w:tgtFrame="_blank" w:history="1">
        <w:r w:rsidRPr="004A73C1">
          <w:rPr>
            <w:rStyle w:val="Hyperlink"/>
            <w:rFonts w:ascii="Arial" w:hAnsi="Arial" w:cs="Arial"/>
            <w:color w:val="auto"/>
          </w:rPr>
          <w:t>Office for National Statistics</w:t>
        </w:r>
      </w:hyperlink>
    </w:p>
    <w:p w14:paraId="1696770C" w14:textId="77777777" w:rsidR="00A915F4" w:rsidRPr="004A73C1" w:rsidRDefault="00A915F4" w:rsidP="00EF2E34">
      <w:pPr>
        <w:spacing w:after="0" w:line="360" w:lineRule="auto"/>
        <w:jc w:val="both"/>
        <w:rPr>
          <w:rFonts w:ascii="Arial" w:hAnsi="Arial" w:cs="Arial"/>
        </w:rPr>
      </w:pPr>
    </w:p>
    <w:p w14:paraId="37184FEB" w14:textId="09EBBF7B" w:rsidR="00A915F4" w:rsidRPr="004A73C1" w:rsidRDefault="00CA52E6" w:rsidP="00EF2E34">
      <w:pPr>
        <w:pStyle w:val="Heading3"/>
        <w:spacing w:line="360" w:lineRule="auto"/>
        <w:rPr>
          <w:rStyle w:val="Heading2Char"/>
          <w:rFonts w:ascii="Arial" w:hAnsi="Arial" w:cs="Arial"/>
          <w:color w:val="auto"/>
          <w:sz w:val="26"/>
          <w:szCs w:val="26"/>
        </w:rPr>
      </w:pPr>
      <w:bookmarkStart w:id="99" w:name="_Toc175056471"/>
      <w:bookmarkStart w:id="100" w:name="_Toc175675355"/>
      <w:r w:rsidRPr="004A73C1">
        <w:rPr>
          <w:rStyle w:val="Heading2Char"/>
          <w:rFonts w:ascii="Arial" w:hAnsi="Arial" w:cs="Arial"/>
          <w:color w:val="auto"/>
          <w:sz w:val="26"/>
          <w:szCs w:val="26"/>
        </w:rPr>
        <w:t>3.4.</w:t>
      </w:r>
      <w:r w:rsidR="00646CBB" w:rsidRPr="004A73C1">
        <w:rPr>
          <w:rStyle w:val="Heading2Char"/>
          <w:rFonts w:ascii="Arial" w:hAnsi="Arial" w:cs="Arial"/>
          <w:color w:val="auto"/>
          <w:sz w:val="26"/>
          <w:szCs w:val="26"/>
        </w:rPr>
        <w:t>3</w:t>
      </w:r>
      <w:r w:rsidRPr="004A73C1">
        <w:rPr>
          <w:rStyle w:val="Heading2Char"/>
          <w:rFonts w:ascii="Arial" w:hAnsi="Arial" w:cs="Arial"/>
          <w:color w:val="auto"/>
          <w:sz w:val="26"/>
          <w:szCs w:val="26"/>
        </w:rPr>
        <w:tab/>
      </w:r>
      <w:r w:rsidR="00A915F4" w:rsidRPr="004A73C1">
        <w:rPr>
          <w:rStyle w:val="Heading2Char"/>
          <w:rFonts w:ascii="Arial" w:hAnsi="Arial" w:cs="Arial"/>
          <w:color w:val="auto"/>
          <w:sz w:val="26"/>
          <w:szCs w:val="26"/>
        </w:rPr>
        <w:t>Linear Regression Analysis.</w:t>
      </w:r>
      <w:bookmarkEnd w:id="99"/>
      <w:bookmarkEnd w:id="100"/>
    </w:p>
    <w:p w14:paraId="0409F3DC" w14:textId="77777777" w:rsidR="001B3596" w:rsidRPr="004A73C1" w:rsidRDefault="001B3596" w:rsidP="001B3596">
      <w:pPr>
        <w:spacing w:line="360" w:lineRule="auto"/>
        <w:rPr>
          <w:rFonts w:ascii="Arial" w:hAnsi="Arial" w:cs="Arial"/>
        </w:rPr>
      </w:pPr>
      <w:r w:rsidRPr="004A73C1">
        <w:rPr>
          <w:rFonts w:ascii="Arial" w:hAnsi="Arial" w:cs="Arial"/>
        </w:rPr>
        <w:t>The relationship between two continuous variables is best represented by a straight line, which is the linear regression line. In statistical analysis, it is frequently employed to discern patterns and trends in the data. If y is the dependent variable, x is the independent variable, m is the line's slope, and c is the y-intercept, then the formula for a linear regression line is y = mx + c. The value of y at x = 0 is the y-intercept, and the slope indicates the rate of change. Predictions and an understanding of the strength of the link between the variables can be made using the line.</w:t>
      </w:r>
    </w:p>
    <w:p w14:paraId="446E724C" w14:textId="77777777" w:rsidR="00A915F4" w:rsidRPr="004A73C1" w:rsidRDefault="00A915F4" w:rsidP="00EF2E34">
      <w:pPr>
        <w:spacing w:line="360" w:lineRule="auto"/>
        <w:rPr>
          <w:rFonts w:ascii="Arial" w:hAnsi="Arial" w:cs="Arial"/>
        </w:rPr>
      </w:pPr>
    </w:p>
    <w:p w14:paraId="5C23A1FA" w14:textId="56B2D383" w:rsidR="00A915F4" w:rsidRPr="004A73C1" w:rsidRDefault="00741FAB" w:rsidP="00EF2E34">
      <w:pPr>
        <w:spacing w:line="360" w:lineRule="auto"/>
        <w:rPr>
          <w:rFonts w:ascii="Arial" w:hAnsi="Arial" w:cs="Arial"/>
        </w:rPr>
      </w:pPr>
      <w:r w:rsidRPr="004A73C1">
        <w:rPr>
          <w:rFonts w:ascii="Arial" w:hAnsi="Arial" w:cs="Arial"/>
          <w:noProof/>
        </w:rPr>
        <w:lastRenderedPageBreak/>
        <w:drawing>
          <wp:inline distT="0" distB="0" distL="0" distR="0" wp14:anchorId="25692F2B" wp14:editId="3AF47D8A">
            <wp:extent cx="5745192" cy="3792998"/>
            <wp:effectExtent l="0" t="0" r="8255" b="0"/>
            <wp:docPr id="1073763353" name="Picture 1" descr="A graph with black dot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63353" name="Picture 1" descr="A graph with black dots and numbers&#10;&#10;Description automatically generated"/>
                    <pic:cNvPicPr/>
                  </pic:nvPicPr>
                  <pic:blipFill>
                    <a:blip r:embed="rId21"/>
                    <a:stretch>
                      <a:fillRect/>
                    </a:stretch>
                  </pic:blipFill>
                  <pic:spPr>
                    <a:xfrm>
                      <a:off x="0" y="0"/>
                      <a:ext cx="5761799" cy="3803962"/>
                    </a:xfrm>
                    <a:prstGeom prst="rect">
                      <a:avLst/>
                    </a:prstGeom>
                  </pic:spPr>
                </pic:pic>
              </a:graphicData>
            </a:graphic>
          </wp:inline>
        </w:drawing>
      </w:r>
    </w:p>
    <w:p w14:paraId="5E09E1E3" w14:textId="12F12ACC" w:rsidR="00A915F4" w:rsidRPr="004A73C1" w:rsidRDefault="00B80C0D" w:rsidP="00EF2E34">
      <w:pPr>
        <w:spacing w:line="360" w:lineRule="auto"/>
        <w:rPr>
          <w:rFonts w:ascii="Arial" w:hAnsi="Arial" w:cs="Arial"/>
        </w:rPr>
      </w:pPr>
      <w:r w:rsidRPr="004A73C1">
        <w:rPr>
          <w:rFonts w:ascii="Arial" w:hAnsi="Arial" w:cs="Arial"/>
        </w:rPr>
        <w:t>Figure 10</w:t>
      </w:r>
      <w:r w:rsidR="00741FAB" w:rsidRPr="004A73C1">
        <w:rPr>
          <w:rFonts w:ascii="Arial" w:hAnsi="Arial" w:cs="Arial"/>
        </w:rPr>
        <w:t xml:space="preserve"> – </w:t>
      </w:r>
      <w:r w:rsidR="000D7E53">
        <w:rPr>
          <w:rFonts w:ascii="Arial" w:hAnsi="Arial" w:cs="Arial"/>
        </w:rPr>
        <w:t>Researcher's</w:t>
      </w:r>
      <w:r w:rsidR="00741FAB" w:rsidRPr="004A73C1">
        <w:rPr>
          <w:rFonts w:ascii="Arial" w:hAnsi="Arial" w:cs="Arial"/>
        </w:rPr>
        <w:t xml:space="preserve"> own calculations</w:t>
      </w:r>
    </w:p>
    <w:p w14:paraId="3C2BBB26" w14:textId="77777777" w:rsidR="00A915F4" w:rsidRPr="004A73C1" w:rsidRDefault="00A915F4" w:rsidP="00EF2E34">
      <w:pPr>
        <w:spacing w:line="360" w:lineRule="auto"/>
        <w:rPr>
          <w:rFonts w:ascii="Arial" w:hAnsi="Arial" w:cs="Arial"/>
        </w:rPr>
      </w:pPr>
      <w:r w:rsidRPr="004A73C1">
        <w:rPr>
          <w:rFonts w:ascii="Arial" w:hAnsi="Arial" w:cs="Arial"/>
        </w:rPr>
        <w:t>Best-fit values</w:t>
      </w:r>
    </w:p>
    <w:p w14:paraId="6C81D65A" w14:textId="220C58B4" w:rsidR="00A915F4" w:rsidRPr="004A73C1" w:rsidRDefault="00741FAB" w:rsidP="00EF2E34">
      <w:pPr>
        <w:spacing w:line="360" w:lineRule="auto"/>
        <w:rPr>
          <w:rFonts w:ascii="Arial" w:hAnsi="Arial" w:cs="Arial"/>
        </w:rPr>
      </w:pPr>
      <w:r w:rsidRPr="004A73C1">
        <w:rPr>
          <w:rFonts w:ascii="Arial" w:hAnsi="Arial" w:cs="Arial"/>
          <w:noProof/>
        </w:rPr>
        <w:drawing>
          <wp:inline distT="0" distB="0" distL="0" distR="0" wp14:anchorId="4EB3B4D3" wp14:editId="24A03B22">
            <wp:extent cx="5882832" cy="4269471"/>
            <wp:effectExtent l="0" t="0" r="3810" b="0"/>
            <wp:docPr id="470158750"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158750" name="Picture 1" descr="A screenshot of a calculator&#10;&#10;Description automatically generated"/>
                    <pic:cNvPicPr/>
                  </pic:nvPicPr>
                  <pic:blipFill>
                    <a:blip r:embed="rId22"/>
                    <a:stretch>
                      <a:fillRect/>
                    </a:stretch>
                  </pic:blipFill>
                  <pic:spPr>
                    <a:xfrm>
                      <a:off x="0" y="0"/>
                      <a:ext cx="5893111" cy="4276931"/>
                    </a:xfrm>
                    <a:prstGeom prst="rect">
                      <a:avLst/>
                    </a:prstGeom>
                  </pic:spPr>
                </pic:pic>
              </a:graphicData>
            </a:graphic>
          </wp:inline>
        </w:drawing>
      </w:r>
    </w:p>
    <w:p w14:paraId="19C96C31" w14:textId="12239E0C" w:rsidR="00741FAB" w:rsidRPr="004A73C1" w:rsidRDefault="00741FAB" w:rsidP="00EF2E34">
      <w:pPr>
        <w:spacing w:line="360" w:lineRule="auto"/>
        <w:rPr>
          <w:rFonts w:ascii="Arial" w:hAnsi="Arial" w:cs="Arial"/>
        </w:rPr>
      </w:pPr>
      <w:r w:rsidRPr="004A73C1">
        <w:rPr>
          <w:rFonts w:ascii="Arial" w:hAnsi="Arial" w:cs="Arial"/>
        </w:rPr>
        <w:t>Source - Researcher own calculations</w:t>
      </w:r>
    </w:p>
    <w:p w14:paraId="4C0930A2" w14:textId="6CF75724" w:rsidR="00A915F4" w:rsidRPr="004A73C1" w:rsidRDefault="00CA52E6" w:rsidP="00EF2E34">
      <w:pPr>
        <w:pStyle w:val="Heading2"/>
        <w:spacing w:line="360" w:lineRule="auto"/>
        <w:rPr>
          <w:rFonts w:ascii="Arial" w:hAnsi="Arial" w:cs="Arial"/>
          <w:color w:val="auto"/>
        </w:rPr>
      </w:pPr>
      <w:bookmarkStart w:id="101" w:name="_Toc175056472"/>
      <w:bookmarkStart w:id="102" w:name="_Toc175675356"/>
      <w:r w:rsidRPr="004A73C1">
        <w:rPr>
          <w:rFonts w:ascii="Arial" w:hAnsi="Arial" w:cs="Arial"/>
          <w:color w:val="auto"/>
        </w:rPr>
        <w:lastRenderedPageBreak/>
        <w:t>3.4.</w:t>
      </w:r>
      <w:r w:rsidR="00646CBB" w:rsidRPr="004A73C1">
        <w:rPr>
          <w:rFonts w:ascii="Arial" w:hAnsi="Arial" w:cs="Arial"/>
          <w:color w:val="auto"/>
        </w:rPr>
        <w:t>4</w:t>
      </w:r>
      <w:r w:rsidRPr="004A73C1">
        <w:rPr>
          <w:rFonts w:ascii="Arial" w:hAnsi="Arial" w:cs="Arial"/>
          <w:color w:val="auto"/>
        </w:rPr>
        <w:tab/>
      </w:r>
      <w:r w:rsidR="00A915F4" w:rsidRPr="004A73C1">
        <w:rPr>
          <w:rFonts w:ascii="Arial" w:hAnsi="Arial" w:cs="Arial"/>
          <w:color w:val="auto"/>
        </w:rPr>
        <w:t>Other Statistical Analysis.</w:t>
      </w:r>
      <w:bookmarkEnd w:id="101"/>
      <w:bookmarkEnd w:id="102"/>
    </w:p>
    <w:tbl>
      <w:tblPr>
        <w:tblW w:w="9253" w:type="dxa"/>
        <w:tblLook w:val="04A0" w:firstRow="1" w:lastRow="0" w:firstColumn="1" w:lastColumn="0" w:noHBand="0" w:noVBand="1"/>
      </w:tblPr>
      <w:tblGrid>
        <w:gridCol w:w="2547"/>
        <w:gridCol w:w="2080"/>
        <w:gridCol w:w="1869"/>
        <w:gridCol w:w="2757"/>
      </w:tblGrid>
      <w:tr w:rsidR="00A915F4" w:rsidRPr="004A73C1" w14:paraId="2CC4595C" w14:textId="77777777" w:rsidTr="0021554E">
        <w:trPr>
          <w:trHeight w:val="1193"/>
        </w:trPr>
        <w:tc>
          <w:tcPr>
            <w:tcW w:w="254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80AE2E"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Description</w:t>
            </w:r>
          </w:p>
        </w:tc>
        <w:tc>
          <w:tcPr>
            <w:tcW w:w="2080" w:type="dxa"/>
            <w:tcBorders>
              <w:top w:val="single" w:sz="4" w:space="0" w:color="auto"/>
              <w:left w:val="nil"/>
              <w:bottom w:val="single" w:sz="4" w:space="0" w:color="auto"/>
              <w:right w:val="single" w:sz="4" w:space="0" w:color="auto"/>
            </w:tcBorders>
            <w:shd w:val="clear" w:color="auto" w:fill="auto"/>
            <w:noWrap/>
            <w:vAlign w:val="bottom"/>
            <w:hideMark/>
          </w:tcPr>
          <w:p w14:paraId="74A6FA17"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NET FDI - Billions </w:t>
            </w:r>
          </w:p>
        </w:tc>
        <w:tc>
          <w:tcPr>
            <w:tcW w:w="1869" w:type="dxa"/>
            <w:tcBorders>
              <w:top w:val="single" w:sz="4" w:space="0" w:color="auto"/>
              <w:left w:val="nil"/>
              <w:bottom w:val="single" w:sz="4" w:space="0" w:color="auto"/>
              <w:right w:val="single" w:sz="4" w:space="0" w:color="auto"/>
            </w:tcBorders>
            <w:shd w:val="clear" w:color="auto" w:fill="auto"/>
            <w:noWrap/>
            <w:vAlign w:val="bottom"/>
            <w:hideMark/>
          </w:tcPr>
          <w:p w14:paraId="44D54D53"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GDP- In Billions</w:t>
            </w:r>
          </w:p>
        </w:tc>
        <w:tc>
          <w:tcPr>
            <w:tcW w:w="2757" w:type="dxa"/>
            <w:tcBorders>
              <w:top w:val="single" w:sz="4" w:space="0" w:color="auto"/>
              <w:left w:val="nil"/>
              <w:bottom w:val="single" w:sz="4" w:space="0" w:color="auto"/>
              <w:right w:val="single" w:sz="4" w:space="0" w:color="auto"/>
            </w:tcBorders>
            <w:shd w:val="clear" w:color="auto" w:fill="auto"/>
            <w:vAlign w:val="bottom"/>
            <w:hideMark/>
          </w:tcPr>
          <w:p w14:paraId="4604447D"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Percentage FDI/GDP%</w:t>
            </w:r>
          </w:p>
        </w:tc>
      </w:tr>
      <w:tr w:rsidR="00A915F4" w:rsidRPr="004A73C1" w14:paraId="4C40F624"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03A4F21F"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2015 </w:t>
            </w:r>
          </w:p>
        </w:tc>
        <w:tc>
          <w:tcPr>
            <w:tcW w:w="2080" w:type="dxa"/>
            <w:tcBorders>
              <w:top w:val="nil"/>
              <w:left w:val="nil"/>
              <w:bottom w:val="single" w:sz="4" w:space="0" w:color="auto"/>
              <w:right w:val="single" w:sz="4" w:space="0" w:color="auto"/>
            </w:tcBorders>
            <w:shd w:val="clear" w:color="auto" w:fill="auto"/>
            <w:noWrap/>
            <w:vAlign w:val="bottom"/>
            <w:hideMark/>
          </w:tcPr>
          <w:p w14:paraId="69E93E9D"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105.51 </w:t>
            </w:r>
          </w:p>
        </w:tc>
        <w:tc>
          <w:tcPr>
            <w:tcW w:w="1869" w:type="dxa"/>
            <w:tcBorders>
              <w:top w:val="nil"/>
              <w:left w:val="nil"/>
              <w:bottom w:val="single" w:sz="4" w:space="0" w:color="auto"/>
              <w:right w:val="single" w:sz="4" w:space="0" w:color="auto"/>
            </w:tcBorders>
            <w:shd w:val="clear" w:color="auto" w:fill="auto"/>
            <w:noWrap/>
            <w:vAlign w:val="bottom"/>
            <w:hideMark/>
          </w:tcPr>
          <w:p w14:paraId="34140572"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2,927.91 </w:t>
            </w:r>
          </w:p>
        </w:tc>
        <w:tc>
          <w:tcPr>
            <w:tcW w:w="2757" w:type="dxa"/>
            <w:tcBorders>
              <w:top w:val="nil"/>
              <w:left w:val="nil"/>
              <w:bottom w:val="single" w:sz="4" w:space="0" w:color="auto"/>
              <w:right w:val="single" w:sz="4" w:space="0" w:color="auto"/>
            </w:tcBorders>
            <w:shd w:val="clear" w:color="auto" w:fill="auto"/>
            <w:noWrap/>
            <w:vAlign w:val="bottom"/>
            <w:hideMark/>
          </w:tcPr>
          <w:p w14:paraId="7F21BC47"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-3.60%</w:t>
            </w:r>
          </w:p>
        </w:tc>
      </w:tr>
      <w:tr w:rsidR="00A915F4" w:rsidRPr="004A73C1" w14:paraId="3B6DC4C8"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732F90C7"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2016 </w:t>
            </w:r>
          </w:p>
        </w:tc>
        <w:tc>
          <w:tcPr>
            <w:tcW w:w="2080" w:type="dxa"/>
            <w:tcBorders>
              <w:top w:val="nil"/>
              <w:left w:val="nil"/>
              <w:bottom w:val="single" w:sz="4" w:space="0" w:color="auto"/>
              <w:right w:val="single" w:sz="4" w:space="0" w:color="auto"/>
            </w:tcBorders>
            <w:shd w:val="clear" w:color="auto" w:fill="auto"/>
            <w:noWrap/>
            <w:vAlign w:val="bottom"/>
            <w:hideMark/>
          </w:tcPr>
          <w:p w14:paraId="02D209FF"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291.90 </w:t>
            </w:r>
          </w:p>
        </w:tc>
        <w:tc>
          <w:tcPr>
            <w:tcW w:w="1869" w:type="dxa"/>
            <w:tcBorders>
              <w:top w:val="nil"/>
              <w:left w:val="nil"/>
              <w:bottom w:val="single" w:sz="4" w:space="0" w:color="auto"/>
              <w:right w:val="single" w:sz="4" w:space="0" w:color="auto"/>
            </w:tcBorders>
            <w:shd w:val="clear" w:color="auto" w:fill="auto"/>
            <w:noWrap/>
            <w:vAlign w:val="bottom"/>
            <w:hideMark/>
          </w:tcPr>
          <w:p w14:paraId="4ED63E19"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2,689.11 </w:t>
            </w:r>
          </w:p>
        </w:tc>
        <w:tc>
          <w:tcPr>
            <w:tcW w:w="2757" w:type="dxa"/>
            <w:tcBorders>
              <w:top w:val="nil"/>
              <w:left w:val="nil"/>
              <w:bottom w:val="single" w:sz="4" w:space="0" w:color="auto"/>
              <w:right w:val="single" w:sz="4" w:space="0" w:color="auto"/>
            </w:tcBorders>
            <w:shd w:val="clear" w:color="auto" w:fill="auto"/>
            <w:noWrap/>
            <w:vAlign w:val="bottom"/>
            <w:hideMark/>
          </w:tcPr>
          <w:p w14:paraId="0C192359"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-10.86%</w:t>
            </w:r>
          </w:p>
        </w:tc>
      </w:tr>
      <w:tr w:rsidR="00A915F4" w:rsidRPr="004A73C1" w14:paraId="70FA2676"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7D22F003"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2017 </w:t>
            </w:r>
          </w:p>
        </w:tc>
        <w:tc>
          <w:tcPr>
            <w:tcW w:w="2080" w:type="dxa"/>
            <w:tcBorders>
              <w:top w:val="nil"/>
              <w:left w:val="nil"/>
              <w:bottom w:val="single" w:sz="4" w:space="0" w:color="auto"/>
              <w:right w:val="single" w:sz="4" w:space="0" w:color="auto"/>
            </w:tcBorders>
            <w:shd w:val="clear" w:color="auto" w:fill="auto"/>
            <w:noWrap/>
            <w:vAlign w:val="bottom"/>
            <w:hideMark/>
          </w:tcPr>
          <w:p w14:paraId="405EAE9B"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46.69 </w:t>
            </w:r>
          </w:p>
        </w:tc>
        <w:tc>
          <w:tcPr>
            <w:tcW w:w="1869" w:type="dxa"/>
            <w:tcBorders>
              <w:top w:val="nil"/>
              <w:left w:val="nil"/>
              <w:bottom w:val="single" w:sz="4" w:space="0" w:color="auto"/>
              <w:right w:val="single" w:sz="4" w:space="0" w:color="auto"/>
            </w:tcBorders>
            <w:shd w:val="clear" w:color="auto" w:fill="auto"/>
            <w:noWrap/>
            <w:vAlign w:val="bottom"/>
            <w:hideMark/>
          </w:tcPr>
          <w:p w14:paraId="0B5D528B"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2,680.15 </w:t>
            </w:r>
          </w:p>
        </w:tc>
        <w:tc>
          <w:tcPr>
            <w:tcW w:w="2757" w:type="dxa"/>
            <w:tcBorders>
              <w:top w:val="nil"/>
              <w:left w:val="nil"/>
              <w:bottom w:val="single" w:sz="4" w:space="0" w:color="auto"/>
              <w:right w:val="single" w:sz="4" w:space="0" w:color="auto"/>
            </w:tcBorders>
            <w:shd w:val="clear" w:color="auto" w:fill="auto"/>
            <w:noWrap/>
            <w:vAlign w:val="bottom"/>
            <w:hideMark/>
          </w:tcPr>
          <w:p w14:paraId="163456FF"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1.74%</w:t>
            </w:r>
          </w:p>
        </w:tc>
      </w:tr>
      <w:tr w:rsidR="00A915F4" w:rsidRPr="004A73C1" w14:paraId="1254A3EA"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47A2750D"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2018 </w:t>
            </w:r>
          </w:p>
        </w:tc>
        <w:tc>
          <w:tcPr>
            <w:tcW w:w="2080" w:type="dxa"/>
            <w:tcBorders>
              <w:top w:val="nil"/>
              <w:left w:val="nil"/>
              <w:bottom w:val="single" w:sz="4" w:space="0" w:color="auto"/>
              <w:right w:val="single" w:sz="4" w:space="0" w:color="auto"/>
            </w:tcBorders>
            <w:shd w:val="clear" w:color="auto" w:fill="auto"/>
            <w:noWrap/>
            <w:vAlign w:val="bottom"/>
            <w:hideMark/>
          </w:tcPr>
          <w:p w14:paraId="3E715B0D"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3.58 </w:t>
            </w:r>
          </w:p>
        </w:tc>
        <w:tc>
          <w:tcPr>
            <w:tcW w:w="1869" w:type="dxa"/>
            <w:tcBorders>
              <w:top w:val="nil"/>
              <w:left w:val="nil"/>
              <w:bottom w:val="single" w:sz="4" w:space="0" w:color="auto"/>
              <w:right w:val="single" w:sz="4" w:space="0" w:color="auto"/>
            </w:tcBorders>
            <w:shd w:val="clear" w:color="auto" w:fill="auto"/>
            <w:noWrap/>
            <w:vAlign w:val="bottom"/>
            <w:hideMark/>
          </w:tcPr>
          <w:p w14:paraId="1DBEC7B5"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2,871.34 </w:t>
            </w:r>
          </w:p>
        </w:tc>
        <w:tc>
          <w:tcPr>
            <w:tcW w:w="2757" w:type="dxa"/>
            <w:tcBorders>
              <w:top w:val="nil"/>
              <w:left w:val="nil"/>
              <w:bottom w:val="single" w:sz="4" w:space="0" w:color="auto"/>
              <w:right w:val="single" w:sz="4" w:space="0" w:color="auto"/>
            </w:tcBorders>
            <w:shd w:val="clear" w:color="auto" w:fill="auto"/>
            <w:noWrap/>
            <w:vAlign w:val="bottom"/>
            <w:hideMark/>
          </w:tcPr>
          <w:p w14:paraId="3B003742"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-0.12%</w:t>
            </w:r>
          </w:p>
        </w:tc>
      </w:tr>
      <w:tr w:rsidR="00A915F4" w:rsidRPr="004A73C1" w14:paraId="551F9F98"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5420FFAE"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2019 </w:t>
            </w:r>
          </w:p>
        </w:tc>
        <w:tc>
          <w:tcPr>
            <w:tcW w:w="2080" w:type="dxa"/>
            <w:tcBorders>
              <w:top w:val="nil"/>
              <w:left w:val="nil"/>
              <w:bottom w:val="single" w:sz="4" w:space="0" w:color="auto"/>
              <w:right w:val="single" w:sz="4" w:space="0" w:color="auto"/>
            </w:tcBorders>
            <w:shd w:val="clear" w:color="auto" w:fill="auto"/>
            <w:noWrap/>
            <w:vAlign w:val="bottom"/>
            <w:hideMark/>
          </w:tcPr>
          <w:p w14:paraId="10FD8E7B"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41.29 </w:t>
            </w:r>
          </w:p>
        </w:tc>
        <w:tc>
          <w:tcPr>
            <w:tcW w:w="1869" w:type="dxa"/>
            <w:tcBorders>
              <w:top w:val="nil"/>
              <w:left w:val="nil"/>
              <w:bottom w:val="single" w:sz="4" w:space="0" w:color="auto"/>
              <w:right w:val="single" w:sz="4" w:space="0" w:color="auto"/>
            </w:tcBorders>
            <w:shd w:val="clear" w:color="auto" w:fill="auto"/>
            <w:noWrap/>
            <w:vAlign w:val="bottom"/>
            <w:hideMark/>
          </w:tcPr>
          <w:p w14:paraId="6A4FB71C"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2,851.41 </w:t>
            </w:r>
          </w:p>
        </w:tc>
        <w:tc>
          <w:tcPr>
            <w:tcW w:w="2757" w:type="dxa"/>
            <w:tcBorders>
              <w:top w:val="nil"/>
              <w:left w:val="nil"/>
              <w:bottom w:val="single" w:sz="4" w:space="0" w:color="auto"/>
              <w:right w:val="single" w:sz="4" w:space="0" w:color="auto"/>
            </w:tcBorders>
            <w:shd w:val="clear" w:color="auto" w:fill="auto"/>
            <w:noWrap/>
            <w:vAlign w:val="bottom"/>
            <w:hideMark/>
          </w:tcPr>
          <w:p w14:paraId="0F309061"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-1.45%</w:t>
            </w:r>
          </w:p>
        </w:tc>
      </w:tr>
      <w:tr w:rsidR="00A915F4" w:rsidRPr="004A73C1" w14:paraId="36F37AEC"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393A7990"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2020 </w:t>
            </w:r>
          </w:p>
        </w:tc>
        <w:tc>
          <w:tcPr>
            <w:tcW w:w="2080" w:type="dxa"/>
            <w:tcBorders>
              <w:top w:val="nil"/>
              <w:left w:val="nil"/>
              <w:bottom w:val="single" w:sz="4" w:space="0" w:color="auto"/>
              <w:right w:val="single" w:sz="4" w:space="0" w:color="auto"/>
            </w:tcBorders>
            <w:shd w:val="clear" w:color="auto" w:fill="auto"/>
            <w:noWrap/>
            <w:vAlign w:val="bottom"/>
            <w:hideMark/>
          </w:tcPr>
          <w:p w14:paraId="13566002"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140.80 </w:t>
            </w:r>
          </w:p>
        </w:tc>
        <w:tc>
          <w:tcPr>
            <w:tcW w:w="1869" w:type="dxa"/>
            <w:tcBorders>
              <w:top w:val="nil"/>
              <w:left w:val="nil"/>
              <w:bottom w:val="single" w:sz="4" w:space="0" w:color="auto"/>
              <w:right w:val="single" w:sz="4" w:space="0" w:color="auto"/>
            </w:tcBorders>
            <w:shd w:val="clear" w:color="auto" w:fill="auto"/>
            <w:noWrap/>
            <w:vAlign w:val="bottom"/>
            <w:hideMark/>
          </w:tcPr>
          <w:p w14:paraId="73ADE645"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2,697.81 </w:t>
            </w:r>
          </w:p>
        </w:tc>
        <w:tc>
          <w:tcPr>
            <w:tcW w:w="2757" w:type="dxa"/>
            <w:tcBorders>
              <w:top w:val="nil"/>
              <w:left w:val="nil"/>
              <w:bottom w:val="single" w:sz="4" w:space="0" w:color="auto"/>
              <w:right w:val="single" w:sz="4" w:space="0" w:color="auto"/>
            </w:tcBorders>
            <w:shd w:val="clear" w:color="auto" w:fill="auto"/>
            <w:noWrap/>
            <w:vAlign w:val="bottom"/>
            <w:hideMark/>
          </w:tcPr>
          <w:p w14:paraId="7167D216"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-5.22%</w:t>
            </w:r>
          </w:p>
        </w:tc>
      </w:tr>
      <w:tr w:rsidR="00A915F4" w:rsidRPr="004A73C1" w14:paraId="7C606EB7"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35BF7CFD"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2021 </w:t>
            </w:r>
          </w:p>
        </w:tc>
        <w:tc>
          <w:tcPr>
            <w:tcW w:w="2080" w:type="dxa"/>
            <w:tcBorders>
              <w:top w:val="nil"/>
              <w:left w:val="nil"/>
              <w:bottom w:val="single" w:sz="4" w:space="0" w:color="auto"/>
              <w:right w:val="single" w:sz="4" w:space="0" w:color="auto"/>
            </w:tcBorders>
            <w:shd w:val="clear" w:color="auto" w:fill="auto"/>
            <w:noWrap/>
            <w:vAlign w:val="bottom"/>
            <w:hideMark/>
          </w:tcPr>
          <w:p w14:paraId="0E2AB3CE"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155.01 </w:t>
            </w:r>
          </w:p>
        </w:tc>
        <w:tc>
          <w:tcPr>
            <w:tcW w:w="1869" w:type="dxa"/>
            <w:tcBorders>
              <w:top w:val="nil"/>
              <w:left w:val="nil"/>
              <w:bottom w:val="single" w:sz="4" w:space="0" w:color="auto"/>
              <w:right w:val="single" w:sz="4" w:space="0" w:color="auto"/>
            </w:tcBorders>
            <w:shd w:val="clear" w:color="auto" w:fill="auto"/>
            <w:noWrap/>
            <w:vAlign w:val="bottom"/>
            <w:hideMark/>
          </w:tcPr>
          <w:p w14:paraId="17409AAA"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3,141.51 </w:t>
            </w:r>
          </w:p>
        </w:tc>
        <w:tc>
          <w:tcPr>
            <w:tcW w:w="2757" w:type="dxa"/>
            <w:tcBorders>
              <w:top w:val="nil"/>
              <w:left w:val="nil"/>
              <w:bottom w:val="single" w:sz="4" w:space="0" w:color="auto"/>
              <w:right w:val="single" w:sz="4" w:space="0" w:color="auto"/>
            </w:tcBorders>
            <w:shd w:val="clear" w:color="auto" w:fill="auto"/>
            <w:noWrap/>
            <w:vAlign w:val="bottom"/>
            <w:hideMark/>
          </w:tcPr>
          <w:p w14:paraId="247A2169"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4.93%</w:t>
            </w:r>
          </w:p>
        </w:tc>
      </w:tr>
      <w:tr w:rsidR="00A915F4" w:rsidRPr="004A73C1" w14:paraId="773F3A10"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1A845DD1"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2022 </w:t>
            </w:r>
          </w:p>
        </w:tc>
        <w:tc>
          <w:tcPr>
            <w:tcW w:w="2080" w:type="dxa"/>
            <w:tcBorders>
              <w:top w:val="nil"/>
              <w:left w:val="nil"/>
              <w:bottom w:val="single" w:sz="4" w:space="0" w:color="auto"/>
              <w:right w:val="single" w:sz="4" w:space="0" w:color="auto"/>
            </w:tcBorders>
            <w:shd w:val="clear" w:color="auto" w:fill="auto"/>
            <w:noWrap/>
            <w:vAlign w:val="bottom"/>
            <w:hideMark/>
          </w:tcPr>
          <w:p w14:paraId="630FCDCD"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79.99 </w:t>
            </w:r>
          </w:p>
        </w:tc>
        <w:tc>
          <w:tcPr>
            <w:tcW w:w="1869" w:type="dxa"/>
            <w:tcBorders>
              <w:top w:val="nil"/>
              <w:left w:val="nil"/>
              <w:bottom w:val="single" w:sz="4" w:space="0" w:color="auto"/>
              <w:right w:val="single" w:sz="4" w:space="0" w:color="auto"/>
            </w:tcBorders>
            <w:shd w:val="clear" w:color="auto" w:fill="auto"/>
            <w:noWrap/>
            <w:vAlign w:val="bottom"/>
            <w:hideMark/>
          </w:tcPr>
          <w:p w14:paraId="7057181F"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3,088.84 </w:t>
            </w:r>
          </w:p>
        </w:tc>
        <w:tc>
          <w:tcPr>
            <w:tcW w:w="2757" w:type="dxa"/>
            <w:tcBorders>
              <w:top w:val="nil"/>
              <w:left w:val="nil"/>
              <w:bottom w:val="single" w:sz="4" w:space="0" w:color="auto"/>
              <w:right w:val="single" w:sz="4" w:space="0" w:color="auto"/>
            </w:tcBorders>
            <w:shd w:val="clear" w:color="auto" w:fill="auto"/>
            <w:noWrap/>
            <w:vAlign w:val="bottom"/>
            <w:hideMark/>
          </w:tcPr>
          <w:p w14:paraId="5845579E"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2.59%</w:t>
            </w:r>
          </w:p>
        </w:tc>
      </w:tr>
      <w:tr w:rsidR="00A915F4" w:rsidRPr="004A73C1" w14:paraId="51708FBA"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4FA366B5"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2023 </w:t>
            </w:r>
          </w:p>
        </w:tc>
        <w:tc>
          <w:tcPr>
            <w:tcW w:w="2080" w:type="dxa"/>
            <w:tcBorders>
              <w:top w:val="nil"/>
              <w:left w:val="nil"/>
              <w:bottom w:val="single" w:sz="4" w:space="0" w:color="auto"/>
              <w:right w:val="single" w:sz="4" w:space="0" w:color="auto"/>
            </w:tcBorders>
            <w:shd w:val="clear" w:color="auto" w:fill="auto"/>
            <w:noWrap/>
            <w:vAlign w:val="bottom"/>
            <w:hideMark/>
          </w:tcPr>
          <w:p w14:paraId="4AA80100"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90.03 </w:t>
            </w:r>
          </w:p>
        </w:tc>
        <w:tc>
          <w:tcPr>
            <w:tcW w:w="1869" w:type="dxa"/>
            <w:tcBorders>
              <w:top w:val="nil"/>
              <w:left w:val="nil"/>
              <w:bottom w:val="single" w:sz="4" w:space="0" w:color="auto"/>
              <w:right w:val="single" w:sz="4" w:space="0" w:color="auto"/>
            </w:tcBorders>
            <w:shd w:val="clear" w:color="auto" w:fill="auto"/>
            <w:noWrap/>
            <w:vAlign w:val="bottom"/>
            <w:hideMark/>
          </w:tcPr>
          <w:p w14:paraId="2A3B2F46"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3,340.03 </w:t>
            </w:r>
          </w:p>
        </w:tc>
        <w:tc>
          <w:tcPr>
            <w:tcW w:w="2757" w:type="dxa"/>
            <w:tcBorders>
              <w:top w:val="nil"/>
              <w:left w:val="nil"/>
              <w:bottom w:val="single" w:sz="4" w:space="0" w:color="auto"/>
              <w:right w:val="single" w:sz="4" w:space="0" w:color="auto"/>
            </w:tcBorders>
            <w:shd w:val="clear" w:color="auto" w:fill="auto"/>
            <w:noWrap/>
            <w:vAlign w:val="bottom"/>
            <w:hideMark/>
          </w:tcPr>
          <w:p w14:paraId="3B9154D7"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2.70%</w:t>
            </w:r>
          </w:p>
        </w:tc>
      </w:tr>
      <w:tr w:rsidR="00A915F4" w:rsidRPr="004A73C1" w14:paraId="5408CCCF" w14:textId="77777777" w:rsidTr="0021554E">
        <w:trPr>
          <w:trHeight w:val="895"/>
        </w:trPr>
        <w:tc>
          <w:tcPr>
            <w:tcW w:w="2547" w:type="dxa"/>
            <w:tcBorders>
              <w:top w:val="nil"/>
              <w:left w:val="single" w:sz="4" w:space="0" w:color="auto"/>
              <w:bottom w:val="single" w:sz="4" w:space="0" w:color="auto"/>
              <w:right w:val="single" w:sz="4" w:space="0" w:color="auto"/>
            </w:tcBorders>
            <w:shd w:val="clear" w:color="auto" w:fill="auto"/>
            <w:vAlign w:val="bottom"/>
            <w:hideMark/>
          </w:tcPr>
          <w:p w14:paraId="6646A151"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Standard Deviation. Population</w:t>
            </w:r>
          </w:p>
        </w:tc>
        <w:tc>
          <w:tcPr>
            <w:tcW w:w="2080" w:type="dxa"/>
            <w:tcBorders>
              <w:top w:val="nil"/>
              <w:left w:val="nil"/>
              <w:bottom w:val="single" w:sz="4" w:space="0" w:color="auto"/>
              <w:right w:val="single" w:sz="4" w:space="0" w:color="auto"/>
            </w:tcBorders>
            <w:shd w:val="clear" w:color="auto" w:fill="auto"/>
            <w:noWrap/>
            <w:vAlign w:val="bottom"/>
            <w:hideMark/>
          </w:tcPr>
          <w:p w14:paraId="3EA79CF5"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130.65 </w:t>
            </w:r>
          </w:p>
        </w:tc>
        <w:tc>
          <w:tcPr>
            <w:tcW w:w="1869" w:type="dxa"/>
            <w:tcBorders>
              <w:top w:val="nil"/>
              <w:left w:val="nil"/>
              <w:bottom w:val="single" w:sz="4" w:space="0" w:color="auto"/>
              <w:right w:val="single" w:sz="4" w:space="0" w:color="auto"/>
            </w:tcBorders>
            <w:shd w:val="clear" w:color="auto" w:fill="auto"/>
            <w:noWrap/>
            <w:vAlign w:val="bottom"/>
            <w:hideMark/>
          </w:tcPr>
          <w:p w14:paraId="3F3D387F"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216.37 </w:t>
            </w:r>
          </w:p>
        </w:tc>
        <w:tc>
          <w:tcPr>
            <w:tcW w:w="2757" w:type="dxa"/>
            <w:tcBorders>
              <w:top w:val="nil"/>
              <w:left w:val="nil"/>
              <w:bottom w:val="single" w:sz="4" w:space="0" w:color="auto"/>
              <w:right w:val="single" w:sz="4" w:space="0" w:color="auto"/>
            </w:tcBorders>
            <w:shd w:val="clear" w:color="auto" w:fill="auto"/>
            <w:noWrap/>
            <w:vAlign w:val="bottom"/>
            <w:hideMark/>
          </w:tcPr>
          <w:p w14:paraId="2AAD43A5"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5%</w:t>
            </w:r>
          </w:p>
        </w:tc>
      </w:tr>
      <w:tr w:rsidR="00A915F4" w:rsidRPr="004A73C1" w14:paraId="60760F79"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70A6000E"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Median</w:t>
            </w:r>
          </w:p>
        </w:tc>
        <w:tc>
          <w:tcPr>
            <w:tcW w:w="2080" w:type="dxa"/>
            <w:tcBorders>
              <w:top w:val="nil"/>
              <w:left w:val="nil"/>
              <w:bottom w:val="single" w:sz="4" w:space="0" w:color="auto"/>
              <w:right w:val="single" w:sz="4" w:space="0" w:color="auto"/>
            </w:tcBorders>
            <w:shd w:val="clear" w:color="auto" w:fill="auto"/>
            <w:noWrap/>
            <w:vAlign w:val="bottom"/>
            <w:hideMark/>
          </w:tcPr>
          <w:p w14:paraId="2B5D17A4"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3.58 </w:t>
            </w:r>
          </w:p>
        </w:tc>
        <w:tc>
          <w:tcPr>
            <w:tcW w:w="1869" w:type="dxa"/>
            <w:tcBorders>
              <w:top w:val="nil"/>
              <w:left w:val="nil"/>
              <w:bottom w:val="single" w:sz="4" w:space="0" w:color="auto"/>
              <w:right w:val="single" w:sz="4" w:space="0" w:color="auto"/>
            </w:tcBorders>
            <w:shd w:val="clear" w:color="auto" w:fill="auto"/>
            <w:noWrap/>
            <w:vAlign w:val="bottom"/>
            <w:hideMark/>
          </w:tcPr>
          <w:p w14:paraId="2D60C07A"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2,871.34 </w:t>
            </w:r>
          </w:p>
        </w:tc>
        <w:tc>
          <w:tcPr>
            <w:tcW w:w="2757" w:type="dxa"/>
            <w:tcBorders>
              <w:top w:val="nil"/>
              <w:left w:val="nil"/>
              <w:bottom w:val="single" w:sz="4" w:space="0" w:color="auto"/>
              <w:right w:val="single" w:sz="4" w:space="0" w:color="auto"/>
            </w:tcBorders>
            <w:shd w:val="clear" w:color="auto" w:fill="auto"/>
            <w:noWrap/>
            <w:vAlign w:val="bottom"/>
            <w:hideMark/>
          </w:tcPr>
          <w:p w14:paraId="73C4D040"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-0.12%</w:t>
            </w:r>
          </w:p>
        </w:tc>
      </w:tr>
      <w:tr w:rsidR="00A915F4" w:rsidRPr="004A73C1" w14:paraId="3B5CE0B4"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2C3C8846"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Mean</w:t>
            </w:r>
          </w:p>
        </w:tc>
        <w:tc>
          <w:tcPr>
            <w:tcW w:w="2080" w:type="dxa"/>
            <w:tcBorders>
              <w:top w:val="nil"/>
              <w:left w:val="nil"/>
              <w:bottom w:val="single" w:sz="4" w:space="0" w:color="auto"/>
              <w:right w:val="single" w:sz="4" w:space="0" w:color="auto"/>
            </w:tcBorders>
            <w:shd w:val="clear" w:color="auto" w:fill="auto"/>
            <w:noWrap/>
            <w:vAlign w:val="bottom"/>
            <w:hideMark/>
          </w:tcPr>
          <w:p w14:paraId="2944ADD0"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23.48 </w:t>
            </w:r>
          </w:p>
        </w:tc>
        <w:tc>
          <w:tcPr>
            <w:tcW w:w="1869" w:type="dxa"/>
            <w:tcBorders>
              <w:top w:val="nil"/>
              <w:left w:val="nil"/>
              <w:bottom w:val="single" w:sz="4" w:space="0" w:color="auto"/>
              <w:right w:val="single" w:sz="4" w:space="0" w:color="auto"/>
            </w:tcBorders>
            <w:shd w:val="clear" w:color="auto" w:fill="auto"/>
            <w:noWrap/>
            <w:vAlign w:val="bottom"/>
            <w:hideMark/>
          </w:tcPr>
          <w:p w14:paraId="4ACCC9DF"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2,920.90 </w:t>
            </w:r>
          </w:p>
        </w:tc>
        <w:tc>
          <w:tcPr>
            <w:tcW w:w="2757" w:type="dxa"/>
            <w:tcBorders>
              <w:top w:val="nil"/>
              <w:left w:val="nil"/>
              <w:bottom w:val="single" w:sz="4" w:space="0" w:color="auto"/>
              <w:right w:val="single" w:sz="4" w:space="0" w:color="auto"/>
            </w:tcBorders>
            <w:shd w:val="clear" w:color="auto" w:fill="auto"/>
            <w:noWrap/>
            <w:vAlign w:val="bottom"/>
            <w:hideMark/>
          </w:tcPr>
          <w:p w14:paraId="2D694A87"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-1.03%</w:t>
            </w:r>
          </w:p>
        </w:tc>
      </w:tr>
      <w:tr w:rsidR="00A915F4" w:rsidRPr="004A73C1" w14:paraId="7F5F89D0"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7525340D"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Standard deviation </w:t>
            </w:r>
          </w:p>
        </w:tc>
        <w:tc>
          <w:tcPr>
            <w:tcW w:w="2080" w:type="dxa"/>
            <w:tcBorders>
              <w:top w:val="nil"/>
              <w:left w:val="nil"/>
              <w:bottom w:val="single" w:sz="4" w:space="0" w:color="auto"/>
              <w:right w:val="single" w:sz="4" w:space="0" w:color="auto"/>
            </w:tcBorders>
            <w:shd w:val="clear" w:color="auto" w:fill="auto"/>
            <w:noWrap/>
            <w:vAlign w:val="bottom"/>
            <w:hideMark/>
          </w:tcPr>
          <w:p w14:paraId="2F4ACEAF"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138.58 </w:t>
            </w:r>
          </w:p>
        </w:tc>
        <w:tc>
          <w:tcPr>
            <w:tcW w:w="1869" w:type="dxa"/>
            <w:tcBorders>
              <w:top w:val="nil"/>
              <w:left w:val="nil"/>
              <w:bottom w:val="single" w:sz="4" w:space="0" w:color="auto"/>
              <w:right w:val="single" w:sz="4" w:space="0" w:color="auto"/>
            </w:tcBorders>
            <w:shd w:val="clear" w:color="auto" w:fill="auto"/>
            <w:noWrap/>
            <w:vAlign w:val="bottom"/>
            <w:hideMark/>
          </w:tcPr>
          <w:p w14:paraId="63E7E212"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229.49 </w:t>
            </w:r>
          </w:p>
        </w:tc>
        <w:tc>
          <w:tcPr>
            <w:tcW w:w="2757" w:type="dxa"/>
            <w:tcBorders>
              <w:top w:val="nil"/>
              <w:left w:val="nil"/>
              <w:bottom w:val="single" w:sz="4" w:space="0" w:color="auto"/>
              <w:right w:val="single" w:sz="4" w:space="0" w:color="auto"/>
            </w:tcBorders>
            <w:shd w:val="clear" w:color="auto" w:fill="auto"/>
            <w:noWrap/>
            <w:vAlign w:val="bottom"/>
            <w:hideMark/>
          </w:tcPr>
          <w:p w14:paraId="51D8A5DA"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4.90%</w:t>
            </w:r>
          </w:p>
        </w:tc>
      </w:tr>
    </w:tbl>
    <w:p w14:paraId="3D42AF08" w14:textId="7494A2D3" w:rsidR="00B80C0D" w:rsidRPr="004A73C1" w:rsidRDefault="00B80C0D" w:rsidP="00EF2E34">
      <w:pPr>
        <w:spacing w:line="360" w:lineRule="auto"/>
        <w:rPr>
          <w:rFonts w:ascii="Arial" w:hAnsi="Arial" w:cs="Arial"/>
        </w:rPr>
      </w:pPr>
      <w:r w:rsidRPr="004A73C1">
        <w:rPr>
          <w:rFonts w:ascii="Arial" w:hAnsi="Arial" w:cs="Arial"/>
        </w:rPr>
        <w:t>Figure 11</w:t>
      </w:r>
    </w:p>
    <w:p w14:paraId="0F36E6CD" w14:textId="189F153B" w:rsidR="00A915F4" w:rsidRPr="004A73C1" w:rsidRDefault="00A915F4" w:rsidP="00EF2E34">
      <w:pPr>
        <w:spacing w:line="360" w:lineRule="auto"/>
        <w:rPr>
          <w:rFonts w:ascii="Arial" w:hAnsi="Arial" w:cs="Arial"/>
        </w:rPr>
      </w:pPr>
      <w:r w:rsidRPr="004A73C1">
        <w:rPr>
          <w:rFonts w:ascii="Arial" w:hAnsi="Arial" w:cs="Arial"/>
        </w:rPr>
        <w:t xml:space="preserve">Source- Data World Bank </w:t>
      </w:r>
      <w:r w:rsidR="00B66179" w:rsidRPr="004A73C1">
        <w:rPr>
          <w:rFonts w:ascii="Arial" w:hAnsi="Arial" w:cs="Arial"/>
        </w:rPr>
        <w:t xml:space="preserve">- </w:t>
      </w:r>
      <w:r w:rsidRPr="004A73C1">
        <w:rPr>
          <w:rFonts w:ascii="Arial" w:hAnsi="Arial" w:cs="Arial"/>
        </w:rPr>
        <w:t>Calculation Researcher Own working</w:t>
      </w:r>
    </w:p>
    <w:p w14:paraId="704B3F01" w14:textId="77777777" w:rsidR="00A915F4" w:rsidRPr="004A73C1" w:rsidRDefault="00A915F4" w:rsidP="00EF2E34">
      <w:pPr>
        <w:spacing w:after="0" w:line="360" w:lineRule="auto"/>
        <w:jc w:val="both"/>
        <w:rPr>
          <w:rStyle w:val="Heading2Char"/>
          <w:rFonts w:ascii="Arial" w:hAnsi="Arial" w:cs="Arial"/>
          <w:color w:val="auto"/>
        </w:rPr>
      </w:pPr>
    </w:p>
    <w:p w14:paraId="24DC9CE4" w14:textId="3A6FA727" w:rsidR="00D84748" w:rsidRPr="004A73C1" w:rsidRDefault="00CA52E6" w:rsidP="00EF2E34">
      <w:pPr>
        <w:pStyle w:val="Heading3"/>
        <w:spacing w:line="360" w:lineRule="auto"/>
        <w:rPr>
          <w:rStyle w:val="Heading2Char"/>
          <w:rFonts w:ascii="Arial" w:hAnsi="Arial" w:cs="Arial"/>
          <w:color w:val="auto"/>
          <w:sz w:val="26"/>
          <w:szCs w:val="26"/>
        </w:rPr>
      </w:pPr>
      <w:bookmarkStart w:id="103" w:name="_Toc175056473"/>
      <w:bookmarkStart w:id="104" w:name="_Toc175675357"/>
      <w:r w:rsidRPr="004A73C1">
        <w:rPr>
          <w:rStyle w:val="Heading2Char"/>
          <w:rFonts w:ascii="Arial" w:hAnsi="Arial" w:cs="Arial"/>
          <w:color w:val="auto"/>
          <w:sz w:val="26"/>
          <w:szCs w:val="26"/>
        </w:rPr>
        <w:lastRenderedPageBreak/>
        <w:t>3.4.</w:t>
      </w:r>
      <w:r w:rsidR="00646CBB" w:rsidRPr="004A73C1">
        <w:rPr>
          <w:rStyle w:val="Heading2Char"/>
          <w:rFonts w:ascii="Arial" w:hAnsi="Arial" w:cs="Arial"/>
          <w:color w:val="auto"/>
          <w:sz w:val="26"/>
          <w:szCs w:val="26"/>
        </w:rPr>
        <w:t>5</w:t>
      </w:r>
      <w:r w:rsidRPr="004A73C1">
        <w:rPr>
          <w:rStyle w:val="Heading2Char"/>
          <w:rFonts w:ascii="Arial" w:hAnsi="Arial" w:cs="Arial"/>
          <w:color w:val="auto"/>
          <w:sz w:val="26"/>
          <w:szCs w:val="26"/>
        </w:rPr>
        <w:tab/>
      </w:r>
      <w:r w:rsidR="00D84748" w:rsidRPr="004A73C1">
        <w:rPr>
          <w:rStyle w:val="Heading2Char"/>
          <w:rFonts w:ascii="Arial" w:hAnsi="Arial" w:cs="Arial"/>
          <w:color w:val="auto"/>
          <w:sz w:val="26"/>
          <w:szCs w:val="26"/>
        </w:rPr>
        <w:t>Interest Rate</w:t>
      </w:r>
      <w:bookmarkEnd w:id="103"/>
      <w:bookmarkEnd w:id="104"/>
    </w:p>
    <w:p w14:paraId="7F674711" w14:textId="0E23D975" w:rsidR="008D0B8F" w:rsidRPr="004A73C1" w:rsidRDefault="00B4014F" w:rsidP="00EF2E34">
      <w:pPr>
        <w:spacing w:line="360" w:lineRule="auto"/>
        <w:jc w:val="both"/>
        <w:rPr>
          <w:rFonts w:ascii="Arial" w:hAnsi="Arial" w:cs="Arial"/>
        </w:rPr>
      </w:pPr>
      <w:r w:rsidRPr="004A73C1">
        <w:rPr>
          <w:rFonts w:ascii="Arial" w:hAnsi="Arial" w:cs="Arial"/>
        </w:rPr>
        <w:t>The interest rate is also a positive measure of the country's economic stability.</w:t>
      </w:r>
      <w:r w:rsidR="008D0B8F" w:rsidRPr="004A73C1">
        <w:rPr>
          <w:rFonts w:ascii="Arial" w:hAnsi="Arial" w:cs="Arial"/>
        </w:rPr>
        <w:t xml:space="preserve"> Set by the central bank, it influences borrowing costs, savings returns, and investment decisions within the economy. A higher interest rate tends to reduce borrowing and stimulate saving, while a lower interest rate encourages borrowing and spending.</w:t>
      </w:r>
    </w:p>
    <w:p w14:paraId="0E331844" w14:textId="77777777" w:rsidR="008D0B8F" w:rsidRPr="004A73C1" w:rsidRDefault="008D0B8F" w:rsidP="00EF2E34">
      <w:pPr>
        <w:spacing w:line="360" w:lineRule="auto"/>
        <w:jc w:val="both"/>
        <w:rPr>
          <w:rFonts w:ascii="Arial" w:hAnsi="Arial" w:cs="Arial"/>
        </w:rPr>
      </w:pPr>
      <w:r w:rsidRPr="004A73C1">
        <w:rPr>
          <w:rFonts w:ascii="Arial" w:hAnsi="Arial" w:cs="Arial"/>
        </w:rPr>
        <w:t>In the United Kingdom, the prevailing interest rate is closely monitored to gauge the overall economic conditions. Changes in the interest rate can signal the central bank's stance on inflation, economic growth, and employment. Investors and businesses often assess interest rate movements to make informed decisions regarding investments, borrowing, and expansion plans.</w:t>
      </w:r>
    </w:p>
    <w:p w14:paraId="798BE644" w14:textId="143B6782" w:rsidR="00B4014F" w:rsidRPr="004A73C1" w:rsidRDefault="008D0B8F" w:rsidP="00EF2E34">
      <w:pPr>
        <w:spacing w:line="360" w:lineRule="auto"/>
        <w:jc w:val="both"/>
        <w:rPr>
          <w:rFonts w:ascii="Arial" w:hAnsi="Arial" w:cs="Arial"/>
        </w:rPr>
      </w:pPr>
      <w:r w:rsidRPr="004A73C1">
        <w:rPr>
          <w:rFonts w:ascii="Arial" w:hAnsi="Arial" w:cs="Arial"/>
        </w:rPr>
        <w:t>Overall, the interest rate is a significant indicator of the UK's economic health and is closely watched by market analysts, policymakers, and financial institutions.</w:t>
      </w:r>
    </w:p>
    <w:p w14:paraId="3CCC814F" w14:textId="24C99FED" w:rsidR="00D84748" w:rsidRPr="004A73C1" w:rsidRDefault="00D84748" w:rsidP="00EF2E34">
      <w:pPr>
        <w:spacing w:after="0" w:line="360" w:lineRule="auto"/>
        <w:jc w:val="both"/>
        <w:rPr>
          <w:rFonts w:ascii="Arial" w:hAnsi="Arial" w:cs="Arial"/>
        </w:rPr>
      </w:pPr>
      <w:r w:rsidRPr="004A73C1">
        <w:rPr>
          <w:rFonts w:ascii="Arial" w:hAnsi="Arial" w:cs="Arial"/>
          <w:noProof/>
        </w:rPr>
        <w:drawing>
          <wp:inline distT="0" distB="0" distL="0" distR="0" wp14:anchorId="66090EF4" wp14:editId="06B61AC4">
            <wp:extent cx="5731510" cy="2636520"/>
            <wp:effectExtent l="0" t="0" r="2540" b="0"/>
            <wp:docPr id="745491878" name="Picture 1" descr="A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491878" name="Picture 1" descr="A graph with numbers and a line&#10;&#10;Description automatically generated"/>
                    <pic:cNvPicPr/>
                  </pic:nvPicPr>
                  <pic:blipFill>
                    <a:blip r:embed="rId23"/>
                    <a:stretch>
                      <a:fillRect/>
                    </a:stretch>
                  </pic:blipFill>
                  <pic:spPr>
                    <a:xfrm>
                      <a:off x="0" y="0"/>
                      <a:ext cx="5731510" cy="2636520"/>
                    </a:xfrm>
                    <a:prstGeom prst="rect">
                      <a:avLst/>
                    </a:prstGeom>
                  </pic:spPr>
                </pic:pic>
              </a:graphicData>
            </a:graphic>
          </wp:inline>
        </w:drawing>
      </w:r>
    </w:p>
    <w:p w14:paraId="3FADEFD3" w14:textId="1CA6BC6D" w:rsidR="008D0B8F" w:rsidRPr="004A73C1" w:rsidRDefault="00B80C0D" w:rsidP="00EF2E34">
      <w:pPr>
        <w:spacing w:after="0" w:line="360" w:lineRule="auto"/>
        <w:jc w:val="both"/>
        <w:rPr>
          <w:rStyle w:val="Heading2Char"/>
          <w:rFonts w:ascii="Arial" w:hAnsi="Arial" w:cs="Arial"/>
          <w:color w:val="auto"/>
        </w:rPr>
      </w:pPr>
      <w:r w:rsidRPr="004A73C1">
        <w:rPr>
          <w:rFonts w:ascii="Arial" w:hAnsi="Arial" w:cs="Arial"/>
        </w:rPr>
        <w:t>Figure 12</w:t>
      </w:r>
      <w:r w:rsidR="00741FAB" w:rsidRPr="004A73C1">
        <w:rPr>
          <w:rFonts w:ascii="Arial" w:hAnsi="Arial" w:cs="Arial"/>
        </w:rPr>
        <w:t xml:space="preserve"> – Source Bank of England, April 2024</w:t>
      </w:r>
    </w:p>
    <w:p w14:paraId="11BD0C57" w14:textId="77777777" w:rsidR="00A915F4" w:rsidRPr="004A73C1" w:rsidRDefault="00A915F4" w:rsidP="00EF2E34">
      <w:pPr>
        <w:spacing w:after="0" w:line="360" w:lineRule="auto"/>
        <w:jc w:val="both"/>
        <w:rPr>
          <w:rFonts w:ascii="Arial" w:hAnsi="Arial" w:cs="Arial"/>
        </w:rPr>
      </w:pPr>
      <w:r w:rsidRPr="004A73C1">
        <w:rPr>
          <w:rFonts w:ascii="Arial" w:hAnsi="Arial" w:cs="Arial"/>
          <w:noProof/>
        </w:rPr>
        <w:lastRenderedPageBreak/>
        <w:drawing>
          <wp:inline distT="0" distB="0" distL="0" distR="0" wp14:anchorId="7F6EF172" wp14:editId="5E319CC5">
            <wp:extent cx="5731510" cy="3608705"/>
            <wp:effectExtent l="0" t="0" r="2540" b="0"/>
            <wp:docPr id="1046496618" name="Picture 1" descr="A graph of a graph with numbers and a number of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496618" name="Picture 1" descr="A graph of a graph with numbers and a number of bars&#10;&#10;Description automatically generated with medium confidence"/>
                    <pic:cNvPicPr/>
                  </pic:nvPicPr>
                  <pic:blipFill>
                    <a:blip r:embed="rId24"/>
                    <a:stretch>
                      <a:fillRect/>
                    </a:stretch>
                  </pic:blipFill>
                  <pic:spPr>
                    <a:xfrm>
                      <a:off x="0" y="0"/>
                      <a:ext cx="5731510" cy="3608705"/>
                    </a:xfrm>
                    <a:prstGeom prst="rect">
                      <a:avLst/>
                    </a:prstGeom>
                  </pic:spPr>
                </pic:pic>
              </a:graphicData>
            </a:graphic>
          </wp:inline>
        </w:drawing>
      </w:r>
    </w:p>
    <w:p w14:paraId="1C8F2C91" w14:textId="67FD7B27" w:rsidR="00A915F4" w:rsidRPr="004A73C1" w:rsidRDefault="00B80C0D" w:rsidP="00EF2E34">
      <w:pPr>
        <w:spacing w:after="0" w:line="360" w:lineRule="auto"/>
        <w:jc w:val="both"/>
        <w:rPr>
          <w:rFonts w:ascii="Arial" w:hAnsi="Arial" w:cs="Arial"/>
        </w:rPr>
      </w:pPr>
      <w:r w:rsidRPr="004A73C1">
        <w:rPr>
          <w:rFonts w:ascii="Arial" w:hAnsi="Arial" w:cs="Arial"/>
        </w:rPr>
        <w:t>Figure 13</w:t>
      </w:r>
      <w:r w:rsidR="00976200">
        <w:rPr>
          <w:rFonts w:ascii="Arial" w:hAnsi="Arial" w:cs="Arial"/>
        </w:rPr>
        <w:tab/>
        <w:t>(Source Bank of England)</w:t>
      </w:r>
    </w:p>
    <w:p w14:paraId="3BAD6AAD" w14:textId="77777777" w:rsidR="00A915F4" w:rsidRPr="004A73C1" w:rsidRDefault="00A915F4" w:rsidP="00EF2E34">
      <w:pPr>
        <w:spacing w:after="0" w:line="360" w:lineRule="auto"/>
        <w:jc w:val="both"/>
        <w:rPr>
          <w:rFonts w:ascii="Arial" w:hAnsi="Arial" w:cs="Arial"/>
        </w:rPr>
      </w:pPr>
      <w:r w:rsidRPr="004A73C1">
        <w:rPr>
          <w:rFonts w:ascii="Arial" w:hAnsi="Arial" w:cs="Arial"/>
        </w:rPr>
        <w:t>The following table shows the variance and change from Q3 of 2023 to Q3 of 2024.</w:t>
      </w:r>
    </w:p>
    <w:p w14:paraId="06E24AF0" w14:textId="77777777" w:rsidR="00A915F4" w:rsidRPr="004A73C1" w:rsidRDefault="00A915F4" w:rsidP="00EF2E34">
      <w:pPr>
        <w:spacing w:after="0" w:line="360" w:lineRule="auto"/>
        <w:jc w:val="both"/>
        <w:rPr>
          <w:rFonts w:ascii="Arial" w:hAnsi="Arial" w:cs="Arial"/>
        </w:rPr>
      </w:pPr>
      <w:r w:rsidRPr="004A73C1">
        <w:rPr>
          <w:rFonts w:ascii="Arial" w:hAnsi="Arial" w:cs="Arial"/>
          <w:noProof/>
        </w:rPr>
        <w:drawing>
          <wp:inline distT="0" distB="0" distL="0" distR="0" wp14:anchorId="3058233C" wp14:editId="404C7D54">
            <wp:extent cx="5731510" cy="2647950"/>
            <wp:effectExtent l="0" t="0" r="2540" b="0"/>
            <wp:docPr id="650716692" name="Picture 1" descr="A graph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716692" name="Picture 1" descr="A graph with numbers and a line&#10;&#10;Description automatically generated with medium confidence"/>
                    <pic:cNvPicPr/>
                  </pic:nvPicPr>
                  <pic:blipFill>
                    <a:blip r:embed="rId25"/>
                    <a:stretch>
                      <a:fillRect/>
                    </a:stretch>
                  </pic:blipFill>
                  <pic:spPr>
                    <a:xfrm>
                      <a:off x="0" y="0"/>
                      <a:ext cx="5731510" cy="2647950"/>
                    </a:xfrm>
                    <a:prstGeom prst="rect">
                      <a:avLst/>
                    </a:prstGeom>
                  </pic:spPr>
                </pic:pic>
              </a:graphicData>
            </a:graphic>
          </wp:inline>
        </w:drawing>
      </w:r>
    </w:p>
    <w:p w14:paraId="238E1838" w14:textId="7FE4F417" w:rsidR="00A915F4" w:rsidRPr="004A73C1" w:rsidRDefault="00B80C0D" w:rsidP="00EF2E34">
      <w:pPr>
        <w:spacing w:after="0" w:line="360" w:lineRule="auto"/>
        <w:jc w:val="both"/>
        <w:rPr>
          <w:rFonts w:ascii="Arial" w:hAnsi="Arial" w:cs="Arial"/>
        </w:rPr>
      </w:pPr>
      <w:r w:rsidRPr="004A73C1">
        <w:rPr>
          <w:rFonts w:ascii="Arial" w:hAnsi="Arial" w:cs="Arial"/>
        </w:rPr>
        <w:t>Figure 14</w:t>
      </w:r>
      <w:r w:rsidR="00976200">
        <w:rPr>
          <w:rFonts w:ascii="Arial" w:hAnsi="Arial" w:cs="Arial"/>
        </w:rPr>
        <w:t xml:space="preserve"> (Source: ONS)</w:t>
      </w:r>
    </w:p>
    <w:p w14:paraId="1D43E40D" w14:textId="77777777" w:rsidR="00A915F4" w:rsidRPr="004A73C1" w:rsidRDefault="00A915F4" w:rsidP="00EF2E34">
      <w:pPr>
        <w:spacing w:after="0" w:line="360" w:lineRule="auto"/>
        <w:jc w:val="both"/>
        <w:rPr>
          <w:rFonts w:ascii="Arial" w:hAnsi="Arial" w:cs="Arial"/>
        </w:rPr>
      </w:pPr>
      <w:r w:rsidRPr="004A73C1">
        <w:rPr>
          <w:rFonts w:ascii="Arial" w:hAnsi="Arial" w:cs="Arial"/>
        </w:rPr>
        <w:t>The following table Comparison of UK GDP Growth with EU Annual Growth</w:t>
      </w:r>
    </w:p>
    <w:p w14:paraId="50909A0B" w14:textId="77777777" w:rsidR="00A915F4" w:rsidRPr="004A73C1" w:rsidRDefault="00A915F4" w:rsidP="00EF2E34">
      <w:pPr>
        <w:spacing w:after="0" w:line="360" w:lineRule="auto"/>
        <w:jc w:val="both"/>
        <w:rPr>
          <w:rFonts w:ascii="Arial" w:hAnsi="Arial" w:cs="Arial"/>
        </w:rPr>
      </w:pPr>
      <w:r w:rsidRPr="004A73C1">
        <w:rPr>
          <w:rFonts w:ascii="Arial" w:hAnsi="Arial" w:cs="Arial"/>
          <w:noProof/>
        </w:rPr>
        <w:lastRenderedPageBreak/>
        <w:drawing>
          <wp:inline distT="0" distB="0" distL="0" distR="0" wp14:anchorId="5170D2C3" wp14:editId="7052551C">
            <wp:extent cx="5731510" cy="3817620"/>
            <wp:effectExtent l="0" t="0" r="2540" b="0"/>
            <wp:docPr id="232699146" name="Picture 1" descr="A graph of a graph showing the growth of the e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699146" name="Picture 1" descr="A graph of a graph showing the growth of the eu&#10;&#10;Description automatically generated"/>
                    <pic:cNvPicPr/>
                  </pic:nvPicPr>
                  <pic:blipFill>
                    <a:blip r:embed="rId26"/>
                    <a:stretch>
                      <a:fillRect/>
                    </a:stretch>
                  </pic:blipFill>
                  <pic:spPr>
                    <a:xfrm>
                      <a:off x="0" y="0"/>
                      <a:ext cx="5731510" cy="3817620"/>
                    </a:xfrm>
                    <a:prstGeom prst="rect">
                      <a:avLst/>
                    </a:prstGeom>
                  </pic:spPr>
                </pic:pic>
              </a:graphicData>
            </a:graphic>
          </wp:inline>
        </w:drawing>
      </w:r>
    </w:p>
    <w:p w14:paraId="5672713C" w14:textId="045BB664" w:rsidR="00A915F4" w:rsidRDefault="00B80C0D" w:rsidP="00EF2E34">
      <w:pPr>
        <w:spacing w:after="0" w:line="360" w:lineRule="auto"/>
        <w:jc w:val="both"/>
        <w:rPr>
          <w:rFonts w:ascii="Arial" w:hAnsi="Arial" w:cs="Arial"/>
        </w:rPr>
      </w:pPr>
      <w:r w:rsidRPr="004A73C1">
        <w:rPr>
          <w:rFonts w:ascii="Arial" w:hAnsi="Arial" w:cs="Arial"/>
        </w:rPr>
        <w:t>Figure 15</w:t>
      </w:r>
      <w:r w:rsidR="009F1A70" w:rsidRPr="004A73C1">
        <w:rPr>
          <w:rFonts w:ascii="Arial" w:hAnsi="Arial" w:cs="Arial"/>
        </w:rPr>
        <w:tab/>
        <w:t>(</w:t>
      </w:r>
      <w:r w:rsidR="00A915F4" w:rsidRPr="004A73C1">
        <w:rPr>
          <w:rFonts w:ascii="Arial" w:hAnsi="Arial" w:cs="Arial"/>
        </w:rPr>
        <w:t>Source- World Bank</w:t>
      </w:r>
      <w:r w:rsidR="009F1A70" w:rsidRPr="004A73C1">
        <w:rPr>
          <w:rFonts w:ascii="Arial" w:hAnsi="Arial" w:cs="Arial"/>
        </w:rPr>
        <w:t>)</w:t>
      </w:r>
    </w:p>
    <w:p w14:paraId="04158CF1" w14:textId="77777777" w:rsidR="00ED3916" w:rsidRPr="004A73C1" w:rsidRDefault="00ED3916" w:rsidP="00EF2E34">
      <w:pPr>
        <w:spacing w:after="0" w:line="360" w:lineRule="auto"/>
        <w:jc w:val="both"/>
        <w:rPr>
          <w:rFonts w:ascii="Arial" w:hAnsi="Arial" w:cs="Arial"/>
        </w:rPr>
      </w:pPr>
    </w:p>
    <w:p w14:paraId="1E0F94E0" w14:textId="20138915" w:rsidR="000B0043" w:rsidRPr="004A73C1" w:rsidRDefault="00CA52E6" w:rsidP="00EF2E34">
      <w:pPr>
        <w:pStyle w:val="Heading3"/>
        <w:spacing w:line="360" w:lineRule="auto"/>
        <w:rPr>
          <w:rStyle w:val="Heading2Char"/>
          <w:rFonts w:ascii="Arial" w:hAnsi="Arial" w:cs="Arial"/>
          <w:color w:val="auto"/>
          <w:sz w:val="26"/>
          <w:szCs w:val="26"/>
        </w:rPr>
      </w:pPr>
      <w:bookmarkStart w:id="105" w:name="_Toc175056474"/>
      <w:bookmarkStart w:id="106" w:name="_Toc175675358"/>
      <w:r w:rsidRPr="004A73C1">
        <w:rPr>
          <w:rStyle w:val="Heading2Char"/>
          <w:rFonts w:ascii="Arial" w:hAnsi="Arial" w:cs="Arial"/>
          <w:color w:val="auto"/>
          <w:sz w:val="26"/>
          <w:szCs w:val="26"/>
        </w:rPr>
        <w:t>3.4.</w:t>
      </w:r>
      <w:r w:rsidR="00646CBB" w:rsidRPr="004A73C1">
        <w:rPr>
          <w:rStyle w:val="Heading2Char"/>
          <w:rFonts w:ascii="Arial" w:hAnsi="Arial" w:cs="Arial"/>
          <w:color w:val="auto"/>
          <w:sz w:val="26"/>
          <w:szCs w:val="26"/>
        </w:rPr>
        <w:t>6</w:t>
      </w:r>
      <w:r w:rsidRPr="004A73C1">
        <w:rPr>
          <w:rStyle w:val="Heading2Char"/>
          <w:rFonts w:ascii="Arial" w:hAnsi="Arial" w:cs="Arial"/>
          <w:color w:val="auto"/>
          <w:sz w:val="26"/>
          <w:szCs w:val="26"/>
        </w:rPr>
        <w:tab/>
      </w:r>
      <w:r w:rsidR="000B0043" w:rsidRPr="004A73C1">
        <w:rPr>
          <w:rStyle w:val="Heading2Char"/>
          <w:rFonts w:ascii="Arial" w:hAnsi="Arial" w:cs="Arial"/>
          <w:color w:val="auto"/>
          <w:sz w:val="26"/>
          <w:szCs w:val="26"/>
        </w:rPr>
        <w:t>Unemployment Rate</w:t>
      </w:r>
      <w:bookmarkEnd w:id="105"/>
      <w:bookmarkEnd w:id="106"/>
    </w:p>
    <w:p w14:paraId="5EAEAE22" w14:textId="4D28358D" w:rsidR="008D0B8F" w:rsidRPr="004A73C1" w:rsidRDefault="008D0B8F" w:rsidP="00EF2E34">
      <w:pPr>
        <w:spacing w:line="360" w:lineRule="auto"/>
        <w:jc w:val="both"/>
        <w:rPr>
          <w:rFonts w:ascii="Arial" w:hAnsi="Arial" w:cs="Arial"/>
        </w:rPr>
      </w:pPr>
      <w:r w:rsidRPr="004A73C1">
        <w:rPr>
          <w:rFonts w:ascii="Arial" w:hAnsi="Arial" w:cs="Arial"/>
        </w:rPr>
        <w:t>The analysis of the unemployment rate is important when examining foreign direct investment (FDI) because it can provide insights into FDI's impact on the labour market and overall employment conditions. Understanding how FDI influences unemployment can help policymakers, businesses, and researchers comprehend the broader socioeconomic effects of foreign investment.</w:t>
      </w:r>
    </w:p>
    <w:p w14:paraId="3CC812F4" w14:textId="77777777" w:rsidR="008D0B8F" w:rsidRPr="004A73C1" w:rsidRDefault="008D0B8F" w:rsidP="00EF2E34">
      <w:pPr>
        <w:spacing w:line="360" w:lineRule="auto"/>
        <w:jc w:val="both"/>
        <w:rPr>
          <w:rFonts w:ascii="Arial" w:hAnsi="Arial" w:cs="Arial"/>
        </w:rPr>
      </w:pPr>
    </w:p>
    <w:p w14:paraId="007074B3" w14:textId="4F2E3110" w:rsidR="008D0B8F" w:rsidRPr="004A73C1" w:rsidRDefault="008D0B8F" w:rsidP="00EF2E34">
      <w:pPr>
        <w:spacing w:line="360" w:lineRule="auto"/>
        <w:jc w:val="both"/>
        <w:rPr>
          <w:rFonts w:ascii="Arial" w:hAnsi="Arial" w:cs="Arial"/>
        </w:rPr>
      </w:pPr>
      <w:r w:rsidRPr="004A73C1">
        <w:rPr>
          <w:rFonts w:ascii="Arial" w:hAnsi="Arial" w:cs="Arial"/>
        </w:rPr>
        <w:t>When FDI flows into a country, it can lead to job creation through the establishment of new businesses, expansion of existing enterprises, and investments in various industries. A thorough analysis of the unemployment rate in conjunction with FDI can reveal the extent to which foreign investment contributes to reducing unemployment or creating new employment opportunities. This assessment is valuable for assessing the effectiveness of FDI in generating sustainable employment and improving labour market conditions.</w:t>
      </w:r>
    </w:p>
    <w:p w14:paraId="5C14047C" w14:textId="773767CE" w:rsidR="008D0B8F" w:rsidRPr="004A73C1" w:rsidRDefault="008D0B8F" w:rsidP="00EF2E34">
      <w:pPr>
        <w:spacing w:line="360" w:lineRule="auto"/>
        <w:jc w:val="both"/>
        <w:rPr>
          <w:rFonts w:ascii="Arial" w:hAnsi="Arial" w:cs="Arial"/>
        </w:rPr>
      </w:pPr>
      <w:r w:rsidRPr="004A73C1">
        <w:rPr>
          <w:rFonts w:ascii="Arial" w:hAnsi="Arial" w:cs="Arial"/>
        </w:rPr>
        <w:t>Additionally, analysing the unemployment rate in the context of FDI can shed light on the quality of jobs created as a result of foreign investment. It allows for the examination of whether the jobs generated by FDI are primarily low-skill, low-wage positions or if they contribute to higher-skilled employment and overall human capital development. Understanding the nature of employment created by FDI is crucial for evaluating its long-term impact on the workforce and economic development.</w:t>
      </w:r>
    </w:p>
    <w:p w14:paraId="2F5C6758" w14:textId="77777777" w:rsidR="008D0B8F" w:rsidRPr="004A73C1" w:rsidRDefault="008D0B8F" w:rsidP="00EF2E34">
      <w:pPr>
        <w:spacing w:line="360" w:lineRule="auto"/>
        <w:jc w:val="both"/>
        <w:rPr>
          <w:rFonts w:ascii="Arial" w:hAnsi="Arial" w:cs="Arial"/>
        </w:rPr>
      </w:pPr>
    </w:p>
    <w:p w14:paraId="208C7ACC" w14:textId="0E5B86EF" w:rsidR="008D0B8F" w:rsidRPr="004A73C1" w:rsidRDefault="008D0B8F" w:rsidP="00EF2E34">
      <w:pPr>
        <w:spacing w:line="360" w:lineRule="auto"/>
        <w:jc w:val="both"/>
        <w:rPr>
          <w:rFonts w:ascii="Arial" w:hAnsi="Arial" w:cs="Arial"/>
        </w:rPr>
      </w:pPr>
      <w:r w:rsidRPr="004A73C1">
        <w:rPr>
          <w:rFonts w:ascii="Arial" w:hAnsi="Arial" w:cs="Arial"/>
        </w:rPr>
        <w:t>Furthermore, the relationship between FDI and unemployment can also influence government policies and investment strategies. Policymakers may use insights from the analysis to formulate targeted policies aimed at maximizing the positive effects of FDI on employment while mitigating potential negative consequences. Additionally, businesses considering foreign investment can assess the labour market conditions, including the unemployment rate, to make informed decisions regarding their investment plans and potential job creation initiatives.</w:t>
      </w:r>
    </w:p>
    <w:p w14:paraId="4F0DEB90" w14:textId="43623FF2" w:rsidR="008D0B8F" w:rsidRPr="004A73C1" w:rsidRDefault="008D0B8F" w:rsidP="00EF2E34">
      <w:pPr>
        <w:spacing w:line="360" w:lineRule="auto"/>
        <w:jc w:val="both"/>
        <w:rPr>
          <w:rFonts w:ascii="Arial" w:hAnsi="Arial" w:cs="Arial"/>
        </w:rPr>
      </w:pPr>
      <w:r w:rsidRPr="004A73C1">
        <w:rPr>
          <w:rFonts w:ascii="Arial" w:hAnsi="Arial" w:cs="Arial"/>
        </w:rPr>
        <w:t>In summary, analysing the unemployment rate for FDI provides a comprehensive understanding of how foreign investment influences employment dynamics, facilitates the assessment of job quality, informs policy decisions, and aids in strategic investment planning.</w:t>
      </w:r>
    </w:p>
    <w:p w14:paraId="249CAE58" w14:textId="1F78224D" w:rsidR="00B80C0D" w:rsidRPr="004A73C1" w:rsidRDefault="000B0043" w:rsidP="00EF2E34">
      <w:pPr>
        <w:spacing w:after="0" w:line="360" w:lineRule="auto"/>
        <w:jc w:val="both"/>
        <w:rPr>
          <w:rStyle w:val="Heading2Char"/>
          <w:rFonts w:ascii="Arial" w:eastAsiaTheme="minorEastAsia" w:hAnsi="Arial" w:cs="Arial"/>
          <w:color w:val="auto"/>
          <w:sz w:val="22"/>
          <w:szCs w:val="22"/>
        </w:rPr>
      </w:pPr>
      <w:r w:rsidRPr="004A73C1">
        <w:rPr>
          <w:rFonts w:ascii="Arial" w:hAnsi="Arial" w:cs="Arial"/>
          <w:noProof/>
        </w:rPr>
        <w:drawing>
          <wp:inline distT="0" distB="0" distL="0" distR="0" wp14:anchorId="23A38C9A" wp14:editId="55C577F1">
            <wp:extent cx="5731510" cy="2435225"/>
            <wp:effectExtent l="0" t="0" r="2540" b="3175"/>
            <wp:docPr id="367233204"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233204" name="Picture 1" descr="A graph of a graph&#10;&#10;Description automatically generated with medium confidence"/>
                    <pic:cNvPicPr/>
                  </pic:nvPicPr>
                  <pic:blipFill>
                    <a:blip r:embed="rId27"/>
                    <a:stretch>
                      <a:fillRect/>
                    </a:stretch>
                  </pic:blipFill>
                  <pic:spPr>
                    <a:xfrm>
                      <a:off x="0" y="0"/>
                      <a:ext cx="5731510" cy="2435225"/>
                    </a:xfrm>
                    <a:prstGeom prst="rect">
                      <a:avLst/>
                    </a:prstGeom>
                  </pic:spPr>
                </pic:pic>
              </a:graphicData>
            </a:graphic>
          </wp:inline>
        </w:drawing>
      </w:r>
    </w:p>
    <w:p w14:paraId="55211201" w14:textId="1FA185F4" w:rsidR="00B80C0D" w:rsidRPr="004A73C1" w:rsidRDefault="00B80C0D" w:rsidP="00EF2E34">
      <w:pPr>
        <w:spacing w:after="0" w:line="360" w:lineRule="auto"/>
        <w:jc w:val="both"/>
        <w:rPr>
          <w:rFonts w:ascii="Arial" w:hAnsi="Arial" w:cs="Arial"/>
        </w:rPr>
      </w:pPr>
      <w:r w:rsidRPr="004A73C1">
        <w:rPr>
          <w:rFonts w:ascii="Arial" w:hAnsi="Arial" w:cs="Arial"/>
        </w:rPr>
        <w:t>Figure 16</w:t>
      </w:r>
    </w:p>
    <w:p w14:paraId="1FB4C7AC" w14:textId="75EF9C92" w:rsidR="00B80C0D" w:rsidRPr="004A73C1" w:rsidRDefault="00B80C0D" w:rsidP="00EF2E34">
      <w:pPr>
        <w:spacing w:after="0" w:line="360" w:lineRule="auto"/>
        <w:jc w:val="both"/>
        <w:rPr>
          <w:rStyle w:val="Heading2Char"/>
          <w:rFonts w:ascii="Arial" w:eastAsiaTheme="minorEastAsia" w:hAnsi="Arial" w:cs="Arial"/>
          <w:color w:val="auto"/>
          <w:sz w:val="22"/>
          <w:szCs w:val="22"/>
        </w:rPr>
      </w:pPr>
      <w:r w:rsidRPr="004A73C1">
        <w:rPr>
          <w:rFonts w:ascii="Arial" w:hAnsi="Arial" w:cs="Arial"/>
        </w:rPr>
        <w:t>Source-World Bank</w:t>
      </w:r>
    </w:p>
    <w:p w14:paraId="45CC22EC" w14:textId="1EBA8A01" w:rsidR="000B0043" w:rsidRPr="004A73C1" w:rsidRDefault="00CA52E6" w:rsidP="00EF2E34">
      <w:pPr>
        <w:pStyle w:val="Heading3"/>
        <w:spacing w:line="360" w:lineRule="auto"/>
        <w:rPr>
          <w:rStyle w:val="Heading2Char"/>
          <w:rFonts w:ascii="Arial" w:hAnsi="Arial" w:cs="Arial"/>
          <w:color w:val="auto"/>
          <w:sz w:val="26"/>
          <w:szCs w:val="26"/>
        </w:rPr>
      </w:pPr>
      <w:bookmarkStart w:id="107" w:name="_Toc175056475"/>
      <w:bookmarkStart w:id="108" w:name="_Toc175675359"/>
      <w:r w:rsidRPr="004A73C1">
        <w:rPr>
          <w:rStyle w:val="Heading2Char"/>
          <w:rFonts w:ascii="Arial" w:hAnsi="Arial" w:cs="Arial"/>
          <w:color w:val="auto"/>
          <w:sz w:val="26"/>
          <w:szCs w:val="26"/>
        </w:rPr>
        <w:t>3.4.</w:t>
      </w:r>
      <w:r w:rsidR="00646CBB" w:rsidRPr="004A73C1">
        <w:rPr>
          <w:rStyle w:val="Heading2Char"/>
          <w:rFonts w:ascii="Arial" w:hAnsi="Arial" w:cs="Arial"/>
          <w:color w:val="auto"/>
          <w:sz w:val="26"/>
          <w:szCs w:val="26"/>
        </w:rPr>
        <w:t>7</w:t>
      </w:r>
      <w:r w:rsidRPr="004A73C1">
        <w:rPr>
          <w:rStyle w:val="Heading2Char"/>
          <w:rFonts w:ascii="Arial" w:hAnsi="Arial" w:cs="Arial"/>
          <w:color w:val="auto"/>
          <w:sz w:val="26"/>
          <w:szCs w:val="26"/>
        </w:rPr>
        <w:tab/>
      </w:r>
      <w:r w:rsidR="000B0043" w:rsidRPr="004A73C1">
        <w:rPr>
          <w:rStyle w:val="Heading2Char"/>
          <w:rFonts w:ascii="Arial" w:hAnsi="Arial" w:cs="Arial"/>
          <w:color w:val="auto"/>
          <w:sz w:val="26"/>
          <w:szCs w:val="26"/>
        </w:rPr>
        <w:t>Future GDP Forecast</w:t>
      </w:r>
      <w:bookmarkEnd w:id="107"/>
      <w:bookmarkEnd w:id="108"/>
    </w:p>
    <w:p w14:paraId="1B6131E7" w14:textId="1D0C073F" w:rsidR="00FA36A7" w:rsidRPr="004A73C1" w:rsidRDefault="00D53F0F" w:rsidP="001B3596">
      <w:pPr>
        <w:spacing w:after="0" w:line="360" w:lineRule="auto"/>
        <w:jc w:val="both"/>
        <w:rPr>
          <w:rStyle w:val="Heading2Char"/>
          <w:rFonts w:ascii="Arial" w:eastAsiaTheme="minorEastAsia" w:hAnsi="Arial" w:cs="Arial"/>
          <w:color w:val="auto"/>
          <w:sz w:val="22"/>
          <w:szCs w:val="22"/>
        </w:rPr>
      </w:pPr>
      <w:r w:rsidRPr="004A73C1">
        <w:rPr>
          <w:rFonts w:ascii="Arial" w:hAnsi="Arial" w:cs="Arial"/>
        </w:rPr>
        <w:t>The following figure shows t</w:t>
      </w:r>
      <w:r w:rsidR="00FA36A7" w:rsidRPr="004A73C1">
        <w:rPr>
          <w:rFonts w:ascii="Arial" w:hAnsi="Arial" w:cs="Arial"/>
        </w:rPr>
        <w:t>he future GDP forecast for the United</w:t>
      </w:r>
      <w:r w:rsidR="001B3596" w:rsidRPr="004A73C1">
        <w:rPr>
          <w:rFonts w:ascii="Arial" w:hAnsi="Arial" w:cs="Arial"/>
        </w:rPr>
        <w:t>( Source-World Bank</w:t>
      </w:r>
      <w:r w:rsidR="001B3596" w:rsidRPr="004A73C1">
        <w:rPr>
          <w:rStyle w:val="Heading2Char"/>
          <w:rFonts w:ascii="Arial" w:eastAsiaTheme="minorEastAsia" w:hAnsi="Arial" w:cs="Arial"/>
          <w:color w:val="auto"/>
          <w:sz w:val="22"/>
          <w:szCs w:val="22"/>
        </w:rPr>
        <w:t>)</w:t>
      </w:r>
      <w:r w:rsidRPr="004A73C1">
        <w:rPr>
          <w:rStyle w:val="Heading2Char"/>
          <w:rFonts w:ascii="Arial" w:eastAsiaTheme="minorEastAsia" w:hAnsi="Arial" w:cs="Arial"/>
          <w:color w:val="auto"/>
          <w:sz w:val="22"/>
          <w:szCs w:val="22"/>
        </w:rPr>
        <w:t>.</w:t>
      </w:r>
    </w:p>
    <w:p w14:paraId="445CA40F" w14:textId="064A5CF0" w:rsidR="00D53F0F" w:rsidRPr="004A73C1" w:rsidRDefault="00D53F0F" w:rsidP="001B3596">
      <w:pPr>
        <w:spacing w:after="0" w:line="360" w:lineRule="auto"/>
        <w:jc w:val="both"/>
        <w:rPr>
          <w:rFonts w:ascii="Arial" w:hAnsi="Arial" w:cs="Arial"/>
        </w:rPr>
      </w:pPr>
      <w:r w:rsidRPr="004A73C1">
        <w:rPr>
          <w:rFonts w:ascii="Arial" w:hAnsi="Arial" w:cs="Arial"/>
          <w:noProof/>
        </w:rPr>
        <w:drawing>
          <wp:inline distT="0" distB="0" distL="0" distR="0" wp14:anchorId="6DDC1B75" wp14:editId="06D4FC0A">
            <wp:extent cx="6484852" cy="1674495"/>
            <wp:effectExtent l="0" t="0" r="0" b="1905"/>
            <wp:docPr id="2073941579" name="Picture 1" descr="A graph of growth ra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941579" name="Picture 1" descr="A graph of growth rate&#10;&#10;Description automatically generated with medium confidence"/>
                    <pic:cNvPicPr/>
                  </pic:nvPicPr>
                  <pic:blipFill>
                    <a:blip r:embed="rId28"/>
                    <a:stretch>
                      <a:fillRect/>
                    </a:stretch>
                  </pic:blipFill>
                  <pic:spPr>
                    <a:xfrm>
                      <a:off x="0" y="0"/>
                      <a:ext cx="6514720" cy="1682207"/>
                    </a:xfrm>
                    <a:prstGeom prst="rect">
                      <a:avLst/>
                    </a:prstGeom>
                  </pic:spPr>
                </pic:pic>
              </a:graphicData>
            </a:graphic>
          </wp:inline>
        </w:drawing>
      </w:r>
    </w:p>
    <w:p w14:paraId="7AC4231D" w14:textId="77777777" w:rsidR="00FA36A7" w:rsidRPr="004A73C1" w:rsidRDefault="00FA36A7" w:rsidP="00EF2E34">
      <w:pPr>
        <w:spacing w:line="360" w:lineRule="auto"/>
        <w:jc w:val="both"/>
        <w:rPr>
          <w:rFonts w:ascii="Arial" w:hAnsi="Arial" w:cs="Arial"/>
        </w:rPr>
      </w:pPr>
    </w:p>
    <w:p w14:paraId="4FE4F0A6" w14:textId="377EEE2A" w:rsidR="00FA36A7" w:rsidRPr="004A73C1" w:rsidRDefault="00FA36A7" w:rsidP="00D53F0F">
      <w:pPr>
        <w:spacing w:line="360" w:lineRule="auto"/>
        <w:jc w:val="both"/>
        <w:rPr>
          <w:rFonts w:ascii="Arial" w:hAnsi="Arial" w:cs="Arial"/>
        </w:rPr>
      </w:pPr>
    </w:p>
    <w:p w14:paraId="6DF29AC2" w14:textId="77777777" w:rsidR="009F1A70" w:rsidRPr="004A73C1" w:rsidRDefault="009F1A70" w:rsidP="00EF2E34">
      <w:pPr>
        <w:spacing w:line="360" w:lineRule="auto"/>
        <w:jc w:val="both"/>
        <w:rPr>
          <w:rFonts w:ascii="Arial" w:hAnsi="Arial" w:cs="Arial"/>
        </w:rPr>
      </w:pPr>
    </w:p>
    <w:p w14:paraId="7594798E" w14:textId="77777777" w:rsidR="001B3596" w:rsidRPr="004A73C1" w:rsidRDefault="001B3596" w:rsidP="00EF2E34">
      <w:pPr>
        <w:spacing w:line="360" w:lineRule="auto"/>
        <w:jc w:val="both"/>
        <w:rPr>
          <w:rFonts w:ascii="Arial" w:hAnsi="Arial" w:cs="Arial"/>
        </w:rPr>
      </w:pPr>
    </w:p>
    <w:p w14:paraId="42E2E533" w14:textId="77777777" w:rsidR="001B3596" w:rsidRPr="004A73C1" w:rsidRDefault="001B3596" w:rsidP="00EF2E34">
      <w:pPr>
        <w:spacing w:line="360" w:lineRule="auto"/>
        <w:jc w:val="both"/>
        <w:rPr>
          <w:rFonts w:ascii="Arial" w:hAnsi="Arial" w:cs="Arial"/>
        </w:rPr>
      </w:pPr>
    </w:p>
    <w:p w14:paraId="5DD3A231" w14:textId="77777777" w:rsidR="001B3596" w:rsidRPr="004A73C1" w:rsidRDefault="001B3596" w:rsidP="00EF2E34">
      <w:pPr>
        <w:spacing w:line="360" w:lineRule="auto"/>
        <w:jc w:val="both"/>
        <w:rPr>
          <w:rFonts w:ascii="Arial" w:hAnsi="Arial" w:cs="Arial"/>
        </w:rPr>
      </w:pPr>
    </w:p>
    <w:p w14:paraId="39293CE1" w14:textId="77777777" w:rsidR="001B3596" w:rsidRPr="004A73C1" w:rsidRDefault="001B3596" w:rsidP="00EF2E34">
      <w:pPr>
        <w:spacing w:line="360" w:lineRule="auto"/>
        <w:jc w:val="both"/>
        <w:rPr>
          <w:rFonts w:ascii="Arial" w:hAnsi="Arial" w:cs="Arial"/>
        </w:rPr>
      </w:pPr>
    </w:p>
    <w:p w14:paraId="495E6645" w14:textId="64E2961D" w:rsidR="00FA36A7" w:rsidRPr="004A73C1" w:rsidRDefault="00FA36A7" w:rsidP="00EF2E34">
      <w:pPr>
        <w:spacing w:line="360" w:lineRule="auto"/>
        <w:jc w:val="both"/>
        <w:rPr>
          <w:rFonts w:ascii="Arial" w:hAnsi="Arial" w:cs="Arial"/>
        </w:rPr>
      </w:pPr>
      <w:r w:rsidRPr="004A73C1">
        <w:rPr>
          <w:rFonts w:ascii="Arial" w:hAnsi="Arial" w:cs="Arial"/>
        </w:rPr>
        <w:t>These figures provide insights into the projected growth of the UK's economy in the coming quarters.</w:t>
      </w:r>
    </w:p>
    <w:p w14:paraId="3C1CEBE3" w14:textId="01DE0CBA" w:rsidR="000B0043" w:rsidRPr="004A73C1" w:rsidRDefault="000B0043" w:rsidP="00EF2E34">
      <w:pPr>
        <w:spacing w:line="360" w:lineRule="auto"/>
        <w:rPr>
          <w:rFonts w:ascii="Arial" w:hAnsi="Arial" w:cs="Arial"/>
        </w:rPr>
      </w:pPr>
      <w:r w:rsidRPr="004A73C1">
        <w:rPr>
          <w:rFonts w:ascii="Arial" w:hAnsi="Arial" w:cs="Arial"/>
        </w:rPr>
        <w:fldChar w:fldCharType="begin"/>
      </w:r>
      <w:r w:rsidRPr="004A73C1">
        <w:rPr>
          <w:rFonts w:ascii="Arial" w:hAnsi="Arial" w:cs="Arial"/>
        </w:rPr>
        <w:instrText xml:space="preserve"> LINK Excel.Sheet.8 "C:\\Users\\azizta01\\Downloads\\Figure_1__The_value_of_the_inward_FDI_position_was_above_£2,000_billion_in_2021 (2).xls" "Sheet1!R2C3:R14C7" \a \f 4 \h  \* MERGEFORMAT </w:instrText>
      </w:r>
      <w:r w:rsidRPr="004A73C1">
        <w:rPr>
          <w:rFonts w:ascii="Arial" w:hAnsi="Arial" w:cs="Arial"/>
        </w:rPr>
        <w:fldChar w:fldCharType="separate"/>
      </w:r>
    </w:p>
    <w:tbl>
      <w:tblPr>
        <w:tblW w:w="9724" w:type="dxa"/>
        <w:tblLook w:val="04A0" w:firstRow="1" w:lastRow="0" w:firstColumn="1" w:lastColumn="0" w:noHBand="0" w:noVBand="1"/>
      </w:tblPr>
      <w:tblGrid>
        <w:gridCol w:w="4024"/>
        <w:gridCol w:w="1425"/>
        <w:gridCol w:w="1425"/>
        <w:gridCol w:w="1425"/>
        <w:gridCol w:w="1425"/>
      </w:tblGrid>
      <w:tr w:rsidR="000B0043" w:rsidRPr="004A73C1" w14:paraId="650781E6" w14:textId="77777777" w:rsidTr="000B0043">
        <w:trPr>
          <w:trHeight w:val="290"/>
        </w:trPr>
        <w:tc>
          <w:tcPr>
            <w:tcW w:w="4024" w:type="dxa"/>
            <w:tcBorders>
              <w:top w:val="single" w:sz="4" w:space="0" w:color="auto"/>
              <w:left w:val="single" w:sz="4" w:space="0" w:color="auto"/>
              <w:bottom w:val="single" w:sz="4" w:space="0" w:color="auto"/>
              <w:right w:val="single" w:sz="4" w:space="0" w:color="auto"/>
            </w:tcBorders>
            <w:shd w:val="clear" w:color="000000" w:fill="F5F5F5"/>
            <w:vAlign w:val="center"/>
            <w:hideMark/>
          </w:tcPr>
          <w:p w14:paraId="0E1F4A04" w14:textId="4041EC8E" w:rsidR="000B0043" w:rsidRPr="004A73C1" w:rsidRDefault="000B0043" w:rsidP="00EF2E34">
            <w:pPr>
              <w:spacing w:after="0" w:line="360" w:lineRule="auto"/>
              <w:rPr>
                <w:rFonts w:ascii="Arial" w:eastAsia="Times New Roman" w:hAnsi="Arial" w:cs="Arial"/>
                <w:sz w:val="24"/>
                <w:szCs w:val="24"/>
                <w:lang w:eastAsia="en-GB"/>
              </w:rPr>
            </w:pPr>
            <w:r w:rsidRPr="004A73C1">
              <w:rPr>
                <w:rFonts w:ascii="Arial" w:eastAsia="Times New Roman" w:hAnsi="Arial" w:cs="Arial"/>
                <w:sz w:val="24"/>
                <w:szCs w:val="24"/>
                <w:lang w:eastAsia="en-GB"/>
              </w:rPr>
              <w:t>GDP</w:t>
            </w:r>
          </w:p>
        </w:tc>
        <w:tc>
          <w:tcPr>
            <w:tcW w:w="1425" w:type="dxa"/>
            <w:tcBorders>
              <w:top w:val="single" w:sz="4" w:space="0" w:color="auto"/>
              <w:left w:val="nil"/>
              <w:bottom w:val="single" w:sz="4" w:space="0" w:color="auto"/>
              <w:right w:val="single" w:sz="4" w:space="0" w:color="auto"/>
            </w:tcBorders>
            <w:shd w:val="clear" w:color="000000" w:fill="F5F5F5"/>
            <w:vAlign w:val="center"/>
            <w:hideMark/>
          </w:tcPr>
          <w:p w14:paraId="6167366C"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Q3/24</w:t>
            </w:r>
          </w:p>
        </w:tc>
        <w:tc>
          <w:tcPr>
            <w:tcW w:w="1425" w:type="dxa"/>
            <w:tcBorders>
              <w:top w:val="single" w:sz="4" w:space="0" w:color="auto"/>
              <w:left w:val="nil"/>
              <w:bottom w:val="single" w:sz="4" w:space="0" w:color="auto"/>
              <w:right w:val="single" w:sz="4" w:space="0" w:color="auto"/>
            </w:tcBorders>
            <w:shd w:val="clear" w:color="000000" w:fill="F5F5F5"/>
            <w:vAlign w:val="center"/>
            <w:hideMark/>
          </w:tcPr>
          <w:p w14:paraId="4F9FA533"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Q4/24</w:t>
            </w:r>
          </w:p>
        </w:tc>
        <w:tc>
          <w:tcPr>
            <w:tcW w:w="1425" w:type="dxa"/>
            <w:tcBorders>
              <w:top w:val="single" w:sz="4" w:space="0" w:color="auto"/>
              <w:left w:val="nil"/>
              <w:bottom w:val="single" w:sz="4" w:space="0" w:color="auto"/>
              <w:right w:val="single" w:sz="4" w:space="0" w:color="auto"/>
            </w:tcBorders>
            <w:shd w:val="clear" w:color="000000" w:fill="F5F5F5"/>
            <w:vAlign w:val="center"/>
            <w:hideMark/>
          </w:tcPr>
          <w:p w14:paraId="3A9178CF"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Q1/25</w:t>
            </w:r>
          </w:p>
        </w:tc>
        <w:tc>
          <w:tcPr>
            <w:tcW w:w="1425" w:type="dxa"/>
            <w:tcBorders>
              <w:top w:val="single" w:sz="4" w:space="0" w:color="auto"/>
              <w:left w:val="nil"/>
              <w:bottom w:val="single" w:sz="4" w:space="0" w:color="auto"/>
              <w:right w:val="single" w:sz="4" w:space="0" w:color="auto"/>
            </w:tcBorders>
            <w:shd w:val="clear" w:color="000000" w:fill="F5F5F5"/>
            <w:vAlign w:val="center"/>
            <w:hideMark/>
          </w:tcPr>
          <w:p w14:paraId="79D46A86"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Q2/25</w:t>
            </w:r>
          </w:p>
        </w:tc>
      </w:tr>
      <w:tr w:rsidR="000B0043" w:rsidRPr="004A73C1" w14:paraId="5FDF1C61" w14:textId="77777777" w:rsidTr="000B0043">
        <w:trPr>
          <w:trHeight w:val="29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6C0F520F" w14:textId="5060B55A"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29" w:history="1">
              <w:r w:rsidR="000B0043" w:rsidRPr="004A73C1">
                <w:rPr>
                  <w:rFonts w:ascii="Arial" w:eastAsia="Times New Roman" w:hAnsi="Arial" w:cs="Arial"/>
                  <w:color w:val="467886"/>
                  <w:sz w:val="24"/>
                  <w:szCs w:val="24"/>
                  <w:u w:val="single"/>
                  <w:lang w:eastAsia="en-GB"/>
                </w:rPr>
                <w:t>GDP Growth Rate (%)</w:t>
              </w:r>
            </w:hyperlink>
          </w:p>
        </w:tc>
        <w:tc>
          <w:tcPr>
            <w:tcW w:w="1425" w:type="dxa"/>
            <w:tcBorders>
              <w:top w:val="nil"/>
              <w:left w:val="nil"/>
              <w:bottom w:val="single" w:sz="4" w:space="0" w:color="auto"/>
              <w:right w:val="single" w:sz="4" w:space="0" w:color="auto"/>
            </w:tcBorders>
            <w:shd w:val="clear" w:color="auto" w:fill="auto"/>
            <w:vAlign w:val="center"/>
            <w:hideMark/>
          </w:tcPr>
          <w:p w14:paraId="22CBECCE"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0.30 </w:t>
            </w:r>
          </w:p>
        </w:tc>
        <w:tc>
          <w:tcPr>
            <w:tcW w:w="1425" w:type="dxa"/>
            <w:tcBorders>
              <w:top w:val="nil"/>
              <w:left w:val="nil"/>
              <w:bottom w:val="single" w:sz="4" w:space="0" w:color="auto"/>
              <w:right w:val="single" w:sz="4" w:space="0" w:color="auto"/>
            </w:tcBorders>
            <w:shd w:val="clear" w:color="auto" w:fill="auto"/>
            <w:vAlign w:val="center"/>
            <w:hideMark/>
          </w:tcPr>
          <w:p w14:paraId="04486F49"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0.20 </w:t>
            </w:r>
          </w:p>
        </w:tc>
        <w:tc>
          <w:tcPr>
            <w:tcW w:w="1425" w:type="dxa"/>
            <w:tcBorders>
              <w:top w:val="nil"/>
              <w:left w:val="nil"/>
              <w:bottom w:val="single" w:sz="4" w:space="0" w:color="auto"/>
              <w:right w:val="single" w:sz="4" w:space="0" w:color="auto"/>
            </w:tcBorders>
            <w:shd w:val="clear" w:color="auto" w:fill="auto"/>
            <w:vAlign w:val="center"/>
            <w:hideMark/>
          </w:tcPr>
          <w:p w14:paraId="69E1EBD4"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0.30 </w:t>
            </w:r>
          </w:p>
        </w:tc>
        <w:tc>
          <w:tcPr>
            <w:tcW w:w="1425" w:type="dxa"/>
            <w:tcBorders>
              <w:top w:val="nil"/>
              <w:left w:val="nil"/>
              <w:bottom w:val="single" w:sz="4" w:space="0" w:color="auto"/>
              <w:right w:val="single" w:sz="4" w:space="0" w:color="auto"/>
            </w:tcBorders>
            <w:shd w:val="clear" w:color="auto" w:fill="auto"/>
            <w:vAlign w:val="center"/>
            <w:hideMark/>
          </w:tcPr>
          <w:p w14:paraId="1B211995"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0.40 </w:t>
            </w:r>
          </w:p>
        </w:tc>
      </w:tr>
      <w:tr w:rsidR="000B0043" w:rsidRPr="004A73C1" w14:paraId="3F2382FF" w14:textId="77777777" w:rsidTr="000B0043">
        <w:trPr>
          <w:trHeight w:val="406"/>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0D50985F" w14:textId="6C5E4DE6"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0" w:history="1">
              <w:r w:rsidR="000B0043" w:rsidRPr="004A73C1">
                <w:rPr>
                  <w:rFonts w:ascii="Arial" w:eastAsia="Times New Roman" w:hAnsi="Arial" w:cs="Arial"/>
                  <w:color w:val="467886"/>
                  <w:sz w:val="24"/>
                  <w:szCs w:val="24"/>
                  <w:u w:val="single"/>
                  <w:lang w:eastAsia="en-GB"/>
                </w:rPr>
                <w:t>GDP Annual Growth Rate (%)</w:t>
              </w:r>
            </w:hyperlink>
          </w:p>
        </w:tc>
        <w:tc>
          <w:tcPr>
            <w:tcW w:w="1425" w:type="dxa"/>
            <w:tcBorders>
              <w:top w:val="nil"/>
              <w:left w:val="nil"/>
              <w:bottom w:val="single" w:sz="4" w:space="0" w:color="auto"/>
              <w:right w:val="single" w:sz="4" w:space="0" w:color="auto"/>
            </w:tcBorders>
            <w:shd w:val="clear" w:color="auto" w:fill="auto"/>
            <w:vAlign w:val="center"/>
            <w:hideMark/>
          </w:tcPr>
          <w:p w14:paraId="67F233E6"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1.20 </w:t>
            </w:r>
          </w:p>
        </w:tc>
        <w:tc>
          <w:tcPr>
            <w:tcW w:w="1425" w:type="dxa"/>
            <w:tcBorders>
              <w:top w:val="nil"/>
              <w:left w:val="nil"/>
              <w:bottom w:val="single" w:sz="4" w:space="0" w:color="auto"/>
              <w:right w:val="single" w:sz="4" w:space="0" w:color="auto"/>
            </w:tcBorders>
            <w:shd w:val="clear" w:color="auto" w:fill="auto"/>
            <w:vAlign w:val="center"/>
            <w:hideMark/>
          </w:tcPr>
          <w:p w14:paraId="51BDF205"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1.00 </w:t>
            </w:r>
          </w:p>
        </w:tc>
        <w:tc>
          <w:tcPr>
            <w:tcW w:w="1425" w:type="dxa"/>
            <w:tcBorders>
              <w:top w:val="nil"/>
              <w:left w:val="nil"/>
              <w:bottom w:val="single" w:sz="4" w:space="0" w:color="auto"/>
              <w:right w:val="single" w:sz="4" w:space="0" w:color="auto"/>
            </w:tcBorders>
            <w:shd w:val="clear" w:color="auto" w:fill="auto"/>
            <w:vAlign w:val="center"/>
            <w:hideMark/>
          </w:tcPr>
          <w:p w14:paraId="7EFA8021"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1.40 </w:t>
            </w:r>
          </w:p>
        </w:tc>
        <w:tc>
          <w:tcPr>
            <w:tcW w:w="1425" w:type="dxa"/>
            <w:tcBorders>
              <w:top w:val="nil"/>
              <w:left w:val="nil"/>
              <w:bottom w:val="single" w:sz="4" w:space="0" w:color="auto"/>
              <w:right w:val="single" w:sz="4" w:space="0" w:color="auto"/>
            </w:tcBorders>
            <w:shd w:val="clear" w:color="auto" w:fill="auto"/>
            <w:vAlign w:val="center"/>
            <w:hideMark/>
          </w:tcPr>
          <w:p w14:paraId="6B127BC7"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1.40 </w:t>
            </w:r>
          </w:p>
        </w:tc>
      </w:tr>
      <w:tr w:rsidR="000B0043" w:rsidRPr="004A73C1" w14:paraId="108223A6" w14:textId="77777777" w:rsidTr="000B0043">
        <w:trPr>
          <w:trHeight w:val="29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5065344C" w14:textId="2ED315C7"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1" w:history="1">
              <w:r w:rsidR="000B0043" w:rsidRPr="004A73C1">
                <w:rPr>
                  <w:rFonts w:ascii="Arial" w:eastAsia="Times New Roman" w:hAnsi="Arial" w:cs="Arial"/>
                  <w:color w:val="467886"/>
                  <w:sz w:val="24"/>
                  <w:szCs w:val="24"/>
                  <w:u w:val="single"/>
                  <w:lang w:eastAsia="en-GB"/>
                </w:rPr>
                <w:t>GDP Constant Prices (GBP Million)</w:t>
              </w:r>
            </w:hyperlink>
          </w:p>
        </w:tc>
        <w:tc>
          <w:tcPr>
            <w:tcW w:w="1425" w:type="dxa"/>
            <w:tcBorders>
              <w:top w:val="nil"/>
              <w:left w:val="nil"/>
              <w:bottom w:val="single" w:sz="4" w:space="0" w:color="auto"/>
              <w:right w:val="single" w:sz="4" w:space="0" w:color="auto"/>
            </w:tcBorders>
            <w:shd w:val="clear" w:color="auto" w:fill="auto"/>
            <w:vAlign w:val="center"/>
            <w:hideMark/>
          </w:tcPr>
          <w:p w14:paraId="55942246"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575,218.00 </w:t>
            </w:r>
          </w:p>
        </w:tc>
        <w:tc>
          <w:tcPr>
            <w:tcW w:w="1425" w:type="dxa"/>
            <w:tcBorders>
              <w:top w:val="nil"/>
              <w:left w:val="nil"/>
              <w:bottom w:val="single" w:sz="4" w:space="0" w:color="auto"/>
              <w:right w:val="single" w:sz="4" w:space="0" w:color="auto"/>
            </w:tcBorders>
            <w:shd w:val="clear" w:color="auto" w:fill="auto"/>
            <w:vAlign w:val="center"/>
            <w:hideMark/>
          </w:tcPr>
          <w:p w14:paraId="2EF3A907"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572,292.00 </w:t>
            </w:r>
          </w:p>
        </w:tc>
        <w:tc>
          <w:tcPr>
            <w:tcW w:w="1425" w:type="dxa"/>
            <w:tcBorders>
              <w:top w:val="nil"/>
              <w:left w:val="nil"/>
              <w:bottom w:val="single" w:sz="4" w:space="0" w:color="auto"/>
              <w:right w:val="single" w:sz="4" w:space="0" w:color="auto"/>
            </w:tcBorders>
            <w:shd w:val="clear" w:color="auto" w:fill="auto"/>
            <w:vAlign w:val="center"/>
            <w:hideMark/>
          </w:tcPr>
          <w:p w14:paraId="54A843F7"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578,684.00 </w:t>
            </w:r>
          </w:p>
        </w:tc>
        <w:tc>
          <w:tcPr>
            <w:tcW w:w="1425" w:type="dxa"/>
            <w:tcBorders>
              <w:top w:val="nil"/>
              <w:left w:val="nil"/>
              <w:bottom w:val="single" w:sz="4" w:space="0" w:color="auto"/>
              <w:right w:val="single" w:sz="4" w:space="0" w:color="auto"/>
            </w:tcBorders>
            <w:shd w:val="clear" w:color="auto" w:fill="auto"/>
            <w:vAlign w:val="center"/>
            <w:hideMark/>
          </w:tcPr>
          <w:p w14:paraId="56442D13"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581,991.00 </w:t>
            </w:r>
          </w:p>
        </w:tc>
      </w:tr>
      <w:tr w:rsidR="000B0043" w:rsidRPr="004A73C1" w14:paraId="52A7BED0" w14:textId="77777777" w:rsidTr="000B0043">
        <w:trPr>
          <w:trHeight w:val="522"/>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6B9E4070" w14:textId="113D86B8"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2" w:history="1">
              <w:r w:rsidR="000B0043" w:rsidRPr="004A73C1">
                <w:rPr>
                  <w:rFonts w:ascii="Arial" w:eastAsia="Times New Roman" w:hAnsi="Arial" w:cs="Arial"/>
                  <w:color w:val="467886"/>
                  <w:sz w:val="24"/>
                  <w:szCs w:val="24"/>
                  <w:u w:val="single"/>
                  <w:lang w:eastAsia="en-GB"/>
                </w:rPr>
                <w:t>Gross National Product (GBP Million)</w:t>
              </w:r>
            </w:hyperlink>
          </w:p>
        </w:tc>
        <w:tc>
          <w:tcPr>
            <w:tcW w:w="1425" w:type="dxa"/>
            <w:tcBorders>
              <w:top w:val="nil"/>
              <w:left w:val="nil"/>
              <w:bottom w:val="single" w:sz="4" w:space="0" w:color="auto"/>
              <w:right w:val="single" w:sz="4" w:space="0" w:color="auto"/>
            </w:tcBorders>
            <w:shd w:val="clear" w:color="auto" w:fill="auto"/>
            <w:vAlign w:val="center"/>
            <w:hideMark/>
          </w:tcPr>
          <w:p w14:paraId="311AFE2D"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679,391.00 </w:t>
            </w:r>
          </w:p>
        </w:tc>
        <w:tc>
          <w:tcPr>
            <w:tcW w:w="1425" w:type="dxa"/>
            <w:tcBorders>
              <w:top w:val="nil"/>
              <w:left w:val="nil"/>
              <w:bottom w:val="single" w:sz="4" w:space="0" w:color="auto"/>
              <w:right w:val="single" w:sz="4" w:space="0" w:color="auto"/>
            </w:tcBorders>
            <w:shd w:val="clear" w:color="auto" w:fill="auto"/>
            <w:vAlign w:val="center"/>
            <w:hideMark/>
          </w:tcPr>
          <w:p w14:paraId="7395D6FE"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675,322.00 </w:t>
            </w:r>
          </w:p>
        </w:tc>
        <w:tc>
          <w:tcPr>
            <w:tcW w:w="1425" w:type="dxa"/>
            <w:tcBorders>
              <w:top w:val="nil"/>
              <w:left w:val="nil"/>
              <w:bottom w:val="single" w:sz="4" w:space="0" w:color="auto"/>
              <w:right w:val="single" w:sz="4" w:space="0" w:color="auto"/>
            </w:tcBorders>
            <w:shd w:val="clear" w:color="auto" w:fill="auto"/>
            <w:vAlign w:val="center"/>
            <w:hideMark/>
          </w:tcPr>
          <w:p w14:paraId="5665B586"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686,768.00 </w:t>
            </w:r>
          </w:p>
        </w:tc>
        <w:tc>
          <w:tcPr>
            <w:tcW w:w="1425" w:type="dxa"/>
            <w:tcBorders>
              <w:top w:val="nil"/>
              <w:left w:val="nil"/>
              <w:bottom w:val="single" w:sz="4" w:space="0" w:color="auto"/>
              <w:right w:val="single" w:sz="4" w:space="0" w:color="auto"/>
            </w:tcBorders>
            <w:shd w:val="clear" w:color="auto" w:fill="auto"/>
            <w:vAlign w:val="center"/>
            <w:hideMark/>
          </w:tcPr>
          <w:p w14:paraId="16F1BB36"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686,768.00 </w:t>
            </w:r>
          </w:p>
        </w:tc>
      </w:tr>
      <w:tr w:rsidR="000B0043" w:rsidRPr="004A73C1" w14:paraId="216D769F" w14:textId="77777777" w:rsidTr="000B0043">
        <w:trPr>
          <w:trHeight w:val="29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0850143F" w14:textId="6609950A"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3" w:history="1">
              <w:r w:rsidR="000B0043" w:rsidRPr="004A73C1">
                <w:rPr>
                  <w:rFonts w:ascii="Arial" w:eastAsia="Times New Roman" w:hAnsi="Arial" w:cs="Arial"/>
                  <w:color w:val="467886"/>
                  <w:sz w:val="24"/>
                  <w:szCs w:val="24"/>
                  <w:u w:val="single"/>
                  <w:lang w:eastAsia="en-GB"/>
                </w:rPr>
                <w:t>Monthly GDP YoY (%)</w:t>
              </w:r>
            </w:hyperlink>
          </w:p>
        </w:tc>
        <w:tc>
          <w:tcPr>
            <w:tcW w:w="1425" w:type="dxa"/>
            <w:tcBorders>
              <w:top w:val="nil"/>
              <w:left w:val="nil"/>
              <w:bottom w:val="single" w:sz="4" w:space="0" w:color="auto"/>
              <w:right w:val="single" w:sz="4" w:space="0" w:color="auto"/>
            </w:tcBorders>
            <w:shd w:val="clear" w:color="auto" w:fill="auto"/>
            <w:vAlign w:val="center"/>
            <w:hideMark/>
          </w:tcPr>
          <w:p w14:paraId="032570D5"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1.60 </w:t>
            </w:r>
          </w:p>
        </w:tc>
        <w:tc>
          <w:tcPr>
            <w:tcW w:w="1425" w:type="dxa"/>
            <w:tcBorders>
              <w:top w:val="nil"/>
              <w:left w:val="nil"/>
              <w:bottom w:val="single" w:sz="4" w:space="0" w:color="auto"/>
              <w:right w:val="single" w:sz="4" w:space="0" w:color="auto"/>
            </w:tcBorders>
            <w:shd w:val="clear" w:color="auto" w:fill="auto"/>
            <w:vAlign w:val="center"/>
            <w:hideMark/>
          </w:tcPr>
          <w:p w14:paraId="4E665AD8"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1.80 </w:t>
            </w:r>
          </w:p>
        </w:tc>
        <w:tc>
          <w:tcPr>
            <w:tcW w:w="1425" w:type="dxa"/>
            <w:tcBorders>
              <w:top w:val="nil"/>
              <w:left w:val="nil"/>
              <w:bottom w:val="single" w:sz="4" w:space="0" w:color="auto"/>
              <w:right w:val="single" w:sz="4" w:space="0" w:color="auto"/>
            </w:tcBorders>
            <w:shd w:val="clear" w:color="auto" w:fill="auto"/>
            <w:vAlign w:val="center"/>
            <w:hideMark/>
          </w:tcPr>
          <w:p w14:paraId="47B7E48A"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1.50 </w:t>
            </w:r>
          </w:p>
        </w:tc>
        <w:tc>
          <w:tcPr>
            <w:tcW w:w="1425" w:type="dxa"/>
            <w:tcBorders>
              <w:top w:val="nil"/>
              <w:left w:val="nil"/>
              <w:bottom w:val="single" w:sz="4" w:space="0" w:color="auto"/>
              <w:right w:val="single" w:sz="4" w:space="0" w:color="auto"/>
            </w:tcBorders>
            <w:shd w:val="clear" w:color="auto" w:fill="auto"/>
            <w:vAlign w:val="center"/>
            <w:hideMark/>
          </w:tcPr>
          <w:p w14:paraId="74C76B54"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1.20 </w:t>
            </w:r>
          </w:p>
        </w:tc>
      </w:tr>
      <w:tr w:rsidR="000B0043" w:rsidRPr="004A73C1" w14:paraId="29FF5646" w14:textId="77777777" w:rsidTr="000B0043">
        <w:trPr>
          <w:trHeight w:val="29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7F6C6409" w14:textId="7067E218"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4" w:history="1">
              <w:r w:rsidR="000B0043" w:rsidRPr="004A73C1">
                <w:rPr>
                  <w:rFonts w:ascii="Arial" w:eastAsia="Times New Roman" w:hAnsi="Arial" w:cs="Arial"/>
                  <w:color w:val="467886"/>
                  <w:sz w:val="24"/>
                  <w:szCs w:val="24"/>
                  <w:u w:val="single"/>
                  <w:lang w:eastAsia="en-GB"/>
                </w:rPr>
                <w:t>Monthly GDP MoM (%)</w:t>
              </w:r>
            </w:hyperlink>
          </w:p>
        </w:tc>
        <w:tc>
          <w:tcPr>
            <w:tcW w:w="1425" w:type="dxa"/>
            <w:tcBorders>
              <w:top w:val="nil"/>
              <w:left w:val="nil"/>
              <w:bottom w:val="single" w:sz="4" w:space="0" w:color="auto"/>
              <w:right w:val="single" w:sz="4" w:space="0" w:color="auto"/>
            </w:tcBorders>
            <w:shd w:val="clear" w:color="auto" w:fill="auto"/>
            <w:vAlign w:val="center"/>
            <w:hideMark/>
          </w:tcPr>
          <w:p w14:paraId="7C46A8E6"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0.20 </w:t>
            </w:r>
          </w:p>
        </w:tc>
        <w:tc>
          <w:tcPr>
            <w:tcW w:w="1425" w:type="dxa"/>
            <w:tcBorders>
              <w:top w:val="nil"/>
              <w:left w:val="nil"/>
              <w:bottom w:val="single" w:sz="4" w:space="0" w:color="auto"/>
              <w:right w:val="single" w:sz="4" w:space="0" w:color="auto"/>
            </w:tcBorders>
            <w:shd w:val="clear" w:color="auto" w:fill="auto"/>
            <w:vAlign w:val="center"/>
            <w:hideMark/>
          </w:tcPr>
          <w:p w14:paraId="3DCA74AB"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0.30 </w:t>
            </w:r>
          </w:p>
        </w:tc>
        <w:tc>
          <w:tcPr>
            <w:tcW w:w="1425" w:type="dxa"/>
            <w:tcBorders>
              <w:top w:val="nil"/>
              <w:left w:val="nil"/>
              <w:bottom w:val="single" w:sz="4" w:space="0" w:color="auto"/>
              <w:right w:val="single" w:sz="4" w:space="0" w:color="auto"/>
            </w:tcBorders>
            <w:shd w:val="clear" w:color="auto" w:fill="auto"/>
            <w:vAlign w:val="center"/>
            <w:hideMark/>
          </w:tcPr>
          <w:p w14:paraId="1AEA9A5E"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0.20 </w:t>
            </w:r>
          </w:p>
        </w:tc>
        <w:tc>
          <w:tcPr>
            <w:tcW w:w="1425" w:type="dxa"/>
            <w:tcBorders>
              <w:top w:val="nil"/>
              <w:left w:val="nil"/>
              <w:bottom w:val="single" w:sz="4" w:space="0" w:color="auto"/>
              <w:right w:val="single" w:sz="4" w:space="0" w:color="auto"/>
            </w:tcBorders>
            <w:shd w:val="clear" w:color="auto" w:fill="auto"/>
            <w:vAlign w:val="center"/>
            <w:hideMark/>
          </w:tcPr>
          <w:p w14:paraId="3530BE3F"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0.10 </w:t>
            </w:r>
          </w:p>
        </w:tc>
      </w:tr>
      <w:tr w:rsidR="000B0043" w:rsidRPr="004A73C1" w14:paraId="73FA95D6" w14:textId="77777777" w:rsidTr="000B0043">
        <w:trPr>
          <w:trHeight w:val="58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439D77AC" w14:textId="74BC8150"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5" w:history="1">
              <w:r w:rsidR="000B0043" w:rsidRPr="004A73C1">
                <w:rPr>
                  <w:rFonts w:ascii="Arial" w:eastAsia="Times New Roman" w:hAnsi="Arial" w:cs="Arial"/>
                  <w:color w:val="467886"/>
                  <w:sz w:val="24"/>
                  <w:szCs w:val="24"/>
                  <w:u w:val="single"/>
                  <w:lang w:eastAsia="en-GB"/>
                </w:rPr>
                <w:t>GDP from Manufacturing (GBP Million)</w:t>
              </w:r>
            </w:hyperlink>
          </w:p>
        </w:tc>
        <w:tc>
          <w:tcPr>
            <w:tcW w:w="1425" w:type="dxa"/>
            <w:tcBorders>
              <w:top w:val="nil"/>
              <w:left w:val="nil"/>
              <w:bottom w:val="single" w:sz="4" w:space="0" w:color="auto"/>
              <w:right w:val="single" w:sz="4" w:space="0" w:color="auto"/>
            </w:tcBorders>
            <w:shd w:val="clear" w:color="auto" w:fill="auto"/>
            <w:vAlign w:val="center"/>
            <w:hideMark/>
          </w:tcPr>
          <w:p w14:paraId="0B04DCD3"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50,807.00 </w:t>
            </w:r>
          </w:p>
        </w:tc>
        <w:tc>
          <w:tcPr>
            <w:tcW w:w="1425" w:type="dxa"/>
            <w:tcBorders>
              <w:top w:val="nil"/>
              <w:left w:val="nil"/>
              <w:bottom w:val="single" w:sz="4" w:space="0" w:color="auto"/>
              <w:right w:val="single" w:sz="4" w:space="0" w:color="auto"/>
            </w:tcBorders>
            <w:shd w:val="clear" w:color="auto" w:fill="auto"/>
            <w:vAlign w:val="center"/>
            <w:hideMark/>
          </w:tcPr>
          <w:p w14:paraId="54984E3D"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50,212.00 </w:t>
            </w:r>
          </w:p>
        </w:tc>
        <w:tc>
          <w:tcPr>
            <w:tcW w:w="1425" w:type="dxa"/>
            <w:tcBorders>
              <w:top w:val="nil"/>
              <w:left w:val="nil"/>
              <w:bottom w:val="single" w:sz="4" w:space="0" w:color="auto"/>
              <w:right w:val="single" w:sz="4" w:space="0" w:color="auto"/>
            </w:tcBorders>
            <w:shd w:val="clear" w:color="auto" w:fill="auto"/>
            <w:vAlign w:val="center"/>
            <w:hideMark/>
          </w:tcPr>
          <w:p w14:paraId="71FE4DDA"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50,954.00 </w:t>
            </w:r>
          </w:p>
        </w:tc>
        <w:tc>
          <w:tcPr>
            <w:tcW w:w="1425" w:type="dxa"/>
            <w:tcBorders>
              <w:top w:val="nil"/>
              <w:left w:val="nil"/>
              <w:bottom w:val="single" w:sz="4" w:space="0" w:color="auto"/>
              <w:right w:val="single" w:sz="4" w:space="0" w:color="auto"/>
            </w:tcBorders>
            <w:shd w:val="clear" w:color="auto" w:fill="auto"/>
            <w:vAlign w:val="center"/>
            <w:hideMark/>
          </w:tcPr>
          <w:p w14:paraId="43FDA047"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50,636.00 </w:t>
            </w:r>
          </w:p>
        </w:tc>
      </w:tr>
      <w:tr w:rsidR="000B0043" w:rsidRPr="004A73C1" w14:paraId="2CA9FBF2" w14:textId="77777777" w:rsidTr="000B0043">
        <w:trPr>
          <w:trHeight w:val="29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6F532EF9" w14:textId="36B005CD"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6" w:history="1">
              <w:r w:rsidR="000B0043" w:rsidRPr="004A73C1">
                <w:rPr>
                  <w:rFonts w:ascii="Arial" w:eastAsia="Times New Roman" w:hAnsi="Arial" w:cs="Arial"/>
                  <w:color w:val="467886"/>
                  <w:sz w:val="24"/>
                  <w:szCs w:val="24"/>
                  <w:u w:val="single"/>
                  <w:lang w:eastAsia="en-GB"/>
                </w:rPr>
                <w:t>GDP from Services (GBP Million)</w:t>
              </w:r>
            </w:hyperlink>
          </w:p>
        </w:tc>
        <w:tc>
          <w:tcPr>
            <w:tcW w:w="1425" w:type="dxa"/>
            <w:tcBorders>
              <w:top w:val="nil"/>
              <w:left w:val="nil"/>
              <w:bottom w:val="single" w:sz="4" w:space="0" w:color="auto"/>
              <w:right w:val="single" w:sz="4" w:space="0" w:color="auto"/>
            </w:tcBorders>
            <w:shd w:val="clear" w:color="auto" w:fill="auto"/>
            <w:vAlign w:val="center"/>
            <w:hideMark/>
          </w:tcPr>
          <w:p w14:paraId="653DE697"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414,965.00 </w:t>
            </w:r>
          </w:p>
        </w:tc>
        <w:tc>
          <w:tcPr>
            <w:tcW w:w="1425" w:type="dxa"/>
            <w:tcBorders>
              <w:top w:val="nil"/>
              <w:left w:val="nil"/>
              <w:bottom w:val="single" w:sz="4" w:space="0" w:color="auto"/>
              <w:right w:val="single" w:sz="4" w:space="0" w:color="auto"/>
            </w:tcBorders>
            <w:shd w:val="clear" w:color="auto" w:fill="auto"/>
            <w:vAlign w:val="center"/>
            <w:hideMark/>
          </w:tcPr>
          <w:p w14:paraId="12C40A7F"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413,560.00 </w:t>
            </w:r>
          </w:p>
        </w:tc>
        <w:tc>
          <w:tcPr>
            <w:tcW w:w="1425" w:type="dxa"/>
            <w:tcBorders>
              <w:top w:val="nil"/>
              <w:left w:val="nil"/>
              <w:bottom w:val="single" w:sz="4" w:space="0" w:color="auto"/>
              <w:right w:val="single" w:sz="4" w:space="0" w:color="auto"/>
            </w:tcBorders>
            <w:shd w:val="clear" w:color="auto" w:fill="auto"/>
            <w:vAlign w:val="center"/>
            <w:hideMark/>
          </w:tcPr>
          <w:p w14:paraId="05D3633C"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418,705.00 </w:t>
            </w:r>
          </w:p>
        </w:tc>
        <w:tc>
          <w:tcPr>
            <w:tcW w:w="1425" w:type="dxa"/>
            <w:tcBorders>
              <w:top w:val="nil"/>
              <w:left w:val="nil"/>
              <w:bottom w:val="single" w:sz="4" w:space="0" w:color="auto"/>
              <w:right w:val="single" w:sz="4" w:space="0" w:color="auto"/>
            </w:tcBorders>
            <w:shd w:val="clear" w:color="auto" w:fill="auto"/>
            <w:vAlign w:val="center"/>
            <w:hideMark/>
          </w:tcPr>
          <w:p w14:paraId="1992B803"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422,062.00 </w:t>
            </w:r>
          </w:p>
        </w:tc>
      </w:tr>
      <w:tr w:rsidR="000B0043" w:rsidRPr="004A73C1" w14:paraId="20C16F01" w14:textId="77777777" w:rsidTr="000B0043">
        <w:trPr>
          <w:trHeight w:val="29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103336E1" w14:textId="0C5BF554"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7" w:history="1">
              <w:r w:rsidR="000B0043" w:rsidRPr="004A73C1">
                <w:rPr>
                  <w:rFonts w:ascii="Arial" w:eastAsia="Times New Roman" w:hAnsi="Arial" w:cs="Arial"/>
                  <w:color w:val="467886"/>
                  <w:sz w:val="24"/>
                  <w:szCs w:val="24"/>
                  <w:u w:val="single"/>
                  <w:lang w:eastAsia="en-GB"/>
                </w:rPr>
                <w:t>GDP (USD Billion)</w:t>
              </w:r>
            </w:hyperlink>
          </w:p>
        </w:tc>
        <w:tc>
          <w:tcPr>
            <w:tcW w:w="1425" w:type="dxa"/>
            <w:tcBorders>
              <w:top w:val="nil"/>
              <w:left w:val="nil"/>
              <w:bottom w:val="single" w:sz="4" w:space="0" w:color="auto"/>
              <w:right w:val="single" w:sz="4" w:space="0" w:color="auto"/>
            </w:tcBorders>
            <w:shd w:val="clear" w:color="auto" w:fill="auto"/>
            <w:vAlign w:val="center"/>
            <w:hideMark/>
          </w:tcPr>
          <w:p w14:paraId="17CCFF8D"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c>
          <w:tcPr>
            <w:tcW w:w="1425" w:type="dxa"/>
            <w:tcBorders>
              <w:top w:val="nil"/>
              <w:left w:val="nil"/>
              <w:bottom w:val="single" w:sz="4" w:space="0" w:color="auto"/>
              <w:right w:val="single" w:sz="4" w:space="0" w:color="auto"/>
            </w:tcBorders>
            <w:shd w:val="clear" w:color="auto" w:fill="auto"/>
            <w:vAlign w:val="center"/>
            <w:hideMark/>
          </w:tcPr>
          <w:p w14:paraId="2E748556"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3,383.00 </w:t>
            </w:r>
          </w:p>
        </w:tc>
        <w:tc>
          <w:tcPr>
            <w:tcW w:w="1425" w:type="dxa"/>
            <w:tcBorders>
              <w:top w:val="nil"/>
              <w:left w:val="nil"/>
              <w:bottom w:val="single" w:sz="4" w:space="0" w:color="auto"/>
              <w:right w:val="single" w:sz="4" w:space="0" w:color="auto"/>
            </w:tcBorders>
            <w:shd w:val="clear" w:color="auto" w:fill="auto"/>
            <w:vAlign w:val="center"/>
            <w:hideMark/>
          </w:tcPr>
          <w:p w14:paraId="472C0829"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c>
          <w:tcPr>
            <w:tcW w:w="1425" w:type="dxa"/>
            <w:tcBorders>
              <w:top w:val="nil"/>
              <w:left w:val="nil"/>
              <w:bottom w:val="single" w:sz="4" w:space="0" w:color="auto"/>
              <w:right w:val="single" w:sz="4" w:space="0" w:color="auto"/>
            </w:tcBorders>
            <w:shd w:val="clear" w:color="auto" w:fill="auto"/>
            <w:vAlign w:val="center"/>
            <w:hideMark/>
          </w:tcPr>
          <w:p w14:paraId="7F41F784"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r>
      <w:tr w:rsidR="000B0043" w:rsidRPr="004A73C1" w14:paraId="590FF36B" w14:textId="77777777" w:rsidTr="000B0043">
        <w:trPr>
          <w:trHeight w:val="29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37CC2A24" w14:textId="1A49618C"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8" w:history="1">
              <w:r w:rsidR="000B0043" w:rsidRPr="004A73C1">
                <w:rPr>
                  <w:rFonts w:ascii="Arial" w:eastAsia="Times New Roman" w:hAnsi="Arial" w:cs="Arial"/>
                  <w:color w:val="467886"/>
                  <w:sz w:val="24"/>
                  <w:szCs w:val="24"/>
                  <w:u w:val="single"/>
                  <w:lang w:eastAsia="en-GB"/>
                </w:rPr>
                <w:t>GDP per Capita (USD)</w:t>
              </w:r>
            </w:hyperlink>
          </w:p>
        </w:tc>
        <w:tc>
          <w:tcPr>
            <w:tcW w:w="1425" w:type="dxa"/>
            <w:tcBorders>
              <w:top w:val="nil"/>
              <w:left w:val="nil"/>
              <w:bottom w:val="single" w:sz="4" w:space="0" w:color="auto"/>
              <w:right w:val="single" w:sz="4" w:space="0" w:color="auto"/>
            </w:tcBorders>
            <w:shd w:val="clear" w:color="auto" w:fill="auto"/>
            <w:vAlign w:val="center"/>
            <w:hideMark/>
          </w:tcPr>
          <w:p w14:paraId="2E798A6F"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c>
          <w:tcPr>
            <w:tcW w:w="1425" w:type="dxa"/>
            <w:tcBorders>
              <w:top w:val="nil"/>
              <w:left w:val="nil"/>
              <w:bottom w:val="single" w:sz="4" w:space="0" w:color="auto"/>
              <w:right w:val="single" w:sz="4" w:space="0" w:color="auto"/>
            </w:tcBorders>
            <w:shd w:val="clear" w:color="auto" w:fill="auto"/>
            <w:vAlign w:val="center"/>
            <w:hideMark/>
          </w:tcPr>
          <w:p w14:paraId="07C0989F"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47,616.00 </w:t>
            </w:r>
          </w:p>
        </w:tc>
        <w:tc>
          <w:tcPr>
            <w:tcW w:w="1425" w:type="dxa"/>
            <w:tcBorders>
              <w:top w:val="nil"/>
              <w:left w:val="nil"/>
              <w:bottom w:val="single" w:sz="4" w:space="0" w:color="auto"/>
              <w:right w:val="single" w:sz="4" w:space="0" w:color="auto"/>
            </w:tcBorders>
            <w:shd w:val="clear" w:color="auto" w:fill="auto"/>
            <w:vAlign w:val="center"/>
            <w:hideMark/>
          </w:tcPr>
          <w:p w14:paraId="02ABCC81"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c>
          <w:tcPr>
            <w:tcW w:w="1425" w:type="dxa"/>
            <w:tcBorders>
              <w:top w:val="nil"/>
              <w:left w:val="nil"/>
              <w:bottom w:val="single" w:sz="4" w:space="0" w:color="auto"/>
              <w:right w:val="single" w:sz="4" w:space="0" w:color="auto"/>
            </w:tcBorders>
            <w:shd w:val="clear" w:color="auto" w:fill="auto"/>
            <w:vAlign w:val="center"/>
            <w:hideMark/>
          </w:tcPr>
          <w:p w14:paraId="13D121F2"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r>
      <w:tr w:rsidR="000B0043" w:rsidRPr="004A73C1" w14:paraId="0F7BA049" w14:textId="77777777" w:rsidTr="000B0043">
        <w:trPr>
          <w:trHeight w:val="29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53FA2AAF" w14:textId="27C57880"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9" w:history="1">
              <w:r w:rsidR="000B0043" w:rsidRPr="004A73C1">
                <w:rPr>
                  <w:rFonts w:ascii="Arial" w:eastAsia="Times New Roman" w:hAnsi="Arial" w:cs="Arial"/>
                  <w:color w:val="467886"/>
                  <w:sz w:val="24"/>
                  <w:szCs w:val="24"/>
                  <w:u w:val="single"/>
                  <w:lang w:eastAsia="en-GB"/>
                </w:rPr>
                <w:t>GDP per Capita PPP (USD)</w:t>
              </w:r>
            </w:hyperlink>
          </w:p>
        </w:tc>
        <w:tc>
          <w:tcPr>
            <w:tcW w:w="1425" w:type="dxa"/>
            <w:tcBorders>
              <w:top w:val="nil"/>
              <w:left w:val="nil"/>
              <w:bottom w:val="single" w:sz="4" w:space="0" w:color="auto"/>
              <w:right w:val="single" w:sz="4" w:space="0" w:color="auto"/>
            </w:tcBorders>
            <w:shd w:val="clear" w:color="auto" w:fill="auto"/>
            <w:vAlign w:val="center"/>
            <w:hideMark/>
          </w:tcPr>
          <w:p w14:paraId="3F445B1C"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c>
          <w:tcPr>
            <w:tcW w:w="1425" w:type="dxa"/>
            <w:tcBorders>
              <w:top w:val="nil"/>
              <w:left w:val="nil"/>
              <w:bottom w:val="single" w:sz="4" w:space="0" w:color="auto"/>
              <w:right w:val="single" w:sz="4" w:space="0" w:color="auto"/>
            </w:tcBorders>
            <w:shd w:val="clear" w:color="auto" w:fill="auto"/>
            <w:vAlign w:val="center"/>
            <w:hideMark/>
          </w:tcPr>
          <w:p w14:paraId="3C680B5A"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54,830.00 </w:t>
            </w:r>
          </w:p>
        </w:tc>
        <w:tc>
          <w:tcPr>
            <w:tcW w:w="1425" w:type="dxa"/>
            <w:tcBorders>
              <w:top w:val="nil"/>
              <w:left w:val="nil"/>
              <w:bottom w:val="single" w:sz="4" w:space="0" w:color="auto"/>
              <w:right w:val="single" w:sz="4" w:space="0" w:color="auto"/>
            </w:tcBorders>
            <w:shd w:val="clear" w:color="auto" w:fill="auto"/>
            <w:vAlign w:val="center"/>
            <w:hideMark/>
          </w:tcPr>
          <w:p w14:paraId="7E884ECA"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c>
          <w:tcPr>
            <w:tcW w:w="1425" w:type="dxa"/>
            <w:tcBorders>
              <w:top w:val="nil"/>
              <w:left w:val="nil"/>
              <w:bottom w:val="single" w:sz="4" w:space="0" w:color="auto"/>
              <w:right w:val="single" w:sz="4" w:space="0" w:color="auto"/>
            </w:tcBorders>
            <w:shd w:val="clear" w:color="auto" w:fill="auto"/>
            <w:vAlign w:val="center"/>
            <w:hideMark/>
          </w:tcPr>
          <w:p w14:paraId="4E438615"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r>
      <w:tr w:rsidR="000B0043" w:rsidRPr="004A73C1" w14:paraId="4CEC5DC8" w14:textId="77777777" w:rsidTr="000B0043">
        <w:trPr>
          <w:trHeight w:val="29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14C0BD08" w14:textId="3E0C6F44"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40" w:history="1">
              <w:r w:rsidR="000B0043" w:rsidRPr="004A73C1">
                <w:rPr>
                  <w:rFonts w:ascii="Arial" w:eastAsia="Times New Roman" w:hAnsi="Arial" w:cs="Arial"/>
                  <w:color w:val="467886"/>
                  <w:sz w:val="24"/>
                  <w:szCs w:val="24"/>
                  <w:u w:val="single"/>
                  <w:lang w:eastAsia="en-GB"/>
                </w:rPr>
                <w:t>Full Year GDP Growth (%)</w:t>
              </w:r>
            </w:hyperlink>
          </w:p>
        </w:tc>
        <w:tc>
          <w:tcPr>
            <w:tcW w:w="1425" w:type="dxa"/>
            <w:tcBorders>
              <w:top w:val="nil"/>
              <w:left w:val="nil"/>
              <w:bottom w:val="single" w:sz="4" w:space="0" w:color="auto"/>
              <w:right w:val="single" w:sz="4" w:space="0" w:color="auto"/>
            </w:tcBorders>
            <w:shd w:val="clear" w:color="auto" w:fill="auto"/>
            <w:vAlign w:val="center"/>
            <w:hideMark/>
          </w:tcPr>
          <w:p w14:paraId="41208B56"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c>
          <w:tcPr>
            <w:tcW w:w="1425" w:type="dxa"/>
            <w:tcBorders>
              <w:top w:val="nil"/>
              <w:left w:val="nil"/>
              <w:bottom w:val="single" w:sz="4" w:space="0" w:color="auto"/>
              <w:right w:val="single" w:sz="4" w:space="0" w:color="auto"/>
            </w:tcBorders>
            <w:shd w:val="clear" w:color="auto" w:fill="auto"/>
            <w:vAlign w:val="center"/>
            <w:hideMark/>
          </w:tcPr>
          <w:p w14:paraId="188E3B42"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1.30 </w:t>
            </w:r>
          </w:p>
        </w:tc>
        <w:tc>
          <w:tcPr>
            <w:tcW w:w="1425" w:type="dxa"/>
            <w:tcBorders>
              <w:top w:val="nil"/>
              <w:left w:val="nil"/>
              <w:bottom w:val="single" w:sz="4" w:space="0" w:color="auto"/>
              <w:right w:val="single" w:sz="4" w:space="0" w:color="auto"/>
            </w:tcBorders>
            <w:shd w:val="clear" w:color="auto" w:fill="auto"/>
            <w:vAlign w:val="center"/>
            <w:hideMark/>
          </w:tcPr>
          <w:p w14:paraId="238424BA"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c>
          <w:tcPr>
            <w:tcW w:w="1425" w:type="dxa"/>
            <w:tcBorders>
              <w:top w:val="nil"/>
              <w:left w:val="nil"/>
              <w:bottom w:val="single" w:sz="4" w:space="0" w:color="auto"/>
              <w:right w:val="single" w:sz="4" w:space="0" w:color="auto"/>
            </w:tcBorders>
            <w:shd w:val="clear" w:color="auto" w:fill="auto"/>
            <w:vAlign w:val="center"/>
            <w:hideMark/>
          </w:tcPr>
          <w:p w14:paraId="1F81AD91"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r>
    </w:tbl>
    <w:p w14:paraId="4EA9C893" w14:textId="33FCB278" w:rsidR="000B0043" w:rsidRPr="004A73C1" w:rsidRDefault="000B0043" w:rsidP="00EF2E34">
      <w:pPr>
        <w:spacing w:line="360" w:lineRule="auto"/>
        <w:rPr>
          <w:rFonts w:ascii="Arial" w:hAnsi="Arial" w:cs="Arial"/>
        </w:rPr>
      </w:pPr>
      <w:r w:rsidRPr="004A73C1">
        <w:rPr>
          <w:rFonts w:ascii="Arial" w:hAnsi="Arial" w:cs="Arial"/>
        </w:rPr>
        <w:fldChar w:fldCharType="end"/>
      </w:r>
      <w:r w:rsidR="00740D35" w:rsidRPr="004A73C1">
        <w:rPr>
          <w:rFonts w:ascii="Arial" w:hAnsi="Arial" w:cs="Arial"/>
        </w:rPr>
        <w:t xml:space="preserve"> Figure 17</w:t>
      </w:r>
      <w:r w:rsidR="009F1A70" w:rsidRPr="004A73C1">
        <w:rPr>
          <w:rFonts w:ascii="Arial" w:hAnsi="Arial" w:cs="Arial"/>
        </w:rPr>
        <w:t xml:space="preserve">  </w:t>
      </w:r>
      <w:r w:rsidR="009F1A70" w:rsidRPr="004A73C1">
        <w:rPr>
          <w:rFonts w:ascii="Arial" w:hAnsi="Arial" w:cs="Arial"/>
        </w:rPr>
        <w:tab/>
        <w:t>(</w:t>
      </w:r>
      <w:r w:rsidR="006E66F2" w:rsidRPr="004A73C1">
        <w:rPr>
          <w:rFonts w:ascii="Arial" w:hAnsi="Arial" w:cs="Arial"/>
        </w:rPr>
        <w:t>Source</w:t>
      </w:r>
      <w:r w:rsidRPr="004A73C1">
        <w:rPr>
          <w:rFonts w:ascii="Arial" w:hAnsi="Arial" w:cs="Arial"/>
        </w:rPr>
        <w:t xml:space="preserve"> Data </w:t>
      </w:r>
      <w:r w:rsidR="003E1181" w:rsidRPr="004A73C1">
        <w:rPr>
          <w:rFonts w:ascii="Arial" w:hAnsi="Arial" w:cs="Arial"/>
        </w:rPr>
        <w:t>–</w:t>
      </w:r>
      <w:r w:rsidRPr="004A73C1">
        <w:rPr>
          <w:rFonts w:ascii="Arial" w:hAnsi="Arial" w:cs="Arial"/>
        </w:rPr>
        <w:t xml:space="preserve"> </w:t>
      </w:r>
      <w:r w:rsidR="003E1181" w:rsidRPr="004A73C1">
        <w:rPr>
          <w:rFonts w:ascii="Arial" w:hAnsi="Arial" w:cs="Arial"/>
        </w:rPr>
        <w:t>ONS United Kingdom</w:t>
      </w:r>
      <w:r w:rsidR="009F1A70" w:rsidRPr="004A73C1">
        <w:rPr>
          <w:rFonts w:ascii="Arial" w:hAnsi="Arial" w:cs="Arial"/>
        </w:rPr>
        <w:t>)</w:t>
      </w:r>
    </w:p>
    <w:p w14:paraId="7EE24934" w14:textId="77777777" w:rsidR="00D53F0F" w:rsidRPr="004A73C1" w:rsidRDefault="00D53F0F" w:rsidP="00EF2E34">
      <w:pPr>
        <w:spacing w:line="360" w:lineRule="auto"/>
        <w:rPr>
          <w:rFonts w:ascii="Arial" w:hAnsi="Arial" w:cs="Arial"/>
        </w:rPr>
      </w:pPr>
    </w:p>
    <w:p w14:paraId="2C1A3405" w14:textId="77777777" w:rsidR="00D53F0F" w:rsidRPr="004A73C1" w:rsidRDefault="00D53F0F" w:rsidP="00EF2E34">
      <w:pPr>
        <w:spacing w:line="360" w:lineRule="auto"/>
        <w:rPr>
          <w:rFonts w:ascii="Arial" w:hAnsi="Arial" w:cs="Arial"/>
        </w:rPr>
      </w:pPr>
    </w:p>
    <w:p w14:paraId="3816DD70" w14:textId="3326ABA4" w:rsidR="00127D43" w:rsidRPr="004A73C1" w:rsidRDefault="00CA52E6" w:rsidP="00EF2E34">
      <w:pPr>
        <w:pStyle w:val="Heading2"/>
        <w:spacing w:line="360" w:lineRule="auto"/>
        <w:rPr>
          <w:rFonts w:ascii="Arial" w:hAnsi="Arial" w:cs="Arial"/>
          <w:color w:val="auto"/>
        </w:rPr>
      </w:pPr>
      <w:bookmarkStart w:id="109" w:name="_Toc175056476"/>
      <w:bookmarkStart w:id="110" w:name="_Toc175675360"/>
      <w:r w:rsidRPr="004A73C1">
        <w:rPr>
          <w:rFonts w:ascii="Arial" w:hAnsi="Arial" w:cs="Arial"/>
          <w:color w:val="auto"/>
        </w:rPr>
        <w:lastRenderedPageBreak/>
        <w:t>3.5</w:t>
      </w:r>
      <w:r w:rsidRPr="004A73C1">
        <w:rPr>
          <w:rFonts w:ascii="Arial" w:hAnsi="Arial" w:cs="Arial"/>
          <w:color w:val="auto"/>
        </w:rPr>
        <w:tab/>
      </w:r>
      <w:r w:rsidR="00127D43" w:rsidRPr="004A73C1">
        <w:rPr>
          <w:rFonts w:ascii="Arial" w:hAnsi="Arial" w:cs="Arial"/>
          <w:color w:val="auto"/>
        </w:rPr>
        <w:t xml:space="preserve">Qualitative </w:t>
      </w:r>
      <w:r w:rsidR="00C13730">
        <w:rPr>
          <w:rFonts w:ascii="Arial" w:hAnsi="Arial" w:cs="Arial"/>
          <w:color w:val="auto"/>
        </w:rPr>
        <w:t>R</w:t>
      </w:r>
      <w:r w:rsidR="00127D43" w:rsidRPr="004A73C1">
        <w:rPr>
          <w:rFonts w:ascii="Arial" w:hAnsi="Arial" w:cs="Arial"/>
          <w:color w:val="auto"/>
        </w:rPr>
        <w:t>esearch</w:t>
      </w:r>
      <w:bookmarkEnd w:id="109"/>
      <w:bookmarkEnd w:id="110"/>
    </w:p>
    <w:p w14:paraId="7E62F95B" w14:textId="442792BB" w:rsidR="00127D43" w:rsidRPr="004A73C1" w:rsidRDefault="00D53F0F" w:rsidP="00EF2E34">
      <w:pPr>
        <w:spacing w:line="360" w:lineRule="auto"/>
        <w:jc w:val="both"/>
        <w:rPr>
          <w:rFonts w:ascii="Arial" w:hAnsi="Arial" w:cs="Arial"/>
        </w:rPr>
      </w:pPr>
      <w:r w:rsidRPr="004A73C1">
        <w:rPr>
          <w:rFonts w:ascii="Arial" w:hAnsi="Arial" w:cs="Arial"/>
        </w:rPr>
        <w:t xml:space="preserve">Qualitative research serves as a method for comprehending the underlying reasons, opinions, and motivations. It offers valuable insights into a given problem or aids in the development of ideas and hypotheses for potential quantitative research endeavours. </w:t>
      </w:r>
      <w:r w:rsidR="007D1085" w:rsidRPr="004A73C1">
        <w:rPr>
          <w:rFonts w:ascii="Arial" w:hAnsi="Arial" w:cs="Arial"/>
        </w:rPr>
        <w:t>An example of qualitative research could be a study conducted through interviews or focus groups to understand people's perceptions of a new product or to explore the impact of a particular social phenomenon.</w:t>
      </w:r>
    </w:p>
    <w:p w14:paraId="3550743A" w14:textId="6450A040" w:rsidR="007D1085" w:rsidRPr="004A73C1" w:rsidRDefault="00CA52E6" w:rsidP="00EF2E34">
      <w:pPr>
        <w:pStyle w:val="Heading2"/>
        <w:spacing w:line="360" w:lineRule="auto"/>
        <w:rPr>
          <w:rFonts w:ascii="Arial" w:hAnsi="Arial" w:cs="Arial"/>
          <w:color w:val="auto"/>
        </w:rPr>
      </w:pPr>
      <w:bookmarkStart w:id="111" w:name="_Toc175056477"/>
      <w:bookmarkStart w:id="112" w:name="_Toc175675361"/>
      <w:r w:rsidRPr="004A73C1">
        <w:rPr>
          <w:rFonts w:ascii="Arial" w:hAnsi="Arial" w:cs="Arial"/>
          <w:color w:val="auto"/>
        </w:rPr>
        <w:t>3.6</w:t>
      </w:r>
      <w:r w:rsidRPr="004A73C1">
        <w:rPr>
          <w:rFonts w:ascii="Arial" w:hAnsi="Arial" w:cs="Arial"/>
          <w:color w:val="auto"/>
        </w:rPr>
        <w:tab/>
      </w:r>
      <w:r w:rsidR="007D1085" w:rsidRPr="004A73C1">
        <w:rPr>
          <w:rFonts w:ascii="Arial" w:hAnsi="Arial" w:cs="Arial"/>
          <w:color w:val="auto"/>
        </w:rPr>
        <w:t>Mixed-</w:t>
      </w:r>
      <w:r w:rsidR="00C13730">
        <w:rPr>
          <w:rFonts w:ascii="Arial" w:hAnsi="Arial" w:cs="Arial"/>
          <w:color w:val="auto"/>
        </w:rPr>
        <w:t>M</w:t>
      </w:r>
      <w:r w:rsidR="007D1085" w:rsidRPr="004A73C1">
        <w:rPr>
          <w:rFonts w:ascii="Arial" w:hAnsi="Arial" w:cs="Arial"/>
          <w:color w:val="auto"/>
        </w:rPr>
        <w:t xml:space="preserve">ethod </w:t>
      </w:r>
      <w:r w:rsidR="00C13730">
        <w:rPr>
          <w:rFonts w:ascii="Arial" w:hAnsi="Arial" w:cs="Arial"/>
          <w:color w:val="auto"/>
        </w:rPr>
        <w:t>R</w:t>
      </w:r>
      <w:r w:rsidR="007D1085" w:rsidRPr="004A73C1">
        <w:rPr>
          <w:rFonts w:ascii="Arial" w:hAnsi="Arial" w:cs="Arial"/>
          <w:color w:val="auto"/>
        </w:rPr>
        <w:t>esearch</w:t>
      </w:r>
      <w:bookmarkEnd w:id="111"/>
      <w:bookmarkEnd w:id="112"/>
    </w:p>
    <w:p w14:paraId="7FF5F118" w14:textId="4AFB93AF" w:rsidR="007D1085" w:rsidRPr="004A73C1" w:rsidRDefault="00595271" w:rsidP="00EF2E34">
      <w:pPr>
        <w:spacing w:line="360" w:lineRule="auto"/>
        <w:jc w:val="both"/>
        <w:rPr>
          <w:rFonts w:ascii="Arial" w:hAnsi="Arial" w:cs="Arial"/>
        </w:rPr>
      </w:pPr>
      <w:r w:rsidRPr="004A73C1">
        <w:rPr>
          <w:rFonts w:ascii="Arial" w:hAnsi="Arial" w:cs="Arial"/>
        </w:rPr>
        <w:t>The mixed-method</w:t>
      </w:r>
      <w:r w:rsidR="007D1085" w:rsidRPr="004A73C1">
        <w:rPr>
          <w:rFonts w:ascii="Arial" w:hAnsi="Arial" w:cs="Arial"/>
        </w:rPr>
        <w:t xml:space="preserve"> research approach </w:t>
      </w:r>
      <w:r w:rsidR="00A1034C" w:rsidRPr="004A73C1">
        <w:rPr>
          <w:rFonts w:ascii="Arial" w:hAnsi="Arial" w:cs="Arial"/>
        </w:rPr>
        <w:t xml:space="preserve">uses quantitative and qualitative research methods </w:t>
      </w:r>
      <w:r w:rsidR="00E11EFD" w:rsidRPr="004A73C1">
        <w:rPr>
          <w:rFonts w:ascii="Arial" w:hAnsi="Arial" w:cs="Arial"/>
        </w:rPr>
        <w:t>to understand a phenomenon comprehensively</w:t>
      </w:r>
      <w:r w:rsidR="007D1085" w:rsidRPr="004A73C1">
        <w:rPr>
          <w:rFonts w:ascii="Arial" w:hAnsi="Arial" w:cs="Arial"/>
        </w:rPr>
        <w:t>. For example</w:t>
      </w:r>
      <w:r w:rsidRPr="004A73C1">
        <w:rPr>
          <w:rFonts w:ascii="Arial" w:hAnsi="Arial" w:cs="Arial"/>
        </w:rPr>
        <w:t xml:space="preserve">, a mixed-method approach in education research </w:t>
      </w:r>
      <w:r w:rsidR="007D1085" w:rsidRPr="004A73C1">
        <w:rPr>
          <w:rFonts w:ascii="Arial" w:hAnsi="Arial" w:cs="Arial"/>
        </w:rPr>
        <w:t xml:space="preserve">might </w:t>
      </w:r>
      <w:r w:rsidRPr="004A73C1">
        <w:rPr>
          <w:rFonts w:ascii="Arial" w:hAnsi="Arial" w:cs="Arial"/>
        </w:rPr>
        <w:t>include</w:t>
      </w:r>
      <w:r w:rsidR="007D1085" w:rsidRPr="004A73C1">
        <w:rPr>
          <w:rFonts w:ascii="Arial" w:hAnsi="Arial" w:cs="Arial"/>
        </w:rPr>
        <w:t xml:space="preserve"> collecting and </w:t>
      </w:r>
      <w:r w:rsidRPr="004A73C1">
        <w:rPr>
          <w:rFonts w:ascii="Arial" w:hAnsi="Arial" w:cs="Arial"/>
        </w:rPr>
        <w:t>analysing</w:t>
      </w:r>
      <w:r w:rsidR="007D1085" w:rsidRPr="004A73C1">
        <w:rPr>
          <w:rFonts w:ascii="Arial" w:hAnsi="Arial" w:cs="Arial"/>
        </w:rPr>
        <w:t xml:space="preserve"> numerical data on student test scores (quantitative) </w:t>
      </w:r>
      <w:r w:rsidRPr="004A73C1">
        <w:rPr>
          <w:rFonts w:ascii="Arial" w:hAnsi="Arial" w:cs="Arial"/>
        </w:rPr>
        <w:t>and</w:t>
      </w:r>
      <w:r w:rsidR="007D1085" w:rsidRPr="004A73C1">
        <w:rPr>
          <w:rFonts w:ascii="Arial" w:hAnsi="Arial" w:cs="Arial"/>
        </w:rPr>
        <w:t xml:space="preserve"> conducting interviews or focus groups with teachers and students to understand their experiences and perspectives (qualitative). By combining both </w:t>
      </w:r>
      <w:r w:rsidR="00B63B17" w:rsidRPr="004A73C1">
        <w:rPr>
          <w:rFonts w:ascii="Arial" w:hAnsi="Arial" w:cs="Arial"/>
        </w:rPr>
        <w:t>data types</w:t>
      </w:r>
      <w:r w:rsidR="007D1085" w:rsidRPr="004A73C1">
        <w:rPr>
          <w:rFonts w:ascii="Arial" w:hAnsi="Arial" w:cs="Arial"/>
        </w:rPr>
        <w:t xml:space="preserve">, researchers can gain a more thorough and nuanced understanding of </w:t>
      </w:r>
      <w:r w:rsidRPr="004A73C1">
        <w:rPr>
          <w:rFonts w:ascii="Arial" w:hAnsi="Arial" w:cs="Arial"/>
        </w:rPr>
        <w:t>their study topic</w:t>
      </w:r>
      <w:r w:rsidR="007D1085" w:rsidRPr="004A73C1">
        <w:rPr>
          <w:rFonts w:ascii="Arial" w:hAnsi="Arial" w:cs="Arial"/>
        </w:rPr>
        <w:t>.</w:t>
      </w:r>
    </w:p>
    <w:p w14:paraId="1778C1DA" w14:textId="0177B013" w:rsidR="006A5B39" w:rsidRPr="004A73C1" w:rsidRDefault="006A5B39" w:rsidP="00EF2E34">
      <w:pPr>
        <w:spacing w:line="360" w:lineRule="auto"/>
        <w:jc w:val="both"/>
        <w:rPr>
          <w:rFonts w:ascii="Arial" w:hAnsi="Arial" w:cs="Arial"/>
        </w:rPr>
      </w:pPr>
      <w:r w:rsidRPr="004A73C1">
        <w:rPr>
          <w:rFonts w:ascii="Arial" w:hAnsi="Arial" w:cs="Arial"/>
        </w:rPr>
        <w:t>A mixed-method approach for analysing Foreign Direct Investment (FDI) involves using both qualitative and quantitative methods to gain a comprehensive understanding of FDI trends, patterns, and impacts. Qualitative methods such as interviews, case studies, and content analysis can provide in-depth insights into the motivations and experiences of the involved parties. On the other hand, quantitative methods such as statistical analysis, econometric modelling, and data mining can offer numerical evidence and trends related to FDI flows, investment patterns, and economic impacts. By combining both approaches, researchers can gain a more comprehensive and nuanced understanding of FDI dynamics and its implications for host and home countries.</w:t>
      </w:r>
    </w:p>
    <w:p w14:paraId="50D39C0C" w14:textId="20055946" w:rsidR="00317BCF" w:rsidRPr="004A73C1" w:rsidRDefault="00CA52E6" w:rsidP="00EF2E34">
      <w:pPr>
        <w:pStyle w:val="Heading2"/>
        <w:spacing w:line="360" w:lineRule="auto"/>
        <w:rPr>
          <w:rFonts w:ascii="Arial" w:hAnsi="Arial" w:cs="Arial"/>
          <w:color w:val="auto"/>
        </w:rPr>
      </w:pPr>
      <w:bookmarkStart w:id="113" w:name="_Toc175056478"/>
      <w:bookmarkStart w:id="114" w:name="_Toc175675362"/>
      <w:r w:rsidRPr="004A73C1">
        <w:rPr>
          <w:rFonts w:ascii="Arial" w:hAnsi="Arial" w:cs="Arial"/>
          <w:color w:val="auto"/>
        </w:rPr>
        <w:t>3.7</w:t>
      </w:r>
      <w:r w:rsidRPr="004A73C1">
        <w:rPr>
          <w:rFonts w:ascii="Arial" w:hAnsi="Arial" w:cs="Arial"/>
          <w:color w:val="auto"/>
        </w:rPr>
        <w:tab/>
      </w:r>
      <w:r w:rsidR="00317BCF" w:rsidRPr="004A73C1">
        <w:rPr>
          <w:rFonts w:ascii="Arial" w:hAnsi="Arial" w:cs="Arial"/>
          <w:color w:val="auto"/>
        </w:rPr>
        <w:t xml:space="preserve">The Research </w:t>
      </w:r>
      <w:r w:rsidR="006A5B39" w:rsidRPr="004A73C1">
        <w:rPr>
          <w:rFonts w:ascii="Arial" w:hAnsi="Arial" w:cs="Arial"/>
          <w:color w:val="auto"/>
        </w:rPr>
        <w:t>P</w:t>
      </w:r>
      <w:r w:rsidR="00317BCF" w:rsidRPr="004A73C1">
        <w:rPr>
          <w:rFonts w:ascii="Arial" w:hAnsi="Arial" w:cs="Arial"/>
          <w:color w:val="auto"/>
        </w:rPr>
        <w:t>rocess</w:t>
      </w:r>
      <w:bookmarkEnd w:id="113"/>
      <w:bookmarkEnd w:id="114"/>
    </w:p>
    <w:p w14:paraId="1AF91AA5" w14:textId="77777777" w:rsidR="00D53F0F" w:rsidRPr="00D53F0F" w:rsidRDefault="00D53F0F" w:rsidP="00D53F0F">
      <w:pPr>
        <w:spacing w:line="360" w:lineRule="auto"/>
        <w:jc w:val="both"/>
        <w:rPr>
          <w:rFonts w:ascii="Arial" w:hAnsi="Arial" w:cs="Arial"/>
        </w:rPr>
      </w:pPr>
      <w:r w:rsidRPr="00D53F0F">
        <w:rPr>
          <w:rFonts w:ascii="Arial" w:hAnsi="Arial" w:cs="Arial"/>
        </w:rPr>
        <w:t xml:space="preserve">According to Dawson and Catherine (2002), the researcher must define the research barriers, which can be accomplished by evaluating other people's work in the same subject and tying it to the study objectives. </w:t>
      </w:r>
    </w:p>
    <w:p w14:paraId="61164BD9" w14:textId="1656CCBD" w:rsidR="00317BCF" w:rsidRPr="004A73C1" w:rsidRDefault="00317BCF" w:rsidP="00EF2E34">
      <w:pPr>
        <w:spacing w:line="360" w:lineRule="auto"/>
        <w:jc w:val="both"/>
        <w:rPr>
          <w:rFonts w:ascii="Arial" w:hAnsi="Arial" w:cs="Arial"/>
        </w:rPr>
      </w:pPr>
      <w:r w:rsidRPr="004A73C1">
        <w:rPr>
          <w:rFonts w:ascii="Arial" w:hAnsi="Arial" w:cs="Arial"/>
        </w:rPr>
        <w:t xml:space="preserve">The research process involves a systematic and organised series of steps that researchers adhere to gather information, address inquiries, or test hypotheses. Firstly, researchers define a research question or problem to establish the focus of their study. They then conduct a thorough literature review to understand existing knowledge and identify gaps in the research. After this, they outline a research plan detailing the methodologies, data collection techniques, and analysis procedures they will employ. Subsequently, researchers gather data through observation, experimentation, surveys, or other methods and analyse it to derive meaningful conclusions. Finally, they effectively communicate their findings through research papers, reports, presentations, or other forms of dissemination. The specific approach to the research </w:t>
      </w:r>
      <w:r w:rsidRPr="004A73C1">
        <w:rPr>
          <w:rFonts w:ascii="Arial" w:hAnsi="Arial" w:cs="Arial"/>
        </w:rPr>
        <w:lastRenderedPageBreak/>
        <w:t>process may vary depending on the discipline and the nature of the research being conducted, with different fields employing distinct methodologies and techniques.</w:t>
      </w:r>
    </w:p>
    <w:p w14:paraId="47A443B7" w14:textId="77777777" w:rsidR="00B63B17" w:rsidRPr="004A73C1" w:rsidRDefault="00317BCF" w:rsidP="00EF2E34">
      <w:pPr>
        <w:spacing w:line="360" w:lineRule="auto"/>
        <w:jc w:val="both"/>
        <w:rPr>
          <w:rFonts w:ascii="Arial" w:hAnsi="Arial" w:cs="Arial"/>
        </w:rPr>
      </w:pPr>
      <w:r w:rsidRPr="004A73C1">
        <w:rPr>
          <w:rFonts w:ascii="Arial" w:hAnsi="Arial" w:cs="Arial"/>
        </w:rPr>
        <w:t>The steps involved in the research process include the following:</w:t>
      </w:r>
    </w:p>
    <w:p w14:paraId="5C4777B7" w14:textId="55575868" w:rsidR="00317BCF" w:rsidRPr="004A73C1" w:rsidRDefault="00317BCF" w:rsidP="00EF2E34">
      <w:pPr>
        <w:spacing w:line="360" w:lineRule="auto"/>
        <w:jc w:val="both"/>
        <w:rPr>
          <w:rFonts w:ascii="Arial" w:hAnsi="Arial" w:cs="Arial"/>
        </w:rPr>
      </w:pPr>
      <w:r w:rsidRPr="004A73C1">
        <w:rPr>
          <w:rFonts w:ascii="Arial" w:hAnsi="Arial" w:cs="Arial"/>
          <w:b/>
          <w:bCs/>
        </w:rPr>
        <w:t xml:space="preserve">Defining </w:t>
      </w:r>
      <w:r w:rsidR="00A704B7" w:rsidRPr="004A73C1">
        <w:rPr>
          <w:rFonts w:ascii="Arial" w:hAnsi="Arial" w:cs="Arial"/>
          <w:b/>
          <w:bCs/>
        </w:rPr>
        <w:t xml:space="preserve">And Identifying </w:t>
      </w:r>
      <w:r w:rsidR="00E11EFD" w:rsidRPr="004A73C1">
        <w:rPr>
          <w:rFonts w:ascii="Arial" w:hAnsi="Arial" w:cs="Arial"/>
          <w:b/>
          <w:bCs/>
        </w:rPr>
        <w:t>the</w:t>
      </w:r>
      <w:r w:rsidR="00A704B7" w:rsidRPr="004A73C1">
        <w:rPr>
          <w:rFonts w:ascii="Arial" w:hAnsi="Arial" w:cs="Arial"/>
          <w:b/>
          <w:bCs/>
        </w:rPr>
        <w:t xml:space="preserve"> Research Problem Or Topic That Needs Investigation.</w:t>
      </w:r>
    </w:p>
    <w:p w14:paraId="3CC886F1" w14:textId="6C0FD398" w:rsidR="00317BCF" w:rsidRPr="004A73C1" w:rsidRDefault="00B90250" w:rsidP="00EF2E34">
      <w:pPr>
        <w:spacing w:after="0" w:line="360" w:lineRule="auto"/>
        <w:jc w:val="both"/>
        <w:rPr>
          <w:rFonts w:ascii="Arial" w:hAnsi="Arial" w:cs="Arial"/>
        </w:rPr>
      </w:pPr>
      <w:r w:rsidRPr="004A73C1">
        <w:rPr>
          <w:rFonts w:ascii="Arial" w:hAnsi="Arial" w:cs="Arial"/>
        </w:rPr>
        <w:t>To</w:t>
      </w:r>
      <w:r w:rsidR="00317BCF" w:rsidRPr="004A73C1">
        <w:rPr>
          <w:rFonts w:ascii="Arial" w:hAnsi="Arial" w:cs="Arial"/>
        </w:rPr>
        <w:t xml:space="preserve"> define and identify a research problem or topic that necessitates investigation, several essential steps can be followed:</w:t>
      </w:r>
    </w:p>
    <w:p w14:paraId="73ED8EC2" w14:textId="4FA61AC7" w:rsidR="00317BCF" w:rsidRPr="004A73C1" w:rsidRDefault="00317BCF" w:rsidP="00EF2E34">
      <w:pPr>
        <w:pStyle w:val="ListParagraph"/>
        <w:numPr>
          <w:ilvl w:val="0"/>
          <w:numId w:val="37"/>
        </w:numPr>
        <w:spacing w:after="0" w:line="360" w:lineRule="auto"/>
        <w:jc w:val="both"/>
        <w:rPr>
          <w:rFonts w:ascii="Arial" w:hAnsi="Arial" w:cs="Arial"/>
        </w:rPr>
      </w:pPr>
      <w:r w:rsidRPr="004A73C1">
        <w:rPr>
          <w:rFonts w:ascii="Arial" w:hAnsi="Arial" w:cs="Arial"/>
        </w:rPr>
        <w:t xml:space="preserve">Select the general area of interest: Initially, pinpoint a broad </w:t>
      </w:r>
      <w:r w:rsidR="00B90250" w:rsidRPr="004A73C1">
        <w:rPr>
          <w:rFonts w:ascii="Arial" w:hAnsi="Arial" w:cs="Arial"/>
        </w:rPr>
        <w:t xml:space="preserve">or </w:t>
      </w:r>
      <w:r w:rsidRPr="004A73C1">
        <w:rPr>
          <w:rFonts w:ascii="Arial" w:hAnsi="Arial" w:cs="Arial"/>
        </w:rPr>
        <w:t xml:space="preserve">general topic that aligns with </w:t>
      </w:r>
      <w:r w:rsidR="00B90250" w:rsidRPr="004A73C1">
        <w:rPr>
          <w:rFonts w:ascii="Arial" w:hAnsi="Arial" w:cs="Arial"/>
        </w:rPr>
        <w:t>my</w:t>
      </w:r>
      <w:r w:rsidRPr="004A73C1">
        <w:rPr>
          <w:rFonts w:ascii="Arial" w:hAnsi="Arial" w:cs="Arial"/>
        </w:rPr>
        <w:t xml:space="preserve"> expertise or is pertinent to </w:t>
      </w:r>
      <w:r w:rsidR="00B90250" w:rsidRPr="004A73C1">
        <w:rPr>
          <w:rFonts w:ascii="Arial" w:hAnsi="Arial" w:cs="Arial"/>
        </w:rPr>
        <w:t>my</w:t>
      </w:r>
      <w:r w:rsidRPr="004A73C1">
        <w:rPr>
          <w:rFonts w:ascii="Arial" w:hAnsi="Arial" w:cs="Arial"/>
        </w:rPr>
        <w:t xml:space="preserve"> field of study.</w:t>
      </w:r>
    </w:p>
    <w:p w14:paraId="7B8AA60E" w14:textId="7C2D70DF" w:rsidR="00317BCF" w:rsidRPr="004A73C1" w:rsidRDefault="00317BCF" w:rsidP="00EF2E34">
      <w:pPr>
        <w:pStyle w:val="ListParagraph"/>
        <w:numPr>
          <w:ilvl w:val="0"/>
          <w:numId w:val="37"/>
        </w:numPr>
        <w:spacing w:after="0" w:line="360" w:lineRule="auto"/>
        <w:jc w:val="both"/>
        <w:rPr>
          <w:rFonts w:ascii="Arial" w:hAnsi="Arial" w:cs="Arial"/>
        </w:rPr>
      </w:pPr>
      <w:r w:rsidRPr="004A73C1">
        <w:rPr>
          <w:rFonts w:ascii="Arial" w:hAnsi="Arial" w:cs="Arial"/>
        </w:rPr>
        <w:t xml:space="preserve">Conduct a comprehensive literature review: </w:t>
      </w:r>
      <w:r w:rsidR="00E11EFD" w:rsidRPr="004A73C1">
        <w:rPr>
          <w:rFonts w:ascii="Arial" w:hAnsi="Arial" w:cs="Arial"/>
        </w:rPr>
        <w:t>This involves thoroughly reviewing</w:t>
      </w:r>
      <w:r w:rsidR="00B90250" w:rsidRPr="004A73C1">
        <w:rPr>
          <w:rFonts w:ascii="Arial" w:hAnsi="Arial" w:cs="Arial"/>
        </w:rPr>
        <w:t xml:space="preserve"> existing literature, research papers, and scholarly articles to gain insight into prior studies in</w:t>
      </w:r>
      <w:r w:rsidRPr="004A73C1">
        <w:rPr>
          <w:rFonts w:ascii="Arial" w:hAnsi="Arial" w:cs="Arial"/>
        </w:rPr>
        <w:t xml:space="preserve"> area of interest.</w:t>
      </w:r>
    </w:p>
    <w:p w14:paraId="24EC0750" w14:textId="77777777" w:rsidR="00E11EFD" w:rsidRPr="004A73C1" w:rsidRDefault="00317BCF" w:rsidP="00EF2E34">
      <w:pPr>
        <w:pStyle w:val="ListParagraph"/>
        <w:numPr>
          <w:ilvl w:val="0"/>
          <w:numId w:val="37"/>
        </w:numPr>
        <w:spacing w:after="0" w:line="360" w:lineRule="auto"/>
        <w:jc w:val="both"/>
        <w:rPr>
          <w:rFonts w:ascii="Arial" w:hAnsi="Arial" w:cs="Arial"/>
        </w:rPr>
      </w:pPr>
      <w:r w:rsidRPr="004A73C1">
        <w:rPr>
          <w:rFonts w:ascii="Arial" w:hAnsi="Arial" w:cs="Arial"/>
        </w:rPr>
        <w:t>Refine the focus: Based on the initial review, discern specific gaps, contradictions, or unresolved questions within the existing literature. This process aids in narrowing the focus and pinpointing potential research problems.</w:t>
      </w:r>
    </w:p>
    <w:p w14:paraId="7FB5BE51" w14:textId="77777777" w:rsidR="00E11EFD" w:rsidRPr="004A73C1" w:rsidRDefault="00317BCF" w:rsidP="00EF2E34">
      <w:pPr>
        <w:pStyle w:val="ListParagraph"/>
        <w:numPr>
          <w:ilvl w:val="0"/>
          <w:numId w:val="37"/>
        </w:numPr>
        <w:spacing w:after="0" w:line="360" w:lineRule="auto"/>
        <w:jc w:val="both"/>
        <w:rPr>
          <w:rFonts w:ascii="Arial" w:hAnsi="Arial" w:cs="Arial"/>
        </w:rPr>
      </w:pPr>
      <w:r w:rsidRPr="004A73C1">
        <w:rPr>
          <w:rFonts w:ascii="Arial" w:hAnsi="Arial" w:cs="Arial"/>
        </w:rPr>
        <w:t xml:space="preserve">Formulate specific research questions: </w:t>
      </w:r>
      <w:r w:rsidR="00595271" w:rsidRPr="004A73C1">
        <w:rPr>
          <w:rFonts w:ascii="Arial" w:hAnsi="Arial" w:cs="Arial"/>
        </w:rPr>
        <w:t>Based on</w:t>
      </w:r>
      <w:r w:rsidRPr="004A73C1">
        <w:rPr>
          <w:rFonts w:ascii="Arial" w:hAnsi="Arial" w:cs="Arial"/>
        </w:rPr>
        <w:t xml:space="preserve"> the identified gaps or unresolved issues, craft precise research questions that demand attention. These inquiries should be articulate, </w:t>
      </w:r>
      <w:r w:rsidR="00B90250" w:rsidRPr="004A73C1">
        <w:rPr>
          <w:rFonts w:ascii="Arial" w:hAnsi="Arial" w:cs="Arial"/>
        </w:rPr>
        <w:t>concise</w:t>
      </w:r>
      <w:r w:rsidRPr="004A73C1">
        <w:rPr>
          <w:rFonts w:ascii="Arial" w:hAnsi="Arial" w:cs="Arial"/>
        </w:rPr>
        <w:t>, and targeted.</w:t>
      </w:r>
    </w:p>
    <w:p w14:paraId="4FA85FC6" w14:textId="06B242B5" w:rsidR="00317BCF" w:rsidRPr="004A73C1" w:rsidRDefault="00317BCF" w:rsidP="00EF2E34">
      <w:pPr>
        <w:pStyle w:val="ListParagraph"/>
        <w:numPr>
          <w:ilvl w:val="0"/>
          <w:numId w:val="37"/>
        </w:numPr>
        <w:spacing w:after="0" w:line="360" w:lineRule="auto"/>
        <w:jc w:val="both"/>
        <w:rPr>
          <w:rFonts w:ascii="Arial" w:hAnsi="Arial" w:cs="Arial"/>
        </w:rPr>
      </w:pPr>
      <w:r w:rsidRPr="004A73C1">
        <w:rPr>
          <w:rFonts w:ascii="Arial" w:hAnsi="Arial" w:cs="Arial"/>
        </w:rPr>
        <w:t xml:space="preserve">Define the problem statement: Once the research questions are delineated, articulate a clear and precise problem statement </w:t>
      </w:r>
      <w:r w:rsidR="00B90250" w:rsidRPr="004A73C1">
        <w:rPr>
          <w:rFonts w:ascii="Arial" w:hAnsi="Arial" w:cs="Arial"/>
        </w:rPr>
        <w:t>summarising</w:t>
      </w:r>
      <w:r w:rsidRPr="004A73C1">
        <w:rPr>
          <w:rFonts w:ascii="Arial" w:hAnsi="Arial" w:cs="Arial"/>
        </w:rPr>
        <w:t xml:space="preserve"> the issue slated for investigation.</w:t>
      </w:r>
    </w:p>
    <w:p w14:paraId="096EFEBB" w14:textId="03A5A2A2" w:rsidR="00317BCF" w:rsidRPr="004A73C1" w:rsidRDefault="00B90250" w:rsidP="00EF2E34">
      <w:pPr>
        <w:spacing w:after="0" w:line="360" w:lineRule="auto"/>
        <w:jc w:val="both"/>
        <w:rPr>
          <w:rFonts w:ascii="Arial" w:hAnsi="Arial" w:cs="Arial"/>
        </w:rPr>
      </w:pPr>
      <w:r w:rsidRPr="004A73C1">
        <w:rPr>
          <w:rFonts w:ascii="Arial" w:hAnsi="Arial" w:cs="Arial"/>
        </w:rPr>
        <w:t>These</w:t>
      </w:r>
      <w:r w:rsidR="00317BCF" w:rsidRPr="004A73C1">
        <w:rPr>
          <w:rFonts w:ascii="Arial" w:hAnsi="Arial" w:cs="Arial"/>
        </w:rPr>
        <w:t xml:space="preserve"> steps can help one identify a research problem or topic that warrants investigation.</w:t>
      </w:r>
    </w:p>
    <w:p w14:paraId="3F965487" w14:textId="77777777" w:rsidR="007D4E14" w:rsidRPr="004A73C1" w:rsidRDefault="007D4E14" w:rsidP="00EF2E34">
      <w:pPr>
        <w:spacing w:after="0" w:line="360" w:lineRule="auto"/>
        <w:jc w:val="both"/>
        <w:rPr>
          <w:rFonts w:ascii="Arial" w:hAnsi="Arial" w:cs="Arial"/>
        </w:rPr>
      </w:pPr>
    </w:p>
    <w:p w14:paraId="022F1092" w14:textId="4A546B2F" w:rsidR="00317BCF" w:rsidRPr="004A73C1" w:rsidRDefault="00317BCF" w:rsidP="00EF2E34">
      <w:pPr>
        <w:spacing w:line="360" w:lineRule="auto"/>
        <w:jc w:val="both"/>
        <w:rPr>
          <w:rFonts w:ascii="Arial" w:hAnsi="Arial" w:cs="Arial"/>
          <w:b/>
          <w:bCs/>
        </w:rPr>
      </w:pPr>
      <w:r w:rsidRPr="004A73C1">
        <w:rPr>
          <w:rFonts w:ascii="Arial" w:hAnsi="Arial" w:cs="Arial"/>
          <w:b/>
          <w:bCs/>
        </w:rPr>
        <w:t xml:space="preserve">Reviewing </w:t>
      </w:r>
      <w:r w:rsidR="00A704B7" w:rsidRPr="004A73C1">
        <w:rPr>
          <w:rFonts w:ascii="Arial" w:hAnsi="Arial" w:cs="Arial"/>
          <w:b/>
          <w:bCs/>
        </w:rPr>
        <w:t>And Analysing Existing Literature To Understand The Current State Of Knowledge On The Topic.</w:t>
      </w:r>
    </w:p>
    <w:p w14:paraId="629B7333" w14:textId="5BC6CBD7" w:rsidR="00317BCF" w:rsidRPr="004A73C1" w:rsidRDefault="00317BCF" w:rsidP="00EF2E34">
      <w:pPr>
        <w:spacing w:after="0" w:line="360" w:lineRule="auto"/>
        <w:jc w:val="both"/>
        <w:rPr>
          <w:rFonts w:ascii="Arial" w:hAnsi="Arial" w:cs="Arial"/>
        </w:rPr>
      </w:pPr>
      <w:r w:rsidRPr="004A73C1">
        <w:rPr>
          <w:rFonts w:ascii="Arial" w:hAnsi="Arial" w:cs="Arial"/>
        </w:rPr>
        <w:t xml:space="preserve">To review and analyse existing literature to understand the current state of knowledge on a topic, </w:t>
      </w:r>
      <w:r w:rsidR="00E11EFD" w:rsidRPr="004A73C1">
        <w:rPr>
          <w:rFonts w:ascii="Arial" w:hAnsi="Arial" w:cs="Arial"/>
        </w:rPr>
        <w:t>we</w:t>
      </w:r>
      <w:r w:rsidRPr="004A73C1">
        <w:rPr>
          <w:rFonts w:ascii="Arial" w:hAnsi="Arial" w:cs="Arial"/>
        </w:rPr>
        <w:t xml:space="preserve"> can comprehensively search academic databases, journals, and credible online resources relevant to </w:t>
      </w:r>
      <w:r w:rsidR="00B90250" w:rsidRPr="004A73C1">
        <w:rPr>
          <w:rFonts w:ascii="Arial" w:hAnsi="Arial" w:cs="Arial"/>
        </w:rPr>
        <w:t>my</w:t>
      </w:r>
      <w:r w:rsidRPr="004A73C1">
        <w:rPr>
          <w:rFonts w:ascii="Arial" w:hAnsi="Arial" w:cs="Arial"/>
        </w:rPr>
        <w:t xml:space="preserve"> subject matter. </w:t>
      </w:r>
      <w:r w:rsidR="00E11EFD" w:rsidRPr="004A73C1">
        <w:rPr>
          <w:rFonts w:ascii="Arial" w:hAnsi="Arial" w:cs="Arial"/>
        </w:rPr>
        <w:t>we</w:t>
      </w:r>
      <w:r w:rsidR="00B90250" w:rsidRPr="004A73C1">
        <w:rPr>
          <w:rFonts w:ascii="Arial" w:hAnsi="Arial" w:cs="Arial"/>
        </w:rPr>
        <w:t xml:space="preserve"> can use </w:t>
      </w:r>
      <w:r w:rsidR="007D4E14" w:rsidRPr="004A73C1">
        <w:rPr>
          <w:rFonts w:ascii="Arial" w:hAnsi="Arial" w:cs="Arial"/>
        </w:rPr>
        <w:t>appropriate</w:t>
      </w:r>
      <w:r w:rsidR="00B90250" w:rsidRPr="004A73C1">
        <w:rPr>
          <w:rFonts w:ascii="Arial" w:hAnsi="Arial" w:cs="Arial"/>
        </w:rPr>
        <w:t xml:space="preserve"> keywords and phrases to narrow the search results to the most pertinent literature (Bell, J. 1999).</w:t>
      </w:r>
    </w:p>
    <w:p w14:paraId="009F5449" w14:textId="13491EF3" w:rsidR="00317BCF" w:rsidRPr="004A73C1" w:rsidRDefault="00317BCF" w:rsidP="00EF2E34">
      <w:pPr>
        <w:spacing w:after="0" w:line="360" w:lineRule="auto"/>
        <w:jc w:val="both"/>
        <w:rPr>
          <w:rFonts w:ascii="Arial" w:hAnsi="Arial" w:cs="Arial"/>
        </w:rPr>
      </w:pPr>
      <w:r w:rsidRPr="004A73C1">
        <w:rPr>
          <w:rFonts w:ascii="Arial" w:hAnsi="Arial" w:cs="Arial"/>
        </w:rPr>
        <w:t xml:space="preserve">Once </w:t>
      </w:r>
      <w:r w:rsidR="00E11EFD" w:rsidRPr="004A73C1">
        <w:rPr>
          <w:rFonts w:ascii="Arial" w:hAnsi="Arial" w:cs="Arial"/>
        </w:rPr>
        <w:t>we</w:t>
      </w:r>
      <w:r w:rsidRPr="004A73C1">
        <w:rPr>
          <w:rFonts w:ascii="Arial" w:hAnsi="Arial" w:cs="Arial"/>
        </w:rPr>
        <w:t xml:space="preserve"> have compiled a collection of relevant sources, </w:t>
      </w:r>
      <w:r w:rsidR="00E11EFD" w:rsidRPr="004A73C1">
        <w:rPr>
          <w:rFonts w:ascii="Arial" w:hAnsi="Arial" w:cs="Arial"/>
        </w:rPr>
        <w:t>we</w:t>
      </w:r>
      <w:r w:rsidR="00B90250" w:rsidRPr="004A73C1">
        <w:rPr>
          <w:rFonts w:ascii="Arial" w:hAnsi="Arial" w:cs="Arial"/>
        </w:rPr>
        <w:t xml:space="preserve"> assess the quality and relevance of each source to ensure that it is credible and authoritative. </w:t>
      </w:r>
      <w:r w:rsidR="00E11EFD" w:rsidRPr="004A73C1">
        <w:rPr>
          <w:rFonts w:ascii="Arial" w:hAnsi="Arial" w:cs="Arial"/>
        </w:rPr>
        <w:t>we</w:t>
      </w:r>
      <w:r w:rsidR="00B90250" w:rsidRPr="004A73C1">
        <w:rPr>
          <w:rFonts w:ascii="Arial" w:hAnsi="Arial" w:cs="Arial"/>
        </w:rPr>
        <w:t xml:space="preserve"> also note</w:t>
      </w:r>
      <w:r w:rsidRPr="004A73C1">
        <w:rPr>
          <w:rFonts w:ascii="Arial" w:hAnsi="Arial" w:cs="Arial"/>
        </w:rPr>
        <w:t xml:space="preserve"> key findings, methodologies, and theoretical frameworks in the literature.</w:t>
      </w:r>
    </w:p>
    <w:p w14:paraId="7B711616" w14:textId="5F2DD104" w:rsidR="00317BCF" w:rsidRPr="004A73C1" w:rsidRDefault="00317BCF" w:rsidP="00EF2E34">
      <w:pPr>
        <w:spacing w:after="0" w:line="360" w:lineRule="auto"/>
        <w:jc w:val="both"/>
        <w:rPr>
          <w:rFonts w:ascii="Arial" w:hAnsi="Arial" w:cs="Arial"/>
        </w:rPr>
      </w:pPr>
      <w:r w:rsidRPr="004A73C1">
        <w:rPr>
          <w:rFonts w:ascii="Arial" w:hAnsi="Arial" w:cs="Arial"/>
        </w:rPr>
        <w:t xml:space="preserve">It's also </w:t>
      </w:r>
      <w:r w:rsidR="007D4E14" w:rsidRPr="004A73C1">
        <w:rPr>
          <w:rFonts w:ascii="Arial" w:hAnsi="Arial" w:cs="Arial"/>
        </w:rPr>
        <w:t>essential</w:t>
      </w:r>
      <w:r w:rsidRPr="004A73C1">
        <w:rPr>
          <w:rFonts w:ascii="Arial" w:hAnsi="Arial" w:cs="Arial"/>
        </w:rPr>
        <w:t xml:space="preserve"> to identify </w:t>
      </w:r>
      <w:r w:rsidR="00B90250" w:rsidRPr="004A73C1">
        <w:rPr>
          <w:rFonts w:ascii="Arial" w:hAnsi="Arial" w:cs="Arial"/>
        </w:rPr>
        <w:t>gaps or</w:t>
      </w:r>
      <w:r w:rsidRPr="004A73C1">
        <w:rPr>
          <w:rFonts w:ascii="Arial" w:hAnsi="Arial" w:cs="Arial"/>
        </w:rPr>
        <w:t xml:space="preserve"> </w:t>
      </w:r>
      <w:r w:rsidR="00B90250" w:rsidRPr="004A73C1">
        <w:rPr>
          <w:rFonts w:ascii="Arial" w:hAnsi="Arial" w:cs="Arial"/>
        </w:rPr>
        <w:t>disagreements within the literature. This can help pinpoint where further research or analysis is needed to advance</w:t>
      </w:r>
      <w:r w:rsidRPr="004A73C1">
        <w:rPr>
          <w:rFonts w:ascii="Arial" w:hAnsi="Arial" w:cs="Arial"/>
        </w:rPr>
        <w:t xml:space="preserve"> understanding of the topic.</w:t>
      </w:r>
    </w:p>
    <w:p w14:paraId="3C693238" w14:textId="77777777" w:rsidR="00317BCF" w:rsidRPr="004A73C1" w:rsidRDefault="00317BCF" w:rsidP="00EF2E34">
      <w:pPr>
        <w:spacing w:after="0" w:line="360" w:lineRule="auto"/>
        <w:jc w:val="both"/>
        <w:rPr>
          <w:rFonts w:ascii="Arial" w:hAnsi="Arial" w:cs="Arial"/>
        </w:rPr>
      </w:pPr>
    </w:p>
    <w:p w14:paraId="2AB866D6" w14:textId="1202E1C4" w:rsidR="00317BCF" w:rsidRDefault="00317BCF" w:rsidP="00EF2E34">
      <w:pPr>
        <w:spacing w:after="0" w:line="360" w:lineRule="auto"/>
        <w:jc w:val="both"/>
        <w:rPr>
          <w:rFonts w:ascii="Arial" w:hAnsi="Arial" w:cs="Arial"/>
        </w:rPr>
      </w:pPr>
      <w:r w:rsidRPr="004A73C1">
        <w:rPr>
          <w:rFonts w:ascii="Arial" w:hAnsi="Arial" w:cs="Arial"/>
        </w:rPr>
        <w:t xml:space="preserve">By critically evaluating and synthesising existing literature, </w:t>
      </w:r>
      <w:r w:rsidR="00E11EFD" w:rsidRPr="004A73C1">
        <w:rPr>
          <w:rFonts w:ascii="Arial" w:hAnsi="Arial" w:cs="Arial"/>
        </w:rPr>
        <w:t>we can</w:t>
      </w:r>
      <w:r w:rsidRPr="004A73C1">
        <w:rPr>
          <w:rFonts w:ascii="Arial" w:hAnsi="Arial" w:cs="Arial"/>
        </w:rPr>
        <w:t xml:space="preserve"> gain valuable insights into the current state of knowledge on the topic, providing a solid foundation for </w:t>
      </w:r>
      <w:r w:rsidR="00B90250" w:rsidRPr="004A73C1">
        <w:rPr>
          <w:rFonts w:ascii="Arial" w:hAnsi="Arial" w:cs="Arial"/>
        </w:rPr>
        <w:t>my</w:t>
      </w:r>
      <w:r w:rsidRPr="004A73C1">
        <w:rPr>
          <w:rFonts w:ascii="Arial" w:hAnsi="Arial" w:cs="Arial"/>
        </w:rPr>
        <w:t xml:space="preserve"> research or analysis.</w:t>
      </w:r>
    </w:p>
    <w:p w14:paraId="5AF7199F" w14:textId="77777777" w:rsidR="00ED3916" w:rsidRPr="004A73C1" w:rsidRDefault="00ED3916" w:rsidP="00EF2E34">
      <w:pPr>
        <w:spacing w:after="0" w:line="360" w:lineRule="auto"/>
        <w:jc w:val="both"/>
        <w:rPr>
          <w:rFonts w:ascii="Arial" w:hAnsi="Arial" w:cs="Arial"/>
        </w:rPr>
      </w:pPr>
    </w:p>
    <w:p w14:paraId="6C96407A" w14:textId="77777777" w:rsidR="00CE2452" w:rsidRPr="004A73C1" w:rsidRDefault="00CE2452" w:rsidP="00EF2E34">
      <w:pPr>
        <w:spacing w:after="0" w:line="360" w:lineRule="auto"/>
        <w:jc w:val="both"/>
        <w:rPr>
          <w:rFonts w:ascii="Arial" w:hAnsi="Arial" w:cs="Arial"/>
        </w:rPr>
      </w:pPr>
    </w:p>
    <w:p w14:paraId="7F4DE712" w14:textId="7FC2CD6B" w:rsidR="00317BCF" w:rsidRPr="004A73C1" w:rsidRDefault="00317BCF" w:rsidP="00EF2E34">
      <w:pPr>
        <w:spacing w:line="360" w:lineRule="auto"/>
        <w:jc w:val="both"/>
        <w:rPr>
          <w:rFonts w:ascii="Arial" w:hAnsi="Arial" w:cs="Arial"/>
          <w:b/>
          <w:bCs/>
        </w:rPr>
      </w:pPr>
      <w:r w:rsidRPr="004A73C1">
        <w:rPr>
          <w:rFonts w:ascii="Arial" w:hAnsi="Arial" w:cs="Arial"/>
          <w:b/>
          <w:bCs/>
        </w:rPr>
        <w:lastRenderedPageBreak/>
        <w:t xml:space="preserve">Formulating </w:t>
      </w:r>
      <w:r w:rsidR="00A704B7" w:rsidRPr="004A73C1">
        <w:rPr>
          <w:rFonts w:ascii="Arial" w:hAnsi="Arial" w:cs="Arial"/>
          <w:b/>
          <w:bCs/>
        </w:rPr>
        <w:t>A Specific Research Question Or Hypothesis To Address The Problem.</w:t>
      </w:r>
    </w:p>
    <w:p w14:paraId="6AA69ABE" w14:textId="0D8FFD32" w:rsidR="00317BCF" w:rsidRPr="004A73C1" w:rsidRDefault="00317BCF" w:rsidP="00EF2E34">
      <w:pPr>
        <w:spacing w:after="0" w:line="360" w:lineRule="auto"/>
        <w:jc w:val="both"/>
        <w:rPr>
          <w:rFonts w:ascii="Arial" w:hAnsi="Arial" w:cs="Arial"/>
        </w:rPr>
      </w:pPr>
      <w:r w:rsidRPr="004A73C1">
        <w:rPr>
          <w:rFonts w:ascii="Arial" w:hAnsi="Arial" w:cs="Arial"/>
        </w:rPr>
        <w:t xml:space="preserve">When formulating a specific research question or hypothesis to address a problem, </w:t>
      </w:r>
      <w:r w:rsidR="00E11EFD" w:rsidRPr="004A73C1">
        <w:rPr>
          <w:rFonts w:ascii="Arial" w:hAnsi="Arial" w:cs="Arial"/>
        </w:rPr>
        <w:t>it</w:t>
      </w:r>
      <w:r w:rsidR="00B90250" w:rsidRPr="004A73C1">
        <w:rPr>
          <w:rFonts w:ascii="Arial" w:hAnsi="Arial" w:cs="Arial"/>
        </w:rPr>
        <w:t xml:space="preserve"> must clearly define the problem </w:t>
      </w:r>
      <w:r w:rsidR="00E11EFD" w:rsidRPr="004A73C1">
        <w:rPr>
          <w:rFonts w:ascii="Arial" w:hAnsi="Arial" w:cs="Arial"/>
        </w:rPr>
        <w:t>we</w:t>
      </w:r>
      <w:r w:rsidR="00B90250" w:rsidRPr="004A73C1">
        <w:rPr>
          <w:rFonts w:ascii="Arial" w:hAnsi="Arial" w:cs="Arial"/>
        </w:rPr>
        <w:t xml:space="preserve"> </w:t>
      </w:r>
      <w:r w:rsidR="00E11EFD" w:rsidRPr="004A73C1">
        <w:rPr>
          <w:rFonts w:ascii="Arial" w:hAnsi="Arial" w:cs="Arial"/>
        </w:rPr>
        <w:t>are</w:t>
      </w:r>
      <w:r w:rsidR="00B90250" w:rsidRPr="004A73C1">
        <w:rPr>
          <w:rFonts w:ascii="Arial" w:hAnsi="Arial" w:cs="Arial"/>
        </w:rPr>
        <w:t xml:space="preserve"> trying to solve</w:t>
      </w:r>
      <w:r w:rsidRPr="004A73C1">
        <w:rPr>
          <w:rFonts w:ascii="Arial" w:hAnsi="Arial" w:cs="Arial"/>
        </w:rPr>
        <w:t xml:space="preserve">. Then, consider what </w:t>
      </w:r>
      <w:r w:rsidR="00E11EFD" w:rsidRPr="004A73C1">
        <w:rPr>
          <w:rFonts w:ascii="Arial" w:hAnsi="Arial" w:cs="Arial"/>
        </w:rPr>
        <w:t>we</w:t>
      </w:r>
      <w:r w:rsidRPr="004A73C1">
        <w:rPr>
          <w:rFonts w:ascii="Arial" w:hAnsi="Arial" w:cs="Arial"/>
        </w:rPr>
        <w:t xml:space="preserve"> want to achieve through </w:t>
      </w:r>
      <w:r w:rsidR="00E11EFD" w:rsidRPr="004A73C1">
        <w:rPr>
          <w:rFonts w:ascii="Arial" w:hAnsi="Arial" w:cs="Arial"/>
        </w:rPr>
        <w:t>our</w:t>
      </w:r>
      <w:r w:rsidRPr="004A73C1">
        <w:rPr>
          <w:rFonts w:ascii="Arial" w:hAnsi="Arial" w:cs="Arial"/>
        </w:rPr>
        <w:t xml:space="preserve"> research and what specific aspect of the problem </w:t>
      </w:r>
      <w:r w:rsidR="00E11EFD" w:rsidRPr="004A73C1">
        <w:rPr>
          <w:rFonts w:ascii="Arial" w:hAnsi="Arial" w:cs="Arial"/>
        </w:rPr>
        <w:t>we</w:t>
      </w:r>
      <w:r w:rsidRPr="004A73C1">
        <w:rPr>
          <w:rFonts w:ascii="Arial" w:hAnsi="Arial" w:cs="Arial"/>
        </w:rPr>
        <w:t xml:space="preserve"> want to investigate. Once</w:t>
      </w:r>
      <w:r w:rsidR="00E11EFD" w:rsidRPr="004A73C1">
        <w:rPr>
          <w:rFonts w:ascii="Arial" w:hAnsi="Arial" w:cs="Arial"/>
        </w:rPr>
        <w:t xml:space="preserve"> we</w:t>
      </w:r>
      <w:r w:rsidRPr="004A73C1">
        <w:rPr>
          <w:rFonts w:ascii="Arial" w:hAnsi="Arial" w:cs="Arial"/>
        </w:rPr>
        <w:t xml:space="preserve"> have a clear understanding of the problem, </w:t>
      </w:r>
      <w:r w:rsidR="00E11EFD" w:rsidRPr="004A73C1">
        <w:rPr>
          <w:rFonts w:ascii="Arial" w:hAnsi="Arial" w:cs="Arial"/>
        </w:rPr>
        <w:t>we</w:t>
      </w:r>
      <w:r w:rsidRPr="004A73C1">
        <w:rPr>
          <w:rFonts w:ascii="Arial" w:hAnsi="Arial" w:cs="Arial"/>
        </w:rPr>
        <w:t xml:space="preserve"> can then formulate a research question that is specific, focused, and can be addressed through research. Alternatively, </w:t>
      </w:r>
      <w:r w:rsidR="00E11EFD" w:rsidRPr="004A73C1">
        <w:rPr>
          <w:rFonts w:ascii="Arial" w:hAnsi="Arial" w:cs="Arial"/>
        </w:rPr>
        <w:t>we</w:t>
      </w:r>
      <w:r w:rsidRPr="004A73C1">
        <w:rPr>
          <w:rFonts w:ascii="Arial" w:hAnsi="Arial" w:cs="Arial"/>
        </w:rPr>
        <w:t xml:space="preserve"> can develop a hypothesis, a testable prediction about the relationship between variables. This process involves </w:t>
      </w:r>
      <w:r w:rsidR="00B90250" w:rsidRPr="004A73C1">
        <w:rPr>
          <w:rFonts w:ascii="Arial" w:hAnsi="Arial" w:cs="Arial"/>
        </w:rPr>
        <w:t xml:space="preserve">carefully considering and reviewing existing literature to ensure my research question or hypothesis is </w:t>
      </w:r>
      <w:r w:rsidRPr="004A73C1">
        <w:rPr>
          <w:rFonts w:ascii="Arial" w:hAnsi="Arial" w:cs="Arial"/>
        </w:rPr>
        <w:t>relevant and valuable.</w:t>
      </w:r>
    </w:p>
    <w:p w14:paraId="148B58F2" w14:textId="7353D088" w:rsidR="00317BCF" w:rsidRPr="004A73C1" w:rsidRDefault="00317BCF" w:rsidP="00EF2E34">
      <w:pPr>
        <w:spacing w:line="360" w:lineRule="auto"/>
        <w:jc w:val="both"/>
        <w:rPr>
          <w:rFonts w:ascii="Arial" w:hAnsi="Arial" w:cs="Arial"/>
          <w:b/>
          <w:bCs/>
        </w:rPr>
      </w:pPr>
      <w:r w:rsidRPr="004A73C1">
        <w:rPr>
          <w:rFonts w:ascii="Arial" w:hAnsi="Arial" w:cs="Arial"/>
          <w:b/>
          <w:bCs/>
        </w:rPr>
        <w:t xml:space="preserve">Designing </w:t>
      </w:r>
      <w:r w:rsidR="00A704B7" w:rsidRPr="004A73C1">
        <w:rPr>
          <w:rFonts w:ascii="Arial" w:hAnsi="Arial" w:cs="Arial"/>
          <w:b/>
          <w:bCs/>
        </w:rPr>
        <w:t>A Detailed Research Methodology That Outlines The Approach, Data Collection Methods, And Analysis Techniques.</w:t>
      </w:r>
    </w:p>
    <w:p w14:paraId="40E0014C" w14:textId="6A847EB4" w:rsidR="00317BCF" w:rsidRPr="004A73C1" w:rsidRDefault="00B90250" w:rsidP="00EF2E34">
      <w:pPr>
        <w:spacing w:after="0" w:line="360" w:lineRule="auto"/>
        <w:jc w:val="both"/>
        <w:rPr>
          <w:rFonts w:ascii="Arial" w:hAnsi="Arial" w:cs="Arial"/>
        </w:rPr>
      </w:pPr>
      <w:r w:rsidRPr="004A73C1">
        <w:rPr>
          <w:rFonts w:ascii="Arial" w:hAnsi="Arial" w:cs="Arial"/>
        </w:rPr>
        <w:t>Formulating</w:t>
      </w:r>
      <w:r w:rsidR="00317BCF" w:rsidRPr="004A73C1">
        <w:rPr>
          <w:rFonts w:ascii="Arial" w:hAnsi="Arial" w:cs="Arial"/>
        </w:rPr>
        <w:t xml:space="preserve"> a detailed research methodology is akin to architecting a precise blueprint for the entire research process. This intricate framework meticulously maps out the strategic approach that will be adopted, carefully selects the methods for data collection, and outlines the comprehensive array of analytical techniques that will be deployed. Each </w:t>
      </w:r>
      <w:r w:rsidRPr="004A73C1">
        <w:rPr>
          <w:rFonts w:ascii="Arial" w:hAnsi="Arial" w:cs="Arial"/>
        </w:rPr>
        <w:t>methodology component</w:t>
      </w:r>
      <w:r w:rsidR="00317BCF" w:rsidRPr="004A73C1">
        <w:rPr>
          <w:rFonts w:ascii="Arial" w:hAnsi="Arial" w:cs="Arial"/>
        </w:rPr>
        <w:t xml:space="preserve">, from defining the research questions to specifying the sources of data and delineating the intricacies of the analysis, is painstakingly crafted to ensure that every aspect of the research is conducted with transparency and rigour. This structured approach </w:t>
      </w:r>
      <w:r w:rsidRPr="004A73C1">
        <w:rPr>
          <w:rFonts w:ascii="Arial" w:hAnsi="Arial" w:cs="Arial"/>
        </w:rPr>
        <w:t>is</w:t>
      </w:r>
      <w:r w:rsidR="00317BCF" w:rsidRPr="004A73C1">
        <w:rPr>
          <w:rFonts w:ascii="Arial" w:hAnsi="Arial" w:cs="Arial"/>
        </w:rPr>
        <w:t xml:space="preserve"> a cornerstone in fostering the reliability and validity of the research outcomes.</w:t>
      </w:r>
    </w:p>
    <w:p w14:paraId="27DD8CE7" w14:textId="77777777" w:rsidR="007D4E14" w:rsidRPr="004A73C1" w:rsidRDefault="007D4E14" w:rsidP="00EF2E34">
      <w:pPr>
        <w:spacing w:after="0" w:line="360" w:lineRule="auto"/>
        <w:jc w:val="both"/>
        <w:rPr>
          <w:rFonts w:ascii="Arial" w:hAnsi="Arial" w:cs="Arial"/>
        </w:rPr>
      </w:pPr>
    </w:p>
    <w:p w14:paraId="6C9EA217" w14:textId="5F0A553A" w:rsidR="00317BCF" w:rsidRPr="004A73C1" w:rsidRDefault="00317BCF" w:rsidP="00EF2E34">
      <w:pPr>
        <w:spacing w:line="360" w:lineRule="auto"/>
        <w:jc w:val="both"/>
        <w:rPr>
          <w:rFonts w:ascii="Arial" w:hAnsi="Arial" w:cs="Arial"/>
          <w:b/>
          <w:bCs/>
        </w:rPr>
      </w:pPr>
      <w:r w:rsidRPr="004A73C1">
        <w:rPr>
          <w:rFonts w:ascii="Arial" w:hAnsi="Arial" w:cs="Arial"/>
          <w:b/>
          <w:bCs/>
        </w:rPr>
        <w:t xml:space="preserve">Collecting </w:t>
      </w:r>
      <w:r w:rsidR="00A704B7" w:rsidRPr="004A73C1">
        <w:rPr>
          <w:rFonts w:ascii="Arial" w:hAnsi="Arial" w:cs="Arial"/>
          <w:b/>
          <w:bCs/>
        </w:rPr>
        <w:t>And Analysing Data Using Appropriate Methods To Derive Meaningful Insights.</w:t>
      </w:r>
    </w:p>
    <w:p w14:paraId="1CBD3243" w14:textId="2828030D" w:rsidR="00317BCF" w:rsidRPr="004A73C1" w:rsidRDefault="00317BCF" w:rsidP="00EF2E34">
      <w:pPr>
        <w:spacing w:after="0" w:line="360" w:lineRule="auto"/>
        <w:jc w:val="both"/>
        <w:rPr>
          <w:rFonts w:ascii="Arial" w:hAnsi="Arial" w:cs="Arial"/>
        </w:rPr>
      </w:pPr>
      <w:r w:rsidRPr="004A73C1">
        <w:rPr>
          <w:rFonts w:ascii="Arial" w:hAnsi="Arial" w:cs="Arial"/>
        </w:rPr>
        <w:t xml:space="preserve">To collect and </w:t>
      </w:r>
      <w:r w:rsidR="00B90250" w:rsidRPr="004A73C1">
        <w:rPr>
          <w:rFonts w:ascii="Arial" w:hAnsi="Arial" w:cs="Arial"/>
        </w:rPr>
        <w:t>analyse</w:t>
      </w:r>
      <w:r w:rsidRPr="004A73C1">
        <w:rPr>
          <w:rFonts w:ascii="Arial" w:hAnsi="Arial" w:cs="Arial"/>
        </w:rPr>
        <w:t xml:space="preserve"> data using appropriate methods to derive meaningful insights, </w:t>
      </w:r>
      <w:r w:rsidR="00E11EFD" w:rsidRPr="004A73C1">
        <w:rPr>
          <w:rFonts w:ascii="Arial" w:hAnsi="Arial" w:cs="Arial"/>
        </w:rPr>
        <w:t>we</w:t>
      </w:r>
      <w:r w:rsidRPr="004A73C1">
        <w:rPr>
          <w:rFonts w:ascii="Arial" w:hAnsi="Arial" w:cs="Arial"/>
        </w:rPr>
        <w:t xml:space="preserve"> can start by clearly defining </w:t>
      </w:r>
      <w:r w:rsidR="00B90250" w:rsidRPr="004A73C1">
        <w:rPr>
          <w:rFonts w:ascii="Arial" w:hAnsi="Arial" w:cs="Arial"/>
        </w:rPr>
        <w:t>my</w:t>
      </w:r>
      <w:r w:rsidRPr="004A73C1">
        <w:rPr>
          <w:rFonts w:ascii="Arial" w:hAnsi="Arial" w:cs="Arial"/>
        </w:rPr>
        <w:t xml:space="preserve"> research question or objective. Then, </w:t>
      </w:r>
      <w:r w:rsidR="00E11EFD" w:rsidRPr="004A73C1">
        <w:rPr>
          <w:rFonts w:ascii="Arial" w:hAnsi="Arial" w:cs="Arial"/>
        </w:rPr>
        <w:t>we</w:t>
      </w:r>
      <w:r w:rsidR="00B90250" w:rsidRPr="004A73C1">
        <w:rPr>
          <w:rFonts w:ascii="Arial" w:hAnsi="Arial" w:cs="Arial"/>
        </w:rPr>
        <w:t xml:space="preserve"> can identify the data sources relevant to my research question and gather the data using appropriate methods such as surveys, interviews, or </w:t>
      </w:r>
      <w:r w:rsidRPr="004A73C1">
        <w:rPr>
          <w:rFonts w:ascii="Arial" w:hAnsi="Arial" w:cs="Arial"/>
        </w:rPr>
        <w:t>existing databases.</w:t>
      </w:r>
    </w:p>
    <w:p w14:paraId="213DE904" w14:textId="77777777" w:rsidR="00317BCF" w:rsidRPr="004A73C1" w:rsidRDefault="00317BCF" w:rsidP="00EF2E34">
      <w:pPr>
        <w:spacing w:after="0" w:line="360" w:lineRule="auto"/>
        <w:jc w:val="both"/>
        <w:rPr>
          <w:rFonts w:ascii="Arial" w:hAnsi="Arial" w:cs="Arial"/>
        </w:rPr>
      </w:pPr>
    </w:p>
    <w:p w14:paraId="5F210C87" w14:textId="405E5724" w:rsidR="00317BCF" w:rsidRPr="004A73C1" w:rsidRDefault="00317BCF" w:rsidP="00EF2E34">
      <w:pPr>
        <w:spacing w:after="0" w:line="360" w:lineRule="auto"/>
        <w:jc w:val="both"/>
        <w:rPr>
          <w:rFonts w:ascii="Arial" w:hAnsi="Arial" w:cs="Arial"/>
        </w:rPr>
      </w:pPr>
      <w:r w:rsidRPr="004A73C1">
        <w:rPr>
          <w:rFonts w:ascii="Arial" w:hAnsi="Arial" w:cs="Arial"/>
        </w:rPr>
        <w:t xml:space="preserve">Once the data is collected, </w:t>
      </w:r>
      <w:r w:rsidR="00E11EFD" w:rsidRPr="004A73C1">
        <w:rPr>
          <w:rFonts w:ascii="Arial" w:hAnsi="Arial" w:cs="Arial"/>
        </w:rPr>
        <w:t>the analysis can begin</w:t>
      </w:r>
      <w:r w:rsidRPr="004A73C1">
        <w:rPr>
          <w:rFonts w:ascii="Arial" w:hAnsi="Arial" w:cs="Arial"/>
        </w:rPr>
        <w:t xml:space="preserve"> by cleaning it to ensure accuracy and consistency. Then, select the appropriate analytical methods, such as statistical analysis, data mining, or </w:t>
      </w:r>
      <w:r w:rsidR="00B90250" w:rsidRPr="004A73C1">
        <w:rPr>
          <w:rFonts w:ascii="Arial" w:hAnsi="Arial" w:cs="Arial"/>
        </w:rPr>
        <w:t>visualisation</w:t>
      </w:r>
      <w:r w:rsidRPr="004A73C1">
        <w:rPr>
          <w:rFonts w:ascii="Arial" w:hAnsi="Arial" w:cs="Arial"/>
        </w:rPr>
        <w:t xml:space="preserve"> techniques, to derive meaningful insights from the data.</w:t>
      </w:r>
    </w:p>
    <w:p w14:paraId="11EA7B3A" w14:textId="77777777" w:rsidR="00317BCF" w:rsidRPr="004A73C1" w:rsidRDefault="00317BCF" w:rsidP="00EF2E34">
      <w:pPr>
        <w:spacing w:after="0" w:line="360" w:lineRule="auto"/>
        <w:jc w:val="both"/>
        <w:rPr>
          <w:rFonts w:ascii="Arial" w:hAnsi="Arial" w:cs="Arial"/>
        </w:rPr>
      </w:pPr>
    </w:p>
    <w:p w14:paraId="6B860DED" w14:textId="6EE396D0" w:rsidR="00317BCF" w:rsidRDefault="00317BCF" w:rsidP="00EF2E34">
      <w:pPr>
        <w:spacing w:after="0" w:line="360" w:lineRule="auto"/>
        <w:jc w:val="both"/>
        <w:rPr>
          <w:rFonts w:ascii="Arial" w:hAnsi="Arial" w:cs="Arial"/>
        </w:rPr>
      </w:pPr>
      <w:r w:rsidRPr="004A73C1">
        <w:rPr>
          <w:rFonts w:ascii="Arial" w:hAnsi="Arial" w:cs="Arial"/>
        </w:rPr>
        <w:t xml:space="preserve">Throughout the process, it's </w:t>
      </w:r>
      <w:r w:rsidR="00B90250" w:rsidRPr="004A73C1">
        <w:rPr>
          <w:rFonts w:ascii="Arial" w:hAnsi="Arial" w:cs="Arial"/>
        </w:rPr>
        <w:t>essential</w:t>
      </w:r>
      <w:r w:rsidRPr="004A73C1">
        <w:rPr>
          <w:rFonts w:ascii="Arial" w:hAnsi="Arial" w:cs="Arial"/>
        </w:rPr>
        <w:t xml:space="preserve"> to maintain the integrity and confidentiality of the data and ensure that the analysis is conducted ethically. Finally, </w:t>
      </w:r>
      <w:r w:rsidR="00E11EFD" w:rsidRPr="004A73C1">
        <w:rPr>
          <w:rFonts w:ascii="Arial" w:hAnsi="Arial" w:cs="Arial"/>
        </w:rPr>
        <w:t>it</w:t>
      </w:r>
      <w:r w:rsidR="00B90250" w:rsidRPr="004A73C1">
        <w:rPr>
          <w:rFonts w:ascii="Arial" w:hAnsi="Arial" w:cs="Arial"/>
        </w:rPr>
        <w:t xml:space="preserve"> </w:t>
      </w:r>
      <w:r w:rsidR="00E11EFD" w:rsidRPr="004A73C1">
        <w:rPr>
          <w:rFonts w:ascii="Arial" w:hAnsi="Arial" w:cs="Arial"/>
        </w:rPr>
        <w:t>communicates</w:t>
      </w:r>
      <w:r w:rsidRPr="004A73C1">
        <w:rPr>
          <w:rFonts w:ascii="Arial" w:hAnsi="Arial" w:cs="Arial"/>
        </w:rPr>
        <w:t xml:space="preserve"> </w:t>
      </w:r>
      <w:r w:rsidR="00E11EFD" w:rsidRPr="004A73C1">
        <w:rPr>
          <w:rFonts w:ascii="Arial" w:hAnsi="Arial" w:cs="Arial"/>
        </w:rPr>
        <w:t>the</w:t>
      </w:r>
      <w:r w:rsidRPr="004A73C1">
        <w:rPr>
          <w:rFonts w:ascii="Arial" w:hAnsi="Arial" w:cs="Arial"/>
        </w:rPr>
        <w:t xml:space="preserve"> findings effectively to stakeholders and decision-makers to drive informed decision-making.</w:t>
      </w:r>
    </w:p>
    <w:p w14:paraId="5572A152" w14:textId="77777777" w:rsidR="00ED3916" w:rsidRDefault="00ED3916" w:rsidP="00EF2E34">
      <w:pPr>
        <w:spacing w:after="0" w:line="360" w:lineRule="auto"/>
        <w:jc w:val="both"/>
        <w:rPr>
          <w:rFonts w:ascii="Arial" w:hAnsi="Arial" w:cs="Arial"/>
        </w:rPr>
      </w:pPr>
    </w:p>
    <w:p w14:paraId="07F0F429" w14:textId="77777777" w:rsidR="00ED3916" w:rsidRPr="004A73C1" w:rsidRDefault="00ED3916" w:rsidP="00EF2E34">
      <w:pPr>
        <w:spacing w:after="0" w:line="360" w:lineRule="auto"/>
        <w:jc w:val="both"/>
        <w:rPr>
          <w:rFonts w:ascii="Arial" w:hAnsi="Arial" w:cs="Arial"/>
        </w:rPr>
      </w:pPr>
    </w:p>
    <w:p w14:paraId="3644D8BF" w14:textId="77777777" w:rsidR="007D4E14" w:rsidRPr="004A73C1" w:rsidRDefault="007D4E14" w:rsidP="00EF2E34">
      <w:pPr>
        <w:spacing w:after="0" w:line="360" w:lineRule="auto"/>
        <w:jc w:val="both"/>
        <w:rPr>
          <w:rFonts w:ascii="Arial" w:hAnsi="Arial" w:cs="Arial"/>
        </w:rPr>
      </w:pPr>
    </w:p>
    <w:p w14:paraId="10D11D3C" w14:textId="358A3A35" w:rsidR="00317BCF" w:rsidRPr="004A73C1" w:rsidRDefault="00A704B7" w:rsidP="00EF2E34">
      <w:pPr>
        <w:spacing w:line="360" w:lineRule="auto"/>
        <w:jc w:val="both"/>
        <w:rPr>
          <w:rFonts w:ascii="Arial" w:hAnsi="Arial" w:cs="Arial"/>
          <w:b/>
          <w:bCs/>
        </w:rPr>
      </w:pPr>
      <w:r w:rsidRPr="004A73C1">
        <w:rPr>
          <w:rFonts w:ascii="Arial" w:hAnsi="Arial" w:cs="Arial"/>
          <w:b/>
          <w:bCs/>
        </w:rPr>
        <w:lastRenderedPageBreak/>
        <w:t>Drawing</w:t>
      </w:r>
      <w:r w:rsidR="00317BCF" w:rsidRPr="004A73C1">
        <w:rPr>
          <w:rFonts w:ascii="Arial" w:hAnsi="Arial" w:cs="Arial"/>
          <w:b/>
          <w:bCs/>
        </w:rPr>
        <w:t xml:space="preserve"> </w:t>
      </w:r>
      <w:r w:rsidRPr="004A73C1">
        <w:rPr>
          <w:rFonts w:ascii="Arial" w:hAnsi="Arial" w:cs="Arial"/>
          <w:b/>
          <w:bCs/>
        </w:rPr>
        <w:t>Conclusions Based On The Analysis And Discussing The Implications Of The Findings.</w:t>
      </w:r>
    </w:p>
    <w:p w14:paraId="415B3C12" w14:textId="6A4F8CF1" w:rsidR="00317BCF" w:rsidRPr="004A73C1" w:rsidRDefault="00E11EFD" w:rsidP="00EF2E34">
      <w:pPr>
        <w:spacing w:after="0" w:line="360" w:lineRule="auto"/>
        <w:jc w:val="both"/>
        <w:rPr>
          <w:rFonts w:ascii="Arial" w:hAnsi="Arial" w:cs="Arial"/>
        </w:rPr>
      </w:pPr>
      <w:r w:rsidRPr="004A73C1">
        <w:rPr>
          <w:rFonts w:ascii="Arial" w:hAnsi="Arial" w:cs="Arial"/>
        </w:rPr>
        <w:t>This</w:t>
      </w:r>
      <w:r w:rsidR="00B90250" w:rsidRPr="004A73C1">
        <w:rPr>
          <w:rFonts w:ascii="Arial" w:hAnsi="Arial" w:cs="Arial"/>
        </w:rPr>
        <w:t xml:space="preserve"> should carefully analyse the data </w:t>
      </w:r>
      <w:r w:rsidRPr="004A73C1">
        <w:rPr>
          <w:rFonts w:ascii="Arial" w:hAnsi="Arial" w:cs="Arial"/>
        </w:rPr>
        <w:t>gathered, draw conclusions based on the analysis,</w:t>
      </w:r>
      <w:r w:rsidR="00B90250" w:rsidRPr="004A73C1">
        <w:rPr>
          <w:rFonts w:ascii="Arial" w:hAnsi="Arial" w:cs="Arial"/>
        </w:rPr>
        <w:t xml:space="preserve"> and discuss the implications of the findings. I should look for patterns, trends, and relationships within the data </w:t>
      </w:r>
      <w:r w:rsidR="009A1733" w:rsidRPr="004A73C1">
        <w:rPr>
          <w:rFonts w:ascii="Arial" w:hAnsi="Arial" w:cs="Arial"/>
        </w:rPr>
        <w:t>to</w:t>
      </w:r>
      <w:r w:rsidR="00B90250" w:rsidRPr="004A73C1">
        <w:rPr>
          <w:rFonts w:ascii="Arial" w:hAnsi="Arial" w:cs="Arial"/>
        </w:rPr>
        <w:t xml:space="preserve"> help me </w:t>
      </w:r>
      <w:r w:rsidR="00317BCF" w:rsidRPr="004A73C1">
        <w:rPr>
          <w:rFonts w:ascii="Arial" w:hAnsi="Arial" w:cs="Arial"/>
        </w:rPr>
        <w:t xml:space="preserve">answer </w:t>
      </w:r>
      <w:r w:rsidR="00B90250" w:rsidRPr="004A73C1">
        <w:rPr>
          <w:rFonts w:ascii="Arial" w:hAnsi="Arial" w:cs="Arial"/>
        </w:rPr>
        <w:t>my</w:t>
      </w:r>
      <w:r w:rsidR="00317BCF" w:rsidRPr="004A73C1">
        <w:rPr>
          <w:rFonts w:ascii="Arial" w:hAnsi="Arial" w:cs="Arial"/>
        </w:rPr>
        <w:t xml:space="preserve"> research questions and address </w:t>
      </w:r>
      <w:r w:rsidR="00B90250" w:rsidRPr="004A73C1">
        <w:rPr>
          <w:rFonts w:ascii="Arial" w:hAnsi="Arial" w:cs="Arial"/>
        </w:rPr>
        <w:t>my</w:t>
      </w:r>
      <w:r w:rsidR="00317BCF" w:rsidRPr="004A73C1">
        <w:rPr>
          <w:rFonts w:ascii="Arial" w:hAnsi="Arial" w:cs="Arial"/>
        </w:rPr>
        <w:t xml:space="preserve"> research problem.</w:t>
      </w:r>
    </w:p>
    <w:p w14:paraId="641C5DFF" w14:textId="77777777" w:rsidR="00317BCF" w:rsidRPr="004A73C1" w:rsidRDefault="00317BCF" w:rsidP="00EF2E34">
      <w:pPr>
        <w:spacing w:after="0" w:line="360" w:lineRule="auto"/>
        <w:jc w:val="both"/>
        <w:rPr>
          <w:rFonts w:ascii="Arial" w:hAnsi="Arial" w:cs="Arial"/>
        </w:rPr>
      </w:pPr>
    </w:p>
    <w:p w14:paraId="2F4EE936" w14:textId="0BD7CDCE" w:rsidR="00317BCF" w:rsidRPr="004A73C1" w:rsidRDefault="00317BCF" w:rsidP="00EF2E34">
      <w:pPr>
        <w:spacing w:after="0" w:line="360" w:lineRule="auto"/>
        <w:jc w:val="both"/>
        <w:rPr>
          <w:rFonts w:ascii="Arial" w:hAnsi="Arial" w:cs="Arial"/>
        </w:rPr>
      </w:pPr>
      <w:r w:rsidRPr="004A73C1">
        <w:rPr>
          <w:rFonts w:ascii="Arial" w:hAnsi="Arial" w:cs="Arial"/>
        </w:rPr>
        <w:t xml:space="preserve">After </w:t>
      </w:r>
      <w:r w:rsidR="00B90250" w:rsidRPr="004A73C1">
        <w:rPr>
          <w:rFonts w:ascii="Arial" w:hAnsi="Arial" w:cs="Arial"/>
        </w:rPr>
        <w:t>analysing</w:t>
      </w:r>
      <w:r w:rsidRPr="004A73C1">
        <w:rPr>
          <w:rFonts w:ascii="Arial" w:hAnsi="Arial" w:cs="Arial"/>
        </w:rPr>
        <w:t xml:space="preserve"> the data, </w:t>
      </w:r>
      <w:r w:rsidR="00B90250" w:rsidRPr="004A73C1">
        <w:rPr>
          <w:rFonts w:ascii="Arial" w:hAnsi="Arial" w:cs="Arial"/>
        </w:rPr>
        <w:t xml:space="preserve">draw conclusions based on </w:t>
      </w:r>
      <w:r w:rsidR="00E11EFD" w:rsidRPr="004A73C1">
        <w:rPr>
          <w:rFonts w:ascii="Arial" w:hAnsi="Arial" w:cs="Arial"/>
        </w:rPr>
        <w:t>the</w:t>
      </w:r>
      <w:r w:rsidR="00B90250" w:rsidRPr="004A73C1">
        <w:rPr>
          <w:rFonts w:ascii="Arial" w:hAnsi="Arial" w:cs="Arial"/>
        </w:rPr>
        <w:t xml:space="preserve"> findings. </w:t>
      </w:r>
      <w:r w:rsidR="00E11EFD" w:rsidRPr="004A73C1">
        <w:rPr>
          <w:rFonts w:ascii="Arial" w:hAnsi="Arial" w:cs="Arial"/>
        </w:rPr>
        <w:t>Ensure</w:t>
      </w:r>
      <w:r w:rsidR="00B90250" w:rsidRPr="004A73C1">
        <w:rPr>
          <w:rFonts w:ascii="Arial" w:hAnsi="Arial" w:cs="Arial"/>
        </w:rPr>
        <w:t xml:space="preserve"> that </w:t>
      </w:r>
      <w:r w:rsidR="007D4E14" w:rsidRPr="004A73C1">
        <w:rPr>
          <w:rFonts w:ascii="Arial" w:hAnsi="Arial" w:cs="Arial"/>
        </w:rPr>
        <w:t>the evidence collected</w:t>
      </w:r>
      <w:r w:rsidR="009A1733" w:rsidRPr="004A73C1">
        <w:rPr>
          <w:rFonts w:ascii="Arial" w:hAnsi="Arial" w:cs="Arial"/>
        </w:rPr>
        <w:t xml:space="preserve"> supports </w:t>
      </w:r>
      <w:r w:rsidR="00E11EFD" w:rsidRPr="004A73C1">
        <w:rPr>
          <w:rFonts w:ascii="Arial" w:hAnsi="Arial" w:cs="Arial"/>
        </w:rPr>
        <w:t>the</w:t>
      </w:r>
      <w:r w:rsidR="009A1733" w:rsidRPr="004A73C1">
        <w:rPr>
          <w:rFonts w:ascii="Arial" w:hAnsi="Arial" w:cs="Arial"/>
        </w:rPr>
        <w:t xml:space="preserve"> conclusions</w:t>
      </w:r>
      <w:r w:rsidR="00B90250" w:rsidRPr="004A73C1">
        <w:rPr>
          <w:rFonts w:ascii="Arial" w:hAnsi="Arial" w:cs="Arial"/>
        </w:rPr>
        <w:t xml:space="preserve">. It's </w:t>
      </w:r>
      <w:r w:rsidR="009A1733" w:rsidRPr="004A73C1">
        <w:rPr>
          <w:rFonts w:ascii="Arial" w:hAnsi="Arial" w:cs="Arial"/>
        </w:rPr>
        <w:t>essential</w:t>
      </w:r>
      <w:r w:rsidR="00B90250" w:rsidRPr="004A73C1">
        <w:rPr>
          <w:rFonts w:ascii="Arial" w:hAnsi="Arial" w:cs="Arial"/>
        </w:rPr>
        <w:t xml:space="preserve"> to be thorough and transparent in analysis and to consider alternative explanations for </w:t>
      </w:r>
      <w:r w:rsidR="00E11EFD" w:rsidRPr="004A73C1">
        <w:rPr>
          <w:rFonts w:ascii="Arial" w:hAnsi="Arial" w:cs="Arial"/>
        </w:rPr>
        <w:t>the</w:t>
      </w:r>
      <w:r w:rsidRPr="004A73C1">
        <w:rPr>
          <w:rFonts w:ascii="Arial" w:hAnsi="Arial" w:cs="Arial"/>
        </w:rPr>
        <w:t xml:space="preserve"> findings.</w:t>
      </w:r>
    </w:p>
    <w:p w14:paraId="1CA39BA0" w14:textId="77777777" w:rsidR="00ED3916" w:rsidRDefault="00ED3916" w:rsidP="00EF2E34">
      <w:pPr>
        <w:spacing w:after="0" w:line="360" w:lineRule="auto"/>
        <w:jc w:val="both"/>
        <w:rPr>
          <w:rFonts w:ascii="Arial" w:hAnsi="Arial" w:cs="Arial"/>
        </w:rPr>
      </w:pPr>
    </w:p>
    <w:p w14:paraId="4B153CB4" w14:textId="1AD947C9" w:rsidR="00317BCF" w:rsidRPr="004A73C1" w:rsidRDefault="00317BCF" w:rsidP="00EF2E34">
      <w:pPr>
        <w:spacing w:after="0" w:line="360" w:lineRule="auto"/>
        <w:jc w:val="both"/>
        <w:rPr>
          <w:rFonts w:ascii="Arial" w:hAnsi="Arial" w:cs="Arial"/>
        </w:rPr>
      </w:pPr>
      <w:r w:rsidRPr="004A73C1">
        <w:rPr>
          <w:rFonts w:ascii="Arial" w:hAnsi="Arial" w:cs="Arial"/>
        </w:rPr>
        <w:t xml:space="preserve">Once </w:t>
      </w:r>
      <w:r w:rsidR="00E11EFD" w:rsidRPr="004A73C1">
        <w:rPr>
          <w:rFonts w:ascii="Arial" w:hAnsi="Arial" w:cs="Arial"/>
        </w:rPr>
        <w:t xml:space="preserve">the conclusion has been </w:t>
      </w:r>
      <w:r w:rsidRPr="004A73C1">
        <w:rPr>
          <w:rFonts w:ascii="Arial" w:hAnsi="Arial" w:cs="Arial"/>
        </w:rPr>
        <w:t xml:space="preserve">drawn, </w:t>
      </w:r>
      <w:r w:rsidR="00E11EFD" w:rsidRPr="004A73C1">
        <w:rPr>
          <w:rFonts w:ascii="Arial" w:hAnsi="Arial" w:cs="Arial"/>
        </w:rPr>
        <w:t>we</w:t>
      </w:r>
      <w:r w:rsidRPr="004A73C1">
        <w:rPr>
          <w:rFonts w:ascii="Arial" w:hAnsi="Arial" w:cs="Arial"/>
        </w:rPr>
        <w:t xml:space="preserve"> can discuss the implications of </w:t>
      </w:r>
      <w:r w:rsidR="00B90250" w:rsidRPr="004A73C1">
        <w:rPr>
          <w:rFonts w:ascii="Arial" w:hAnsi="Arial" w:cs="Arial"/>
        </w:rPr>
        <w:t>my</w:t>
      </w:r>
      <w:r w:rsidRPr="004A73C1">
        <w:rPr>
          <w:rFonts w:ascii="Arial" w:hAnsi="Arial" w:cs="Arial"/>
        </w:rPr>
        <w:t xml:space="preserve"> findings. </w:t>
      </w:r>
      <w:r w:rsidR="00E11EFD" w:rsidRPr="004A73C1">
        <w:rPr>
          <w:rFonts w:ascii="Arial" w:hAnsi="Arial" w:cs="Arial"/>
        </w:rPr>
        <w:t>we</w:t>
      </w:r>
      <w:r w:rsidR="00B90250" w:rsidRPr="004A73C1">
        <w:rPr>
          <w:rFonts w:ascii="Arial" w:hAnsi="Arial" w:cs="Arial"/>
        </w:rPr>
        <w:t xml:space="preserve"> should consider the broader significance of </w:t>
      </w:r>
      <w:r w:rsidR="00E11EFD" w:rsidRPr="004A73C1">
        <w:rPr>
          <w:rFonts w:ascii="Arial" w:hAnsi="Arial" w:cs="Arial"/>
        </w:rPr>
        <w:t>the</w:t>
      </w:r>
      <w:r w:rsidR="00B90250" w:rsidRPr="004A73C1">
        <w:rPr>
          <w:rFonts w:ascii="Arial" w:hAnsi="Arial" w:cs="Arial"/>
        </w:rPr>
        <w:t xml:space="preserve"> research and how it contributes to </w:t>
      </w:r>
      <w:r w:rsidR="00E11EFD" w:rsidRPr="004A73C1">
        <w:rPr>
          <w:rFonts w:ascii="Arial" w:hAnsi="Arial" w:cs="Arial"/>
        </w:rPr>
        <w:t>the</w:t>
      </w:r>
      <w:r w:rsidR="00B90250" w:rsidRPr="004A73C1">
        <w:rPr>
          <w:rFonts w:ascii="Arial" w:hAnsi="Arial" w:cs="Arial"/>
        </w:rPr>
        <w:t xml:space="preserve"> field's existing body of knowledge. </w:t>
      </w:r>
      <w:r w:rsidR="00E11EFD" w:rsidRPr="004A73C1">
        <w:rPr>
          <w:rFonts w:ascii="Arial" w:hAnsi="Arial" w:cs="Arial"/>
        </w:rPr>
        <w:t>It</w:t>
      </w:r>
      <w:r w:rsidR="00B90250" w:rsidRPr="004A73C1">
        <w:rPr>
          <w:rFonts w:ascii="Arial" w:hAnsi="Arial" w:cs="Arial"/>
        </w:rPr>
        <w:t xml:space="preserve"> should also discuss any practical applications of </w:t>
      </w:r>
      <w:r w:rsidR="00E11EFD" w:rsidRPr="004A73C1">
        <w:rPr>
          <w:rFonts w:ascii="Arial" w:hAnsi="Arial" w:cs="Arial"/>
        </w:rPr>
        <w:t>the</w:t>
      </w:r>
      <w:r w:rsidR="00B90250" w:rsidRPr="004A73C1">
        <w:rPr>
          <w:rFonts w:ascii="Arial" w:hAnsi="Arial" w:cs="Arial"/>
        </w:rPr>
        <w:t xml:space="preserve"> findings and consider how they might impact the field or the specific problem </w:t>
      </w:r>
      <w:r w:rsidR="00E11EFD" w:rsidRPr="004A73C1">
        <w:rPr>
          <w:rFonts w:ascii="Arial" w:hAnsi="Arial" w:cs="Arial"/>
        </w:rPr>
        <w:t>we are</w:t>
      </w:r>
      <w:r w:rsidRPr="004A73C1">
        <w:rPr>
          <w:rFonts w:ascii="Arial" w:hAnsi="Arial" w:cs="Arial"/>
        </w:rPr>
        <w:t xml:space="preserve"> addressing.</w:t>
      </w:r>
    </w:p>
    <w:p w14:paraId="4564A841" w14:textId="740E7A25" w:rsidR="00317BCF" w:rsidRPr="004A73C1" w:rsidRDefault="00317BCF" w:rsidP="00EF2E34">
      <w:pPr>
        <w:spacing w:after="0" w:line="360" w:lineRule="auto"/>
        <w:jc w:val="both"/>
        <w:rPr>
          <w:rFonts w:ascii="Arial" w:hAnsi="Arial" w:cs="Arial"/>
        </w:rPr>
      </w:pPr>
      <w:r w:rsidRPr="004A73C1">
        <w:rPr>
          <w:rFonts w:ascii="Arial" w:hAnsi="Arial" w:cs="Arial"/>
        </w:rPr>
        <w:t xml:space="preserve">It's </w:t>
      </w:r>
      <w:r w:rsidR="00B90250" w:rsidRPr="004A73C1">
        <w:rPr>
          <w:rFonts w:ascii="Arial" w:hAnsi="Arial" w:cs="Arial"/>
        </w:rPr>
        <w:t>essential</w:t>
      </w:r>
      <w:r w:rsidRPr="004A73C1">
        <w:rPr>
          <w:rFonts w:ascii="Arial" w:hAnsi="Arial" w:cs="Arial"/>
        </w:rPr>
        <w:t xml:space="preserve"> to be clear and concise in </w:t>
      </w:r>
      <w:r w:rsidR="00E11EFD" w:rsidRPr="004A73C1">
        <w:rPr>
          <w:rFonts w:ascii="Arial" w:hAnsi="Arial" w:cs="Arial"/>
        </w:rPr>
        <w:t>discussing</w:t>
      </w:r>
      <w:r w:rsidRPr="004A73C1">
        <w:rPr>
          <w:rFonts w:ascii="Arial" w:hAnsi="Arial" w:cs="Arial"/>
        </w:rPr>
        <w:t xml:space="preserve"> the implications of </w:t>
      </w:r>
      <w:r w:rsidR="00B90250" w:rsidRPr="004A73C1">
        <w:rPr>
          <w:rFonts w:ascii="Arial" w:hAnsi="Arial" w:cs="Arial"/>
        </w:rPr>
        <w:t>my</w:t>
      </w:r>
      <w:r w:rsidRPr="004A73C1">
        <w:rPr>
          <w:rFonts w:ascii="Arial" w:hAnsi="Arial" w:cs="Arial"/>
        </w:rPr>
        <w:t xml:space="preserve"> findings and to consider any potential limitations of </w:t>
      </w:r>
      <w:r w:rsidR="00B90250" w:rsidRPr="004A73C1">
        <w:rPr>
          <w:rFonts w:ascii="Arial" w:hAnsi="Arial" w:cs="Arial"/>
        </w:rPr>
        <w:t>my</w:t>
      </w:r>
      <w:r w:rsidRPr="004A73C1">
        <w:rPr>
          <w:rFonts w:ascii="Arial" w:hAnsi="Arial" w:cs="Arial"/>
        </w:rPr>
        <w:t xml:space="preserve"> study. Finally, </w:t>
      </w:r>
      <w:r w:rsidR="00E11EFD" w:rsidRPr="004A73C1">
        <w:rPr>
          <w:rFonts w:ascii="Arial" w:hAnsi="Arial" w:cs="Arial"/>
        </w:rPr>
        <w:t>this</w:t>
      </w:r>
      <w:r w:rsidR="00B90250" w:rsidRPr="004A73C1">
        <w:rPr>
          <w:rFonts w:ascii="Arial" w:hAnsi="Arial" w:cs="Arial"/>
        </w:rPr>
        <w:t xml:space="preserve"> </w:t>
      </w:r>
      <w:r w:rsidR="00E11EFD" w:rsidRPr="004A73C1">
        <w:rPr>
          <w:rFonts w:ascii="Arial" w:hAnsi="Arial" w:cs="Arial"/>
        </w:rPr>
        <w:t>relates to conclusions and their implications for</w:t>
      </w:r>
      <w:r w:rsidRPr="004A73C1">
        <w:rPr>
          <w:rFonts w:ascii="Arial" w:hAnsi="Arial" w:cs="Arial"/>
        </w:rPr>
        <w:t xml:space="preserve"> </w:t>
      </w:r>
      <w:r w:rsidR="00E11EFD" w:rsidRPr="004A73C1">
        <w:rPr>
          <w:rFonts w:ascii="Arial" w:hAnsi="Arial" w:cs="Arial"/>
        </w:rPr>
        <w:t>the</w:t>
      </w:r>
      <w:r w:rsidRPr="004A73C1">
        <w:rPr>
          <w:rFonts w:ascii="Arial" w:hAnsi="Arial" w:cs="Arial"/>
        </w:rPr>
        <w:t xml:space="preserve"> original research questions and objectives.</w:t>
      </w:r>
    </w:p>
    <w:p w14:paraId="3AE80584" w14:textId="77777777" w:rsidR="007D4E14" w:rsidRPr="004A73C1" w:rsidRDefault="007D4E14" w:rsidP="00EF2E34">
      <w:pPr>
        <w:spacing w:after="0" w:line="360" w:lineRule="auto"/>
        <w:jc w:val="both"/>
        <w:rPr>
          <w:rFonts w:ascii="Arial" w:hAnsi="Arial" w:cs="Arial"/>
        </w:rPr>
      </w:pPr>
    </w:p>
    <w:p w14:paraId="41979184" w14:textId="4E472D23" w:rsidR="00317BCF" w:rsidRPr="004A73C1" w:rsidRDefault="00317BCF" w:rsidP="00EF2E34">
      <w:pPr>
        <w:spacing w:line="360" w:lineRule="auto"/>
        <w:jc w:val="both"/>
        <w:rPr>
          <w:rFonts w:ascii="Arial" w:hAnsi="Arial" w:cs="Arial"/>
          <w:b/>
          <w:bCs/>
        </w:rPr>
      </w:pPr>
      <w:r w:rsidRPr="004A73C1">
        <w:rPr>
          <w:rFonts w:ascii="Arial" w:hAnsi="Arial" w:cs="Arial"/>
          <w:b/>
          <w:bCs/>
        </w:rPr>
        <w:t xml:space="preserve">Communicating </w:t>
      </w:r>
      <w:r w:rsidR="00A704B7" w:rsidRPr="004A73C1">
        <w:rPr>
          <w:rFonts w:ascii="Arial" w:hAnsi="Arial" w:cs="Arial"/>
          <w:b/>
          <w:bCs/>
        </w:rPr>
        <w:t>The Research Findings Effectively Through Reports, Presentations, Or Publications To Share The Knowledge Gained.</w:t>
      </w:r>
    </w:p>
    <w:p w14:paraId="6EB64EDD" w14:textId="05AF0361" w:rsidR="00317BCF" w:rsidRPr="004A73C1" w:rsidRDefault="00B90250" w:rsidP="00EF2E34">
      <w:pPr>
        <w:spacing w:after="0" w:line="360" w:lineRule="auto"/>
        <w:jc w:val="both"/>
        <w:rPr>
          <w:rFonts w:ascii="Arial" w:hAnsi="Arial" w:cs="Arial"/>
        </w:rPr>
      </w:pPr>
      <w:r w:rsidRPr="004A73C1">
        <w:rPr>
          <w:rFonts w:ascii="Arial" w:hAnsi="Arial" w:cs="Arial"/>
        </w:rPr>
        <w:t>To</w:t>
      </w:r>
      <w:r w:rsidR="00317BCF" w:rsidRPr="004A73C1">
        <w:rPr>
          <w:rFonts w:ascii="Arial" w:hAnsi="Arial" w:cs="Arial"/>
        </w:rPr>
        <w:t xml:space="preserve"> effectively communicate research findings, it's essential </w:t>
      </w:r>
      <w:r w:rsidR="00E11EFD" w:rsidRPr="004A73C1">
        <w:rPr>
          <w:rFonts w:ascii="Arial" w:hAnsi="Arial" w:cs="Arial"/>
        </w:rPr>
        <w:t>to structure the reports, presentations, or publications carefully</w:t>
      </w:r>
      <w:r w:rsidR="00317BCF" w:rsidRPr="004A73C1">
        <w:rPr>
          <w:rFonts w:ascii="Arial" w:hAnsi="Arial" w:cs="Arial"/>
        </w:rPr>
        <w:t>. Start by outlining the key objectives, methodologies, and results in a clear and organised manner. Use descriptive language and provide contextual information to ensure the audience can easily comprehend the findings. Additionally, consider incorporating visual aids such as graphs, charts, and images to enhance the presentation of data and make the information more accessible. Tailoring the communication style to the audience's level of understanding is crucial, ensuring that the knowledge gained is effectively conveyed and comprehended. Encouraging questions and discussions further promotes knowledge sharing and allows for a deeper exploration of the findings.</w:t>
      </w:r>
    </w:p>
    <w:p w14:paraId="62FC7349" w14:textId="3EB4753F" w:rsidR="00317BCF" w:rsidRPr="004A73C1" w:rsidRDefault="00CA52E6" w:rsidP="00EF2E34">
      <w:pPr>
        <w:pStyle w:val="Heading2"/>
        <w:spacing w:line="360" w:lineRule="auto"/>
        <w:rPr>
          <w:rFonts w:ascii="Arial" w:hAnsi="Arial" w:cs="Arial"/>
          <w:color w:val="auto"/>
        </w:rPr>
      </w:pPr>
      <w:bookmarkStart w:id="115" w:name="_Toc175056479"/>
      <w:bookmarkStart w:id="116" w:name="_Toc175675363"/>
      <w:r w:rsidRPr="004A73C1">
        <w:rPr>
          <w:rFonts w:ascii="Arial" w:hAnsi="Arial" w:cs="Arial"/>
          <w:color w:val="auto"/>
        </w:rPr>
        <w:t>3.8</w:t>
      </w:r>
      <w:r w:rsidRPr="004A73C1">
        <w:rPr>
          <w:rFonts w:ascii="Arial" w:hAnsi="Arial" w:cs="Arial"/>
          <w:color w:val="auto"/>
        </w:rPr>
        <w:tab/>
      </w:r>
      <w:r w:rsidR="00B66179" w:rsidRPr="004A73C1">
        <w:rPr>
          <w:rFonts w:ascii="Arial" w:hAnsi="Arial" w:cs="Arial"/>
          <w:color w:val="auto"/>
        </w:rPr>
        <w:t>Research Onion</w:t>
      </w:r>
      <w:bookmarkEnd w:id="115"/>
      <w:bookmarkEnd w:id="116"/>
    </w:p>
    <w:p w14:paraId="09DFB33B" w14:textId="77777777" w:rsidR="00317BCF" w:rsidRPr="004A73C1" w:rsidRDefault="00317BCF" w:rsidP="00EF2E34">
      <w:pPr>
        <w:spacing w:after="0" w:line="360" w:lineRule="auto"/>
        <w:jc w:val="both"/>
        <w:rPr>
          <w:rFonts w:ascii="Arial" w:hAnsi="Arial" w:cs="Arial"/>
        </w:rPr>
      </w:pPr>
      <w:r w:rsidRPr="004A73C1">
        <w:rPr>
          <w:rFonts w:ascii="Arial" w:hAnsi="Arial" w:cs="Arial"/>
        </w:rPr>
        <w:t xml:space="preserve">Research Onion is a model Saunders et al. (2007) proposed for conducting research. It is a methodology that allows researchers to approach a research question systematically and structured. The research onion consists of different layers: philosophy, approach, strategy, choices, time horizon, and techniques. These layers help develop a comprehensive understanding of the research process and the methodological decisions involved (Saunders, M., Lewis, P., &amp; Thornhill, A., 2007). </w:t>
      </w:r>
    </w:p>
    <w:p w14:paraId="65EB8DA3" w14:textId="77777777" w:rsidR="00317BCF" w:rsidRPr="004A73C1" w:rsidRDefault="00317BCF" w:rsidP="00EF2E34">
      <w:pPr>
        <w:spacing w:after="0" w:line="360" w:lineRule="auto"/>
        <w:jc w:val="both"/>
        <w:rPr>
          <w:rFonts w:ascii="Arial" w:eastAsiaTheme="majorEastAsia" w:hAnsi="Arial" w:cs="Arial"/>
          <w:color w:val="276E8B" w:themeColor="accent1" w:themeShade="BF"/>
          <w:sz w:val="40"/>
          <w:szCs w:val="40"/>
        </w:rPr>
      </w:pPr>
      <w:r w:rsidRPr="004A73C1">
        <w:rPr>
          <w:rFonts w:ascii="Arial" w:hAnsi="Arial" w:cs="Arial"/>
          <w:noProof/>
        </w:rPr>
        <w:lastRenderedPageBreak/>
        <w:drawing>
          <wp:inline distT="0" distB="0" distL="0" distR="0" wp14:anchorId="50D24198" wp14:editId="2D2B38E4">
            <wp:extent cx="5731510" cy="3652520"/>
            <wp:effectExtent l="0" t="0" r="2540" b="5080"/>
            <wp:docPr id="100646581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465817" name="Picture 1" descr="A diagram of a diagram&#10;&#10;Description automatically generated"/>
                    <pic:cNvPicPr/>
                  </pic:nvPicPr>
                  <pic:blipFill>
                    <a:blip r:embed="rId41"/>
                    <a:stretch>
                      <a:fillRect/>
                    </a:stretch>
                  </pic:blipFill>
                  <pic:spPr>
                    <a:xfrm>
                      <a:off x="0" y="0"/>
                      <a:ext cx="5731510" cy="3652520"/>
                    </a:xfrm>
                    <a:prstGeom prst="rect">
                      <a:avLst/>
                    </a:prstGeom>
                  </pic:spPr>
                </pic:pic>
              </a:graphicData>
            </a:graphic>
          </wp:inline>
        </w:drawing>
      </w:r>
    </w:p>
    <w:p w14:paraId="395A9489" w14:textId="18D9C04D" w:rsidR="00740D35" w:rsidRPr="004A73C1" w:rsidRDefault="00740D35" w:rsidP="00EF2E34">
      <w:pPr>
        <w:spacing w:after="0" w:line="360" w:lineRule="auto"/>
        <w:jc w:val="both"/>
        <w:rPr>
          <w:rFonts w:ascii="Arial" w:eastAsia="Arial Unicode MS" w:hAnsi="Arial" w:cs="Arial"/>
        </w:rPr>
      </w:pPr>
      <w:r w:rsidRPr="004A73C1">
        <w:rPr>
          <w:rFonts w:ascii="Arial" w:hAnsi="Arial" w:cs="Arial"/>
        </w:rPr>
        <w:t>Figure 18</w:t>
      </w:r>
    </w:p>
    <w:p w14:paraId="18A590B1" w14:textId="58FE9302" w:rsidR="00317BCF" w:rsidRPr="004A73C1" w:rsidRDefault="009A1733" w:rsidP="00EF2E34">
      <w:pPr>
        <w:spacing w:after="0" w:line="360" w:lineRule="auto"/>
        <w:jc w:val="both"/>
        <w:rPr>
          <w:rFonts w:ascii="Arial" w:eastAsia="Arial Unicode MS" w:hAnsi="Arial" w:cs="Arial"/>
        </w:rPr>
      </w:pPr>
      <w:r w:rsidRPr="004A73C1">
        <w:rPr>
          <w:rFonts w:ascii="Arial" w:eastAsia="Arial Unicode MS" w:hAnsi="Arial" w:cs="Arial"/>
        </w:rPr>
        <w:t>Source: Saunders</w:t>
      </w:r>
      <w:r w:rsidR="00317BCF" w:rsidRPr="004A73C1">
        <w:rPr>
          <w:rFonts w:ascii="Arial" w:eastAsia="Arial Unicode MS" w:hAnsi="Arial" w:cs="Arial"/>
        </w:rPr>
        <w:t xml:space="preserve">, </w:t>
      </w:r>
      <w:r w:rsidR="00B90250" w:rsidRPr="004A73C1">
        <w:rPr>
          <w:rFonts w:ascii="Arial" w:eastAsia="Arial Unicode MS" w:hAnsi="Arial" w:cs="Arial"/>
        </w:rPr>
        <w:t>P.</w:t>
      </w:r>
      <w:r w:rsidR="00317BCF" w:rsidRPr="004A73C1">
        <w:rPr>
          <w:rFonts w:ascii="Arial" w:eastAsia="Arial Unicode MS" w:hAnsi="Arial" w:cs="Arial"/>
        </w:rPr>
        <w:t xml:space="preserve"> &amp; LEWIS, A T. (2009) </w:t>
      </w:r>
    </w:p>
    <w:p w14:paraId="4FA90110" w14:textId="411B30D7" w:rsidR="00B90250" w:rsidRPr="004A73C1" w:rsidRDefault="008A2625" w:rsidP="00EF2E34">
      <w:pPr>
        <w:spacing w:line="360" w:lineRule="auto"/>
        <w:rPr>
          <w:rFonts w:ascii="Arial" w:hAnsi="Arial" w:cs="Arial"/>
          <w:b/>
          <w:bCs/>
        </w:rPr>
      </w:pPr>
      <w:r w:rsidRPr="004A73C1">
        <w:rPr>
          <w:rFonts w:ascii="Arial" w:hAnsi="Arial" w:cs="Arial"/>
          <w:b/>
          <w:bCs/>
        </w:rPr>
        <w:t>Research</w:t>
      </w:r>
      <w:r w:rsidR="00B90250" w:rsidRPr="004A73C1">
        <w:rPr>
          <w:rFonts w:ascii="Arial" w:hAnsi="Arial" w:cs="Arial"/>
          <w:b/>
          <w:bCs/>
        </w:rPr>
        <w:t xml:space="preserve"> Philosophy:</w:t>
      </w:r>
    </w:p>
    <w:p w14:paraId="51835E31" w14:textId="77777777" w:rsidR="008A2625" w:rsidRPr="004A73C1" w:rsidRDefault="00B90250" w:rsidP="00EF2E34">
      <w:pPr>
        <w:pStyle w:val="ListParagraph"/>
        <w:spacing w:after="0" w:line="360" w:lineRule="auto"/>
        <w:ind w:left="0"/>
        <w:jc w:val="both"/>
        <w:rPr>
          <w:rFonts w:ascii="Arial" w:hAnsi="Arial" w:cs="Arial"/>
        </w:rPr>
      </w:pPr>
      <w:r w:rsidRPr="004A73C1">
        <w:rPr>
          <w:rFonts w:ascii="Arial" w:hAnsi="Arial" w:cs="Arial"/>
        </w:rPr>
        <w:t>This layer deals with the researcher's assumptions about the nature of knowledge and how it can be obtained. It includes the choice between positivist and interpretivist paradigms.</w:t>
      </w:r>
    </w:p>
    <w:p w14:paraId="679AC76C" w14:textId="7FF768FB" w:rsidR="00B90250" w:rsidRPr="004A73C1" w:rsidRDefault="00B90250" w:rsidP="00EF2E34">
      <w:pPr>
        <w:spacing w:line="360" w:lineRule="auto"/>
        <w:rPr>
          <w:rFonts w:ascii="Arial" w:hAnsi="Arial" w:cs="Arial"/>
          <w:b/>
          <w:bCs/>
        </w:rPr>
      </w:pPr>
      <w:r w:rsidRPr="004A73C1">
        <w:rPr>
          <w:rFonts w:ascii="Arial" w:hAnsi="Arial" w:cs="Arial"/>
          <w:b/>
          <w:bCs/>
        </w:rPr>
        <w:t xml:space="preserve">Research Approach: </w:t>
      </w:r>
    </w:p>
    <w:p w14:paraId="77499EE0" w14:textId="1CC5B418" w:rsidR="00B90250" w:rsidRPr="004A73C1" w:rsidRDefault="00B90250" w:rsidP="00EF2E34">
      <w:pPr>
        <w:pStyle w:val="ListParagraph"/>
        <w:spacing w:after="0" w:line="360" w:lineRule="auto"/>
        <w:ind w:left="0"/>
        <w:jc w:val="both"/>
        <w:rPr>
          <w:rFonts w:ascii="Arial" w:hAnsi="Arial" w:cs="Arial"/>
        </w:rPr>
      </w:pPr>
      <w:r w:rsidRPr="004A73C1">
        <w:rPr>
          <w:rFonts w:ascii="Arial" w:hAnsi="Arial" w:cs="Arial"/>
        </w:rPr>
        <w:t>This layer involves deciding whether the research will be deductive or inductive. Deductive research starts with a general theory and then tests it with specific observations, while inductive research starts with specific observations and then seeks to discover general patterns or theories.</w:t>
      </w:r>
    </w:p>
    <w:p w14:paraId="15FB75AC" w14:textId="26B5E823" w:rsidR="00B90250" w:rsidRPr="004A73C1" w:rsidRDefault="00B90250" w:rsidP="00EF2E34">
      <w:pPr>
        <w:spacing w:line="360" w:lineRule="auto"/>
        <w:rPr>
          <w:rFonts w:ascii="Arial" w:hAnsi="Arial" w:cs="Arial"/>
          <w:b/>
          <w:bCs/>
        </w:rPr>
      </w:pPr>
      <w:r w:rsidRPr="004A73C1">
        <w:rPr>
          <w:rFonts w:ascii="Arial" w:hAnsi="Arial" w:cs="Arial"/>
          <w:b/>
          <w:bCs/>
        </w:rPr>
        <w:t xml:space="preserve">Research Strategy: </w:t>
      </w:r>
    </w:p>
    <w:p w14:paraId="48884034" w14:textId="3214F9F5" w:rsidR="00B90250" w:rsidRPr="004A73C1" w:rsidRDefault="00B90250" w:rsidP="00EF2E34">
      <w:pPr>
        <w:pStyle w:val="ListParagraph"/>
        <w:spacing w:after="0" w:line="360" w:lineRule="auto"/>
        <w:ind w:left="0"/>
        <w:jc w:val="both"/>
        <w:rPr>
          <w:rFonts w:ascii="Arial" w:hAnsi="Arial" w:cs="Arial"/>
        </w:rPr>
      </w:pPr>
      <w:r w:rsidRPr="004A73C1">
        <w:rPr>
          <w:rFonts w:ascii="Arial" w:hAnsi="Arial" w:cs="Arial"/>
        </w:rPr>
        <w:t>This layer involves choosing a specific research strategy</w:t>
      </w:r>
      <w:r w:rsidR="00127D43" w:rsidRPr="004A73C1">
        <w:rPr>
          <w:rFonts w:ascii="Arial" w:hAnsi="Arial" w:cs="Arial"/>
        </w:rPr>
        <w:t>, such as experiments, surveys, case studies, or ethnography,</w:t>
      </w:r>
      <w:r w:rsidRPr="004A73C1">
        <w:rPr>
          <w:rFonts w:ascii="Arial" w:hAnsi="Arial" w:cs="Arial"/>
        </w:rPr>
        <w:t xml:space="preserve"> based on the nature of the research problem.</w:t>
      </w:r>
    </w:p>
    <w:p w14:paraId="690E24FD" w14:textId="742812FD" w:rsidR="00B90250" w:rsidRPr="004A73C1" w:rsidRDefault="00B90250" w:rsidP="00EF2E34">
      <w:pPr>
        <w:spacing w:line="360" w:lineRule="auto"/>
        <w:rPr>
          <w:rFonts w:ascii="Arial" w:hAnsi="Arial" w:cs="Arial"/>
          <w:b/>
          <w:bCs/>
        </w:rPr>
      </w:pPr>
      <w:r w:rsidRPr="004A73C1">
        <w:rPr>
          <w:rFonts w:ascii="Arial" w:hAnsi="Arial" w:cs="Arial"/>
          <w:b/>
          <w:bCs/>
        </w:rPr>
        <w:t xml:space="preserve">Time Horizon: </w:t>
      </w:r>
    </w:p>
    <w:p w14:paraId="4BA25276" w14:textId="2497A7D4" w:rsidR="00B90250" w:rsidRPr="004A73C1" w:rsidRDefault="00B90250" w:rsidP="00EF2E34">
      <w:pPr>
        <w:pStyle w:val="ListParagraph"/>
        <w:spacing w:after="0" w:line="360" w:lineRule="auto"/>
        <w:ind w:left="0"/>
        <w:jc w:val="both"/>
        <w:rPr>
          <w:rFonts w:ascii="Arial" w:hAnsi="Arial" w:cs="Arial"/>
        </w:rPr>
      </w:pPr>
      <w:r w:rsidRPr="004A73C1">
        <w:rPr>
          <w:rFonts w:ascii="Arial" w:hAnsi="Arial" w:cs="Arial"/>
        </w:rPr>
        <w:t>This layer refers to the research's temporal perspective and whether the study is cross-sectional or longitudinal.</w:t>
      </w:r>
    </w:p>
    <w:p w14:paraId="472492C8" w14:textId="406D6940" w:rsidR="00B90250" w:rsidRPr="004A73C1" w:rsidRDefault="00B90250" w:rsidP="00EF2E34">
      <w:pPr>
        <w:spacing w:line="360" w:lineRule="auto"/>
        <w:rPr>
          <w:rFonts w:ascii="Arial" w:hAnsi="Arial" w:cs="Arial"/>
          <w:b/>
          <w:bCs/>
        </w:rPr>
      </w:pPr>
      <w:r w:rsidRPr="004A73C1">
        <w:rPr>
          <w:rFonts w:ascii="Arial" w:hAnsi="Arial" w:cs="Arial"/>
          <w:b/>
          <w:bCs/>
        </w:rPr>
        <w:t xml:space="preserve">Data Collection Methods: </w:t>
      </w:r>
    </w:p>
    <w:p w14:paraId="62973081" w14:textId="2C7BD516" w:rsidR="00B90250" w:rsidRPr="004A73C1" w:rsidRDefault="00B90250" w:rsidP="00EF2E34">
      <w:pPr>
        <w:pStyle w:val="ListParagraph"/>
        <w:spacing w:after="0" w:line="360" w:lineRule="auto"/>
        <w:ind w:left="0"/>
        <w:jc w:val="both"/>
        <w:rPr>
          <w:rFonts w:ascii="Arial" w:hAnsi="Arial" w:cs="Arial"/>
        </w:rPr>
      </w:pPr>
      <w:r w:rsidRPr="004A73C1">
        <w:rPr>
          <w:rFonts w:ascii="Arial" w:hAnsi="Arial" w:cs="Arial"/>
        </w:rPr>
        <w:t xml:space="preserve">This layer covers the methods and techniques employed to gather relevant data, </w:t>
      </w:r>
      <w:r w:rsidR="00127D43" w:rsidRPr="004A73C1">
        <w:rPr>
          <w:rFonts w:ascii="Arial" w:hAnsi="Arial" w:cs="Arial"/>
        </w:rPr>
        <w:t>including</w:t>
      </w:r>
      <w:r w:rsidRPr="004A73C1">
        <w:rPr>
          <w:rFonts w:ascii="Arial" w:hAnsi="Arial" w:cs="Arial"/>
        </w:rPr>
        <w:t xml:space="preserve"> surveys, interviews, observations, or document analysis.</w:t>
      </w:r>
    </w:p>
    <w:p w14:paraId="13F367CB" w14:textId="406B811C" w:rsidR="00B90250" w:rsidRPr="004A73C1" w:rsidRDefault="00B90250" w:rsidP="00EF2E34">
      <w:pPr>
        <w:spacing w:line="360" w:lineRule="auto"/>
        <w:rPr>
          <w:rFonts w:ascii="Arial" w:hAnsi="Arial" w:cs="Arial"/>
          <w:b/>
          <w:bCs/>
        </w:rPr>
      </w:pPr>
      <w:r w:rsidRPr="004A73C1">
        <w:rPr>
          <w:rFonts w:ascii="Arial" w:hAnsi="Arial" w:cs="Arial"/>
          <w:b/>
          <w:bCs/>
        </w:rPr>
        <w:t xml:space="preserve">Data Analysis Techniques: </w:t>
      </w:r>
    </w:p>
    <w:p w14:paraId="16AE3016" w14:textId="16442119" w:rsidR="00B90250" w:rsidRPr="004A73C1" w:rsidRDefault="00B90250" w:rsidP="00EF2E34">
      <w:pPr>
        <w:pStyle w:val="ListParagraph"/>
        <w:spacing w:after="0" w:line="360" w:lineRule="auto"/>
        <w:ind w:left="0"/>
        <w:jc w:val="both"/>
        <w:rPr>
          <w:rFonts w:ascii="Arial" w:hAnsi="Arial" w:cs="Arial"/>
        </w:rPr>
      </w:pPr>
      <w:r w:rsidRPr="004A73C1">
        <w:rPr>
          <w:rFonts w:ascii="Arial" w:hAnsi="Arial" w:cs="Arial"/>
        </w:rPr>
        <w:t>This layer includes the methods used to analyse and interpret the collected data, such as statistical analysis, content analysis, thematic analysis, or grounded theory.</w:t>
      </w:r>
    </w:p>
    <w:p w14:paraId="34AA7CD6" w14:textId="20707D0E" w:rsidR="00DB196A" w:rsidRPr="004A73C1" w:rsidRDefault="00B90250" w:rsidP="00EF2E34">
      <w:pPr>
        <w:pStyle w:val="ListParagraph"/>
        <w:spacing w:after="0" w:line="360" w:lineRule="auto"/>
        <w:ind w:left="0"/>
        <w:jc w:val="both"/>
        <w:rPr>
          <w:rFonts w:ascii="Arial" w:hAnsi="Arial" w:cs="Arial"/>
        </w:rPr>
      </w:pPr>
      <w:r w:rsidRPr="004A73C1">
        <w:rPr>
          <w:rFonts w:ascii="Arial" w:hAnsi="Arial" w:cs="Arial"/>
        </w:rPr>
        <w:lastRenderedPageBreak/>
        <w:t>The research onion provides a comprehensive framework for researchers to conceptualise the various elements involved in the research process and make informed decisions at each stage. It encourages researchers to consider the interconnectedness of the different layers and how they influence each other throughout the research journey.</w:t>
      </w:r>
    </w:p>
    <w:p w14:paraId="4E43B11B" w14:textId="73730E1B" w:rsidR="000C59D1" w:rsidRPr="004A73C1" w:rsidRDefault="003F68BF" w:rsidP="00EF2E34">
      <w:pPr>
        <w:pStyle w:val="Heading2"/>
        <w:spacing w:line="360" w:lineRule="auto"/>
        <w:rPr>
          <w:rFonts w:ascii="Arial" w:hAnsi="Arial" w:cs="Arial"/>
          <w:color w:val="auto"/>
        </w:rPr>
      </w:pPr>
      <w:bookmarkStart w:id="117" w:name="_Toc175056480"/>
      <w:bookmarkStart w:id="118" w:name="_Toc175675364"/>
      <w:r w:rsidRPr="004A73C1">
        <w:rPr>
          <w:rFonts w:ascii="Arial" w:hAnsi="Arial" w:cs="Arial"/>
          <w:color w:val="auto"/>
        </w:rPr>
        <w:t>3.9</w:t>
      </w:r>
      <w:r w:rsidRPr="004A73C1">
        <w:rPr>
          <w:rFonts w:ascii="Arial" w:hAnsi="Arial" w:cs="Arial"/>
          <w:color w:val="auto"/>
        </w:rPr>
        <w:tab/>
      </w:r>
      <w:r w:rsidR="000C59D1" w:rsidRPr="004A73C1">
        <w:rPr>
          <w:rFonts w:ascii="Arial" w:hAnsi="Arial" w:cs="Arial"/>
          <w:color w:val="auto"/>
        </w:rPr>
        <w:t xml:space="preserve">Ethical </w:t>
      </w:r>
      <w:r w:rsidR="00C13730">
        <w:rPr>
          <w:rFonts w:ascii="Arial" w:hAnsi="Arial" w:cs="Arial"/>
          <w:color w:val="auto"/>
        </w:rPr>
        <w:t>C</w:t>
      </w:r>
      <w:r w:rsidR="000C59D1" w:rsidRPr="004A73C1">
        <w:rPr>
          <w:rFonts w:ascii="Arial" w:hAnsi="Arial" w:cs="Arial"/>
          <w:color w:val="auto"/>
        </w:rPr>
        <w:t>onsideration</w:t>
      </w:r>
      <w:bookmarkEnd w:id="117"/>
      <w:bookmarkEnd w:id="118"/>
    </w:p>
    <w:p w14:paraId="15EE3487" w14:textId="77777777" w:rsidR="000C59D1" w:rsidRPr="004A73C1" w:rsidRDefault="000C59D1" w:rsidP="00EF2E34">
      <w:pPr>
        <w:spacing w:after="0" w:line="360" w:lineRule="auto"/>
        <w:jc w:val="both"/>
        <w:rPr>
          <w:rFonts w:ascii="Arial" w:hAnsi="Arial" w:cs="Arial"/>
        </w:rPr>
      </w:pPr>
      <w:r w:rsidRPr="004A73C1">
        <w:rPr>
          <w:rFonts w:ascii="Arial" w:hAnsi="Arial" w:cs="Arial"/>
        </w:rPr>
        <w:t>When conducting research, ethical considerations play a crucial role in ensuring the rights and well-being of participants are protected. Researchers must adhere to ethical guidelines, such as obtaining informed consent from participants, ensuring confidentiality, and minimising potential harm. Additionally, it is essential to consider the research's cultural sensitivity and avoid discrimination. Ethical considerations help maintain the integrity and validity of the research process.</w:t>
      </w:r>
    </w:p>
    <w:p w14:paraId="13ABCB0F" w14:textId="2C80FEEA" w:rsidR="00CE2452" w:rsidRPr="004A73C1" w:rsidRDefault="00CA52E6" w:rsidP="00EF2E34">
      <w:pPr>
        <w:pStyle w:val="Heading2"/>
        <w:spacing w:line="360" w:lineRule="auto"/>
        <w:rPr>
          <w:rFonts w:ascii="Arial" w:hAnsi="Arial" w:cs="Arial"/>
          <w:color w:val="auto"/>
        </w:rPr>
      </w:pPr>
      <w:bookmarkStart w:id="119" w:name="_Toc175056481"/>
      <w:bookmarkStart w:id="120" w:name="_Toc175675365"/>
      <w:r w:rsidRPr="004A73C1">
        <w:rPr>
          <w:rFonts w:ascii="Arial" w:hAnsi="Arial" w:cs="Arial"/>
          <w:color w:val="auto"/>
        </w:rPr>
        <w:t>3.</w:t>
      </w:r>
      <w:r w:rsidR="003F68BF" w:rsidRPr="004A73C1">
        <w:rPr>
          <w:rFonts w:ascii="Arial" w:hAnsi="Arial" w:cs="Arial"/>
          <w:color w:val="auto"/>
        </w:rPr>
        <w:t>10</w:t>
      </w:r>
      <w:r w:rsidRPr="004A73C1">
        <w:rPr>
          <w:rFonts w:ascii="Arial" w:hAnsi="Arial" w:cs="Arial"/>
          <w:color w:val="auto"/>
        </w:rPr>
        <w:tab/>
      </w:r>
      <w:r w:rsidR="00CE2452" w:rsidRPr="004A73C1">
        <w:rPr>
          <w:rFonts w:ascii="Arial" w:hAnsi="Arial" w:cs="Arial"/>
          <w:color w:val="auto"/>
        </w:rPr>
        <w:t>Chapter Summary</w:t>
      </w:r>
      <w:bookmarkEnd w:id="119"/>
      <w:bookmarkEnd w:id="120"/>
    </w:p>
    <w:p w14:paraId="2BA7CA41" w14:textId="5B4468DD" w:rsidR="0016333C" w:rsidRPr="004A73C1" w:rsidRDefault="00CE2452" w:rsidP="00EF2E34">
      <w:pPr>
        <w:spacing w:after="0" w:line="360" w:lineRule="auto"/>
        <w:jc w:val="both"/>
        <w:rPr>
          <w:rFonts w:ascii="Arial" w:hAnsi="Arial" w:cs="Arial"/>
        </w:rPr>
      </w:pPr>
      <w:r w:rsidRPr="004A73C1">
        <w:rPr>
          <w:rFonts w:ascii="Arial" w:hAnsi="Arial" w:cs="Arial"/>
        </w:rPr>
        <w:t xml:space="preserve">This </w:t>
      </w:r>
      <w:r w:rsidR="00646CBB" w:rsidRPr="004A73C1">
        <w:rPr>
          <w:rFonts w:ascii="Arial" w:hAnsi="Arial" w:cs="Arial"/>
        </w:rPr>
        <w:t xml:space="preserve">chapter </w:t>
      </w:r>
      <w:r w:rsidRPr="004A73C1">
        <w:rPr>
          <w:rFonts w:ascii="Arial" w:hAnsi="Arial" w:cs="Arial"/>
        </w:rPr>
        <w:t xml:space="preserve">provides a comprehensive overview of the </w:t>
      </w:r>
      <w:r w:rsidR="00A704B7" w:rsidRPr="004A73C1">
        <w:rPr>
          <w:rFonts w:ascii="Arial" w:hAnsi="Arial" w:cs="Arial"/>
        </w:rPr>
        <w:t>critical</w:t>
      </w:r>
      <w:r w:rsidRPr="004A73C1">
        <w:rPr>
          <w:rFonts w:ascii="Arial" w:hAnsi="Arial" w:cs="Arial"/>
        </w:rPr>
        <w:t xml:space="preserve"> steps involved in the research process. It </w:t>
      </w:r>
      <w:r w:rsidR="00A704B7" w:rsidRPr="004A73C1">
        <w:rPr>
          <w:rFonts w:ascii="Arial" w:hAnsi="Arial" w:cs="Arial"/>
        </w:rPr>
        <w:t>emphasises</w:t>
      </w:r>
      <w:r w:rsidRPr="004A73C1">
        <w:rPr>
          <w:rFonts w:ascii="Arial" w:hAnsi="Arial" w:cs="Arial"/>
        </w:rPr>
        <w:t xml:space="preserve"> the importance of formulating a specific research question or hypothesis to address the problem, highlighting the need </w:t>
      </w:r>
      <w:r w:rsidR="00A704B7" w:rsidRPr="004A73C1">
        <w:rPr>
          <w:rFonts w:ascii="Arial" w:hAnsi="Arial" w:cs="Arial"/>
        </w:rPr>
        <w:t>to define the issue being addressed clearly</w:t>
      </w:r>
      <w:r w:rsidRPr="004A73C1">
        <w:rPr>
          <w:rFonts w:ascii="Arial" w:hAnsi="Arial" w:cs="Arial"/>
        </w:rPr>
        <w:t xml:space="preserve">. The chapter then delves into the significance of designing a detailed research methodology, </w:t>
      </w:r>
      <w:r w:rsidR="00A704B7" w:rsidRPr="004A73C1">
        <w:rPr>
          <w:rFonts w:ascii="Arial" w:hAnsi="Arial" w:cs="Arial"/>
        </w:rPr>
        <w:t>emphasising</w:t>
      </w:r>
      <w:r w:rsidRPr="004A73C1">
        <w:rPr>
          <w:rFonts w:ascii="Arial" w:hAnsi="Arial" w:cs="Arial"/>
        </w:rPr>
        <w:t xml:space="preserve"> the meticulous framework required to ensure transparency and rigour in the research process. Additionally, it </w:t>
      </w:r>
      <w:r w:rsidR="00A704B7" w:rsidRPr="004A73C1">
        <w:rPr>
          <w:rFonts w:ascii="Arial" w:hAnsi="Arial" w:cs="Arial"/>
        </w:rPr>
        <w:t>emphasises</w:t>
      </w:r>
      <w:r w:rsidRPr="004A73C1">
        <w:rPr>
          <w:rFonts w:ascii="Arial" w:hAnsi="Arial" w:cs="Arial"/>
        </w:rPr>
        <w:t xml:space="preserve"> the importance of collecting and analysing data using appropriate methods to derive meaningful insights</w:t>
      </w:r>
      <w:r w:rsidR="00A704B7" w:rsidRPr="004A73C1">
        <w:rPr>
          <w:rFonts w:ascii="Arial" w:hAnsi="Arial" w:cs="Arial"/>
        </w:rPr>
        <w:t>. It draws</w:t>
      </w:r>
      <w:r w:rsidRPr="004A73C1">
        <w:rPr>
          <w:rFonts w:ascii="Arial" w:hAnsi="Arial" w:cs="Arial"/>
        </w:rPr>
        <w:t xml:space="preserve"> attention to the need for maintaining data integrity and ethical conduct throughout this process. Furthermore, the chapter </w:t>
      </w:r>
      <w:r w:rsidR="00A704B7" w:rsidRPr="004A73C1">
        <w:rPr>
          <w:rFonts w:ascii="Arial" w:hAnsi="Arial" w:cs="Arial"/>
        </w:rPr>
        <w:t>emphasises</w:t>
      </w:r>
      <w:r w:rsidRPr="004A73C1">
        <w:rPr>
          <w:rFonts w:ascii="Arial" w:hAnsi="Arial" w:cs="Arial"/>
        </w:rPr>
        <w:t xml:space="preserve"> the significance of drawing conclusions based on the analysis and discussing the implications of the findings, stressing the need for thoroughness and transparency in the </w:t>
      </w:r>
      <w:r w:rsidR="00A704B7" w:rsidRPr="004A73C1">
        <w:rPr>
          <w:rFonts w:ascii="Arial" w:hAnsi="Arial" w:cs="Arial"/>
        </w:rPr>
        <w:t>study</w:t>
      </w:r>
      <w:r w:rsidRPr="004A73C1">
        <w:rPr>
          <w:rFonts w:ascii="Arial" w:hAnsi="Arial" w:cs="Arial"/>
        </w:rPr>
        <w:t xml:space="preserve">. Lastly, the chapter underscores the importance of effectively communicating research findings through reports, presentations, or publications, </w:t>
      </w:r>
      <w:r w:rsidR="00A704B7" w:rsidRPr="004A73C1">
        <w:rPr>
          <w:rFonts w:ascii="Arial" w:hAnsi="Arial" w:cs="Arial"/>
        </w:rPr>
        <w:t>focusing</w:t>
      </w:r>
      <w:r w:rsidRPr="004A73C1">
        <w:rPr>
          <w:rFonts w:ascii="Arial" w:hAnsi="Arial" w:cs="Arial"/>
        </w:rPr>
        <w:t xml:space="preserve"> on ensuring clarity and accessibility while also adhering to ethical considerations to protect the rights and well-being of participants.</w:t>
      </w:r>
    </w:p>
    <w:p w14:paraId="528AAF1C" w14:textId="77777777" w:rsidR="0016333C" w:rsidRPr="004A73C1" w:rsidRDefault="0016333C" w:rsidP="00EF2E34">
      <w:pPr>
        <w:spacing w:line="360" w:lineRule="auto"/>
        <w:jc w:val="both"/>
        <w:rPr>
          <w:rFonts w:ascii="Arial" w:hAnsi="Arial" w:cs="Arial"/>
        </w:rPr>
      </w:pPr>
      <w:r w:rsidRPr="004A73C1">
        <w:rPr>
          <w:rFonts w:ascii="Arial" w:hAnsi="Arial" w:cs="Arial"/>
        </w:rPr>
        <w:br w:type="page"/>
      </w:r>
    </w:p>
    <w:p w14:paraId="51C273FC" w14:textId="617E8F78" w:rsidR="009A1733" w:rsidRPr="004A73C1" w:rsidRDefault="00E11091" w:rsidP="00EF2E34">
      <w:pPr>
        <w:pStyle w:val="Heading1"/>
        <w:spacing w:line="360" w:lineRule="auto"/>
        <w:rPr>
          <w:rFonts w:ascii="Arial" w:hAnsi="Arial" w:cs="Arial"/>
          <w:b/>
          <w:bCs/>
          <w:color w:val="002060"/>
          <w:sz w:val="28"/>
          <w:szCs w:val="28"/>
        </w:rPr>
      </w:pPr>
      <w:bookmarkStart w:id="121" w:name="_Toc316003069"/>
      <w:bookmarkStart w:id="122" w:name="_Toc316005709"/>
      <w:bookmarkStart w:id="123" w:name="_Toc175056482"/>
      <w:bookmarkStart w:id="124" w:name="_Toc175675366"/>
      <w:r w:rsidRPr="004A73C1">
        <w:rPr>
          <w:rFonts w:ascii="Arial" w:hAnsi="Arial" w:cs="Arial"/>
          <w:b/>
          <w:bCs/>
          <w:color w:val="002060"/>
          <w:sz w:val="28"/>
          <w:szCs w:val="28"/>
        </w:rPr>
        <w:lastRenderedPageBreak/>
        <w:t>Chapter 4: Dissertation Analysis &amp; Findings.</w:t>
      </w:r>
      <w:bookmarkEnd w:id="121"/>
      <w:bookmarkEnd w:id="122"/>
      <w:bookmarkEnd w:id="123"/>
      <w:bookmarkEnd w:id="124"/>
    </w:p>
    <w:p w14:paraId="19FB3B7B" w14:textId="780A60D9" w:rsidR="00E11091" w:rsidRPr="004A73C1" w:rsidRDefault="00000000" w:rsidP="00EF2E34">
      <w:pPr>
        <w:spacing w:line="360" w:lineRule="auto"/>
        <w:jc w:val="both"/>
        <w:rPr>
          <w:rFonts w:ascii="Arial" w:hAnsi="Arial" w:cs="Arial"/>
          <w:color w:val="000000"/>
          <w:shd w:val="clear" w:color="auto" w:fill="FFFFFF"/>
        </w:rPr>
      </w:pPr>
      <w:r>
        <w:rPr>
          <w:rFonts w:ascii="Arial" w:hAnsi="Arial" w:cs="Arial"/>
        </w:rPr>
        <w:pict w14:anchorId="70E76493">
          <v:rect id="_x0000_i1028" style="width:0;height:1.5pt" o:hralign="center" o:hrstd="t" o:hr="t" fillcolor="#a0a0a0" stroked="f"/>
        </w:pict>
      </w:r>
    </w:p>
    <w:p w14:paraId="2C9C9187" w14:textId="3EBB1B83" w:rsidR="002F73F0" w:rsidRPr="004A73C1" w:rsidRDefault="00CA52E6" w:rsidP="00EF2E34">
      <w:pPr>
        <w:pStyle w:val="Heading2"/>
        <w:spacing w:line="360" w:lineRule="auto"/>
        <w:rPr>
          <w:rFonts w:ascii="Arial" w:hAnsi="Arial" w:cs="Arial"/>
          <w:color w:val="auto"/>
        </w:rPr>
      </w:pPr>
      <w:bookmarkStart w:id="125" w:name="_Toc175056483"/>
      <w:bookmarkStart w:id="126" w:name="_Toc175675367"/>
      <w:r w:rsidRPr="004A73C1">
        <w:rPr>
          <w:rFonts w:ascii="Arial" w:hAnsi="Arial" w:cs="Arial"/>
          <w:color w:val="auto"/>
        </w:rPr>
        <w:t>4.1</w:t>
      </w:r>
      <w:r w:rsidRPr="004A73C1">
        <w:rPr>
          <w:rFonts w:ascii="Arial" w:hAnsi="Arial" w:cs="Arial"/>
          <w:color w:val="auto"/>
        </w:rPr>
        <w:tab/>
      </w:r>
      <w:r w:rsidR="002F73F0" w:rsidRPr="004A73C1">
        <w:rPr>
          <w:rFonts w:ascii="Arial" w:hAnsi="Arial" w:cs="Arial"/>
          <w:color w:val="auto"/>
        </w:rPr>
        <w:t>Introduction</w:t>
      </w:r>
      <w:bookmarkEnd w:id="125"/>
      <w:bookmarkEnd w:id="126"/>
    </w:p>
    <w:p w14:paraId="02023AE9" w14:textId="1D0298A9" w:rsidR="002F73F0" w:rsidRPr="004A73C1" w:rsidRDefault="002F73F0" w:rsidP="00EF2E34">
      <w:pPr>
        <w:spacing w:line="360" w:lineRule="auto"/>
        <w:jc w:val="both"/>
        <w:rPr>
          <w:rFonts w:ascii="Arial" w:hAnsi="Arial" w:cs="Arial"/>
        </w:rPr>
      </w:pPr>
      <w:r w:rsidRPr="004A73C1">
        <w:rPr>
          <w:rFonts w:ascii="Arial" w:hAnsi="Arial" w:cs="Arial"/>
        </w:rPr>
        <w:t xml:space="preserve">This section of the dissertation will systematically present the </w:t>
      </w:r>
      <w:r w:rsidR="00BF0083" w:rsidRPr="004A73C1">
        <w:rPr>
          <w:rFonts w:ascii="Arial" w:hAnsi="Arial" w:cs="Arial"/>
        </w:rPr>
        <w:t>research findings and analysis</w:t>
      </w:r>
      <w:r w:rsidRPr="004A73C1">
        <w:rPr>
          <w:rFonts w:ascii="Arial" w:hAnsi="Arial" w:cs="Arial"/>
        </w:rPr>
        <w:t>, aligning them with the predefined goals established in the preceding chapters. Furthermore, it will conclude with a comprehensive summary of the presented information.</w:t>
      </w:r>
    </w:p>
    <w:p w14:paraId="23805CE4" w14:textId="64173DBD" w:rsidR="002F73F0" w:rsidRPr="004A73C1" w:rsidRDefault="00CA52E6" w:rsidP="00EF2E34">
      <w:pPr>
        <w:pStyle w:val="Heading2"/>
        <w:spacing w:line="360" w:lineRule="auto"/>
        <w:rPr>
          <w:rFonts w:ascii="Arial" w:hAnsi="Arial" w:cs="Arial"/>
          <w:color w:val="auto"/>
        </w:rPr>
      </w:pPr>
      <w:bookmarkStart w:id="127" w:name="_Toc175056484"/>
      <w:bookmarkStart w:id="128" w:name="_Toc175675368"/>
      <w:r w:rsidRPr="004A73C1">
        <w:rPr>
          <w:rFonts w:ascii="Arial" w:hAnsi="Arial" w:cs="Arial"/>
          <w:color w:val="auto"/>
        </w:rPr>
        <w:t>4.2</w:t>
      </w:r>
      <w:r w:rsidRPr="004A73C1">
        <w:rPr>
          <w:rFonts w:ascii="Arial" w:hAnsi="Arial" w:cs="Arial"/>
          <w:color w:val="auto"/>
        </w:rPr>
        <w:tab/>
      </w:r>
      <w:r w:rsidR="002F73F0" w:rsidRPr="004A73C1">
        <w:rPr>
          <w:rFonts w:ascii="Arial" w:hAnsi="Arial" w:cs="Arial"/>
          <w:color w:val="auto"/>
        </w:rPr>
        <w:t>FDI Overview</w:t>
      </w:r>
      <w:bookmarkEnd w:id="127"/>
      <w:bookmarkEnd w:id="128"/>
    </w:p>
    <w:p w14:paraId="0E785BC4" w14:textId="473BEDF1" w:rsidR="002F73F0" w:rsidRPr="004A73C1" w:rsidRDefault="00BF0083" w:rsidP="00EF2E34">
      <w:pPr>
        <w:spacing w:line="360" w:lineRule="auto"/>
        <w:jc w:val="both"/>
        <w:rPr>
          <w:rFonts w:ascii="Arial" w:hAnsi="Arial" w:cs="Arial"/>
        </w:rPr>
      </w:pPr>
      <w:r w:rsidRPr="004A73C1">
        <w:rPr>
          <w:rFonts w:ascii="Arial" w:hAnsi="Arial" w:cs="Arial"/>
        </w:rPr>
        <w:t>Foreign direct investment (FDI) serves as a vital catalyst for the global economy, driving economic growth, creating fresh business opportunities, and nurturing innovation and technological advancement. FDI is intricately linked to specific geographical attributes, market expansion potential, and factors such as labour costs, transport accessibility, and technological advancements. Its impact on the economy is significant and positive, fuelling rapid and widespread economic expansion. The appeal of markets for FDI varies across regions and is influenced by factors such as the legal framework, financial prospects, and political stability. Furthermore, the decision to join international bodies like the EU can significantly affect FDI flows between countries, as evidenced by studies examining FDI data among OECD nations.</w:t>
      </w:r>
    </w:p>
    <w:p w14:paraId="43CAE50D" w14:textId="77777777" w:rsidR="001B3596" w:rsidRPr="004A73C1" w:rsidRDefault="001B3596" w:rsidP="001B3596">
      <w:pPr>
        <w:spacing w:after="160" w:line="360" w:lineRule="auto"/>
        <w:jc w:val="both"/>
        <w:rPr>
          <w:rFonts w:ascii="Arial" w:hAnsi="Arial" w:cs="Arial"/>
        </w:rPr>
      </w:pPr>
      <w:r w:rsidRPr="004A73C1">
        <w:rPr>
          <w:rFonts w:ascii="Arial" w:hAnsi="Arial" w:cs="Arial"/>
        </w:rPr>
        <w:t xml:space="preserve">Greater London saw 359 projects involving foreign direct investment (FDI) in 2023, up 20% from 2022. Greater London's status as Europe's best-performing investment location was cemented by this rise. The West Midlands saw notable expansion as well, gaining 127 projects in 2023—a 72% increase from the year before and a seventh-best ranking for FDI in Europe. In 2023, the UK's portion of the European inward investment market increased from 15.6% in 2022 to 17.3%. Increased digital investment was a major factor in the UK's FDI growth last year; the nation secured more than a quarter (27%) of all European tech projects. According to EY's annual rating of European nations, the UK continues to rank second for attracting projects involving foreign direct investment (FDI). It was the only one of the top three countries where the number of projects increased annually. Germany came in third, and France took the top spot in Europe for the fifth year running, according to the EY 2024 UK Attractiveness Survey. In 2023, there were 985 FDI projects in the UK, up 6% from the previous year </w:t>
      </w:r>
      <w:r w:rsidR="002F73F0" w:rsidRPr="004A73C1">
        <w:rPr>
          <w:rFonts w:ascii="Arial" w:hAnsi="Arial" w:cs="Arial"/>
        </w:rPr>
        <w:t>(EY.com-news, July 2024)</w:t>
      </w:r>
      <w:r w:rsidRPr="004A73C1">
        <w:rPr>
          <w:rFonts w:ascii="Arial" w:hAnsi="Arial" w:cs="Arial"/>
        </w:rPr>
        <w:t>.</w:t>
      </w:r>
      <w:bookmarkStart w:id="129" w:name="_Toc175056485"/>
    </w:p>
    <w:p w14:paraId="692AF0C2" w14:textId="70FA0CD3" w:rsidR="001B3596" w:rsidRPr="004A73C1" w:rsidRDefault="001B3596" w:rsidP="001B3596">
      <w:pPr>
        <w:spacing w:after="160" w:line="360" w:lineRule="auto"/>
        <w:jc w:val="both"/>
        <w:rPr>
          <w:rFonts w:ascii="Arial" w:hAnsi="Arial" w:cs="Arial"/>
        </w:rPr>
      </w:pPr>
      <w:r w:rsidRPr="004A73C1">
        <w:rPr>
          <w:rFonts w:ascii="Arial" w:hAnsi="Arial" w:cs="Arial"/>
        </w:rPr>
        <w:t xml:space="preserve">Foreign direct investment, also known as parent enterprise or foreign direct investment, is defined by Carkovic and Levine (2002) as an investment that involves a long-term relationship and reflects a persistent interest and control by a resident entity in one economy over an enterprise that is resident in an economy other than the investor's. This comprises the first transaction that establishes the financial relationship and any follow-up transactions that are connected to the inflow and outflow of foreign direct investment between the foreign affiliate and the foreign direct investor. A substantial amount of influence or control over the </w:t>
      </w:r>
      <w:r w:rsidRPr="004A73C1">
        <w:rPr>
          <w:rFonts w:ascii="Arial" w:hAnsi="Arial" w:cs="Arial"/>
        </w:rPr>
        <w:lastRenderedPageBreak/>
        <w:t>management and operations of the invested enterprise can be gained via forming subsidiaries, mergers, and acquisitions, as well as by starting new businesses. These strategies are usually used to establish a long-lasting presence.</w:t>
      </w:r>
    </w:p>
    <w:p w14:paraId="7DD615BB" w14:textId="5F5ED61F" w:rsidR="00E4547C" w:rsidRPr="004A73C1" w:rsidRDefault="00CA52E6" w:rsidP="00EF2E34">
      <w:pPr>
        <w:pStyle w:val="Heading2"/>
        <w:spacing w:line="360" w:lineRule="auto"/>
        <w:rPr>
          <w:rFonts w:ascii="Arial" w:hAnsi="Arial" w:cs="Arial"/>
          <w:color w:val="auto"/>
        </w:rPr>
      </w:pPr>
      <w:bookmarkStart w:id="130" w:name="_Toc175675369"/>
      <w:r w:rsidRPr="004A73C1">
        <w:rPr>
          <w:rFonts w:ascii="Arial" w:hAnsi="Arial" w:cs="Arial"/>
          <w:color w:val="auto"/>
        </w:rPr>
        <w:t>4.3</w:t>
      </w:r>
      <w:r w:rsidRPr="004A73C1">
        <w:rPr>
          <w:rFonts w:ascii="Arial" w:hAnsi="Arial" w:cs="Arial"/>
          <w:color w:val="auto"/>
        </w:rPr>
        <w:tab/>
      </w:r>
      <w:r w:rsidR="000F1DEE" w:rsidRPr="004A73C1">
        <w:rPr>
          <w:rFonts w:ascii="Arial" w:hAnsi="Arial" w:cs="Arial"/>
          <w:color w:val="auto"/>
        </w:rPr>
        <w:t>Detail Analysis of Objectives</w:t>
      </w:r>
      <w:bookmarkEnd w:id="129"/>
      <w:bookmarkEnd w:id="130"/>
      <w:r w:rsidR="000F1DEE" w:rsidRPr="004A73C1">
        <w:rPr>
          <w:rFonts w:ascii="Arial" w:hAnsi="Arial" w:cs="Arial"/>
          <w:color w:val="auto"/>
        </w:rPr>
        <w:t xml:space="preserve"> </w:t>
      </w:r>
    </w:p>
    <w:p w14:paraId="190CAA6F" w14:textId="00AFBDD3" w:rsidR="00E4547C" w:rsidRPr="004A73C1" w:rsidRDefault="00E4547C" w:rsidP="00EF2E34">
      <w:pPr>
        <w:spacing w:line="360" w:lineRule="auto"/>
        <w:jc w:val="both"/>
        <w:rPr>
          <w:rFonts w:ascii="Arial" w:eastAsia="Arial Unicode MS" w:hAnsi="Arial" w:cs="Arial"/>
        </w:rPr>
      </w:pPr>
      <w:r w:rsidRPr="004A73C1">
        <w:rPr>
          <w:rFonts w:ascii="Arial" w:eastAsia="Arial Unicode MS" w:hAnsi="Arial" w:cs="Arial"/>
        </w:rPr>
        <w:t>Now</w:t>
      </w:r>
      <w:r w:rsidR="003A6491" w:rsidRPr="004A73C1">
        <w:rPr>
          <w:rFonts w:ascii="Arial" w:eastAsia="Arial Unicode MS" w:hAnsi="Arial" w:cs="Arial"/>
        </w:rPr>
        <w:t>,</w:t>
      </w:r>
      <w:r w:rsidRPr="004A73C1">
        <w:rPr>
          <w:rFonts w:ascii="Arial" w:eastAsia="Arial Unicode MS" w:hAnsi="Arial" w:cs="Arial"/>
        </w:rPr>
        <w:t xml:space="preserve"> we will discuss </w:t>
      </w:r>
      <w:r w:rsidR="003A6491" w:rsidRPr="004A73C1">
        <w:rPr>
          <w:rFonts w:ascii="Arial" w:eastAsia="Arial Unicode MS" w:hAnsi="Arial" w:cs="Arial"/>
        </w:rPr>
        <w:t>and analyse the research objectives in detail.</w:t>
      </w:r>
      <w:r w:rsidRPr="004A73C1">
        <w:rPr>
          <w:rFonts w:ascii="Arial" w:eastAsia="Arial Unicode MS" w:hAnsi="Arial" w:cs="Arial"/>
        </w:rPr>
        <w:t xml:space="preserve"> </w:t>
      </w:r>
    </w:p>
    <w:p w14:paraId="15F335C6" w14:textId="5D510648" w:rsidR="00E4547C" w:rsidRPr="004A73C1" w:rsidRDefault="00915B3A" w:rsidP="00EF2E34">
      <w:pPr>
        <w:pStyle w:val="ListParagraph"/>
        <w:numPr>
          <w:ilvl w:val="0"/>
          <w:numId w:val="42"/>
        </w:numPr>
        <w:spacing w:after="200" w:line="360" w:lineRule="auto"/>
        <w:jc w:val="both"/>
        <w:rPr>
          <w:rFonts w:ascii="Arial" w:eastAsia="Arial Unicode MS" w:hAnsi="Arial" w:cs="Arial"/>
        </w:rPr>
      </w:pPr>
      <w:r w:rsidRPr="004A73C1">
        <w:rPr>
          <w:rFonts w:ascii="Arial" w:eastAsia="Arial Unicode MS" w:hAnsi="Arial" w:cs="Arial"/>
        </w:rPr>
        <w:t>T</w:t>
      </w:r>
      <w:r w:rsidR="00E4547C" w:rsidRPr="004A73C1">
        <w:rPr>
          <w:rFonts w:ascii="Arial" w:eastAsia="Arial Unicode MS" w:hAnsi="Arial" w:cs="Arial"/>
        </w:rPr>
        <w:t>he main factors that can influence FDI</w:t>
      </w:r>
      <w:r w:rsidRPr="004A73C1">
        <w:rPr>
          <w:rFonts w:ascii="Arial" w:eastAsia="Arial Unicode MS" w:hAnsi="Arial" w:cs="Arial"/>
        </w:rPr>
        <w:t>.</w:t>
      </w:r>
    </w:p>
    <w:p w14:paraId="2E62B16A" w14:textId="08990C30" w:rsidR="00E4547C" w:rsidRPr="004A73C1" w:rsidRDefault="00915B3A" w:rsidP="00EF2E34">
      <w:pPr>
        <w:pStyle w:val="ListParagraph"/>
        <w:numPr>
          <w:ilvl w:val="0"/>
          <w:numId w:val="42"/>
        </w:numPr>
        <w:spacing w:after="200" w:line="360" w:lineRule="auto"/>
        <w:jc w:val="both"/>
        <w:rPr>
          <w:rFonts w:ascii="Arial" w:eastAsia="Arial Unicode MS" w:hAnsi="Arial" w:cs="Arial"/>
        </w:rPr>
      </w:pPr>
      <w:r w:rsidRPr="004A73C1">
        <w:rPr>
          <w:rFonts w:ascii="Arial" w:eastAsia="Arial Unicode MS" w:hAnsi="Arial" w:cs="Arial"/>
        </w:rPr>
        <w:t>I</w:t>
      </w:r>
      <w:r w:rsidR="00E4547C" w:rsidRPr="004A73C1">
        <w:rPr>
          <w:rFonts w:ascii="Arial" w:eastAsia="Arial Unicode MS" w:hAnsi="Arial" w:cs="Arial"/>
        </w:rPr>
        <w:t>mpact of Brexit on FDI in the UK</w:t>
      </w:r>
      <w:r w:rsidRPr="004A73C1">
        <w:rPr>
          <w:rFonts w:ascii="Arial" w:eastAsia="Arial Unicode MS" w:hAnsi="Arial" w:cs="Arial"/>
        </w:rPr>
        <w:t>.</w:t>
      </w:r>
    </w:p>
    <w:p w14:paraId="4E8263DF" w14:textId="33A31B56" w:rsidR="00B93891" w:rsidRPr="004A73C1" w:rsidRDefault="00915B3A" w:rsidP="00B93891">
      <w:pPr>
        <w:pStyle w:val="ListParagraph"/>
        <w:numPr>
          <w:ilvl w:val="0"/>
          <w:numId w:val="42"/>
        </w:numPr>
        <w:spacing w:after="200" w:line="360" w:lineRule="auto"/>
        <w:jc w:val="both"/>
        <w:rPr>
          <w:rFonts w:ascii="Arial" w:eastAsia="Arial Unicode MS" w:hAnsi="Arial" w:cs="Arial"/>
        </w:rPr>
      </w:pPr>
      <w:r w:rsidRPr="004A73C1">
        <w:rPr>
          <w:rFonts w:ascii="Arial" w:eastAsia="Arial Unicode MS" w:hAnsi="Arial" w:cs="Arial"/>
        </w:rPr>
        <w:t>T</w:t>
      </w:r>
      <w:r w:rsidR="00E4547C" w:rsidRPr="004A73C1">
        <w:rPr>
          <w:rFonts w:ascii="Arial" w:eastAsia="Arial Unicode MS" w:hAnsi="Arial" w:cs="Arial"/>
        </w:rPr>
        <w:t>he impact of FDI on economic growth</w:t>
      </w:r>
      <w:r w:rsidRPr="004A73C1">
        <w:rPr>
          <w:rFonts w:ascii="Arial" w:eastAsia="Arial Unicode MS" w:hAnsi="Arial" w:cs="Arial"/>
        </w:rPr>
        <w:t>.</w:t>
      </w:r>
    </w:p>
    <w:p w14:paraId="5DDBF14E" w14:textId="15C2D941" w:rsidR="00B93891" w:rsidRPr="004A73C1" w:rsidRDefault="00CA52E6" w:rsidP="00B93891">
      <w:pPr>
        <w:pStyle w:val="Heading2"/>
        <w:rPr>
          <w:rFonts w:ascii="Arial" w:hAnsi="Arial" w:cs="Arial"/>
          <w:color w:val="auto"/>
          <w:shd w:val="clear" w:color="auto" w:fill="FFFFFF"/>
        </w:rPr>
      </w:pPr>
      <w:bookmarkStart w:id="131" w:name="_Toc175675370"/>
      <w:r w:rsidRPr="004A73C1">
        <w:rPr>
          <w:rFonts w:ascii="Arial" w:hAnsi="Arial" w:cs="Arial"/>
          <w:color w:val="auto"/>
          <w:shd w:val="clear" w:color="auto" w:fill="FFFFFF"/>
        </w:rPr>
        <w:t>4.4</w:t>
      </w:r>
      <w:r w:rsidRPr="004A73C1">
        <w:rPr>
          <w:rFonts w:ascii="Arial" w:hAnsi="Arial" w:cs="Arial"/>
          <w:color w:val="auto"/>
          <w:shd w:val="clear" w:color="auto" w:fill="FFFFFF"/>
        </w:rPr>
        <w:tab/>
      </w:r>
      <w:r w:rsidR="00B93891" w:rsidRPr="004A73C1">
        <w:rPr>
          <w:rFonts w:ascii="Arial" w:hAnsi="Arial" w:cs="Arial"/>
          <w:color w:val="auto"/>
          <w:shd w:val="clear" w:color="auto" w:fill="FFFFFF"/>
        </w:rPr>
        <w:t>Statistical Calculations and Analysis</w:t>
      </w:r>
      <w:bookmarkEnd w:id="131"/>
    </w:p>
    <w:p w14:paraId="0E24880B" w14:textId="77777777" w:rsidR="00B93891" w:rsidRPr="004A73C1" w:rsidRDefault="00B93891" w:rsidP="00B93891">
      <w:pPr>
        <w:rPr>
          <w:rFonts w:ascii="Arial" w:hAnsi="Arial" w:cs="Arial"/>
        </w:rPr>
      </w:pPr>
    </w:p>
    <w:p w14:paraId="6F9CA5D2" w14:textId="6B48F9E8" w:rsidR="00EE7955" w:rsidRPr="004A73C1" w:rsidRDefault="00B93891" w:rsidP="00B93891">
      <w:pPr>
        <w:spacing w:after="200" w:line="360" w:lineRule="auto"/>
        <w:jc w:val="both"/>
        <w:rPr>
          <w:rFonts w:ascii="Arial" w:hAnsi="Arial" w:cs="Arial"/>
        </w:rPr>
      </w:pPr>
      <w:r w:rsidRPr="004A73C1">
        <w:rPr>
          <w:rFonts w:ascii="Arial" w:hAnsi="Arial" w:cs="Arial"/>
        </w:rPr>
        <w:t xml:space="preserve">Statistical data plays a crucial role in producing analysis by providing a quantitative framework for understanding trends, patterns, and relationships within the data. Moreover, statistical analysis enables researchers to test hypotheses, identify significant differences or correlations, and make inferences about populations based on sample data. By using statistical techniques such as regression analysis, t-tests, ANOVA, and correlation analysis, </w:t>
      </w:r>
      <w:r w:rsidR="009F26BC" w:rsidRPr="004A73C1">
        <w:rPr>
          <w:rFonts w:ascii="Arial" w:hAnsi="Arial" w:cs="Arial"/>
        </w:rPr>
        <w:t>we</w:t>
      </w:r>
      <w:r w:rsidRPr="004A73C1">
        <w:rPr>
          <w:rFonts w:ascii="Arial" w:hAnsi="Arial" w:cs="Arial"/>
        </w:rPr>
        <w:t xml:space="preserve"> can uncover hidden patterns, trends, and associations within the data, ultimately contributing to a comprehensive and evidence-based analysis.</w:t>
      </w:r>
    </w:p>
    <w:tbl>
      <w:tblPr>
        <w:tblW w:w="9313" w:type="dxa"/>
        <w:tblLook w:val="04A0" w:firstRow="1" w:lastRow="0" w:firstColumn="1" w:lastColumn="0" w:noHBand="0" w:noVBand="1"/>
      </w:tblPr>
      <w:tblGrid>
        <w:gridCol w:w="1890"/>
        <w:gridCol w:w="1812"/>
        <w:gridCol w:w="1617"/>
        <w:gridCol w:w="2085"/>
        <w:gridCol w:w="1909"/>
      </w:tblGrid>
      <w:tr w:rsidR="0092745F" w:rsidRPr="004A73C1" w14:paraId="47BAF11C" w14:textId="77777777" w:rsidTr="00BE222C">
        <w:trPr>
          <w:trHeight w:val="609"/>
        </w:trPr>
        <w:tc>
          <w:tcPr>
            <w:tcW w:w="189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493982A" w14:textId="77777777" w:rsidR="0092745F" w:rsidRPr="004A73C1" w:rsidRDefault="0092745F" w:rsidP="0092745F">
            <w:pPr>
              <w:spacing w:after="0" w:line="240" w:lineRule="auto"/>
              <w:rPr>
                <w:rFonts w:ascii="Arial" w:eastAsia="Times New Roman" w:hAnsi="Arial" w:cs="Arial"/>
                <w:color w:val="000000"/>
                <w:lang w:eastAsia="en-GB"/>
              </w:rPr>
            </w:pPr>
            <w:r w:rsidRPr="004A73C1">
              <w:rPr>
                <w:rFonts w:ascii="Arial" w:eastAsia="Times New Roman" w:hAnsi="Arial" w:cs="Arial"/>
                <w:color w:val="000000"/>
                <w:lang w:eastAsia="en-GB"/>
              </w:rPr>
              <w:t>Year</w:t>
            </w:r>
          </w:p>
        </w:tc>
        <w:tc>
          <w:tcPr>
            <w:tcW w:w="1812" w:type="dxa"/>
            <w:tcBorders>
              <w:top w:val="single" w:sz="8" w:space="0" w:color="auto"/>
              <w:left w:val="nil"/>
              <w:bottom w:val="single" w:sz="8" w:space="0" w:color="auto"/>
              <w:right w:val="single" w:sz="8" w:space="0" w:color="auto"/>
            </w:tcBorders>
            <w:shd w:val="clear" w:color="auto" w:fill="auto"/>
            <w:noWrap/>
            <w:vAlign w:val="center"/>
            <w:hideMark/>
          </w:tcPr>
          <w:p w14:paraId="5D416C15" w14:textId="77777777" w:rsidR="0092745F" w:rsidRPr="004A73C1" w:rsidRDefault="0092745F" w:rsidP="0092745F">
            <w:pPr>
              <w:spacing w:after="0" w:line="240" w:lineRule="auto"/>
              <w:rPr>
                <w:rFonts w:ascii="Arial" w:eastAsia="Times New Roman" w:hAnsi="Arial" w:cs="Arial"/>
                <w:color w:val="000000"/>
                <w:lang w:eastAsia="en-GB"/>
              </w:rPr>
            </w:pPr>
            <w:r w:rsidRPr="004A73C1">
              <w:rPr>
                <w:rFonts w:ascii="Arial" w:eastAsia="Times New Roman" w:hAnsi="Arial" w:cs="Arial"/>
                <w:color w:val="000000"/>
                <w:lang w:eastAsia="en-GB"/>
              </w:rPr>
              <w:t>NET FDI - Billions</w:t>
            </w:r>
          </w:p>
        </w:tc>
        <w:tc>
          <w:tcPr>
            <w:tcW w:w="1617" w:type="dxa"/>
            <w:tcBorders>
              <w:top w:val="single" w:sz="8" w:space="0" w:color="auto"/>
              <w:left w:val="nil"/>
              <w:bottom w:val="single" w:sz="8" w:space="0" w:color="auto"/>
              <w:right w:val="single" w:sz="8" w:space="0" w:color="auto"/>
            </w:tcBorders>
            <w:shd w:val="clear" w:color="auto" w:fill="auto"/>
            <w:noWrap/>
            <w:vAlign w:val="center"/>
            <w:hideMark/>
          </w:tcPr>
          <w:p w14:paraId="31DC3FF7" w14:textId="77777777" w:rsidR="0092745F" w:rsidRPr="004A73C1" w:rsidRDefault="0092745F" w:rsidP="0092745F">
            <w:pPr>
              <w:spacing w:after="0" w:line="240" w:lineRule="auto"/>
              <w:rPr>
                <w:rFonts w:ascii="Arial" w:eastAsia="Times New Roman" w:hAnsi="Arial" w:cs="Arial"/>
                <w:color w:val="000000"/>
                <w:lang w:eastAsia="en-GB"/>
              </w:rPr>
            </w:pPr>
            <w:r w:rsidRPr="004A73C1">
              <w:rPr>
                <w:rFonts w:ascii="Arial" w:eastAsia="Times New Roman" w:hAnsi="Arial" w:cs="Arial"/>
                <w:color w:val="000000"/>
                <w:lang w:eastAsia="en-GB"/>
              </w:rPr>
              <w:t>GDP- In Billions</w:t>
            </w:r>
          </w:p>
        </w:tc>
        <w:tc>
          <w:tcPr>
            <w:tcW w:w="2085" w:type="dxa"/>
            <w:tcBorders>
              <w:top w:val="single" w:sz="8" w:space="0" w:color="auto"/>
              <w:left w:val="nil"/>
              <w:bottom w:val="single" w:sz="8" w:space="0" w:color="auto"/>
              <w:right w:val="single" w:sz="8" w:space="0" w:color="auto"/>
            </w:tcBorders>
            <w:shd w:val="clear" w:color="auto" w:fill="auto"/>
            <w:noWrap/>
            <w:vAlign w:val="center"/>
            <w:hideMark/>
          </w:tcPr>
          <w:p w14:paraId="698EB481" w14:textId="77777777" w:rsidR="0092745F" w:rsidRPr="004A73C1" w:rsidRDefault="0092745F" w:rsidP="0092745F">
            <w:pPr>
              <w:spacing w:after="0" w:line="240" w:lineRule="auto"/>
              <w:rPr>
                <w:rFonts w:ascii="Arial" w:eastAsia="Times New Roman" w:hAnsi="Arial" w:cs="Arial"/>
                <w:color w:val="000000"/>
                <w:lang w:eastAsia="en-GB"/>
              </w:rPr>
            </w:pPr>
            <w:r w:rsidRPr="004A73C1">
              <w:rPr>
                <w:rFonts w:ascii="Arial" w:eastAsia="Times New Roman" w:hAnsi="Arial" w:cs="Arial"/>
                <w:color w:val="000000"/>
                <w:lang w:eastAsia="en-GB"/>
              </w:rPr>
              <w:t>Unemployment Rate</w:t>
            </w:r>
          </w:p>
        </w:tc>
        <w:tc>
          <w:tcPr>
            <w:tcW w:w="1909" w:type="dxa"/>
            <w:tcBorders>
              <w:top w:val="single" w:sz="8" w:space="0" w:color="auto"/>
              <w:left w:val="nil"/>
              <w:bottom w:val="single" w:sz="8" w:space="0" w:color="auto"/>
              <w:right w:val="single" w:sz="8" w:space="0" w:color="auto"/>
            </w:tcBorders>
            <w:shd w:val="clear" w:color="auto" w:fill="auto"/>
            <w:vAlign w:val="center"/>
            <w:hideMark/>
          </w:tcPr>
          <w:p w14:paraId="22AFA789" w14:textId="77777777" w:rsidR="0092745F" w:rsidRPr="004A73C1" w:rsidRDefault="0092745F" w:rsidP="0092745F">
            <w:pPr>
              <w:spacing w:after="0" w:line="240" w:lineRule="auto"/>
              <w:rPr>
                <w:rFonts w:ascii="Arial" w:eastAsia="Times New Roman" w:hAnsi="Arial" w:cs="Arial"/>
                <w:color w:val="000000"/>
                <w:lang w:eastAsia="en-GB"/>
              </w:rPr>
            </w:pPr>
            <w:r w:rsidRPr="004A73C1">
              <w:rPr>
                <w:rFonts w:ascii="Arial" w:eastAsia="Times New Roman" w:hAnsi="Arial" w:cs="Arial"/>
                <w:color w:val="000000"/>
                <w:lang w:eastAsia="en-GB"/>
              </w:rPr>
              <w:t>Percentage FDI/GDP%</w:t>
            </w:r>
          </w:p>
        </w:tc>
      </w:tr>
      <w:tr w:rsidR="0092745F" w:rsidRPr="004A73C1" w14:paraId="11A28ADF" w14:textId="77777777" w:rsidTr="00BE222C">
        <w:trPr>
          <w:trHeight w:val="328"/>
        </w:trPr>
        <w:tc>
          <w:tcPr>
            <w:tcW w:w="1890" w:type="dxa"/>
            <w:tcBorders>
              <w:top w:val="nil"/>
              <w:left w:val="single" w:sz="8" w:space="0" w:color="auto"/>
              <w:bottom w:val="single" w:sz="8" w:space="0" w:color="auto"/>
              <w:right w:val="single" w:sz="8" w:space="0" w:color="auto"/>
            </w:tcBorders>
            <w:shd w:val="clear" w:color="auto" w:fill="auto"/>
            <w:noWrap/>
            <w:vAlign w:val="center"/>
            <w:hideMark/>
          </w:tcPr>
          <w:p w14:paraId="69C09DCE"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2015</w:t>
            </w:r>
          </w:p>
        </w:tc>
        <w:tc>
          <w:tcPr>
            <w:tcW w:w="1812" w:type="dxa"/>
            <w:tcBorders>
              <w:top w:val="nil"/>
              <w:left w:val="nil"/>
              <w:bottom w:val="single" w:sz="8" w:space="0" w:color="auto"/>
              <w:right w:val="single" w:sz="8" w:space="0" w:color="auto"/>
            </w:tcBorders>
            <w:shd w:val="clear" w:color="auto" w:fill="auto"/>
            <w:noWrap/>
            <w:vAlign w:val="center"/>
            <w:hideMark/>
          </w:tcPr>
          <w:p w14:paraId="1D72D17D"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-105.51</w:t>
            </w:r>
          </w:p>
        </w:tc>
        <w:tc>
          <w:tcPr>
            <w:tcW w:w="1617" w:type="dxa"/>
            <w:tcBorders>
              <w:top w:val="nil"/>
              <w:left w:val="nil"/>
              <w:bottom w:val="single" w:sz="8" w:space="0" w:color="auto"/>
              <w:right w:val="single" w:sz="8" w:space="0" w:color="auto"/>
            </w:tcBorders>
            <w:shd w:val="clear" w:color="auto" w:fill="auto"/>
            <w:noWrap/>
            <w:vAlign w:val="center"/>
            <w:hideMark/>
          </w:tcPr>
          <w:p w14:paraId="58DB603B"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2,927.91</w:t>
            </w:r>
          </w:p>
        </w:tc>
        <w:tc>
          <w:tcPr>
            <w:tcW w:w="2085" w:type="dxa"/>
            <w:tcBorders>
              <w:top w:val="nil"/>
              <w:left w:val="nil"/>
              <w:bottom w:val="single" w:sz="8" w:space="0" w:color="auto"/>
              <w:right w:val="single" w:sz="8" w:space="0" w:color="auto"/>
            </w:tcBorders>
            <w:shd w:val="clear" w:color="auto" w:fill="auto"/>
            <w:noWrap/>
            <w:vAlign w:val="center"/>
            <w:hideMark/>
          </w:tcPr>
          <w:p w14:paraId="73079DA2"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5.4</w:t>
            </w:r>
          </w:p>
        </w:tc>
        <w:tc>
          <w:tcPr>
            <w:tcW w:w="1909" w:type="dxa"/>
            <w:tcBorders>
              <w:top w:val="nil"/>
              <w:left w:val="nil"/>
              <w:bottom w:val="single" w:sz="8" w:space="0" w:color="auto"/>
              <w:right w:val="single" w:sz="8" w:space="0" w:color="auto"/>
            </w:tcBorders>
            <w:shd w:val="clear" w:color="auto" w:fill="auto"/>
            <w:noWrap/>
            <w:vAlign w:val="center"/>
            <w:hideMark/>
          </w:tcPr>
          <w:p w14:paraId="063746C4"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-3.60%</w:t>
            </w:r>
          </w:p>
        </w:tc>
      </w:tr>
      <w:tr w:rsidR="0092745F" w:rsidRPr="004A73C1" w14:paraId="52AB0E3E" w14:textId="77777777" w:rsidTr="00BE222C">
        <w:trPr>
          <w:trHeight w:val="328"/>
        </w:trPr>
        <w:tc>
          <w:tcPr>
            <w:tcW w:w="1890" w:type="dxa"/>
            <w:tcBorders>
              <w:top w:val="nil"/>
              <w:left w:val="single" w:sz="8" w:space="0" w:color="auto"/>
              <w:bottom w:val="single" w:sz="8" w:space="0" w:color="auto"/>
              <w:right w:val="single" w:sz="8" w:space="0" w:color="auto"/>
            </w:tcBorders>
            <w:shd w:val="clear" w:color="auto" w:fill="auto"/>
            <w:noWrap/>
            <w:vAlign w:val="center"/>
            <w:hideMark/>
          </w:tcPr>
          <w:p w14:paraId="23B6534C"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2016</w:t>
            </w:r>
          </w:p>
        </w:tc>
        <w:tc>
          <w:tcPr>
            <w:tcW w:w="1812" w:type="dxa"/>
            <w:tcBorders>
              <w:top w:val="nil"/>
              <w:left w:val="nil"/>
              <w:bottom w:val="single" w:sz="8" w:space="0" w:color="auto"/>
              <w:right w:val="single" w:sz="8" w:space="0" w:color="auto"/>
            </w:tcBorders>
            <w:shd w:val="clear" w:color="auto" w:fill="auto"/>
            <w:noWrap/>
            <w:vAlign w:val="center"/>
            <w:hideMark/>
          </w:tcPr>
          <w:p w14:paraId="24A64CA0"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-291.9</w:t>
            </w:r>
          </w:p>
        </w:tc>
        <w:tc>
          <w:tcPr>
            <w:tcW w:w="1617" w:type="dxa"/>
            <w:tcBorders>
              <w:top w:val="nil"/>
              <w:left w:val="nil"/>
              <w:bottom w:val="single" w:sz="8" w:space="0" w:color="auto"/>
              <w:right w:val="single" w:sz="8" w:space="0" w:color="auto"/>
            </w:tcBorders>
            <w:shd w:val="clear" w:color="auto" w:fill="auto"/>
            <w:noWrap/>
            <w:vAlign w:val="center"/>
            <w:hideMark/>
          </w:tcPr>
          <w:p w14:paraId="1AD64A94"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2,689.11</w:t>
            </w:r>
          </w:p>
        </w:tc>
        <w:tc>
          <w:tcPr>
            <w:tcW w:w="2085" w:type="dxa"/>
            <w:tcBorders>
              <w:top w:val="nil"/>
              <w:left w:val="nil"/>
              <w:bottom w:val="single" w:sz="8" w:space="0" w:color="auto"/>
              <w:right w:val="single" w:sz="8" w:space="0" w:color="auto"/>
            </w:tcBorders>
            <w:shd w:val="clear" w:color="auto" w:fill="auto"/>
            <w:noWrap/>
            <w:vAlign w:val="center"/>
            <w:hideMark/>
          </w:tcPr>
          <w:p w14:paraId="29F7C8F0"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4.9</w:t>
            </w:r>
          </w:p>
        </w:tc>
        <w:tc>
          <w:tcPr>
            <w:tcW w:w="1909" w:type="dxa"/>
            <w:tcBorders>
              <w:top w:val="nil"/>
              <w:left w:val="nil"/>
              <w:bottom w:val="single" w:sz="8" w:space="0" w:color="auto"/>
              <w:right w:val="single" w:sz="8" w:space="0" w:color="auto"/>
            </w:tcBorders>
            <w:shd w:val="clear" w:color="auto" w:fill="auto"/>
            <w:noWrap/>
            <w:vAlign w:val="center"/>
            <w:hideMark/>
          </w:tcPr>
          <w:p w14:paraId="21E4695E"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-10.86%</w:t>
            </w:r>
          </w:p>
        </w:tc>
      </w:tr>
      <w:tr w:rsidR="0092745F" w:rsidRPr="004A73C1" w14:paraId="7DBB170C" w14:textId="77777777" w:rsidTr="00BE222C">
        <w:trPr>
          <w:trHeight w:val="328"/>
        </w:trPr>
        <w:tc>
          <w:tcPr>
            <w:tcW w:w="1890" w:type="dxa"/>
            <w:tcBorders>
              <w:top w:val="nil"/>
              <w:left w:val="single" w:sz="8" w:space="0" w:color="auto"/>
              <w:bottom w:val="single" w:sz="8" w:space="0" w:color="auto"/>
              <w:right w:val="single" w:sz="8" w:space="0" w:color="auto"/>
            </w:tcBorders>
            <w:shd w:val="clear" w:color="auto" w:fill="auto"/>
            <w:noWrap/>
            <w:vAlign w:val="center"/>
            <w:hideMark/>
          </w:tcPr>
          <w:p w14:paraId="074E4B3A"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2017</w:t>
            </w:r>
          </w:p>
        </w:tc>
        <w:tc>
          <w:tcPr>
            <w:tcW w:w="1812" w:type="dxa"/>
            <w:tcBorders>
              <w:top w:val="nil"/>
              <w:left w:val="nil"/>
              <w:bottom w:val="single" w:sz="8" w:space="0" w:color="auto"/>
              <w:right w:val="single" w:sz="8" w:space="0" w:color="auto"/>
            </w:tcBorders>
            <w:shd w:val="clear" w:color="auto" w:fill="auto"/>
            <w:noWrap/>
            <w:vAlign w:val="center"/>
            <w:hideMark/>
          </w:tcPr>
          <w:p w14:paraId="61A8965B"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46.69</w:t>
            </w:r>
          </w:p>
        </w:tc>
        <w:tc>
          <w:tcPr>
            <w:tcW w:w="1617" w:type="dxa"/>
            <w:tcBorders>
              <w:top w:val="nil"/>
              <w:left w:val="nil"/>
              <w:bottom w:val="single" w:sz="8" w:space="0" w:color="auto"/>
              <w:right w:val="single" w:sz="8" w:space="0" w:color="auto"/>
            </w:tcBorders>
            <w:shd w:val="clear" w:color="auto" w:fill="auto"/>
            <w:noWrap/>
            <w:vAlign w:val="center"/>
            <w:hideMark/>
          </w:tcPr>
          <w:p w14:paraId="1B9D1A4C"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2,680.15</w:t>
            </w:r>
          </w:p>
        </w:tc>
        <w:tc>
          <w:tcPr>
            <w:tcW w:w="2085" w:type="dxa"/>
            <w:tcBorders>
              <w:top w:val="nil"/>
              <w:left w:val="nil"/>
              <w:bottom w:val="single" w:sz="8" w:space="0" w:color="auto"/>
              <w:right w:val="single" w:sz="8" w:space="0" w:color="auto"/>
            </w:tcBorders>
            <w:shd w:val="clear" w:color="auto" w:fill="auto"/>
            <w:noWrap/>
            <w:vAlign w:val="center"/>
            <w:hideMark/>
          </w:tcPr>
          <w:p w14:paraId="75068509"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4.4</w:t>
            </w:r>
          </w:p>
        </w:tc>
        <w:tc>
          <w:tcPr>
            <w:tcW w:w="1909" w:type="dxa"/>
            <w:tcBorders>
              <w:top w:val="nil"/>
              <w:left w:val="nil"/>
              <w:bottom w:val="single" w:sz="8" w:space="0" w:color="auto"/>
              <w:right w:val="single" w:sz="8" w:space="0" w:color="auto"/>
            </w:tcBorders>
            <w:shd w:val="clear" w:color="auto" w:fill="auto"/>
            <w:noWrap/>
            <w:vAlign w:val="center"/>
            <w:hideMark/>
          </w:tcPr>
          <w:p w14:paraId="162AA9A7"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1.74%</w:t>
            </w:r>
          </w:p>
        </w:tc>
      </w:tr>
      <w:tr w:rsidR="0092745F" w:rsidRPr="004A73C1" w14:paraId="4723A0C9" w14:textId="77777777" w:rsidTr="00BE222C">
        <w:trPr>
          <w:trHeight w:val="328"/>
        </w:trPr>
        <w:tc>
          <w:tcPr>
            <w:tcW w:w="1890" w:type="dxa"/>
            <w:tcBorders>
              <w:top w:val="nil"/>
              <w:left w:val="single" w:sz="8" w:space="0" w:color="auto"/>
              <w:bottom w:val="single" w:sz="8" w:space="0" w:color="auto"/>
              <w:right w:val="single" w:sz="8" w:space="0" w:color="auto"/>
            </w:tcBorders>
            <w:shd w:val="clear" w:color="auto" w:fill="auto"/>
            <w:noWrap/>
            <w:vAlign w:val="center"/>
            <w:hideMark/>
          </w:tcPr>
          <w:p w14:paraId="0D702E15"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2018</w:t>
            </w:r>
          </w:p>
        </w:tc>
        <w:tc>
          <w:tcPr>
            <w:tcW w:w="1812" w:type="dxa"/>
            <w:tcBorders>
              <w:top w:val="nil"/>
              <w:left w:val="nil"/>
              <w:bottom w:val="single" w:sz="8" w:space="0" w:color="auto"/>
              <w:right w:val="single" w:sz="8" w:space="0" w:color="auto"/>
            </w:tcBorders>
            <w:shd w:val="clear" w:color="auto" w:fill="auto"/>
            <w:noWrap/>
            <w:vAlign w:val="center"/>
            <w:hideMark/>
          </w:tcPr>
          <w:p w14:paraId="23A4A5E3"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-3.58</w:t>
            </w:r>
          </w:p>
        </w:tc>
        <w:tc>
          <w:tcPr>
            <w:tcW w:w="1617" w:type="dxa"/>
            <w:tcBorders>
              <w:top w:val="nil"/>
              <w:left w:val="nil"/>
              <w:bottom w:val="single" w:sz="8" w:space="0" w:color="auto"/>
              <w:right w:val="single" w:sz="8" w:space="0" w:color="auto"/>
            </w:tcBorders>
            <w:shd w:val="clear" w:color="auto" w:fill="auto"/>
            <w:noWrap/>
            <w:vAlign w:val="center"/>
            <w:hideMark/>
          </w:tcPr>
          <w:p w14:paraId="7E7CA929"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2,871.34</w:t>
            </w:r>
          </w:p>
        </w:tc>
        <w:tc>
          <w:tcPr>
            <w:tcW w:w="2085" w:type="dxa"/>
            <w:tcBorders>
              <w:top w:val="nil"/>
              <w:left w:val="nil"/>
              <w:bottom w:val="single" w:sz="8" w:space="0" w:color="auto"/>
              <w:right w:val="single" w:sz="8" w:space="0" w:color="auto"/>
            </w:tcBorders>
            <w:shd w:val="clear" w:color="auto" w:fill="auto"/>
            <w:noWrap/>
            <w:vAlign w:val="center"/>
            <w:hideMark/>
          </w:tcPr>
          <w:p w14:paraId="0F7296D7"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4.2</w:t>
            </w:r>
          </w:p>
        </w:tc>
        <w:tc>
          <w:tcPr>
            <w:tcW w:w="1909" w:type="dxa"/>
            <w:tcBorders>
              <w:top w:val="nil"/>
              <w:left w:val="nil"/>
              <w:bottom w:val="single" w:sz="8" w:space="0" w:color="auto"/>
              <w:right w:val="single" w:sz="8" w:space="0" w:color="auto"/>
            </w:tcBorders>
            <w:shd w:val="clear" w:color="auto" w:fill="auto"/>
            <w:noWrap/>
            <w:vAlign w:val="center"/>
            <w:hideMark/>
          </w:tcPr>
          <w:p w14:paraId="3A115CD8"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-0.12%</w:t>
            </w:r>
          </w:p>
        </w:tc>
      </w:tr>
      <w:tr w:rsidR="0092745F" w:rsidRPr="004A73C1" w14:paraId="4C09FCC7" w14:textId="77777777" w:rsidTr="00BE222C">
        <w:trPr>
          <w:trHeight w:val="328"/>
        </w:trPr>
        <w:tc>
          <w:tcPr>
            <w:tcW w:w="1890" w:type="dxa"/>
            <w:tcBorders>
              <w:top w:val="nil"/>
              <w:left w:val="single" w:sz="8" w:space="0" w:color="auto"/>
              <w:bottom w:val="single" w:sz="8" w:space="0" w:color="auto"/>
              <w:right w:val="single" w:sz="8" w:space="0" w:color="auto"/>
            </w:tcBorders>
            <w:shd w:val="clear" w:color="auto" w:fill="auto"/>
            <w:noWrap/>
            <w:vAlign w:val="center"/>
            <w:hideMark/>
          </w:tcPr>
          <w:p w14:paraId="3CDC2273"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2019</w:t>
            </w:r>
          </w:p>
        </w:tc>
        <w:tc>
          <w:tcPr>
            <w:tcW w:w="1812" w:type="dxa"/>
            <w:tcBorders>
              <w:top w:val="nil"/>
              <w:left w:val="nil"/>
              <w:bottom w:val="single" w:sz="8" w:space="0" w:color="auto"/>
              <w:right w:val="single" w:sz="8" w:space="0" w:color="auto"/>
            </w:tcBorders>
            <w:shd w:val="clear" w:color="auto" w:fill="auto"/>
            <w:noWrap/>
            <w:vAlign w:val="center"/>
            <w:hideMark/>
          </w:tcPr>
          <w:p w14:paraId="6422710A"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-41.29</w:t>
            </w:r>
          </w:p>
        </w:tc>
        <w:tc>
          <w:tcPr>
            <w:tcW w:w="1617" w:type="dxa"/>
            <w:tcBorders>
              <w:top w:val="nil"/>
              <w:left w:val="nil"/>
              <w:bottom w:val="single" w:sz="8" w:space="0" w:color="auto"/>
              <w:right w:val="single" w:sz="8" w:space="0" w:color="auto"/>
            </w:tcBorders>
            <w:shd w:val="clear" w:color="auto" w:fill="auto"/>
            <w:noWrap/>
            <w:vAlign w:val="center"/>
            <w:hideMark/>
          </w:tcPr>
          <w:p w14:paraId="18576F9E"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2,851.41</w:t>
            </w:r>
          </w:p>
        </w:tc>
        <w:tc>
          <w:tcPr>
            <w:tcW w:w="2085" w:type="dxa"/>
            <w:tcBorders>
              <w:top w:val="nil"/>
              <w:left w:val="nil"/>
              <w:bottom w:val="single" w:sz="8" w:space="0" w:color="auto"/>
              <w:right w:val="single" w:sz="8" w:space="0" w:color="auto"/>
            </w:tcBorders>
            <w:shd w:val="clear" w:color="auto" w:fill="auto"/>
            <w:noWrap/>
            <w:vAlign w:val="center"/>
            <w:hideMark/>
          </w:tcPr>
          <w:p w14:paraId="6D61B1D9"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3.9</w:t>
            </w:r>
          </w:p>
        </w:tc>
        <w:tc>
          <w:tcPr>
            <w:tcW w:w="1909" w:type="dxa"/>
            <w:tcBorders>
              <w:top w:val="nil"/>
              <w:left w:val="nil"/>
              <w:bottom w:val="single" w:sz="8" w:space="0" w:color="auto"/>
              <w:right w:val="single" w:sz="8" w:space="0" w:color="auto"/>
            </w:tcBorders>
            <w:shd w:val="clear" w:color="auto" w:fill="auto"/>
            <w:noWrap/>
            <w:vAlign w:val="center"/>
            <w:hideMark/>
          </w:tcPr>
          <w:p w14:paraId="57F0CD8A"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-1.45%</w:t>
            </w:r>
          </w:p>
        </w:tc>
      </w:tr>
      <w:tr w:rsidR="0092745F" w:rsidRPr="004A73C1" w14:paraId="3A6A67EA" w14:textId="77777777" w:rsidTr="00BE222C">
        <w:trPr>
          <w:trHeight w:val="328"/>
        </w:trPr>
        <w:tc>
          <w:tcPr>
            <w:tcW w:w="1890" w:type="dxa"/>
            <w:tcBorders>
              <w:top w:val="nil"/>
              <w:left w:val="single" w:sz="8" w:space="0" w:color="auto"/>
              <w:bottom w:val="single" w:sz="8" w:space="0" w:color="auto"/>
              <w:right w:val="single" w:sz="8" w:space="0" w:color="auto"/>
            </w:tcBorders>
            <w:shd w:val="clear" w:color="auto" w:fill="auto"/>
            <w:noWrap/>
            <w:vAlign w:val="center"/>
            <w:hideMark/>
          </w:tcPr>
          <w:p w14:paraId="3633295F"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2020</w:t>
            </w:r>
          </w:p>
        </w:tc>
        <w:tc>
          <w:tcPr>
            <w:tcW w:w="1812" w:type="dxa"/>
            <w:tcBorders>
              <w:top w:val="nil"/>
              <w:left w:val="nil"/>
              <w:bottom w:val="single" w:sz="8" w:space="0" w:color="auto"/>
              <w:right w:val="single" w:sz="8" w:space="0" w:color="auto"/>
            </w:tcBorders>
            <w:shd w:val="clear" w:color="auto" w:fill="auto"/>
            <w:noWrap/>
            <w:vAlign w:val="center"/>
            <w:hideMark/>
          </w:tcPr>
          <w:p w14:paraId="63C6FB80"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-140.8</w:t>
            </w:r>
          </w:p>
        </w:tc>
        <w:tc>
          <w:tcPr>
            <w:tcW w:w="1617" w:type="dxa"/>
            <w:tcBorders>
              <w:top w:val="nil"/>
              <w:left w:val="nil"/>
              <w:bottom w:val="single" w:sz="8" w:space="0" w:color="auto"/>
              <w:right w:val="single" w:sz="8" w:space="0" w:color="auto"/>
            </w:tcBorders>
            <w:shd w:val="clear" w:color="auto" w:fill="auto"/>
            <w:noWrap/>
            <w:vAlign w:val="center"/>
            <w:hideMark/>
          </w:tcPr>
          <w:p w14:paraId="63AB3D1B"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2,697.81</w:t>
            </w:r>
          </w:p>
        </w:tc>
        <w:tc>
          <w:tcPr>
            <w:tcW w:w="2085" w:type="dxa"/>
            <w:tcBorders>
              <w:top w:val="nil"/>
              <w:left w:val="nil"/>
              <w:bottom w:val="single" w:sz="8" w:space="0" w:color="auto"/>
              <w:right w:val="single" w:sz="8" w:space="0" w:color="auto"/>
            </w:tcBorders>
            <w:shd w:val="clear" w:color="auto" w:fill="auto"/>
            <w:noWrap/>
            <w:vAlign w:val="center"/>
            <w:hideMark/>
          </w:tcPr>
          <w:p w14:paraId="3B542C52"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4.7</w:t>
            </w:r>
          </w:p>
        </w:tc>
        <w:tc>
          <w:tcPr>
            <w:tcW w:w="1909" w:type="dxa"/>
            <w:tcBorders>
              <w:top w:val="nil"/>
              <w:left w:val="nil"/>
              <w:bottom w:val="single" w:sz="8" w:space="0" w:color="auto"/>
              <w:right w:val="single" w:sz="8" w:space="0" w:color="auto"/>
            </w:tcBorders>
            <w:shd w:val="clear" w:color="auto" w:fill="auto"/>
            <w:noWrap/>
            <w:vAlign w:val="center"/>
            <w:hideMark/>
          </w:tcPr>
          <w:p w14:paraId="273514C4"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-5.22%</w:t>
            </w:r>
          </w:p>
        </w:tc>
      </w:tr>
      <w:tr w:rsidR="0092745F" w:rsidRPr="004A73C1" w14:paraId="0BAD82C4" w14:textId="77777777" w:rsidTr="00BE222C">
        <w:trPr>
          <w:trHeight w:val="328"/>
        </w:trPr>
        <w:tc>
          <w:tcPr>
            <w:tcW w:w="1890" w:type="dxa"/>
            <w:tcBorders>
              <w:top w:val="nil"/>
              <w:left w:val="single" w:sz="8" w:space="0" w:color="auto"/>
              <w:bottom w:val="single" w:sz="8" w:space="0" w:color="auto"/>
              <w:right w:val="single" w:sz="8" w:space="0" w:color="auto"/>
            </w:tcBorders>
            <w:shd w:val="clear" w:color="auto" w:fill="auto"/>
            <w:noWrap/>
            <w:vAlign w:val="center"/>
            <w:hideMark/>
          </w:tcPr>
          <w:p w14:paraId="1F214524"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2021</w:t>
            </w:r>
          </w:p>
        </w:tc>
        <w:tc>
          <w:tcPr>
            <w:tcW w:w="1812" w:type="dxa"/>
            <w:tcBorders>
              <w:top w:val="nil"/>
              <w:left w:val="nil"/>
              <w:bottom w:val="single" w:sz="8" w:space="0" w:color="auto"/>
              <w:right w:val="single" w:sz="8" w:space="0" w:color="auto"/>
            </w:tcBorders>
            <w:shd w:val="clear" w:color="auto" w:fill="auto"/>
            <w:noWrap/>
            <w:vAlign w:val="center"/>
            <w:hideMark/>
          </w:tcPr>
          <w:p w14:paraId="5A663458"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155.01</w:t>
            </w:r>
          </w:p>
        </w:tc>
        <w:tc>
          <w:tcPr>
            <w:tcW w:w="1617" w:type="dxa"/>
            <w:tcBorders>
              <w:top w:val="nil"/>
              <w:left w:val="nil"/>
              <w:bottom w:val="single" w:sz="8" w:space="0" w:color="auto"/>
              <w:right w:val="single" w:sz="8" w:space="0" w:color="auto"/>
            </w:tcBorders>
            <w:shd w:val="clear" w:color="auto" w:fill="auto"/>
            <w:noWrap/>
            <w:vAlign w:val="center"/>
            <w:hideMark/>
          </w:tcPr>
          <w:p w14:paraId="1DF2EBA3"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3,141.51</w:t>
            </w:r>
          </w:p>
        </w:tc>
        <w:tc>
          <w:tcPr>
            <w:tcW w:w="2085" w:type="dxa"/>
            <w:tcBorders>
              <w:top w:val="nil"/>
              <w:left w:val="nil"/>
              <w:bottom w:val="single" w:sz="8" w:space="0" w:color="auto"/>
              <w:right w:val="single" w:sz="8" w:space="0" w:color="auto"/>
            </w:tcBorders>
            <w:shd w:val="clear" w:color="auto" w:fill="auto"/>
            <w:noWrap/>
            <w:vAlign w:val="center"/>
            <w:hideMark/>
          </w:tcPr>
          <w:p w14:paraId="0B4693A0"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4.6</w:t>
            </w:r>
          </w:p>
        </w:tc>
        <w:tc>
          <w:tcPr>
            <w:tcW w:w="1909" w:type="dxa"/>
            <w:tcBorders>
              <w:top w:val="nil"/>
              <w:left w:val="nil"/>
              <w:bottom w:val="single" w:sz="8" w:space="0" w:color="auto"/>
              <w:right w:val="single" w:sz="8" w:space="0" w:color="auto"/>
            </w:tcBorders>
            <w:shd w:val="clear" w:color="auto" w:fill="auto"/>
            <w:noWrap/>
            <w:vAlign w:val="center"/>
            <w:hideMark/>
          </w:tcPr>
          <w:p w14:paraId="2D9A1893"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4.93%</w:t>
            </w:r>
          </w:p>
        </w:tc>
      </w:tr>
      <w:tr w:rsidR="0092745F" w:rsidRPr="004A73C1" w14:paraId="252E30F7" w14:textId="77777777" w:rsidTr="00BE222C">
        <w:trPr>
          <w:trHeight w:val="328"/>
        </w:trPr>
        <w:tc>
          <w:tcPr>
            <w:tcW w:w="1890" w:type="dxa"/>
            <w:tcBorders>
              <w:top w:val="nil"/>
              <w:left w:val="single" w:sz="8" w:space="0" w:color="auto"/>
              <w:bottom w:val="single" w:sz="8" w:space="0" w:color="auto"/>
              <w:right w:val="single" w:sz="8" w:space="0" w:color="auto"/>
            </w:tcBorders>
            <w:shd w:val="clear" w:color="auto" w:fill="auto"/>
            <w:noWrap/>
            <w:vAlign w:val="center"/>
            <w:hideMark/>
          </w:tcPr>
          <w:p w14:paraId="1A7E57FF"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2022</w:t>
            </w:r>
          </w:p>
        </w:tc>
        <w:tc>
          <w:tcPr>
            <w:tcW w:w="1812" w:type="dxa"/>
            <w:tcBorders>
              <w:top w:val="nil"/>
              <w:left w:val="nil"/>
              <w:bottom w:val="single" w:sz="8" w:space="0" w:color="auto"/>
              <w:right w:val="single" w:sz="8" w:space="0" w:color="auto"/>
            </w:tcBorders>
            <w:shd w:val="clear" w:color="auto" w:fill="auto"/>
            <w:noWrap/>
            <w:vAlign w:val="center"/>
            <w:hideMark/>
          </w:tcPr>
          <w:p w14:paraId="7C028D5A"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79.99</w:t>
            </w:r>
          </w:p>
        </w:tc>
        <w:tc>
          <w:tcPr>
            <w:tcW w:w="1617" w:type="dxa"/>
            <w:tcBorders>
              <w:top w:val="nil"/>
              <w:left w:val="nil"/>
              <w:bottom w:val="single" w:sz="8" w:space="0" w:color="auto"/>
              <w:right w:val="single" w:sz="8" w:space="0" w:color="auto"/>
            </w:tcBorders>
            <w:shd w:val="clear" w:color="auto" w:fill="auto"/>
            <w:noWrap/>
            <w:vAlign w:val="center"/>
            <w:hideMark/>
          </w:tcPr>
          <w:p w14:paraId="08F5ACFC"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3,088.84</w:t>
            </w:r>
          </w:p>
        </w:tc>
        <w:tc>
          <w:tcPr>
            <w:tcW w:w="2085" w:type="dxa"/>
            <w:tcBorders>
              <w:top w:val="nil"/>
              <w:left w:val="nil"/>
              <w:bottom w:val="single" w:sz="8" w:space="0" w:color="auto"/>
              <w:right w:val="single" w:sz="8" w:space="0" w:color="auto"/>
            </w:tcBorders>
            <w:shd w:val="clear" w:color="auto" w:fill="auto"/>
            <w:noWrap/>
            <w:vAlign w:val="center"/>
            <w:hideMark/>
          </w:tcPr>
          <w:p w14:paraId="53F9F99E"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3.9</w:t>
            </w:r>
          </w:p>
        </w:tc>
        <w:tc>
          <w:tcPr>
            <w:tcW w:w="1909" w:type="dxa"/>
            <w:tcBorders>
              <w:top w:val="nil"/>
              <w:left w:val="nil"/>
              <w:bottom w:val="single" w:sz="8" w:space="0" w:color="auto"/>
              <w:right w:val="single" w:sz="8" w:space="0" w:color="auto"/>
            </w:tcBorders>
            <w:shd w:val="clear" w:color="auto" w:fill="auto"/>
            <w:noWrap/>
            <w:vAlign w:val="center"/>
            <w:hideMark/>
          </w:tcPr>
          <w:p w14:paraId="37E9F379"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2.59%</w:t>
            </w:r>
          </w:p>
        </w:tc>
      </w:tr>
      <w:tr w:rsidR="0092745F" w:rsidRPr="004A73C1" w14:paraId="2BE16380" w14:textId="77777777" w:rsidTr="00BE222C">
        <w:trPr>
          <w:trHeight w:val="328"/>
        </w:trPr>
        <w:tc>
          <w:tcPr>
            <w:tcW w:w="1890" w:type="dxa"/>
            <w:tcBorders>
              <w:top w:val="nil"/>
              <w:left w:val="single" w:sz="8" w:space="0" w:color="auto"/>
              <w:bottom w:val="single" w:sz="8" w:space="0" w:color="auto"/>
              <w:right w:val="single" w:sz="8" w:space="0" w:color="auto"/>
            </w:tcBorders>
            <w:shd w:val="clear" w:color="auto" w:fill="auto"/>
            <w:noWrap/>
            <w:vAlign w:val="center"/>
            <w:hideMark/>
          </w:tcPr>
          <w:p w14:paraId="78193C8F"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2023</w:t>
            </w:r>
          </w:p>
        </w:tc>
        <w:tc>
          <w:tcPr>
            <w:tcW w:w="1812" w:type="dxa"/>
            <w:tcBorders>
              <w:top w:val="nil"/>
              <w:left w:val="nil"/>
              <w:bottom w:val="single" w:sz="8" w:space="0" w:color="auto"/>
              <w:right w:val="single" w:sz="8" w:space="0" w:color="auto"/>
            </w:tcBorders>
            <w:shd w:val="clear" w:color="auto" w:fill="auto"/>
            <w:noWrap/>
            <w:vAlign w:val="center"/>
            <w:hideMark/>
          </w:tcPr>
          <w:p w14:paraId="7B352911"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90.03</w:t>
            </w:r>
          </w:p>
        </w:tc>
        <w:tc>
          <w:tcPr>
            <w:tcW w:w="1617" w:type="dxa"/>
            <w:tcBorders>
              <w:top w:val="nil"/>
              <w:left w:val="nil"/>
              <w:bottom w:val="single" w:sz="8" w:space="0" w:color="auto"/>
              <w:right w:val="single" w:sz="8" w:space="0" w:color="auto"/>
            </w:tcBorders>
            <w:shd w:val="clear" w:color="auto" w:fill="auto"/>
            <w:noWrap/>
            <w:vAlign w:val="center"/>
            <w:hideMark/>
          </w:tcPr>
          <w:p w14:paraId="41755967"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3,340.03</w:t>
            </w:r>
          </w:p>
        </w:tc>
        <w:tc>
          <w:tcPr>
            <w:tcW w:w="2085" w:type="dxa"/>
            <w:tcBorders>
              <w:top w:val="nil"/>
              <w:left w:val="nil"/>
              <w:bottom w:val="single" w:sz="8" w:space="0" w:color="auto"/>
              <w:right w:val="single" w:sz="8" w:space="0" w:color="auto"/>
            </w:tcBorders>
            <w:shd w:val="clear" w:color="auto" w:fill="auto"/>
            <w:noWrap/>
            <w:vAlign w:val="center"/>
            <w:hideMark/>
          </w:tcPr>
          <w:p w14:paraId="4DF3915E"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4</w:t>
            </w:r>
          </w:p>
        </w:tc>
        <w:tc>
          <w:tcPr>
            <w:tcW w:w="1909" w:type="dxa"/>
            <w:tcBorders>
              <w:top w:val="nil"/>
              <w:left w:val="nil"/>
              <w:bottom w:val="single" w:sz="8" w:space="0" w:color="auto"/>
              <w:right w:val="single" w:sz="8" w:space="0" w:color="auto"/>
            </w:tcBorders>
            <w:shd w:val="clear" w:color="auto" w:fill="auto"/>
            <w:noWrap/>
            <w:vAlign w:val="center"/>
            <w:hideMark/>
          </w:tcPr>
          <w:p w14:paraId="141CB1E5"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2.70%</w:t>
            </w:r>
          </w:p>
        </w:tc>
      </w:tr>
    </w:tbl>
    <w:p w14:paraId="52240523" w14:textId="221A38C7" w:rsidR="0092745F" w:rsidRPr="004A73C1" w:rsidRDefault="0092745F" w:rsidP="00C75C62">
      <w:pPr>
        <w:spacing w:after="0" w:line="360" w:lineRule="auto"/>
        <w:jc w:val="both"/>
        <w:rPr>
          <w:rFonts w:ascii="Arial" w:hAnsi="Arial" w:cs="Arial"/>
        </w:rPr>
      </w:pPr>
      <w:r w:rsidRPr="004A73C1">
        <w:rPr>
          <w:rFonts w:ascii="Arial" w:hAnsi="Arial" w:cs="Arial"/>
        </w:rPr>
        <w:t>Figure 19</w:t>
      </w:r>
      <w:r w:rsidRPr="004A73C1">
        <w:rPr>
          <w:rFonts w:ascii="Arial" w:hAnsi="Arial" w:cs="Arial"/>
        </w:rPr>
        <w:tab/>
        <w:t xml:space="preserve">Source -World Bank </w:t>
      </w:r>
    </w:p>
    <w:p w14:paraId="63B8F842" w14:textId="77777777" w:rsidR="00EE7955" w:rsidRPr="004A73C1" w:rsidRDefault="00EE7955">
      <w:pPr>
        <w:rPr>
          <w:rFonts w:ascii="Arial" w:eastAsiaTheme="majorEastAsia" w:hAnsi="Arial" w:cs="Arial"/>
          <w:sz w:val="26"/>
          <w:szCs w:val="26"/>
          <w:shd w:val="clear" w:color="auto" w:fill="FFFFFF"/>
        </w:rPr>
      </w:pPr>
      <w:r w:rsidRPr="004A73C1">
        <w:rPr>
          <w:rFonts w:ascii="Arial" w:eastAsiaTheme="majorEastAsia" w:hAnsi="Arial" w:cs="Arial"/>
          <w:sz w:val="26"/>
          <w:szCs w:val="26"/>
          <w:shd w:val="clear" w:color="auto" w:fill="FFFFFF"/>
        </w:rPr>
        <w:br w:type="page"/>
      </w:r>
    </w:p>
    <w:p w14:paraId="4E68452E" w14:textId="77777777" w:rsidR="00B93891" w:rsidRPr="004A73C1" w:rsidRDefault="00B93891" w:rsidP="00B93891">
      <w:pPr>
        <w:spacing w:after="200" w:line="360" w:lineRule="auto"/>
        <w:jc w:val="both"/>
        <w:rPr>
          <w:rFonts w:ascii="Arial" w:eastAsiaTheme="majorEastAsia" w:hAnsi="Arial" w:cs="Arial"/>
          <w:sz w:val="26"/>
          <w:szCs w:val="26"/>
          <w:shd w:val="clear" w:color="auto" w:fill="FFFFFF"/>
        </w:rPr>
      </w:pPr>
    </w:p>
    <w:p w14:paraId="05160842" w14:textId="009B9FE0" w:rsidR="00EE7955" w:rsidRPr="004A73C1" w:rsidRDefault="00CA52E6" w:rsidP="002836D7">
      <w:pPr>
        <w:pStyle w:val="Heading3"/>
        <w:rPr>
          <w:rFonts w:ascii="Arial" w:hAnsi="Arial" w:cs="Arial"/>
          <w:color w:val="auto"/>
          <w:shd w:val="clear" w:color="auto" w:fill="FFFFFF"/>
        </w:rPr>
      </w:pPr>
      <w:bookmarkStart w:id="132" w:name="_Toc175675371"/>
      <w:r w:rsidRPr="004A73C1">
        <w:rPr>
          <w:rFonts w:ascii="Arial" w:hAnsi="Arial" w:cs="Arial"/>
          <w:color w:val="auto"/>
          <w:shd w:val="clear" w:color="auto" w:fill="FFFFFF"/>
        </w:rPr>
        <w:t>4.4.1</w:t>
      </w:r>
      <w:r w:rsidRPr="004A73C1">
        <w:rPr>
          <w:rFonts w:ascii="Arial" w:hAnsi="Arial" w:cs="Arial"/>
          <w:color w:val="auto"/>
          <w:shd w:val="clear" w:color="auto" w:fill="FFFFFF"/>
        </w:rPr>
        <w:tab/>
      </w:r>
      <w:r w:rsidR="00EE7955" w:rsidRPr="004A73C1">
        <w:rPr>
          <w:rFonts w:ascii="Arial" w:hAnsi="Arial" w:cs="Arial"/>
          <w:color w:val="auto"/>
          <w:shd w:val="clear" w:color="auto" w:fill="FFFFFF"/>
        </w:rPr>
        <w:t xml:space="preserve">Regression </w:t>
      </w:r>
      <w:r w:rsidR="00C13730">
        <w:rPr>
          <w:rFonts w:ascii="Arial" w:hAnsi="Arial" w:cs="Arial"/>
          <w:color w:val="auto"/>
          <w:shd w:val="clear" w:color="auto" w:fill="FFFFFF"/>
        </w:rPr>
        <w:t>A</w:t>
      </w:r>
      <w:r w:rsidR="00EE7955" w:rsidRPr="004A73C1">
        <w:rPr>
          <w:rFonts w:ascii="Arial" w:hAnsi="Arial" w:cs="Arial"/>
          <w:color w:val="auto"/>
          <w:shd w:val="clear" w:color="auto" w:fill="FFFFFF"/>
        </w:rPr>
        <w:t>nalysis</w:t>
      </w:r>
      <w:bookmarkEnd w:id="132"/>
      <w:r w:rsidR="00EE7955" w:rsidRPr="004A73C1">
        <w:rPr>
          <w:rFonts w:ascii="Arial" w:hAnsi="Arial" w:cs="Arial"/>
          <w:color w:val="auto"/>
          <w:shd w:val="clear" w:color="auto" w:fill="FFFFFF"/>
        </w:rPr>
        <w:t xml:space="preserve"> </w:t>
      </w:r>
    </w:p>
    <w:tbl>
      <w:tblPr>
        <w:tblW w:w="7977" w:type="dxa"/>
        <w:tblLook w:val="04A0" w:firstRow="1" w:lastRow="0" w:firstColumn="1" w:lastColumn="0" w:noHBand="0" w:noVBand="1"/>
      </w:tblPr>
      <w:tblGrid>
        <w:gridCol w:w="1183"/>
        <w:gridCol w:w="1174"/>
        <w:gridCol w:w="901"/>
        <w:gridCol w:w="901"/>
        <w:gridCol w:w="1174"/>
        <w:gridCol w:w="1174"/>
        <w:gridCol w:w="809"/>
        <w:gridCol w:w="901"/>
        <w:gridCol w:w="809"/>
      </w:tblGrid>
      <w:tr w:rsidR="002E690B" w:rsidRPr="004A73C1" w14:paraId="7D668AC3" w14:textId="77777777" w:rsidTr="00BE222C">
        <w:trPr>
          <w:trHeight w:val="324"/>
        </w:trPr>
        <w:tc>
          <w:tcPr>
            <w:tcW w:w="2889" w:type="dxa"/>
            <w:gridSpan w:val="3"/>
            <w:tcBorders>
              <w:top w:val="nil"/>
              <w:left w:val="nil"/>
              <w:bottom w:val="nil"/>
              <w:right w:val="nil"/>
            </w:tcBorders>
            <w:shd w:val="clear" w:color="auto" w:fill="auto"/>
            <w:noWrap/>
            <w:vAlign w:val="bottom"/>
            <w:hideMark/>
          </w:tcPr>
          <w:p w14:paraId="03927A33" w14:textId="695D549D" w:rsidR="00EE7955" w:rsidRPr="004A73C1" w:rsidRDefault="00EE7955" w:rsidP="00EE7955">
            <w:pPr>
              <w:spacing w:after="0" w:line="240" w:lineRule="auto"/>
              <w:rPr>
                <w:rFonts w:ascii="Arial" w:eastAsia="Times New Roman" w:hAnsi="Arial" w:cs="Arial"/>
                <w:b/>
                <w:bCs/>
                <w:color w:val="000000"/>
                <w:sz w:val="20"/>
                <w:szCs w:val="20"/>
                <w:lang w:eastAsia="en-GB"/>
              </w:rPr>
            </w:pPr>
            <w:bookmarkStart w:id="133" w:name="_Hlk175672018"/>
            <w:r w:rsidRPr="004A73C1">
              <w:rPr>
                <w:rFonts w:ascii="Arial" w:eastAsia="Times New Roman" w:hAnsi="Arial" w:cs="Arial"/>
                <w:b/>
                <w:bCs/>
                <w:color w:val="000000"/>
                <w:sz w:val="20"/>
                <w:szCs w:val="20"/>
                <w:lang w:eastAsia="en-GB"/>
              </w:rPr>
              <w:t>Regression Analysis Summary output</w:t>
            </w:r>
          </w:p>
        </w:tc>
        <w:tc>
          <w:tcPr>
            <w:tcW w:w="792" w:type="dxa"/>
            <w:tcBorders>
              <w:top w:val="nil"/>
              <w:left w:val="nil"/>
              <w:bottom w:val="nil"/>
              <w:right w:val="nil"/>
            </w:tcBorders>
            <w:shd w:val="clear" w:color="auto" w:fill="auto"/>
            <w:noWrap/>
            <w:vAlign w:val="bottom"/>
            <w:hideMark/>
          </w:tcPr>
          <w:p w14:paraId="256699AC" w14:textId="77777777" w:rsidR="00EE7955" w:rsidRPr="004A73C1" w:rsidRDefault="00EE7955" w:rsidP="00EE7955">
            <w:pPr>
              <w:spacing w:after="0" w:line="240" w:lineRule="auto"/>
              <w:rPr>
                <w:rFonts w:ascii="Arial" w:eastAsia="Times New Roman" w:hAnsi="Arial" w:cs="Arial"/>
                <w:b/>
                <w:bCs/>
                <w:color w:val="000000"/>
                <w:sz w:val="20"/>
                <w:szCs w:val="20"/>
                <w:lang w:eastAsia="en-GB"/>
              </w:rPr>
            </w:pPr>
          </w:p>
        </w:tc>
        <w:tc>
          <w:tcPr>
            <w:tcW w:w="1044" w:type="dxa"/>
            <w:tcBorders>
              <w:top w:val="nil"/>
              <w:left w:val="nil"/>
              <w:bottom w:val="nil"/>
              <w:right w:val="nil"/>
            </w:tcBorders>
            <w:shd w:val="clear" w:color="auto" w:fill="auto"/>
            <w:noWrap/>
            <w:vAlign w:val="bottom"/>
            <w:hideMark/>
          </w:tcPr>
          <w:p w14:paraId="6C22163A"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72BB987E"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21D6097E"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92" w:type="dxa"/>
            <w:tcBorders>
              <w:top w:val="nil"/>
              <w:left w:val="nil"/>
              <w:bottom w:val="nil"/>
              <w:right w:val="nil"/>
            </w:tcBorders>
            <w:shd w:val="clear" w:color="auto" w:fill="auto"/>
            <w:noWrap/>
            <w:vAlign w:val="bottom"/>
            <w:hideMark/>
          </w:tcPr>
          <w:p w14:paraId="2B36FA05"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77226416" w14:textId="77777777" w:rsidR="00EE7955" w:rsidRPr="004A73C1" w:rsidRDefault="00EE7955" w:rsidP="00EE7955">
            <w:pPr>
              <w:spacing w:after="0" w:line="240" w:lineRule="auto"/>
              <w:rPr>
                <w:rFonts w:ascii="Arial" w:eastAsia="Times New Roman" w:hAnsi="Arial" w:cs="Arial"/>
                <w:sz w:val="20"/>
                <w:szCs w:val="20"/>
                <w:lang w:eastAsia="en-GB"/>
              </w:rPr>
            </w:pPr>
          </w:p>
        </w:tc>
      </w:tr>
      <w:tr w:rsidR="002E690B" w:rsidRPr="004A73C1" w14:paraId="0255B7DD" w14:textId="77777777" w:rsidTr="00BE222C">
        <w:trPr>
          <w:trHeight w:val="338"/>
        </w:trPr>
        <w:tc>
          <w:tcPr>
            <w:tcW w:w="1052" w:type="dxa"/>
            <w:tcBorders>
              <w:top w:val="nil"/>
              <w:left w:val="nil"/>
              <w:bottom w:val="nil"/>
              <w:right w:val="nil"/>
            </w:tcBorders>
            <w:shd w:val="clear" w:color="auto" w:fill="auto"/>
            <w:noWrap/>
            <w:vAlign w:val="bottom"/>
            <w:hideMark/>
          </w:tcPr>
          <w:p w14:paraId="61E654E5"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5C53D159"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92" w:type="dxa"/>
            <w:tcBorders>
              <w:top w:val="nil"/>
              <w:left w:val="nil"/>
              <w:bottom w:val="nil"/>
              <w:right w:val="nil"/>
            </w:tcBorders>
            <w:shd w:val="clear" w:color="auto" w:fill="auto"/>
            <w:noWrap/>
            <w:vAlign w:val="bottom"/>
            <w:hideMark/>
          </w:tcPr>
          <w:p w14:paraId="16931C5A"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92" w:type="dxa"/>
            <w:tcBorders>
              <w:top w:val="nil"/>
              <w:left w:val="nil"/>
              <w:bottom w:val="nil"/>
              <w:right w:val="nil"/>
            </w:tcBorders>
            <w:shd w:val="clear" w:color="auto" w:fill="auto"/>
            <w:noWrap/>
            <w:vAlign w:val="bottom"/>
            <w:hideMark/>
          </w:tcPr>
          <w:p w14:paraId="24B35415"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0EAD63A0"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2CD3BB3B"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51C2928F"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92" w:type="dxa"/>
            <w:tcBorders>
              <w:top w:val="nil"/>
              <w:left w:val="nil"/>
              <w:bottom w:val="nil"/>
              <w:right w:val="nil"/>
            </w:tcBorders>
            <w:shd w:val="clear" w:color="auto" w:fill="auto"/>
            <w:noWrap/>
            <w:vAlign w:val="bottom"/>
            <w:hideMark/>
          </w:tcPr>
          <w:p w14:paraId="307D66C5"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55DC5FD8" w14:textId="77777777" w:rsidR="00EE7955" w:rsidRPr="004A73C1" w:rsidRDefault="00EE7955" w:rsidP="00EE7955">
            <w:pPr>
              <w:spacing w:after="0" w:line="240" w:lineRule="auto"/>
              <w:rPr>
                <w:rFonts w:ascii="Arial" w:eastAsia="Times New Roman" w:hAnsi="Arial" w:cs="Arial"/>
                <w:sz w:val="20"/>
                <w:szCs w:val="20"/>
                <w:lang w:eastAsia="en-GB"/>
              </w:rPr>
            </w:pPr>
          </w:p>
        </w:tc>
      </w:tr>
      <w:tr w:rsidR="002E690B" w:rsidRPr="004A73C1" w14:paraId="48A0A6B5" w14:textId="77777777" w:rsidTr="00BE222C">
        <w:trPr>
          <w:trHeight w:val="324"/>
        </w:trPr>
        <w:tc>
          <w:tcPr>
            <w:tcW w:w="2096" w:type="dxa"/>
            <w:gridSpan w:val="2"/>
            <w:tcBorders>
              <w:top w:val="single" w:sz="8" w:space="0" w:color="auto"/>
              <w:left w:val="nil"/>
              <w:bottom w:val="single" w:sz="4" w:space="0" w:color="auto"/>
              <w:right w:val="nil"/>
            </w:tcBorders>
            <w:shd w:val="clear" w:color="auto" w:fill="auto"/>
            <w:noWrap/>
            <w:vAlign w:val="bottom"/>
            <w:hideMark/>
          </w:tcPr>
          <w:p w14:paraId="2D7B5D52" w14:textId="77777777" w:rsidR="00EE7955" w:rsidRPr="004A73C1" w:rsidRDefault="00EE7955" w:rsidP="00EE7955">
            <w:pPr>
              <w:spacing w:after="0" w:line="240" w:lineRule="auto"/>
              <w:jc w:val="center"/>
              <w:rPr>
                <w:rFonts w:ascii="Arial" w:eastAsia="Times New Roman" w:hAnsi="Arial" w:cs="Arial"/>
                <w:i/>
                <w:iCs/>
                <w:color w:val="000000"/>
                <w:sz w:val="20"/>
                <w:szCs w:val="20"/>
                <w:lang w:eastAsia="en-GB"/>
              </w:rPr>
            </w:pPr>
            <w:r w:rsidRPr="004A73C1">
              <w:rPr>
                <w:rFonts w:ascii="Arial" w:eastAsia="Times New Roman" w:hAnsi="Arial" w:cs="Arial"/>
                <w:i/>
                <w:iCs/>
                <w:color w:val="000000"/>
                <w:sz w:val="20"/>
                <w:szCs w:val="20"/>
                <w:lang w:eastAsia="en-GB"/>
              </w:rPr>
              <w:t>Regression Statistics</w:t>
            </w:r>
          </w:p>
        </w:tc>
        <w:tc>
          <w:tcPr>
            <w:tcW w:w="792" w:type="dxa"/>
            <w:tcBorders>
              <w:top w:val="nil"/>
              <w:left w:val="nil"/>
              <w:bottom w:val="nil"/>
              <w:right w:val="nil"/>
            </w:tcBorders>
            <w:shd w:val="clear" w:color="auto" w:fill="auto"/>
            <w:noWrap/>
            <w:vAlign w:val="bottom"/>
            <w:hideMark/>
          </w:tcPr>
          <w:p w14:paraId="70B7E9EE" w14:textId="77777777" w:rsidR="00EE7955" w:rsidRPr="004A73C1" w:rsidRDefault="00EE7955" w:rsidP="00EE7955">
            <w:pPr>
              <w:spacing w:after="0" w:line="240" w:lineRule="auto"/>
              <w:jc w:val="center"/>
              <w:rPr>
                <w:rFonts w:ascii="Arial" w:eastAsia="Times New Roman" w:hAnsi="Arial" w:cs="Arial"/>
                <w:i/>
                <w:iCs/>
                <w:color w:val="000000"/>
                <w:sz w:val="20"/>
                <w:szCs w:val="20"/>
                <w:lang w:eastAsia="en-GB"/>
              </w:rPr>
            </w:pPr>
          </w:p>
        </w:tc>
        <w:tc>
          <w:tcPr>
            <w:tcW w:w="792" w:type="dxa"/>
            <w:tcBorders>
              <w:top w:val="nil"/>
              <w:left w:val="nil"/>
              <w:bottom w:val="nil"/>
              <w:right w:val="nil"/>
            </w:tcBorders>
            <w:shd w:val="clear" w:color="auto" w:fill="auto"/>
            <w:noWrap/>
            <w:vAlign w:val="bottom"/>
            <w:hideMark/>
          </w:tcPr>
          <w:p w14:paraId="5A9649D1"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529AC897"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170E37C1"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177D9400"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92" w:type="dxa"/>
            <w:tcBorders>
              <w:top w:val="nil"/>
              <w:left w:val="nil"/>
              <w:bottom w:val="nil"/>
              <w:right w:val="nil"/>
            </w:tcBorders>
            <w:shd w:val="clear" w:color="auto" w:fill="auto"/>
            <w:noWrap/>
            <w:vAlign w:val="bottom"/>
            <w:hideMark/>
          </w:tcPr>
          <w:p w14:paraId="47A36FE8"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6409020D" w14:textId="77777777" w:rsidR="00EE7955" w:rsidRPr="004A73C1" w:rsidRDefault="00EE7955" w:rsidP="00EE7955">
            <w:pPr>
              <w:spacing w:after="0" w:line="240" w:lineRule="auto"/>
              <w:rPr>
                <w:rFonts w:ascii="Arial" w:eastAsia="Times New Roman" w:hAnsi="Arial" w:cs="Arial"/>
                <w:sz w:val="20"/>
                <w:szCs w:val="20"/>
                <w:lang w:eastAsia="en-GB"/>
              </w:rPr>
            </w:pPr>
          </w:p>
        </w:tc>
      </w:tr>
      <w:tr w:rsidR="002E690B" w:rsidRPr="004A73C1" w14:paraId="0CC1538A" w14:textId="77777777" w:rsidTr="00BE222C">
        <w:trPr>
          <w:trHeight w:val="324"/>
        </w:trPr>
        <w:tc>
          <w:tcPr>
            <w:tcW w:w="1052" w:type="dxa"/>
            <w:tcBorders>
              <w:top w:val="nil"/>
              <w:left w:val="nil"/>
              <w:bottom w:val="nil"/>
              <w:right w:val="nil"/>
            </w:tcBorders>
            <w:shd w:val="clear" w:color="auto" w:fill="auto"/>
            <w:noWrap/>
            <w:vAlign w:val="bottom"/>
            <w:hideMark/>
          </w:tcPr>
          <w:p w14:paraId="56283C81" w14:textId="77777777" w:rsidR="00EE7955" w:rsidRPr="004A73C1" w:rsidRDefault="00EE7955" w:rsidP="00EE7955">
            <w:pPr>
              <w:spacing w:after="0" w:line="240" w:lineRule="auto"/>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Multiple R</w:t>
            </w:r>
          </w:p>
        </w:tc>
        <w:tc>
          <w:tcPr>
            <w:tcW w:w="1044" w:type="dxa"/>
            <w:tcBorders>
              <w:top w:val="nil"/>
              <w:left w:val="nil"/>
              <w:bottom w:val="nil"/>
              <w:right w:val="nil"/>
            </w:tcBorders>
            <w:shd w:val="clear" w:color="auto" w:fill="auto"/>
            <w:noWrap/>
            <w:vAlign w:val="bottom"/>
            <w:hideMark/>
          </w:tcPr>
          <w:p w14:paraId="60A5F707"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0.68981541</w:t>
            </w:r>
          </w:p>
        </w:tc>
        <w:tc>
          <w:tcPr>
            <w:tcW w:w="792" w:type="dxa"/>
            <w:tcBorders>
              <w:top w:val="nil"/>
              <w:left w:val="nil"/>
              <w:bottom w:val="nil"/>
              <w:right w:val="nil"/>
            </w:tcBorders>
            <w:shd w:val="clear" w:color="auto" w:fill="auto"/>
            <w:noWrap/>
            <w:vAlign w:val="bottom"/>
            <w:hideMark/>
          </w:tcPr>
          <w:p w14:paraId="5A02C366"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p>
        </w:tc>
        <w:tc>
          <w:tcPr>
            <w:tcW w:w="792" w:type="dxa"/>
            <w:tcBorders>
              <w:top w:val="nil"/>
              <w:left w:val="nil"/>
              <w:bottom w:val="nil"/>
              <w:right w:val="nil"/>
            </w:tcBorders>
            <w:shd w:val="clear" w:color="auto" w:fill="auto"/>
            <w:noWrap/>
            <w:vAlign w:val="bottom"/>
            <w:hideMark/>
          </w:tcPr>
          <w:p w14:paraId="370F038F"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5608672E"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1B6B2E93"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79E66F3A"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92" w:type="dxa"/>
            <w:tcBorders>
              <w:top w:val="nil"/>
              <w:left w:val="nil"/>
              <w:bottom w:val="nil"/>
              <w:right w:val="nil"/>
            </w:tcBorders>
            <w:shd w:val="clear" w:color="auto" w:fill="auto"/>
            <w:noWrap/>
            <w:vAlign w:val="bottom"/>
            <w:hideMark/>
          </w:tcPr>
          <w:p w14:paraId="1845FC42"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4FEB30F0" w14:textId="77777777" w:rsidR="00EE7955" w:rsidRPr="004A73C1" w:rsidRDefault="00EE7955" w:rsidP="00EE7955">
            <w:pPr>
              <w:spacing w:after="0" w:line="240" w:lineRule="auto"/>
              <w:rPr>
                <w:rFonts w:ascii="Arial" w:eastAsia="Times New Roman" w:hAnsi="Arial" w:cs="Arial"/>
                <w:sz w:val="20"/>
                <w:szCs w:val="20"/>
                <w:lang w:eastAsia="en-GB"/>
              </w:rPr>
            </w:pPr>
          </w:p>
        </w:tc>
      </w:tr>
      <w:tr w:rsidR="002E690B" w:rsidRPr="004A73C1" w14:paraId="0240A3CD" w14:textId="77777777" w:rsidTr="00BE222C">
        <w:trPr>
          <w:trHeight w:val="324"/>
        </w:trPr>
        <w:tc>
          <w:tcPr>
            <w:tcW w:w="1052" w:type="dxa"/>
            <w:tcBorders>
              <w:top w:val="nil"/>
              <w:left w:val="nil"/>
              <w:bottom w:val="nil"/>
              <w:right w:val="nil"/>
            </w:tcBorders>
            <w:shd w:val="clear" w:color="auto" w:fill="auto"/>
            <w:noWrap/>
            <w:vAlign w:val="bottom"/>
            <w:hideMark/>
          </w:tcPr>
          <w:p w14:paraId="6FAE7B45" w14:textId="77777777" w:rsidR="00EE7955" w:rsidRPr="004A73C1" w:rsidRDefault="00EE7955" w:rsidP="00EE7955">
            <w:pPr>
              <w:spacing w:after="0" w:line="240" w:lineRule="auto"/>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R Square</w:t>
            </w:r>
          </w:p>
        </w:tc>
        <w:tc>
          <w:tcPr>
            <w:tcW w:w="1044" w:type="dxa"/>
            <w:tcBorders>
              <w:top w:val="nil"/>
              <w:left w:val="nil"/>
              <w:bottom w:val="nil"/>
              <w:right w:val="nil"/>
            </w:tcBorders>
            <w:shd w:val="clear" w:color="auto" w:fill="auto"/>
            <w:noWrap/>
            <w:vAlign w:val="bottom"/>
            <w:hideMark/>
          </w:tcPr>
          <w:p w14:paraId="13BBF15E"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0.4758453</w:t>
            </w:r>
          </w:p>
        </w:tc>
        <w:tc>
          <w:tcPr>
            <w:tcW w:w="792" w:type="dxa"/>
            <w:tcBorders>
              <w:top w:val="nil"/>
              <w:left w:val="nil"/>
              <w:bottom w:val="nil"/>
              <w:right w:val="nil"/>
            </w:tcBorders>
            <w:shd w:val="clear" w:color="auto" w:fill="auto"/>
            <w:noWrap/>
            <w:vAlign w:val="bottom"/>
            <w:hideMark/>
          </w:tcPr>
          <w:p w14:paraId="2C275AD2"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p>
        </w:tc>
        <w:tc>
          <w:tcPr>
            <w:tcW w:w="792" w:type="dxa"/>
            <w:tcBorders>
              <w:top w:val="nil"/>
              <w:left w:val="nil"/>
              <w:bottom w:val="nil"/>
              <w:right w:val="nil"/>
            </w:tcBorders>
            <w:shd w:val="clear" w:color="auto" w:fill="auto"/>
            <w:noWrap/>
            <w:vAlign w:val="bottom"/>
            <w:hideMark/>
          </w:tcPr>
          <w:p w14:paraId="7CD4028D"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6C72DA60"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0D307829"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177E63EF"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92" w:type="dxa"/>
            <w:tcBorders>
              <w:top w:val="nil"/>
              <w:left w:val="nil"/>
              <w:bottom w:val="nil"/>
              <w:right w:val="nil"/>
            </w:tcBorders>
            <w:shd w:val="clear" w:color="auto" w:fill="auto"/>
            <w:noWrap/>
            <w:vAlign w:val="bottom"/>
            <w:hideMark/>
          </w:tcPr>
          <w:p w14:paraId="66CC93A6"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5149409D" w14:textId="77777777" w:rsidR="00EE7955" w:rsidRPr="004A73C1" w:rsidRDefault="00EE7955" w:rsidP="00EE7955">
            <w:pPr>
              <w:spacing w:after="0" w:line="240" w:lineRule="auto"/>
              <w:rPr>
                <w:rFonts w:ascii="Arial" w:eastAsia="Times New Roman" w:hAnsi="Arial" w:cs="Arial"/>
                <w:sz w:val="20"/>
                <w:szCs w:val="20"/>
                <w:lang w:eastAsia="en-GB"/>
              </w:rPr>
            </w:pPr>
          </w:p>
        </w:tc>
      </w:tr>
      <w:tr w:rsidR="002E690B" w:rsidRPr="004A73C1" w14:paraId="7323A817" w14:textId="77777777" w:rsidTr="00BE222C">
        <w:trPr>
          <w:trHeight w:val="324"/>
        </w:trPr>
        <w:tc>
          <w:tcPr>
            <w:tcW w:w="1052" w:type="dxa"/>
            <w:tcBorders>
              <w:top w:val="nil"/>
              <w:left w:val="nil"/>
              <w:bottom w:val="nil"/>
              <w:right w:val="nil"/>
            </w:tcBorders>
            <w:shd w:val="clear" w:color="auto" w:fill="auto"/>
            <w:noWrap/>
            <w:vAlign w:val="bottom"/>
            <w:hideMark/>
          </w:tcPr>
          <w:p w14:paraId="04D89E02" w14:textId="77777777" w:rsidR="00EE7955" w:rsidRPr="004A73C1" w:rsidRDefault="00EE7955" w:rsidP="00EE7955">
            <w:pPr>
              <w:spacing w:after="0" w:line="240" w:lineRule="auto"/>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Adjusted R Square</w:t>
            </w:r>
          </w:p>
        </w:tc>
        <w:tc>
          <w:tcPr>
            <w:tcW w:w="1044" w:type="dxa"/>
            <w:tcBorders>
              <w:top w:val="nil"/>
              <w:left w:val="nil"/>
              <w:bottom w:val="nil"/>
              <w:right w:val="nil"/>
            </w:tcBorders>
            <w:shd w:val="clear" w:color="auto" w:fill="auto"/>
            <w:noWrap/>
            <w:vAlign w:val="bottom"/>
            <w:hideMark/>
          </w:tcPr>
          <w:p w14:paraId="05325E7E"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0.400966057</w:t>
            </w:r>
          </w:p>
        </w:tc>
        <w:tc>
          <w:tcPr>
            <w:tcW w:w="792" w:type="dxa"/>
            <w:tcBorders>
              <w:top w:val="nil"/>
              <w:left w:val="nil"/>
              <w:bottom w:val="nil"/>
              <w:right w:val="nil"/>
            </w:tcBorders>
            <w:shd w:val="clear" w:color="auto" w:fill="auto"/>
            <w:noWrap/>
            <w:vAlign w:val="bottom"/>
            <w:hideMark/>
          </w:tcPr>
          <w:p w14:paraId="785FAEE0"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p>
        </w:tc>
        <w:tc>
          <w:tcPr>
            <w:tcW w:w="792" w:type="dxa"/>
            <w:tcBorders>
              <w:top w:val="nil"/>
              <w:left w:val="nil"/>
              <w:bottom w:val="nil"/>
              <w:right w:val="nil"/>
            </w:tcBorders>
            <w:shd w:val="clear" w:color="auto" w:fill="auto"/>
            <w:noWrap/>
            <w:vAlign w:val="bottom"/>
            <w:hideMark/>
          </w:tcPr>
          <w:p w14:paraId="09C4B148"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59D1C4F0"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5F7D045A"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5A1CD061"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92" w:type="dxa"/>
            <w:tcBorders>
              <w:top w:val="nil"/>
              <w:left w:val="nil"/>
              <w:bottom w:val="nil"/>
              <w:right w:val="nil"/>
            </w:tcBorders>
            <w:shd w:val="clear" w:color="auto" w:fill="auto"/>
            <w:noWrap/>
            <w:vAlign w:val="bottom"/>
            <w:hideMark/>
          </w:tcPr>
          <w:p w14:paraId="1E72F15B"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3AA1FAEA" w14:textId="77777777" w:rsidR="00EE7955" w:rsidRPr="004A73C1" w:rsidRDefault="00EE7955" w:rsidP="00EE7955">
            <w:pPr>
              <w:spacing w:after="0" w:line="240" w:lineRule="auto"/>
              <w:rPr>
                <w:rFonts w:ascii="Arial" w:eastAsia="Times New Roman" w:hAnsi="Arial" w:cs="Arial"/>
                <w:sz w:val="20"/>
                <w:szCs w:val="20"/>
                <w:lang w:eastAsia="en-GB"/>
              </w:rPr>
            </w:pPr>
          </w:p>
        </w:tc>
      </w:tr>
      <w:tr w:rsidR="002E690B" w:rsidRPr="004A73C1" w14:paraId="703351EF" w14:textId="77777777" w:rsidTr="00BE222C">
        <w:trPr>
          <w:trHeight w:val="324"/>
        </w:trPr>
        <w:tc>
          <w:tcPr>
            <w:tcW w:w="1052" w:type="dxa"/>
            <w:tcBorders>
              <w:top w:val="nil"/>
              <w:left w:val="nil"/>
              <w:bottom w:val="nil"/>
              <w:right w:val="nil"/>
            </w:tcBorders>
            <w:shd w:val="clear" w:color="auto" w:fill="auto"/>
            <w:noWrap/>
            <w:vAlign w:val="bottom"/>
            <w:hideMark/>
          </w:tcPr>
          <w:p w14:paraId="39F46654" w14:textId="77777777" w:rsidR="00EE7955" w:rsidRPr="004A73C1" w:rsidRDefault="00EE7955" w:rsidP="00EE7955">
            <w:pPr>
              <w:spacing w:after="0" w:line="240" w:lineRule="auto"/>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Standard Error</w:t>
            </w:r>
          </w:p>
        </w:tc>
        <w:tc>
          <w:tcPr>
            <w:tcW w:w="1044" w:type="dxa"/>
            <w:tcBorders>
              <w:top w:val="nil"/>
              <w:left w:val="nil"/>
              <w:bottom w:val="nil"/>
              <w:right w:val="nil"/>
            </w:tcBorders>
            <w:shd w:val="clear" w:color="auto" w:fill="auto"/>
            <w:noWrap/>
            <w:vAlign w:val="bottom"/>
            <w:hideMark/>
          </w:tcPr>
          <w:p w14:paraId="7006749D"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107.2547618</w:t>
            </w:r>
          </w:p>
        </w:tc>
        <w:tc>
          <w:tcPr>
            <w:tcW w:w="792" w:type="dxa"/>
            <w:tcBorders>
              <w:top w:val="nil"/>
              <w:left w:val="nil"/>
              <w:bottom w:val="nil"/>
              <w:right w:val="nil"/>
            </w:tcBorders>
            <w:shd w:val="clear" w:color="auto" w:fill="auto"/>
            <w:noWrap/>
            <w:vAlign w:val="bottom"/>
            <w:hideMark/>
          </w:tcPr>
          <w:p w14:paraId="42B48B8B"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p>
        </w:tc>
        <w:tc>
          <w:tcPr>
            <w:tcW w:w="792" w:type="dxa"/>
            <w:tcBorders>
              <w:top w:val="nil"/>
              <w:left w:val="nil"/>
              <w:bottom w:val="nil"/>
              <w:right w:val="nil"/>
            </w:tcBorders>
            <w:shd w:val="clear" w:color="auto" w:fill="auto"/>
            <w:noWrap/>
            <w:vAlign w:val="bottom"/>
            <w:hideMark/>
          </w:tcPr>
          <w:p w14:paraId="235A2B8A"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55451104"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55AAB605"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1115C96B"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92" w:type="dxa"/>
            <w:tcBorders>
              <w:top w:val="nil"/>
              <w:left w:val="nil"/>
              <w:bottom w:val="nil"/>
              <w:right w:val="nil"/>
            </w:tcBorders>
            <w:shd w:val="clear" w:color="auto" w:fill="auto"/>
            <w:noWrap/>
            <w:vAlign w:val="bottom"/>
            <w:hideMark/>
          </w:tcPr>
          <w:p w14:paraId="0BDCBB0E"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2E00CFDE" w14:textId="77777777" w:rsidR="00EE7955" w:rsidRPr="004A73C1" w:rsidRDefault="00EE7955" w:rsidP="00EE7955">
            <w:pPr>
              <w:spacing w:after="0" w:line="240" w:lineRule="auto"/>
              <w:rPr>
                <w:rFonts w:ascii="Arial" w:eastAsia="Times New Roman" w:hAnsi="Arial" w:cs="Arial"/>
                <w:sz w:val="20"/>
                <w:szCs w:val="20"/>
                <w:lang w:eastAsia="en-GB"/>
              </w:rPr>
            </w:pPr>
          </w:p>
        </w:tc>
      </w:tr>
      <w:tr w:rsidR="002E690B" w:rsidRPr="004A73C1" w14:paraId="0B8AE0D0" w14:textId="77777777" w:rsidTr="00BE222C">
        <w:trPr>
          <w:trHeight w:val="338"/>
        </w:trPr>
        <w:tc>
          <w:tcPr>
            <w:tcW w:w="1052" w:type="dxa"/>
            <w:tcBorders>
              <w:top w:val="nil"/>
              <w:left w:val="nil"/>
              <w:bottom w:val="single" w:sz="8" w:space="0" w:color="auto"/>
              <w:right w:val="nil"/>
            </w:tcBorders>
            <w:shd w:val="clear" w:color="auto" w:fill="auto"/>
            <w:noWrap/>
            <w:vAlign w:val="bottom"/>
            <w:hideMark/>
          </w:tcPr>
          <w:p w14:paraId="7BDB394D" w14:textId="77777777" w:rsidR="00EE7955" w:rsidRPr="004A73C1" w:rsidRDefault="00EE7955" w:rsidP="00EE7955">
            <w:pPr>
              <w:spacing w:after="0" w:line="240" w:lineRule="auto"/>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Observations</w:t>
            </w:r>
          </w:p>
        </w:tc>
        <w:tc>
          <w:tcPr>
            <w:tcW w:w="1044" w:type="dxa"/>
            <w:tcBorders>
              <w:top w:val="nil"/>
              <w:left w:val="nil"/>
              <w:bottom w:val="single" w:sz="8" w:space="0" w:color="auto"/>
              <w:right w:val="nil"/>
            </w:tcBorders>
            <w:shd w:val="clear" w:color="auto" w:fill="auto"/>
            <w:noWrap/>
            <w:vAlign w:val="bottom"/>
            <w:hideMark/>
          </w:tcPr>
          <w:p w14:paraId="24324C5D"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9</w:t>
            </w:r>
          </w:p>
        </w:tc>
        <w:tc>
          <w:tcPr>
            <w:tcW w:w="792" w:type="dxa"/>
            <w:tcBorders>
              <w:top w:val="nil"/>
              <w:left w:val="nil"/>
              <w:bottom w:val="nil"/>
              <w:right w:val="nil"/>
            </w:tcBorders>
            <w:shd w:val="clear" w:color="auto" w:fill="auto"/>
            <w:noWrap/>
            <w:vAlign w:val="bottom"/>
            <w:hideMark/>
          </w:tcPr>
          <w:p w14:paraId="38A85C55"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p>
        </w:tc>
        <w:tc>
          <w:tcPr>
            <w:tcW w:w="792" w:type="dxa"/>
            <w:tcBorders>
              <w:top w:val="nil"/>
              <w:left w:val="nil"/>
              <w:bottom w:val="nil"/>
              <w:right w:val="nil"/>
            </w:tcBorders>
            <w:shd w:val="clear" w:color="auto" w:fill="auto"/>
            <w:noWrap/>
            <w:vAlign w:val="bottom"/>
            <w:hideMark/>
          </w:tcPr>
          <w:p w14:paraId="2DEB0CD6"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2D582D0F"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2AC55E95"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70CA5491"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92" w:type="dxa"/>
            <w:tcBorders>
              <w:top w:val="nil"/>
              <w:left w:val="nil"/>
              <w:bottom w:val="nil"/>
              <w:right w:val="nil"/>
            </w:tcBorders>
            <w:shd w:val="clear" w:color="auto" w:fill="auto"/>
            <w:noWrap/>
            <w:vAlign w:val="bottom"/>
            <w:hideMark/>
          </w:tcPr>
          <w:p w14:paraId="1D1B21BC"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34E9E1DE" w14:textId="77777777" w:rsidR="00EE7955" w:rsidRPr="004A73C1" w:rsidRDefault="00EE7955" w:rsidP="00EE7955">
            <w:pPr>
              <w:spacing w:after="0" w:line="240" w:lineRule="auto"/>
              <w:rPr>
                <w:rFonts w:ascii="Arial" w:eastAsia="Times New Roman" w:hAnsi="Arial" w:cs="Arial"/>
                <w:sz w:val="20"/>
                <w:szCs w:val="20"/>
                <w:lang w:eastAsia="en-GB"/>
              </w:rPr>
            </w:pPr>
          </w:p>
        </w:tc>
      </w:tr>
      <w:tr w:rsidR="002E690B" w:rsidRPr="004A73C1" w14:paraId="7364A78A" w14:textId="77777777" w:rsidTr="00BE222C">
        <w:trPr>
          <w:trHeight w:val="324"/>
        </w:trPr>
        <w:tc>
          <w:tcPr>
            <w:tcW w:w="1052" w:type="dxa"/>
            <w:tcBorders>
              <w:top w:val="nil"/>
              <w:left w:val="nil"/>
              <w:bottom w:val="nil"/>
              <w:right w:val="nil"/>
            </w:tcBorders>
            <w:shd w:val="clear" w:color="auto" w:fill="auto"/>
            <w:noWrap/>
            <w:vAlign w:val="bottom"/>
            <w:hideMark/>
          </w:tcPr>
          <w:p w14:paraId="69DF32E6"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32B08942"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92" w:type="dxa"/>
            <w:tcBorders>
              <w:top w:val="nil"/>
              <w:left w:val="nil"/>
              <w:bottom w:val="nil"/>
              <w:right w:val="nil"/>
            </w:tcBorders>
            <w:shd w:val="clear" w:color="auto" w:fill="auto"/>
            <w:noWrap/>
            <w:vAlign w:val="bottom"/>
            <w:hideMark/>
          </w:tcPr>
          <w:p w14:paraId="398E6B70"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92" w:type="dxa"/>
            <w:tcBorders>
              <w:top w:val="nil"/>
              <w:left w:val="nil"/>
              <w:bottom w:val="nil"/>
              <w:right w:val="nil"/>
            </w:tcBorders>
            <w:shd w:val="clear" w:color="auto" w:fill="auto"/>
            <w:noWrap/>
            <w:vAlign w:val="bottom"/>
            <w:hideMark/>
          </w:tcPr>
          <w:p w14:paraId="27BC85F3"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066B8217"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656A526B"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3AE8B733"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92" w:type="dxa"/>
            <w:tcBorders>
              <w:top w:val="nil"/>
              <w:left w:val="nil"/>
              <w:bottom w:val="nil"/>
              <w:right w:val="nil"/>
            </w:tcBorders>
            <w:shd w:val="clear" w:color="auto" w:fill="auto"/>
            <w:noWrap/>
            <w:vAlign w:val="bottom"/>
            <w:hideMark/>
          </w:tcPr>
          <w:p w14:paraId="0CC901B0"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16526E78" w14:textId="77777777" w:rsidR="00EE7955" w:rsidRPr="004A73C1" w:rsidRDefault="00EE7955" w:rsidP="00EE7955">
            <w:pPr>
              <w:spacing w:after="0" w:line="240" w:lineRule="auto"/>
              <w:rPr>
                <w:rFonts w:ascii="Arial" w:eastAsia="Times New Roman" w:hAnsi="Arial" w:cs="Arial"/>
                <w:sz w:val="20"/>
                <w:szCs w:val="20"/>
                <w:lang w:eastAsia="en-GB"/>
              </w:rPr>
            </w:pPr>
          </w:p>
        </w:tc>
      </w:tr>
      <w:tr w:rsidR="002E690B" w:rsidRPr="004A73C1" w14:paraId="13AC900A" w14:textId="77777777" w:rsidTr="00BE222C">
        <w:trPr>
          <w:trHeight w:val="338"/>
        </w:trPr>
        <w:tc>
          <w:tcPr>
            <w:tcW w:w="1052" w:type="dxa"/>
            <w:tcBorders>
              <w:top w:val="nil"/>
              <w:left w:val="nil"/>
              <w:bottom w:val="nil"/>
              <w:right w:val="nil"/>
            </w:tcBorders>
            <w:shd w:val="clear" w:color="auto" w:fill="auto"/>
            <w:noWrap/>
            <w:vAlign w:val="bottom"/>
            <w:hideMark/>
          </w:tcPr>
          <w:p w14:paraId="777C50F1" w14:textId="77777777" w:rsidR="00EE7955" w:rsidRPr="004A73C1" w:rsidRDefault="00EE7955" w:rsidP="00EE7955">
            <w:pPr>
              <w:spacing w:after="0" w:line="240" w:lineRule="auto"/>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ANOVA</w:t>
            </w:r>
          </w:p>
        </w:tc>
        <w:tc>
          <w:tcPr>
            <w:tcW w:w="1044" w:type="dxa"/>
            <w:tcBorders>
              <w:top w:val="nil"/>
              <w:left w:val="nil"/>
              <w:bottom w:val="nil"/>
              <w:right w:val="nil"/>
            </w:tcBorders>
            <w:shd w:val="clear" w:color="auto" w:fill="auto"/>
            <w:noWrap/>
            <w:vAlign w:val="bottom"/>
            <w:hideMark/>
          </w:tcPr>
          <w:p w14:paraId="773A1878" w14:textId="77777777" w:rsidR="00EE7955" w:rsidRPr="004A73C1" w:rsidRDefault="00EE7955" w:rsidP="00EE7955">
            <w:pPr>
              <w:spacing w:after="0" w:line="240" w:lineRule="auto"/>
              <w:rPr>
                <w:rFonts w:ascii="Arial" w:eastAsia="Times New Roman" w:hAnsi="Arial" w:cs="Arial"/>
                <w:color w:val="000000"/>
                <w:sz w:val="20"/>
                <w:szCs w:val="20"/>
                <w:lang w:eastAsia="en-GB"/>
              </w:rPr>
            </w:pPr>
          </w:p>
        </w:tc>
        <w:tc>
          <w:tcPr>
            <w:tcW w:w="792" w:type="dxa"/>
            <w:tcBorders>
              <w:top w:val="nil"/>
              <w:left w:val="nil"/>
              <w:bottom w:val="nil"/>
              <w:right w:val="nil"/>
            </w:tcBorders>
            <w:shd w:val="clear" w:color="auto" w:fill="auto"/>
            <w:noWrap/>
            <w:vAlign w:val="bottom"/>
            <w:hideMark/>
          </w:tcPr>
          <w:p w14:paraId="0AC9BB98"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92" w:type="dxa"/>
            <w:tcBorders>
              <w:top w:val="nil"/>
              <w:left w:val="nil"/>
              <w:bottom w:val="nil"/>
              <w:right w:val="nil"/>
            </w:tcBorders>
            <w:shd w:val="clear" w:color="auto" w:fill="auto"/>
            <w:noWrap/>
            <w:vAlign w:val="bottom"/>
            <w:hideMark/>
          </w:tcPr>
          <w:p w14:paraId="782E5D67"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25C2388C"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27001DB7"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4A80BA90"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92" w:type="dxa"/>
            <w:tcBorders>
              <w:top w:val="nil"/>
              <w:left w:val="nil"/>
              <w:bottom w:val="nil"/>
              <w:right w:val="nil"/>
            </w:tcBorders>
            <w:shd w:val="clear" w:color="auto" w:fill="auto"/>
            <w:noWrap/>
            <w:vAlign w:val="bottom"/>
            <w:hideMark/>
          </w:tcPr>
          <w:p w14:paraId="47821249"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64044A8B" w14:textId="77777777" w:rsidR="00EE7955" w:rsidRPr="004A73C1" w:rsidRDefault="00EE7955" w:rsidP="00EE7955">
            <w:pPr>
              <w:spacing w:after="0" w:line="240" w:lineRule="auto"/>
              <w:rPr>
                <w:rFonts w:ascii="Arial" w:eastAsia="Times New Roman" w:hAnsi="Arial" w:cs="Arial"/>
                <w:sz w:val="20"/>
                <w:szCs w:val="20"/>
                <w:lang w:eastAsia="en-GB"/>
              </w:rPr>
            </w:pPr>
          </w:p>
        </w:tc>
      </w:tr>
      <w:tr w:rsidR="002E690B" w:rsidRPr="004A73C1" w14:paraId="1414FEFF" w14:textId="77777777" w:rsidTr="00BE222C">
        <w:trPr>
          <w:trHeight w:val="324"/>
        </w:trPr>
        <w:tc>
          <w:tcPr>
            <w:tcW w:w="1052" w:type="dxa"/>
            <w:tcBorders>
              <w:top w:val="single" w:sz="8" w:space="0" w:color="auto"/>
              <w:left w:val="nil"/>
              <w:bottom w:val="single" w:sz="4" w:space="0" w:color="auto"/>
              <w:right w:val="nil"/>
            </w:tcBorders>
            <w:shd w:val="clear" w:color="auto" w:fill="auto"/>
            <w:noWrap/>
            <w:vAlign w:val="bottom"/>
            <w:hideMark/>
          </w:tcPr>
          <w:p w14:paraId="5E1E856E" w14:textId="77777777" w:rsidR="00EE7955" w:rsidRPr="004A73C1" w:rsidRDefault="00EE7955" w:rsidP="00EE7955">
            <w:pPr>
              <w:spacing w:after="0" w:line="240" w:lineRule="auto"/>
              <w:jc w:val="center"/>
              <w:rPr>
                <w:rFonts w:ascii="Arial" w:eastAsia="Times New Roman" w:hAnsi="Arial" w:cs="Arial"/>
                <w:i/>
                <w:iCs/>
                <w:color w:val="000000"/>
                <w:sz w:val="20"/>
                <w:szCs w:val="20"/>
                <w:lang w:eastAsia="en-GB"/>
              </w:rPr>
            </w:pPr>
            <w:r w:rsidRPr="004A73C1">
              <w:rPr>
                <w:rFonts w:ascii="Arial" w:eastAsia="Times New Roman" w:hAnsi="Arial" w:cs="Arial"/>
                <w:i/>
                <w:iCs/>
                <w:color w:val="000000"/>
                <w:sz w:val="20"/>
                <w:szCs w:val="20"/>
                <w:lang w:eastAsia="en-GB"/>
              </w:rPr>
              <w:t> </w:t>
            </w:r>
          </w:p>
        </w:tc>
        <w:tc>
          <w:tcPr>
            <w:tcW w:w="1044" w:type="dxa"/>
            <w:tcBorders>
              <w:top w:val="single" w:sz="8" w:space="0" w:color="auto"/>
              <w:left w:val="nil"/>
              <w:bottom w:val="single" w:sz="4" w:space="0" w:color="auto"/>
              <w:right w:val="nil"/>
            </w:tcBorders>
            <w:shd w:val="clear" w:color="auto" w:fill="auto"/>
            <w:noWrap/>
            <w:vAlign w:val="bottom"/>
            <w:hideMark/>
          </w:tcPr>
          <w:p w14:paraId="53F1B6D5" w14:textId="77777777" w:rsidR="00EE7955" w:rsidRPr="004A73C1" w:rsidRDefault="00EE7955" w:rsidP="00EE7955">
            <w:pPr>
              <w:spacing w:after="0" w:line="240" w:lineRule="auto"/>
              <w:jc w:val="center"/>
              <w:rPr>
                <w:rFonts w:ascii="Arial" w:eastAsia="Times New Roman" w:hAnsi="Arial" w:cs="Arial"/>
                <w:i/>
                <w:iCs/>
                <w:color w:val="000000"/>
                <w:sz w:val="20"/>
                <w:szCs w:val="20"/>
                <w:lang w:eastAsia="en-GB"/>
              </w:rPr>
            </w:pPr>
            <w:r w:rsidRPr="004A73C1">
              <w:rPr>
                <w:rFonts w:ascii="Arial" w:eastAsia="Times New Roman" w:hAnsi="Arial" w:cs="Arial"/>
                <w:i/>
                <w:iCs/>
                <w:color w:val="000000"/>
                <w:sz w:val="20"/>
                <w:szCs w:val="20"/>
                <w:lang w:eastAsia="en-GB"/>
              </w:rPr>
              <w:t>df</w:t>
            </w:r>
          </w:p>
        </w:tc>
        <w:tc>
          <w:tcPr>
            <w:tcW w:w="792" w:type="dxa"/>
            <w:tcBorders>
              <w:top w:val="single" w:sz="8" w:space="0" w:color="auto"/>
              <w:left w:val="nil"/>
              <w:bottom w:val="single" w:sz="4" w:space="0" w:color="auto"/>
              <w:right w:val="nil"/>
            </w:tcBorders>
            <w:shd w:val="clear" w:color="auto" w:fill="auto"/>
            <w:noWrap/>
            <w:vAlign w:val="bottom"/>
            <w:hideMark/>
          </w:tcPr>
          <w:p w14:paraId="7AFFFC77" w14:textId="77777777" w:rsidR="00EE7955" w:rsidRPr="004A73C1" w:rsidRDefault="00EE7955" w:rsidP="00EE7955">
            <w:pPr>
              <w:spacing w:after="0" w:line="240" w:lineRule="auto"/>
              <w:jc w:val="center"/>
              <w:rPr>
                <w:rFonts w:ascii="Arial" w:eastAsia="Times New Roman" w:hAnsi="Arial" w:cs="Arial"/>
                <w:i/>
                <w:iCs/>
                <w:color w:val="000000"/>
                <w:sz w:val="20"/>
                <w:szCs w:val="20"/>
                <w:lang w:eastAsia="en-GB"/>
              </w:rPr>
            </w:pPr>
            <w:r w:rsidRPr="004A73C1">
              <w:rPr>
                <w:rFonts w:ascii="Arial" w:eastAsia="Times New Roman" w:hAnsi="Arial" w:cs="Arial"/>
                <w:i/>
                <w:iCs/>
                <w:color w:val="000000"/>
                <w:sz w:val="20"/>
                <w:szCs w:val="20"/>
                <w:lang w:eastAsia="en-GB"/>
              </w:rPr>
              <w:t>SS</w:t>
            </w:r>
          </w:p>
        </w:tc>
        <w:tc>
          <w:tcPr>
            <w:tcW w:w="792" w:type="dxa"/>
            <w:tcBorders>
              <w:top w:val="single" w:sz="8" w:space="0" w:color="auto"/>
              <w:left w:val="nil"/>
              <w:bottom w:val="single" w:sz="4" w:space="0" w:color="auto"/>
              <w:right w:val="nil"/>
            </w:tcBorders>
            <w:shd w:val="clear" w:color="auto" w:fill="auto"/>
            <w:noWrap/>
            <w:vAlign w:val="bottom"/>
            <w:hideMark/>
          </w:tcPr>
          <w:p w14:paraId="4985616F" w14:textId="77777777" w:rsidR="00EE7955" w:rsidRPr="004A73C1" w:rsidRDefault="00EE7955" w:rsidP="00EE7955">
            <w:pPr>
              <w:spacing w:after="0" w:line="240" w:lineRule="auto"/>
              <w:jc w:val="center"/>
              <w:rPr>
                <w:rFonts w:ascii="Arial" w:eastAsia="Times New Roman" w:hAnsi="Arial" w:cs="Arial"/>
                <w:i/>
                <w:iCs/>
                <w:color w:val="000000"/>
                <w:sz w:val="20"/>
                <w:szCs w:val="20"/>
                <w:lang w:eastAsia="en-GB"/>
              </w:rPr>
            </w:pPr>
            <w:r w:rsidRPr="004A73C1">
              <w:rPr>
                <w:rFonts w:ascii="Arial" w:eastAsia="Times New Roman" w:hAnsi="Arial" w:cs="Arial"/>
                <w:i/>
                <w:iCs/>
                <w:color w:val="000000"/>
                <w:sz w:val="20"/>
                <w:szCs w:val="20"/>
                <w:lang w:eastAsia="en-GB"/>
              </w:rPr>
              <w:t>MS</w:t>
            </w:r>
          </w:p>
        </w:tc>
        <w:tc>
          <w:tcPr>
            <w:tcW w:w="1044" w:type="dxa"/>
            <w:tcBorders>
              <w:top w:val="single" w:sz="8" w:space="0" w:color="auto"/>
              <w:left w:val="nil"/>
              <w:bottom w:val="single" w:sz="4" w:space="0" w:color="auto"/>
              <w:right w:val="nil"/>
            </w:tcBorders>
            <w:shd w:val="clear" w:color="auto" w:fill="auto"/>
            <w:noWrap/>
            <w:vAlign w:val="bottom"/>
            <w:hideMark/>
          </w:tcPr>
          <w:p w14:paraId="1CF7B113" w14:textId="77777777" w:rsidR="00EE7955" w:rsidRPr="004A73C1" w:rsidRDefault="00EE7955" w:rsidP="00EE7955">
            <w:pPr>
              <w:spacing w:after="0" w:line="240" w:lineRule="auto"/>
              <w:jc w:val="center"/>
              <w:rPr>
                <w:rFonts w:ascii="Arial" w:eastAsia="Times New Roman" w:hAnsi="Arial" w:cs="Arial"/>
                <w:i/>
                <w:iCs/>
                <w:color w:val="000000"/>
                <w:sz w:val="20"/>
                <w:szCs w:val="20"/>
                <w:lang w:eastAsia="en-GB"/>
              </w:rPr>
            </w:pPr>
            <w:r w:rsidRPr="004A73C1">
              <w:rPr>
                <w:rFonts w:ascii="Arial" w:eastAsia="Times New Roman" w:hAnsi="Arial" w:cs="Arial"/>
                <w:i/>
                <w:iCs/>
                <w:color w:val="000000"/>
                <w:sz w:val="20"/>
                <w:szCs w:val="20"/>
                <w:lang w:eastAsia="en-GB"/>
              </w:rPr>
              <w:t>F</w:t>
            </w:r>
          </w:p>
        </w:tc>
        <w:tc>
          <w:tcPr>
            <w:tcW w:w="1044" w:type="dxa"/>
            <w:tcBorders>
              <w:top w:val="single" w:sz="8" w:space="0" w:color="auto"/>
              <w:left w:val="nil"/>
              <w:bottom w:val="single" w:sz="4" w:space="0" w:color="auto"/>
              <w:right w:val="nil"/>
            </w:tcBorders>
            <w:shd w:val="clear" w:color="auto" w:fill="auto"/>
            <w:noWrap/>
            <w:vAlign w:val="bottom"/>
            <w:hideMark/>
          </w:tcPr>
          <w:p w14:paraId="6550DFE5" w14:textId="77777777" w:rsidR="00EE7955" w:rsidRPr="004A73C1" w:rsidRDefault="00EE7955" w:rsidP="00EE7955">
            <w:pPr>
              <w:spacing w:after="0" w:line="240" w:lineRule="auto"/>
              <w:jc w:val="center"/>
              <w:rPr>
                <w:rFonts w:ascii="Arial" w:eastAsia="Times New Roman" w:hAnsi="Arial" w:cs="Arial"/>
                <w:i/>
                <w:iCs/>
                <w:color w:val="000000"/>
                <w:sz w:val="20"/>
                <w:szCs w:val="20"/>
                <w:lang w:eastAsia="en-GB"/>
              </w:rPr>
            </w:pPr>
            <w:r w:rsidRPr="004A73C1">
              <w:rPr>
                <w:rFonts w:ascii="Arial" w:eastAsia="Times New Roman" w:hAnsi="Arial" w:cs="Arial"/>
                <w:i/>
                <w:iCs/>
                <w:color w:val="000000"/>
                <w:sz w:val="20"/>
                <w:szCs w:val="20"/>
                <w:lang w:eastAsia="en-GB"/>
              </w:rPr>
              <w:t>Significance F</w:t>
            </w:r>
          </w:p>
        </w:tc>
        <w:tc>
          <w:tcPr>
            <w:tcW w:w="708" w:type="dxa"/>
            <w:tcBorders>
              <w:top w:val="nil"/>
              <w:left w:val="nil"/>
              <w:bottom w:val="nil"/>
              <w:right w:val="nil"/>
            </w:tcBorders>
            <w:shd w:val="clear" w:color="auto" w:fill="auto"/>
            <w:noWrap/>
            <w:vAlign w:val="bottom"/>
            <w:hideMark/>
          </w:tcPr>
          <w:p w14:paraId="6AAA44A8" w14:textId="77777777" w:rsidR="00EE7955" w:rsidRPr="004A73C1" w:rsidRDefault="00EE7955" w:rsidP="00EE7955">
            <w:pPr>
              <w:spacing w:after="0" w:line="240" w:lineRule="auto"/>
              <w:jc w:val="center"/>
              <w:rPr>
                <w:rFonts w:ascii="Arial" w:eastAsia="Times New Roman" w:hAnsi="Arial" w:cs="Arial"/>
                <w:i/>
                <w:iCs/>
                <w:color w:val="000000"/>
                <w:sz w:val="20"/>
                <w:szCs w:val="20"/>
                <w:lang w:eastAsia="en-GB"/>
              </w:rPr>
            </w:pPr>
          </w:p>
        </w:tc>
        <w:tc>
          <w:tcPr>
            <w:tcW w:w="792" w:type="dxa"/>
            <w:tcBorders>
              <w:top w:val="nil"/>
              <w:left w:val="nil"/>
              <w:bottom w:val="nil"/>
              <w:right w:val="nil"/>
            </w:tcBorders>
            <w:shd w:val="clear" w:color="auto" w:fill="auto"/>
            <w:noWrap/>
            <w:vAlign w:val="bottom"/>
            <w:hideMark/>
          </w:tcPr>
          <w:p w14:paraId="2118D386"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50778422" w14:textId="77777777" w:rsidR="00EE7955" w:rsidRPr="004A73C1" w:rsidRDefault="00EE7955" w:rsidP="00EE7955">
            <w:pPr>
              <w:spacing w:after="0" w:line="240" w:lineRule="auto"/>
              <w:rPr>
                <w:rFonts w:ascii="Arial" w:eastAsia="Times New Roman" w:hAnsi="Arial" w:cs="Arial"/>
                <w:sz w:val="20"/>
                <w:szCs w:val="20"/>
                <w:lang w:eastAsia="en-GB"/>
              </w:rPr>
            </w:pPr>
          </w:p>
        </w:tc>
      </w:tr>
      <w:tr w:rsidR="002E690B" w:rsidRPr="004A73C1" w14:paraId="59D60435" w14:textId="77777777" w:rsidTr="00BE222C">
        <w:trPr>
          <w:trHeight w:val="324"/>
        </w:trPr>
        <w:tc>
          <w:tcPr>
            <w:tcW w:w="1052" w:type="dxa"/>
            <w:tcBorders>
              <w:top w:val="nil"/>
              <w:left w:val="nil"/>
              <w:bottom w:val="nil"/>
              <w:right w:val="nil"/>
            </w:tcBorders>
            <w:shd w:val="clear" w:color="auto" w:fill="auto"/>
            <w:noWrap/>
            <w:vAlign w:val="bottom"/>
            <w:hideMark/>
          </w:tcPr>
          <w:p w14:paraId="04872CAB" w14:textId="77777777" w:rsidR="00EE7955" w:rsidRPr="004A73C1" w:rsidRDefault="00EE7955" w:rsidP="00EE7955">
            <w:pPr>
              <w:spacing w:after="0" w:line="240" w:lineRule="auto"/>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Regression</w:t>
            </w:r>
          </w:p>
        </w:tc>
        <w:tc>
          <w:tcPr>
            <w:tcW w:w="1044" w:type="dxa"/>
            <w:tcBorders>
              <w:top w:val="nil"/>
              <w:left w:val="nil"/>
              <w:bottom w:val="nil"/>
              <w:right w:val="nil"/>
            </w:tcBorders>
            <w:shd w:val="clear" w:color="auto" w:fill="auto"/>
            <w:noWrap/>
            <w:vAlign w:val="bottom"/>
            <w:hideMark/>
          </w:tcPr>
          <w:p w14:paraId="50C96028"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1</w:t>
            </w:r>
          </w:p>
        </w:tc>
        <w:tc>
          <w:tcPr>
            <w:tcW w:w="792" w:type="dxa"/>
            <w:tcBorders>
              <w:top w:val="nil"/>
              <w:left w:val="nil"/>
              <w:bottom w:val="nil"/>
              <w:right w:val="nil"/>
            </w:tcBorders>
            <w:shd w:val="clear" w:color="auto" w:fill="auto"/>
            <w:noWrap/>
            <w:vAlign w:val="bottom"/>
            <w:hideMark/>
          </w:tcPr>
          <w:p w14:paraId="587AB5AC"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73103.39</w:t>
            </w:r>
          </w:p>
        </w:tc>
        <w:tc>
          <w:tcPr>
            <w:tcW w:w="792" w:type="dxa"/>
            <w:tcBorders>
              <w:top w:val="nil"/>
              <w:left w:val="nil"/>
              <w:bottom w:val="nil"/>
              <w:right w:val="nil"/>
            </w:tcBorders>
            <w:shd w:val="clear" w:color="auto" w:fill="auto"/>
            <w:noWrap/>
            <w:vAlign w:val="bottom"/>
            <w:hideMark/>
          </w:tcPr>
          <w:p w14:paraId="76986AD6"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73103.39</w:t>
            </w:r>
          </w:p>
        </w:tc>
        <w:tc>
          <w:tcPr>
            <w:tcW w:w="1044" w:type="dxa"/>
            <w:tcBorders>
              <w:top w:val="nil"/>
              <w:left w:val="nil"/>
              <w:bottom w:val="nil"/>
              <w:right w:val="nil"/>
            </w:tcBorders>
            <w:shd w:val="clear" w:color="auto" w:fill="auto"/>
            <w:noWrap/>
            <w:vAlign w:val="bottom"/>
            <w:hideMark/>
          </w:tcPr>
          <w:p w14:paraId="50478E66"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6.354835896</w:t>
            </w:r>
          </w:p>
        </w:tc>
        <w:tc>
          <w:tcPr>
            <w:tcW w:w="1044" w:type="dxa"/>
            <w:tcBorders>
              <w:top w:val="nil"/>
              <w:left w:val="nil"/>
              <w:bottom w:val="nil"/>
              <w:right w:val="nil"/>
            </w:tcBorders>
            <w:shd w:val="clear" w:color="auto" w:fill="auto"/>
            <w:noWrap/>
            <w:vAlign w:val="bottom"/>
            <w:hideMark/>
          </w:tcPr>
          <w:p w14:paraId="642EC63B"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0.039759361</w:t>
            </w:r>
          </w:p>
        </w:tc>
        <w:tc>
          <w:tcPr>
            <w:tcW w:w="708" w:type="dxa"/>
            <w:tcBorders>
              <w:top w:val="nil"/>
              <w:left w:val="nil"/>
              <w:bottom w:val="nil"/>
              <w:right w:val="nil"/>
            </w:tcBorders>
            <w:shd w:val="clear" w:color="auto" w:fill="auto"/>
            <w:noWrap/>
            <w:vAlign w:val="bottom"/>
            <w:hideMark/>
          </w:tcPr>
          <w:p w14:paraId="7177A3D7"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p>
        </w:tc>
        <w:tc>
          <w:tcPr>
            <w:tcW w:w="792" w:type="dxa"/>
            <w:tcBorders>
              <w:top w:val="nil"/>
              <w:left w:val="nil"/>
              <w:bottom w:val="nil"/>
              <w:right w:val="nil"/>
            </w:tcBorders>
            <w:shd w:val="clear" w:color="auto" w:fill="auto"/>
            <w:noWrap/>
            <w:vAlign w:val="bottom"/>
            <w:hideMark/>
          </w:tcPr>
          <w:p w14:paraId="15D56A37"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3758843E" w14:textId="77777777" w:rsidR="00EE7955" w:rsidRPr="004A73C1" w:rsidRDefault="00EE7955" w:rsidP="00EE7955">
            <w:pPr>
              <w:spacing w:after="0" w:line="240" w:lineRule="auto"/>
              <w:rPr>
                <w:rFonts w:ascii="Arial" w:eastAsia="Times New Roman" w:hAnsi="Arial" w:cs="Arial"/>
                <w:sz w:val="20"/>
                <w:szCs w:val="20"/>
                <w:lang w:eastAsia="en-GB"/>
              </w:rPr>
            </w:pPr>
          </w:p>
        </w:tc>
      </w:tr>
      <w:tr w:rsidR="002E690B" w:rsidRPr="004A73C1" w14:paraId="7F336781" w14:textId="77777777" w:rsidTr="00BE222C">
        <w:trPr>
          <w:trHeight w:val="324"/>
        </w:trPr>
        <w:tc>
          <w:tcPr>
            <w:tcW w:w="1052" w:type="dxa"/>
            <w:tcBorders>
              <w:top w:val="nil"/>
              <w:left w:val="nil"/>
              <w:bottom w:val="nil"/>
              <w:right w:val="nil"/>
            </w:tcBorders>
            <w:shd w:val="clear" w:color="auto" w:fill="auto"/>
            <w:noWrap/>
            <w:vAlign w:val="bottom"/>
            <w:hideMark/>
          </w:tcPr>
          <w:p w14:paraId="026C3C40" w14:textId="77777777" w:rsidR="00EE7955" w:rsidRPr="004A73C1" w:rsidRDefault="00EE7955" w:rsidP="00EE7955">
            <w:pPr>
              <w:spacing w:after="0" w:line="240" w:lineRule="auto"/>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Residual</w:t>
            </w:r>
          </w:p>
        </w:tc>
        <w:tc>
          <w:tcPr>
            <w:tcW w:w="1044" w:type="dxa"/>
            <w:tcBorders>
              <w:top w:val="nil"/>
              <w:left w:val="nil"/>
              <w:bottom w:val="nil"/>
              <w:right w:val="nil"/>
            </w:tcBorders>
            <w:shd w:val="clear" w:color="auto" w:fill="auto"/>
            <w:noWrap/>
            <w:vAlign w:val="bottom"/>
            <w:hideMark/>
          </w:tcPr>
          <w:p w14:paraId="0D50124F"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7</w:t>
            </w:r>
          </w:p>
        </w:tc>
        <w:tc>
          <w:tcPr>
            <w:tcW w:w="792" w:type="dxa"/>
            <w:tcBorders>
              <w:top w:val="nil"/>
              <w:left w:val="nil"/>
              <w:bottom w:val="nil"/>
              <w:right w:val="nil"/>
            </w:tcBorders>
            <w:shd w:val="clear" w:color="auto" w:fill="auto"/>
            <w:noWrap/>
            <w:vAlign w:val="bottom"/>
            <w:hideMark/>
          </w:tcPr>
          <w:p w14:paraId="53DB16E0"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80525.09</w:t>
            </w:r>
          </w:p>
        </w:tc>
        <w:tc>
          <w:tcPr>
            <w:tcW w:w="792" w:type="dxa"/>
            <w:tcBorders>
              <w:top w:val="nil"/>
              <w:left w:val="nil"/>
              <w:bottom w:val="nil"/>
              <w:right w:val="nil"/>
            </w:tcBorders>
            <w:shd w:val="clear" w:color="auto" w:fill="auto"/>
            <w:noWrap/>
            <w:vAlign w:val="bottom"/>
            <w:hideMark/>
          </w:tcPr>
          <w:p w14:paraId="1709665C"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11503.58</w:t>
            </w:r>
          </w:p>
        </w:tc>
        <w:tc>
          <w:tcPr>
            <w:tcW w:w="1044" w:type="dxa"/>
            <w:tcBorders>
              <w:top w:val="nil"/>
              <w:left w:val="nil"/>
              <w:bottom w:val="nil"/>
              <w:right w:val="nil"/>
            </w:tcBorders>
            <w:shd w:val="clear" w:color="auto" w:fill="auto"/>
            <w:noWrap/>
            <w:vAlign w:val="bottom"/>
            <w:hideMark/>
          </w:tcPr>
          <w:p w14:paraId="5EA89D8E"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p>
        </w:tc>
        <w:tc>
          <w:tcPr>
            <w:tcW w:w="1044" w:type="dxa"/>
            <w:tcBorders>
              <w:top w:val="nil"/>
              <w:left w:val="nil"/>
              <w:bottom w:val="nil"/>
              <w:right w:val="nil"/>
            </w:tcBorders>
            <w:shd w:val="clear" w:color="auto" w:fill="auto"/>
            <w:noWrap/>
            <w:vAlign w:val="bottom"/>
            <w:hideMark/>
          </w:tcPr>
          <w:p w14:paraId="05B12B07"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78CC683B"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92" w:type="dxa"/>
            <w:tcBorders>
              <w:top w:val="nil"/>
              <w:left w:val="nil"/>
              <w:bottom w:val="nil"/>
              <w:right w:val="nil"/>
            </w:tcBorders>
            <w:shd w:val="clear" w:color="auto" w:fill="auto"/>
            <w:noWrap/>
            <w:vAlign w:val="bottom"/>
            <w:hideMark/>
          </w:tcPr>
          <w:p w14:paraId="54C7A495"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0A01B96E" w14:textId="77777777" w:rsidR="00EE7955" w:rsidRPr="004A73C1" w:rsidRDefault="00EE7955" w:rsidP="00EE7955">
            <w:pPr>
              <w:spacing w:after="0" w:line="240" w:lineRule="auto"/>
              <w:rPr>
                <w:rFonts w:ascii="Arial" w:eastAsia="Times New Roman" w:hAnsi="Arial" w:cs="Arial"/>
                <w:sz w:val="20"/>
                <w:szCs w:val="20"/>
                <w:lang w:eastAsia="en-GB"/>
              </w:rPr>
            </w:pPr>
          </w:p>
        </w:tc>
      </w:tr>
      <w:tr w:rsidR="002E690B" w:rsidRPr="004A73C1" w14:paraId="2948610E" w14:textId="77777777" w:rsidTr="00BE222C">
        <w:trPr>
          <w:trHeight w:val="338"/>
        </w:trPr>
        <w:tc>
          <w:tcPr>
            <w:tcW w:w="1052" w:type="dxa"/>
            <w:tcBorders>
              <w:top w:val="nil"/>
              <w:left w:val="nil"/>
              <w:bottom w:val="single" w:sz="8" w:space="0" w:color="auto"/>
              <w:right w:val="nil"/>
            </w:tcBorders>
            <w:shd w:val="clear" w:color="auto" w:fill="auto"/>
            <w:noWrap/>
            <w:vAlign w:val="bottom"/>
            <w:hideMark/>
          </w:tcPr>
          <w:p w14:paraId="7216C90E" w14:textId="77777777" w:rsidR="00EE7955" w:rsidRPr="004A73C1" w:rsidRDefault="00EE7955" w:rsidP="00EE7955">
            <w:pPr>
              <w:spacing w:after="0" w:line="240" w:lineRule="auto"/>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Total</w:t>
            </w:r>
          </w:p>
        </w:tc>
        <w:tc>
          <w:tcPr>
            <w:tcW w:w="1044" w:type="dxa"/>
            <w:tcBorders>
              <w:top w:val="nil"/>
              <w:left w:val="nil"/>
              <w:bottom w:val="single" w:sz="8" w:space="0" w:color="auto"/>
              <w:right w:val="nil"/>
            </w:tcBorders>
            <w:shd w:val="clear" w:color="auto" w:fill="auto"/>
            <w:noWrap/>
            <w:vAlign w:val="bottom"/>
            <w:hideMark/>
          </w:tcPr>
          <w:p w14:paraId="6F2C0E67"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8</w:t>
            </w:r>
          </w:p>
        </w:tc>
        <w:tc>
          <w:tcPr>
            <w:tcW w:w="792" w:type="dxa"/>
            <w:tcBorders>
              <w:top w:val="nil"/>
              <w:left w:val="nil"/>
              <w:bottom w:val="single" w:sz="8" w:space="0" w:color="auto"/>
              <w:right w:val="nil"/>
            </w:tcBorders>
            <w:shd w:val="clear" w:color="auto" w:fill="auto"/>
            <w:noWrap/>
            <w:vAlign w:val="bottom"/>
            <w:hideMark/>
          </w:tcPr>
          <w:p w14:paraId="08316A0D"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153628.5</w:t>
            </w:r>
          </w:p>
        </w:tc>
        <w:tc>
          <w:tcPr>
            <w:tcW w:w="792" w:type="dxa"/>
            <w:tcBorders>
              <w:top w:val="nil"/>
              <w:left w:val="nil"/>
              <w:bottom w:val="single" w:sz="8" w:space="0" w:color="auto"/>
              <w:right w:val="nil"/>
            </w:tcBorders>
            <w:shd w:val="clear" w:color="auto" w:fill="auto"/>
            <w:noWrap/>
            <w:vAlign w:val="bottom"/>
            <w:hideMark/>
          </w:tcPr>
          <w:p w14:paraId="6ABE2619" w14:textId="77777777" w:rsidR="00EE7955" w:rsidRPr="004A73C1" w:rsidRDefault="00EE7955" w:rsidP="00EE7955">
            <w:pPr>
              <w:spacing w:after="0" w:line="240" w:lineRule="auto"/>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 </w:t>
            </w:r>
          </w:p>
        </w:tc>
        <w:tc>
          <w:tcPr>
            <w:tcW w:w="1044" w:type="dxa"/>
            <w:tcBorders>
              <w:top w:val="nil"/>
              <w:left w:val="nil"/>
              <w:bottom w:val="single" w:sz="8" w:space="0" w:color="auto"/>
              <w:right w:val="nil"/>
            </w:tcBorders>
            <w:shd w:val="clear" w:color="auto" w:fill="auto"/>
            <w:noWrap/>
            <w:vAlign w:val="bottom"/>
            <w:hideMark/>
          </w:tcPr>
          <w:p w14:paraId="1BC881D3" w14:textId="77777777" w:rsidR="00EE7955" w:rsidRPr="004A73C1" w:rsidRDefault="00EE7955" w:rsidP="00EE7955">
            <w:pPr>
              <w:spacing w:after="0" w:line="240" w:lineRule="auto"/>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 </w:t>
            </w:r>
          </w:p>
        </w:tc>
        <w:tc>
          <w:tcPr>
            <w:tcW w:w="1044" w:type="dxa"/>
            <w:tcBorders>
              <w:top w:val="nil"/>
              <w:left w:val="nil"/>
              <w:bottom w:val="single" w:sz="8" w:space="0" w:color="auto"/>
              <w:right w:val="nil"/>
            </w:tcBorders>
            <w:shd w:val="clear" w:color="auto" w:fill="auto"/>
            <w:noWrap/>
            <w:vAlign w:val="bottom"/>
            <w:hideMark/>
          </w:tcPr>
          <w:p w14:paraId="76292EFA" w14:textId="77777777" w:rsidR="00EE7955" w:rsidRPr="004A73C1" w:rsidRDefault="00EE7955" w:rsidP="00EE7955">
            <w:pPr>
              <w:spacing w:after="0" w:line="240" w:lineRule="auto"/>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 </w:t>
            </w:r>
          </w:p>
        </w:tc>
        <w:tc>
          <w:tcPr>
            <w:tcW w:w="708" w:type="dxa"/>
            <w:tcBorders>
              <w:top w:val="nil"/>
              <w:left w:val="nil"/>
              <w:bottom w:val="nil"/>
              <w:right w:val="nil"/>
            </w:tcBorders>
            <w:shd w:val="clear" w:color="auto" w:fill="auto"/>
            <w:noWrap/>
            <w:vAlign w:val="bottom"/>
            <w:hideMark/>
          </w:tcPr>
          <w:p w14:paraId="24FC16EC" w14:textId="77777777" w:rsidR="00EE7955" w:rsidRPr="004A73C1" w:rsidRDefault="00EE7955" w:rsidP="00EE7955">
            <w:pPr>
              <w:spacing w:after="0" w:line="240" w:lineRule="auto"/>
              <w:rPr>
                <w:rFonts w:ascii="Arial" w:eastAsia="Times New Roman" w:hAnsi="Arial" w:cs="Arial"/>
                <w:color w:val="000000"/>
                <w:sz w:val="20"/>
                <w:szCs w:val="20"/>
                <w:lang w:eastAsia="en-GB"/>
              </w:rPr>
            </w:pPr>
          </w:p>
        </w:tc>
        <w:tc>
          <w:tcPr>
            <w:tcW w:w="792" w:type="dxa"/>
            <w:tcBorders>
              <w:top w:val="nil"/>
              <w:left w:val="nil"/>
              <w:bottom w:val="nil"/>
              <w:right w:val="nil"/>
            </w:tcBorders>
            <w:shd w:val="clear" w:color="auto" w:fill="auto"/>
            <w:noWrap/>
            <w:vAlign w:val="bottom"/>
            <w:hideMark/>
          </w:tcPr>
          <w:p w14:paraId="76081700"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2F674ED7" w14:textId="77777777" w:rsidR="00EE7955" w:rsidRPr="004A73C1" w:rsidRDefault="00EE7955" w:rsidP="00EE7955">
            <w:pPr>
              <w:spacing w:after="0" w:line="240" w:lineRule="auto"/>
              <w:rPr>
                <w:rFonts w:ascii="Arial" w:eastAsia="Times New Roman" w:hAnsi="Arial" w:cs="Arial"/>
                <w:sz w:val="20"/>
                <w:szCs w:val="20"/>
                <w:lang w:eastAsia="en-GB"/>
              </w:rPr>
            </w:pPr>
          </w:p>
        </w:tc>
      </w:tr>
      <w:tr w:rsidR="002E690B" w:rsidRPr="004A73C1" w14:paraId="253CA688" w14:textId="77777777" w:rsidTr="00BE222C">
        <w:trPr>
          <w:trHeight w:val="338"/>
        </w:trPr>
        <w:tc>
          <w:tcPr>
            <w:tcW w:w="1052" w:type="dxa"/>
            <w:tcBorders>
              <w:top w:val="nil"/>
              <w:left w:val="nil"/>
              <w:bottom w:val="nil"/>
              <w:right w:val="nil"/>
            </w:tcBorders>
            <w:shd w:val="clear" w:color="auto" w:fill="auto"/>
            <w:noWrap/>
            <w:vAlign w:val="bottom"/>
            <w:hideMark/>
          </w:tcPr>
          <w:p w14:paraId="58C00C7C"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5AABC5F0"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92" w:type="dxa"/>
            <w:tcBorders>
              <w:top w:val="nil"/>
              <w:left w:val="nil"/>
              <w:bottom w:val="nil"/>
              <w:right w:val="nil"/>
            </w:tcBorders>
            <w:shd w:val="clear" w:color="auto" w:fill="auto"/>
            <w:noWrap/>
            <w:vAlign w:val="bottom"/>
            <w:hideMark/>
          </w:tcPr>
          <w:p w14:paraId="0AD580AD"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92" w:type="dxa"/>
            <w:tcBorders>
              <w:top w:val="nil"/>
              <w:left w:val="nil"/>
              <w:bottom w:val="nil"/>
              <w:right w:val="nil"/>
            </w:tcBorders>
            <w:shd w:val="clear" w:color="auto" w:fill="auto"/>
            <w:noWrap/>
            <w:vAlign w:val="bottom"/>
            <w:hideMark/>
          </w:tcPr>
          <w:p w14:paraId="3BB62352"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5575DCA6"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1044" w:type="dxa"/>
            <w:tcBorders>
              <w:top w:val="nil"/>
              <w:left w:val="nil"/>
              <w:bottom w:val="nil"/>
              <w:right w:val="nil"/>
            </w:tcBorders>
            <w:shd w:val="clear" w:color="auto" w:fill="auto"/>
            <w:noWrap/>
            <w:vAlign w:val="bottom"/>
            <w:hideMark/>
          </w:tcPr>
          <w:p w14:paraId="259EC0AC"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56523D55"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92" w:type="dxa"/>
            <w:tcBorders>
              <w:top w:val="nil"/>
              <w:left w:val="nil"/>
              <w:bottom w:val="nil"/>
              <w:right w:val="nil"/>
            </w:tcBorders>
            <w:shd w:val="clear" w:color="auto" w:fill="auto"/>
            <w:noWrap/>
            <w:vAlign w:val="bottom"/>
            <w:hideMark/>
          </w:tcPr>
          <w:p w14:paraId="2C07BE39" w14:textId="77777777" w:rsidR="00EE7955" w:rsidRPr="004A73C1" w:rsidRDefault="00EE7955" w:rsidP="00EE7955">
            <w:pPr>
              <w:spacing w:after="0" w:line="240" w:lineRule="auto"/>
              <w:rPr>
                <w:rFonts w:ascii="Arial" w:eastAsia="Times New Roman" w:hAnsi="Arial" w:cs="Arial"/>
                <w:sz w:val="20"/>
                <w:szCs w:val="20"/>
                <w:lang w:eastAsia="en-GB"/>
              </w:rPr>
            </w:pPr>
          </w:p>
        </w:tc>
        <w:tc>
          <w:tcPr>
            <w:tcW w:w="708" w:type="dxa"/>
            <w:tcBorders>
              <w:top w:val="nil"/>
              <w:left w:val="nil"/>
              <w:bottom w:val="nil"/>
              <w:right w:val="nil"/>
            </w:tcBorders>
            <w:shd w:val="clear" w:color="auto" w:fill="auto"/>
            <w:noWrap/>
            <w:vAlign w:val="bottom"/>
            <w:hideMark/>
          </w:tcPr>
          <w:p w14:paraId="40194A1A" w14:textId="77777777" w:rsidR="00EE7955" w:rsidRPr="004A73C1" w:rsidRDefault="00EE7955" w:rsidP="00EE7955">
            <w:pPr>
              <w:spacing w:after="0" w:line="240" w:lineRule="auto"/>
              <w:rPr>
                <w:rFonts w:ascii="Arial" w:eastAsia="Times New Roman" w:hAnsi="Arial" w:cs="Arial"/>
                <w:sz w:val="20"/>
                <w:szCs w:val="20"/>
                <w:lang w:eastAsia="en-GB"/>
              </w:rPr>
            </w:pPr>
          </w:p>
        </w:tc>
      </w:tr>
      <w:tr w:rsidR="002E690B" w:rsidRPr="004A73C1" w14:paraId="59FEF314" w14:textId="77777777" w:rsidTr="00BE222C">
        <w:trPr>
          <w:trHeight w:val="324"/>
        </w:trPr>
        <w:tc>
          <w:tcPr>
            <w:tcW w:w="1052" w:type="dxa"/>
            <w:tcBorders>
              <w:top w:val="single" w:sz="8" w:space="0" w:color="auto"/>
              <w:left w:val="nil"/>
              <w:bottom w:val="single" w:sz="4" w:space="0" w:color="auto"/>
              <w:right w:val="nil"/>
            </w:tcBorders>
            <w:shd w:val="clear" w:color="auto" w:fill="auto"/>
            <w:noWrap/>
            <w:vAlign w:val="bottom"/>
            <w:hideMark/>
          </w:tcPr>
          <w:p w14:paraId="22CD7624" w14:textId="77777777" w:rsidR="00EE7955" w:rsidRPr="004A73C1" w:rsidRDefault="00EE7955" w:rsidP="00EE7955">
            <w:pPr>
              <w:spacing w:after="0" w:line="240" w:lineRule="auto"/>
              <w:jc w:val="center"/>
              <w:rPr>
                <w:rFonts w:ascii="Arial" w:eastAsia="Times New Roman" w:hAnsi="Arial" w:cs="Arial"/>
                <w:i/>
                <w:iCs/>
                <w:color w:val="000000"/>
                <w:sz w:val="20"/>
                <w:szCs w:val="20"/>
                <w:lang w:eastAsia="en-GB"/>
              </w:rPr>
            </w:pPr>
            <w:r w:rsidRPr="004A73C1">
              <w:rPr>
                <w:rFonts w:ascii="Arial" w:eastAsia="Times New Roman" w:hAnsi="Arial" w:cs="Arial"/>
                <w:i/>
                <w:iCs/>
                <w:color w:val="000000"/>
                <w:sz w:val="20"/>
                <w:szCs w:val="20"/>
                <w:lang w:eastAsia="en-GB"/>
              </w:rPr>
              <w:t> </w:t>
            </w:r>
          </w:p>
        </w:tc>
        <w:tc>
          <w:tcPr>
            <w:tcW w:w="1044" w:type="dxa"/>
            <w:tcBorders>
              <w:top w:val="single" w:sz="8" w:space="0" w:color="auto"/>
              <w:left w:val="nil"/>
              <w:bottom w:val="single" w:sz="4" w:space="0" w:color="auto"/>
              <w:right w:val="nil"/>
            </w:tcBorders>
            <w:shd w:val="clear" w:color="auto" w:fill="auto"/>
            <w:noWrap/>
            <w:vAlign w:val="bottom"/>
            <w:hideMark/>
          </w:tcPr>
          <w:p w14:paraId="3F3A0889" w14:textId="77777777" w:rsidR="00EE7955" w:rsidRPr="004A73C1" w:rsidRDefault="00EE7955" w:rsidP="00EE7955">
            <w:pPr>
              <w:spacing w:after="0" w:line="240" w:lineRule="auto"/>
              <w:jc w:val="center"/>
              <w:rPr>
                <w:rFonts w:ascii="Arial" w:eastAsia="Times New Roman" w:hAnsi="Arial" w:cs="Arial"/>
                <w:i/>
                <w:iCs/>
                <w:color w:val="000000"/>
                <w:sz w:val="20"/>
                <w:szCs w:val="20"/>
                <w:lang w:eastAsia="en-GB"/>
              </w:rPr>
            </w:pPr>
            <w:r w:rsidRPr="004A73C1">
              <w:rPr>
                <w:rFonts w:ascii="Arial" w:eastAsia="Times New Roman" w:hAnsi="Arial" w:cs="Arial"/>
                <w:i/>
                <w:iCs/>
                <w:color w:val="000000"/>
                <w:sz w:val="20"/>
                <w:szCs w:val="20"/>
                <w:lang w:eastAsia="en-GB"/>
              </w:rPr>
              <w:t>Coefficients</w:t>
            </w:r>
          </w:p>
        </w:tc>
        <w:tc>
          <w:tcPr>
            <w:tcW w:w="792" w:type="dxa"/>
            <w:tcBorders>
              <w:top w:val="single" w:sz="8" w:space="0" w:color="auto"/>
              <w:left w:val="nil"/>
              <w:bottom w:val="single" w:sz="4" w:space="0" w:color="auto"/>
              <w:right w:val="nil"/>
            </w:tcBorders>
            <w:shd w:val="clear" w:color="auto" w:fill="auto"/>
            <w:noWrap/>
            <w:vAlign w:val="bottom"/>
            <w:hideMark/>
          </w:tcPr>
          <w:p w14:paraId="30665839" w14:textId="77777777" w:rsidR="00EE7955" w:rsidRPr="004A73C1" w:rsidRDefault="00EE7955" w:rsidP="00EE7955">
            <w:pPr>
              <w:spacing w:after="0" w:line="240" w:lineRule="auto"/>
              <w:jc w:val="center"/>
              <w:rPr>
                <w:rFonts w:ascii="Arial" w:eastAsia="Times New Roman" w:hAnsi="Arial" w:cs="Arial"/>
                <w:i/>
                <w:iCs/>
                <w:color w:val="000000"/>
                <w:sz w:val="20"/>
                <w:szCs w:val="20"/>
                <w:lang w:eastAsia="en-GB"/>
              </w:rPr>
            </w:pPr>
            <w:r w:rsidRPr="004A73C1">
              <w:rPr>
                <w:rFonts w:ascii="Arial" w:eastAsia="Times New Roman" w:hAnsi="Arial" w:cs="Arial"/>
                <w:i/>
                <w:iCs/>
                <w:color w:val="000000"/>
                <w:sz w:val="20"/>
                <w:szCs w:val="20"/>
                <w:lang w:eastAsia="en-GB"/>
              </w:rPr>
              <w:t>Standard Error</w:t>
            </w:r>
          </w:p>
        </w:tc>
        <w:tc>
          <w:tcPr>
            <w:tcW w:w="792" w:type="dxa"/>
            <w:tcBorders>
              <w:top w:val="single" w:sz="8" w:space="0" w:color="auto"/>
              <w:left w:val="nil"/>
              <w:bottom w:val="single" w:sz="4" w:space="0" w:color="auto"/>
              <w:right w:val="nil"/>
            </w:tcBorders>
            <w:shd w:val="clear" w:color="auto" w:fill="auto"/>
            <w:noWrap/>
            <w:vAlign w:val="bottom"/>
            <w:hideMark/>
          </w:tcPr>
          <w:p w14:paraId="61533E20" w14:textId="77777777" w:rsidR="00EE7955" w:rsidRPr="004A73C1" w:rsidRDefault="00EE7955" w:rsidP="00EE7955">
            <w:pPr>
              <w:spacing w:after="0" w:line="240" w:lineRule="auto"/>
              <w:jc w:val="center"/>
              <w:rPr>
                <w:rFonts w:ascii="Arial" w:eastAsia="Times New Roman" w:hAnsi="Arial" w:cs="Arial"/>
                <w:i/>
                <w:iCs/>
                <w:color w:val="000000"/>
                <w:sz w:val="20"/>
                <w:szCs w:val="20"/>
                <w:lang w:eastAsia="en-GB"/>
              </w:rPr>
            </w:pPr>
            <w:r w:rsidRPr="004A73C1">
              <w:rPr>
                <w:rFonts w:ascii="Arial" w:eastAsia="Times New Roman" w:hAnsi="Arial" w:cs="Arial"/>
                <w:i/>
                <w:iCs/>
                <w:color w:val="000000"/>
                <w:sz w:val="20"/>
                <w:szCs w:val="20"/>
                <w:lang w:eastAsia="en-GB"/>
              </w:rPr>
              <w:t>t Stat</w:t>
            </w:r>
          </w:p>
        </w:tc>
        <w:tc>
          <w:tcPr>
            <w:tcW w:w="1044" w:type="dxa"/>
            <w:tcBorders>
              <w:top w:val="single" w:sz="8" w:space="0" w:color="auto"/>
              <w:left w:val="nil"/>
              <w:bottom w:val="single" w:sz="4" w:space="0" w:color="auto"/>
              <w:right w:val="nil"/>
            </w:tcBorders>
            <w:shd w:val="clear" w:color="auto" w:fill="auto"/>
            <w:noWrap/>
            <w:vAlign w:val="bottom"/>
            <w:hideMark/>
          </w:tcPr>
          <w:p w14:paraId="51832D09" w14:textId="77777777" w:rsidR="00EE7955" w:rsidRPr="004A73C1" w:rsidRDefault="00EE7955" w:rsidP="00EE7955">
            <w:pPr>
              <w:spacing w:after="0" w:line="240" w:lineRule="auto"/>
              <w:jc w:val="center"/>
              <w:rPr>
                <w:rFonts w:ascii="Arial" w:eastAsia="Times New Roman" w:hAnsi="Arial" w:cs="Arial"/>
                <w:i/>
                <w:iCs/>
                <w:color w:val="000000"/>
                <w:sz w:val="20"/>
                <w:szCs w:val="20"/>
                <w:lang w:eastAsia="en-GB"/>
              </w:rPr>
            </w:pPr>
            <w:r w:rsidRPr="004A73C1">
              <w:rPr>
                <w:rFonts w:ascii="Arial" w:eastAsia="Times New Roman" w:hAnsi="Arial" w:cs="Arial"/>
                <w:i/>
                <w:iCs/>
                <w:color w:val="000000"/>
                <w:sz w:val="20"/>
                <w:szCs w:val="20"/>
                <w:lang w:eastAsia="en-GB"/>
              </w:rPr>
              <w:t>P-value</w:t>
            </w:r>
          </w:p>
        </w:tc>
        <w:tc>
          <w:tcPr>
            <w:tcW w:w="1044" w:type="dxa"/>
            <w:tcBorders>
              <w:top w:val="single" w:sz="8" w:space="0" w:color="auto"/>
              <w:left w:val="nil"/>
              <w:bottom w:val="single" w:sz="4" w:space="0" w:color="auto"/>
              <w:right w:val="nil"/>
            </w:tcBorders>
            <w:shd w:val="clear" w:color="auto" w:fill="auto"/>
            <w:noWrap/>
            <w:vAlign w:val="bottom"/>
            <w:hideMark/>
          </w:tcPr>
          <w:p w14:paraId="3063A330" w14:textId="77777777" w:rsidR="00EE7955" w:rsidRPr="004A73C1" w:rsidRDefault="00EE7955" w:rsidP="00EE7955">
            <w:pPr>
              <w:spacing w:after="0" w:line="240" w:lineRule="auto"/>
              <w:jc w:val="center"/>
              <w:rPr>
                <w:rFonts w:ascii="Arial" w:eastAsia="Times New Roman" w:hAnsi="Arial" w:cs="Arial"/>
                <w:i/>
                <w:iCs/>
                <w:color w:val="000000"/>
                <w:sz w:val="20"/>
                <w:szCs w:val="20"/>
                <w:lang w:eastAsia="en-GB"/>
              </w:rPr>
            </w:pPr>
            <w:r w:rsidRPr="004A73C1">
              <w:rPr>
                <w:rFonts w:ascii="Arial" w:eastAsia="Times New Roman" w:hAnsi="Arial" w:cs="Arial"/>
                <w:i/>
                <w:iCs/>
                <w:color w:val="000000"/>
                <w:sz w:val="20"/>
                <w:szCs w:val="20"/>
                <w:lang w:eastAsia="en-GB"/>
              </w:rPr>
              <w:t>Lower 95%</w:t>
            </w:r>
          </w:p>
        </w:tc>
        <w:tc>
          <w:tcPr>
            <w:tcW w:w="708" w:type="dxa"/>
            <w:tcBorders>
              <w:top w:val="single" w:sz="8" w:space="0" w:color="auto"/>
              <w:left w:val="nil"/>
              <w:bottom w:val="single" w:sz="4" w:space="0" w:color="auto"/>
              <w:right w:val="nil"/>
            </w:tcBorders>
            <w:shd w:val="clear" w:color="auto" w:fill="auto"/>
            <w:noWrap/>
            <w:vAlign w:val="bottom"/>
            <w:hideMark/>
          </w:tcPr>
          <w:p w14:paraId="79783802" w14:textId="77777777" w:rsidR="00EE7955" w:rsidRPr="004A73C1" w:rsidRDefault="00EE7955" w:rsidP="00EE7955">
            <w:pPr>
              <w:spacing w:after="0" w:line="240" w:lineRule="auto"/>
              <w:jc w:val="center"/>
              <w:rPr>
                <w:rFonts w:ascii="Arial" w:eastAsia="Times New Roman" w:hAnsi="Arial" w:cs="Arial"/>
                <w:i/>
                <w:iCs/>
                <w:color w:val="000000"/>
                <w:sz w:val="20"/>
                <w:szCs w:val="20"/>
                <w:lang w:eastAsia="en-GB"/>
              </w:rPr>
            </w:pPr>
            <w:r w:rsidRPr="004A73C1">
              <w:rPr>
                <w:rFonts w:ascii="Arial" w:eastAsia="Times New Roman" w:hAnsi="Arial" w:cs="Arial"/>
                <w:i/>
                <w:iCs/>
                <w:color w:val="000000"/>
                <w:sz w:val="20"/>
                <w:szCs w:val="20"/>
                <w:lang w:eastAsia="en-GB"/>
              </w:rPr>
              <w:t>Upper 95%</w:t>
            </w:r>
          </w:p>
        </w:tc>
        <w:tc>
          <w:tcPr>
            <w:tcW w:w="792" w:type="dxa"/>
            <w:tcBorders>
              <w:top w:val="single" w:sz="8" w:space="0" w:color="auto"/>
              <w:left w:val="nil"/>
              <w:bottom w:val="single" w:sz="4" w:space="0" w:color="auto"/>
              <w:right w:val="nil"/>
            </w:tcBorders>
            <w:shd w:val="clear" w:color="auto" w:fill="auto"/>
            <w:noWrap/>
            <w:vAlign w:val="bottom"/>
            <w:hideMark/>
          </w:tcPr>
          <w:p w14:paraId="1409A12F" w14:textId="77777777" w:rsidR="00EE7955" w:rsidRPr="004A73C1" w:rsidRDefault="00EE7955" w:rsidP="00EE7955">
            <w:pPr>
              <w:spacing w:after="0" w:line="240" w:lineRule="auto"/>
              <w:jc w:val="center"/>
              <w:rPr>
                <w:rFonts w:ascii="Arial" w:eastAsia="Times New Roman" w:hAnsi="Arial" w:cs="Arial"/>
                <w:i/>
                <w:iCs/>
                <w:color w:val="000000"/>
                <w:sz w:val="20"/>
                <w:szCs w:val="20"/>
                <w:lang w:eastAsia="en-GB"/>
              </w:rPr>
            </w:pPr>
            <w:r w:rsidRPr="004A73C1">
              <w:rPr>
                <w:rFonts w:ascii="Arial" w:eastAsia="Times New Roman" w:hAnsi="Arial" w:cs="Arial"/>
                <w:i/>
                <w:iCs/>
                <w:color w:val="000000"/>
                <w:sz w:val="20"/>
                <w:szCs w:val="20"/>
                <w:lang w:eastAsia="en-GB"/>
              </w:rPr>
              <w:t>Lower 95.0%</w:t>
            </w:r>
          </w:p>
        </w:tc>
        <w:tc>
          <w:tcPr>
            <w:tcW w:w="708" w:type="dxa"/>
            <w:tcBorders>
              <w:top w:val="single" w:sz="8" w:space="0" w:color="auto"/>
              <w:left w:val="nil"/>
              <w:bottom w:val="single" w:sz="4" w:space="0" w:color="auto"/>
              <w:right w:val="nil"/>
            </w:tcBorders>
            <w:shd w:val="clear" w:color="auto" w:fill="auto"/>
            <w:noWrap/>
            <w:vAlign w:val="bottom"/>
            <w:hideMark/>
          </w:tcPr>
          <w:p w14:paraId="507956AC" w14:textId="77777777" w:rsidR="00EE7955" w:rsidRPr="004A73C1" w:rsidRDefault="00EE7955" w:rsidP="00EE7955">
            <w:pPr>
              <w:spacing w:after="0" w:line="240" w:lineRule="auto"/>
              <w:jc w:val="center"/>
              <w:rPr>
                <w:rFonts w:ascii="Arial" w:eastAsia="Times New Roman" w:hAnsi="Arial" w:cs="Arial"/>
                <w:i/>
                <w:iCs/>
                <w:color w:val="000000"/>
                <w:sz w:val="20"/>
                <w:szCs w:val="20"/>
                <w:lang w:eastAsia="en-GB"/>
              </w:rPr>
            </w:pPr>
            <w:r w:rsidRPr="004A73C1">
              <w:rPr>
                <w:rFonts w:ascii="Arial" w:eastAsia="Times New Roman" w:hAnsi="Arial" w:cs="Arial"/>
                <w:i/>
                <w:iCs/>
                <w:color w:val="000000"/>
                <w:sz w:val="20"/>
                <w:szCs w:val="20"/>
                <w:lang w:eastAsia="en-GB"/>
              </w:rPr>
              <w:t>Upper 95.0%</w:t>
            </w:r>
          </w:p>
        </w:tc>
      </w:tr>
      <w:tr w:rsidR="002E690B" w:rsidRPr="004A73C1" w14:paraId="6F2152BC" w14:textId="77777777" w:rsidTr="00BE222C">
        <w:trPr>
          <w:trHeight w:val="324"/>
        </w:trPr>
        <w:tc>
          <w:tcPr>
            <w:tcW w:w="1052" w:type="dxa"/>
            <w:tcBorders>
              <w:top w:val="nil"/>
              <w:left w:val="nil"/>
              <w:bottom w:val="nil"/>
              <w:right w:val="nil"/>
            </w:tcBorders>
            <w:shd w:val="clear" w:color="auto" w:fill="auto"/>
            <w:noWrap/>
            <w:vAlign w:val="bottom"/>
            <w:hideMark/>
          </w:tcPr>
          <w:p w14:paraId="24C02401" w14:textId="77777777" w:rsidR="00EE7955" w:rsidRPr="004A73C1" w:rsidRDefault="00EE7955" w:rsidP="00EE7955">
            <w:pPr>
              <w:spacing w:after="0" w:line="240" w:lineRule="auto"/>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Intercept</w:t>
            </w:r>
          </w:p>
        </w:tc>
        <w:tc>
          <w:tcPr>
            <w:tcW w:w="1044" w:type="dxa"/>
            <w:tcBorders>
              <w:top w:val="nil"/>
              <w:left w:val="nil"/>
              <w:bottom w:val="nil"/>
              <w:right w:val="nil"/>
            </w:tcBorders>
            <w:shd w:val="clear" w:color="auto" w:fill="auto"/>
            <w:noWrap/>
            <w:vAlign w:val="bottom"/>
            <w:hideMark/>
          </w:tcPr>
          <w:p w14:paraId="7A31F6C1"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-1240.154521</w:t>
            </w:r>
          </w:p>
        </w:tc>
        <w:tc>
          <w:tcPr>
            <w:tcW w:w="792" w:type="dxa"/>
            <w:tcBorders>
              <w:top w:val="nil"/>
              <w:left w:val="nil"/>
              <w:bottom w:val="nil"/>
              <w:right w:val="nil"/>
            </w:tcBorders>
            <w:shd w:val="clear" w:color="auto" w:fill="auto"/>
            <w:noWrap/>
            <w:vAlign w:val="bottom"/>
            <w:hideMark/>
          </w:tcPr>
          <w:p w14:paraId="69D43363"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483.9594</w:t>
            </w:r>
          </w:p>
        </w:tc>
        <w:tc>
          <w:tcPr>
            <w:tcW w:w="792" w:type="dxa"/>
            <w:tcBorders>
              <w:top w:val="nil"/>
              <w:left w:val="nil"/>
              <w:bottom w:val="nil"/>
              <w:right w:val="nil"/>
            </w:tcBorders>
            <w:shd w:val="clear" w:color="auto" w:fill="auto"/>
            <w:noWrap/>
            <w:vAlign w:val="bottom"/>
            <w:hideMark/>
          </w:tcPr>
          <w:p w14:paraId="0CC43EC0"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-2.56252</w:t>
            </w:r>
          </w:p>
        </w:tc>
        <w:tc>
          <w:tcPr>
            <w:tcW w:w="1044" w:type="dxa"/>
            <w:tcBorders>
              <w:top w:val="nil"/>
              <w:left w:val="nil"/>
              <w:bottom w:val="nil"/>
              <w:right w:val="nil"/>
            </w:tcBorders>
            <w:shd w:val="clear" w:color="auto" w:fill="auto"/>
            <w:noWrap/>
            <w:vAlign w:val="bottom"/>
            <w:hideMark/>
          </w:tcPr>
          <w:p w14:paraId="5FA800CC"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0.03741394</w:t>
            </w:r>
          </w:p>
        </w:tc>
        <w:tc>
          <w:tcPr>
            <w:tcW w:w="1044" w:type="dxa"/>
            <w:tcBorders>
              <w:top w:val="nil"/>
              <w:left w:val="nil"/>
              <w:bottom w:val="nil"/>
              <w:right w:val="nil"/>
            </w:tcBorders>
            <w:shd w:val="clear" w:color="auto" w:fill="auto"/>
            <w:noWrap/>
            <w:vAlign w:val="bottom"/>
            <w:hideMark/>
          </w:tcPr>
          <w:p w14:paraId="4B338307"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-2384.536647</w:t>
            </w:r>
          </w:p>
        </w:tc>
        <w:tc>
          <w:tcPr>
            <w:tcW w:w="708" w:type="dxa"/>
            <w:tcBorders>
              <w:top w:val="nil"/>
              <w:left w:val="nil"/>
              <w:bottom w:val="nil"/>
              <w:right w:val="nil"/>
            </w:tcBorders>
            <w:shd w:val="clear" w:color="auto" w:fill="auto"/>
            <w:noWrap/>
            <w:vAlign w:val="bottom"/>
            <w:hideMark/>
          </w:tcPr>
          <w:p w14:paraId="1236731F"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-95.7724</w:t>
            </w:r>
          </w:p>
        </w:tc>
        <w:tc>
          <w:tcPr>
            <w:tcW w:w="792" w:type="dxa"/>
            <w:tcBorders>
              <w:top w:val="nil"/>
              <w:left w:val="nil"/>
              <w:bottom w:val="nil"/>
              <w:right w:val="nil"/>
            </w:tcBorders>
            <w:shd w:val="clear" w:color="auto" w:fill="auto"/>
            <w:noWrap/>
            <w:vAlign w:val="bottom"/>
            <w:hideMark/>
          </w:tcPr>
          <w:p w14:paraId="4DEB1BFE"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-2384.54</w:t>
            </w:r>
          </w:p>
        </w:tc>
        <w:tc>
          <w:tcPr>
            <w:tcW w:w="708" w:type="dxa"/>
            <w:tcBorders>
              <w:top w:val="nil"/>
              <w:left w:val="nil"/>
              <w:bottom w:val="nil"/>
              <w:right w:val="nil"/>
            </w:tcBorders>
            <w:shd w:val="clear" w:color="auto" w:fill="auto"/>
            <w:noWrap/>
            <w:vAlign w:val="bottom"/>
            <w:hideMark/>
          </w:tcPr>
          <w:p w14:paraId="4F9DADCC"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-95.7724</w:t>
            </w:r>
          </w:p>
        </w:tc>
      </w:tr>
      <w:tr w:rsidR="002E690B" w:rsidRPr="004A73C1" w14:paraId="53B4AD27" w14:textId="77777777" w:rsidTr="00BE222C">
        <w:trPr>
          <w:trHeight w:val="338"/>
        </w:trPr>
        <w:tc>
          <w:tcPr>
            <w:tcW w:w="1052" w:type="dxa"/>
            <w:tcBorders>
              <w:top w:val="nil"/>
              <w:left w:val="nil"/>
              <w:bottom w:val="single" w:sz="8" w:space="0" w:color="auto"/>
              <w:right w:val="nil"/>
            </w:tcBorders>
            <w:shd w:val="clear" w:color="auto" w:fill="auto"/>
            <w:noWrap/>
            <w:vAlign w:val="bottom"/>
            <w:hideMark/>
          </w:tcPr>
          <w:p w14:paraId="6C6FD827" w14:textId="77777777" w:rsidR="00EE7955" w:rsidRPr="004A73C1" w:rsidRDefault="00EE7955" w:rsidP="00EE7955">
            <w:pPr>
              <w:spacing w:after="0" w:line="240" w:lineRule="auto"/>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GDP- In Billions</w:t>
            </w:r>
          </w:p>
        </w:tc>
        <w:tc>
          <w:tcPr>
            <w:tcW w:w="1044" w:type="dxa"/>
            <w:tcBorders>
              <w:top w:val="nil"/>
              <w:left w:val="nil"/>
              <w:bottom w:val="single" w:sz="8" w:space="0" w:color="auto"/>
              <w:right w:val="nil"/>
            </w:tcBorders>
            <w:shd w:val="clear" w:color="auto" w:fill="auto"/>
            <w:noWrap/>
            <w:vAlign w:val="bottom"/>
            <w:hideMark/>
          </w:tcPr>
          <w:p w14:paraId="19C432B4"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0.416539291</w:t>
            </w:r>
          </w:p>
        </w:tc>
        <w:tc>
          <w:tcPr>
            <w:tcW w:w="792" w:type="dxa"/>
            <w:tcBorders>
              <w:top w:val="nil"/>
              <w:left w:val="nil"/>
              <w:bottom w:val="single" w:sz="8" w:space="0" w:color="auto"/>
              <w:right w:val="nil"/>
            </w:tcBorders>
            <w:shd w:val="clear" w:color="auto" w:fill="auto"/>
            <w:noWrap/>
            <w:vAlign w:val="bottom"/>
            <w:hideMark/>
          </w:tcPr>
          <w:p w14:paraId="16D9D179"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0.165236</w:t>
            </w:r>
          </w:p>
        </w:tc>
        <w:tc>
          <w:tcPr>
            <w:tcW w:w="792" w:type="dxa"/>
            <w:tcBorders>
              <w:top w:val="nil"/>
              <w:left w:val="nil"/>
              <w:bottom w:val="single" w:sz="8" w:space="0" w:color="auto"/>
              <w:right w:val="nil"/>
            </w:tcBorders>
            <w:shd w:val="clear" w:color="auto" w:fill="auto"/>
            <w:noWrap/>
            <w:vAlign w:val="bottom"/>
            <w:hideMark/>
          </w:tcPr>
          <w:p w14:paraId="3D45DDA2"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2.52088</w:t>
            </w:r>
          </w:p>
        </w:tc>
        <w:tc>
          <w:tcPr>
            <w:tcW w:w="1044" w:type="dxa"/>
            <w:tcBorders>
              <w:top w:val="nil"/>
              <w:left w:val="nil"/>
              <w:bottom w:val="single" w:sz="8" w:space="0" w:color="auto"/>
              <w:right w:val="nil"/>
            </w:tcBorders>
            <w:shd w:val="clear" w:color="auto" w:fill="auto"/>
            <w:noWrap/>
            <w:vAlign w:val="bottom"/>
            <w:hideMark/>
          </w:tcPr>
          <w:p w14:paraId="3C545F0D"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0.039759361</w:t>
            </w:r>
          </w:p>
        </w:tc>
        <w:tc>
          <w:tcPr>
            <w:tcW w:w="1044" w:type="dxa"/>
            <w:tcBorders>
              <w:top w:val="nil"/>
              <w:left w:val="nil"/>
              <w:bottom w:val="single" w:sz="8" w:space="0" w:color="auto"/>
              <w:right w:val="nil"/>
            </w:tcBorders>
            <w:shd w:val="clear" w:color="auto" w:fill="auto"/>
            <w:noWrap/>
            <w:vAlign w:val="bottom"/>
            <w:hideMark/>
          </w:tcPr>
          <w:p w14:paraId="0BCF4F57"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0.025819021</w:t>
            </w:r>
          </w:p>
        </w:tc>
        <w:tc>
          <w:tcPr>
            <w:tcW w:w="708" w:type="dxa"/>
            <w:tcBorders>
              <w:top w:val="nil"/>
              <w:left w:val="nil"/>
              <w:bottom w:val="single" w:sz="8" w:space="0" w:color="auto"/>
              <w:right w:val="nil"/>
            </w:tcBorders>
            <w:shd w:val="clear" w:color="auto" w:fill="auto"/>
            <w:noWrap/>
            <w:vAlign w:val="bottom"/>
            <w:hideMark/>
          </w:tcPr>
          <w:p w14:paraId="2B237960"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0.80726</w:t>
            </w:r>
          </w:p>
        </w:tc>
        <w:tc>
          <w:tcPr>
            <w:tcW w:w="792" w:type="dxa"/>
            <w:tcBorders>
              <w:top w:val="nil"/>
              <w:left w:val="nil"/>
              <w:bottom w:val="single" w:sz="8" w:space="0" w:color="auto"/>
              <w:right w:val="nil"/>
            </w:tcBorders>
            <w:shd w:val="clear" w:color="auto" w:fill="auto"/>
            <w:noWrap/>
            <w:vAlign w:val="bottom"/>
            <w:hideMark/>
          </w:tcPr>
          <w:p w14:paraId="0AF41745"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0.025819</w:t>
            </w:r>
          </w:p>
        </w:tc>
        <w:tc>
          <w:tcPr>
            <w:tcW w:w="708" w:type="dxa"/>
            <w:tcBorders>
              <w:top w:val="nil"/>
              <w:left w:val="nil"/>
              <w:bottom w:val="single" w:sz="8" w:space="0" w:color="auto"/>
              <w:right w:val="nil"/>
            </w:tcBorders>
            <w:shd w:val="clear" w:color="auto" w:fill="auto"/>
            <w:noWrap/>
            <w:vAlign w:val="bottom"/>
            <w:hideMark/>
          </w:tcPr>
          <w:p w14:paraId="512D58CE" w14:textId="77777777" w:rsidR="00EE7955" w:rsidRPr="004A73C1" w:rsidRDefault="00EE7955" w:rsidP="00EE7955">
            <w:pPr>
              <w:spacing w:after="0" w:line="240" w:lineRule="auto"/>
              <w:jc w:val="right"/>
              <w:rPr>
                <w:rFonts w:ascii="Arial" w:eastAsia="Times New Roman" w:hAnsi="Arial" w:cs="Arial"/>
                <w:color w:val="000000"/>
                <w:sz w:val="20"/>
                <w:szCs w:val="20"/>
                <w:lang w:eastAsia="en-GB"/>
              </w:rPr>
            </w:pPr>
            <w:r w:rsidRPr="004A73C1">
              <w:rPr>
                <w:rFonts w:ascii="Arial" w:eastAsia="Times New Roman" w:hAnsi="Arial" w:cs="Arial"/>
                <w:color w:val="000000"/>
                <w:sz w:val="20"/>
                <w:szCs w:val="20"/>
                <w:lang w:eastAsia="en-GB"/>
              </w:rPr>
              <w:t>0.80726</w:t>
            </w:r>
          </w:p>
        </w:tc>
      </w:tr>
      <w:bookmarkEnd w:id="133"/>
    </w:tbl>
    <w:p w14:paraId="3733F490" w14:textId="77777777" w:rsidR="00EE7955" w:rsidRPr="004A73C1" w:rsidRDefault="00EE7955" w:rsidP="00B93891">
      <w:pPr>
        <w:spacing w:after="200" w:line="360" w:lineRule="auto"/>
        <w:jc w:val="both"/>
        <w:rPr>
          <w:rFonts w:ascii="Arial" w:eastAsiaTheme="majorEastAsia" w:hAnsi="Arial" w:cs="Arial"/>
          <w:sz w:val="26"/>
          <w:szCs w:val="26"/>
          <w:shd w:val="clear" w:color="auto" w:fill="FFFFFF"/>
        </w:rPr>
      </w:pPr>
    </w:p>
    <w:p w14:paraId="79FD8AD6" w14:textId="2E4E9285" w:rsidR="00BB182E" w:rsidRPr="004A73C1" w:rsidRDefault="00BB182E" w:rsidP="00B93891">
      <w:pPr>
        <w:spacing w:after="200" w:line="360" w:lineRule="auto"/>
        <w:jc w:val="both"/>
        <w:rPr>
          <w:rFonts w:ascii="Arial" w:hAnsi="Arial" w:cs="Arial"/>
        </w:rPr>
      </w:pPr>
      <w:r w:rsidRPr="004A73C1">
        <w:rPr>
          <w:rFonts w:ascii="Arial" w:hAnsi="Arial" w:cs="Arial"/>
        </w:rPr>
        <w:t>Several different types of regression models can be used for different types of data analysis. Some common regression models include simple linear regression, multiple linear regression, polynomial regression, logistic regression, ridge regression, and lasso regression. Each of these models has its own strengths and can be used in different scenarios depending on the nature of the data and the goals of the analysis.</w:t>
      </w:r>
    </w:p>
    <w:p w14:paraId="3CB68C51" w14:textId="59B40965" w:rsidR="00BB182E" w:rsidRPr="004A73C1" w:rsidRDefault="00BB182E" w:rsidP="00B93891">
      <w:pPr>
        <w:spacing w:after="200" w:line="360" w:lineRule="auto"/>
        <w:jc w:val="both"/>
        <w:rPr>
          <w:rFonts w:ascii="Arial" w:hAnsi="Arial" w:cs="Arial"/>
        </w:rPr>
      </w:pPr>
      <w:r w:rsidRPr="004A73C1">
        <w:rPr>
          <w:rFonts w:ascii="Arial" w:hAnsi="Arial" w:cs="Arial"/>
        </w:rPr>
        <w:t>Regression models can be used to analyse the factors that influence Foreign Direct Investment (FDI). By using regression analysis, we can assess the impact of various independent variables such as market size, labour costs, infrastructure, political stability, and government policies on FDI inflows. This helps in understanding the drivers of FDI and formulating policies to attract more foreign investment. Different types of regression models can be applied based on the nature of the data and the specific research questions related to FDI.</w:t>
      </w:r>
    </w:p>
    <w:p w14:paraId="79E9BE78" w14:textId="7E125C9D" w:rsidR="0092745F" w:rsidRPr="004A73C1" w:rsidRDefault="00BB182E" w:rsidP="00B93891">
      <w:pPr>
        <w:spacing w:after="200" w:line="360" w:lineRule="auto"/>
        <w:jc w:val="both"/>
        <w:rPr>
          <w:rFonts w:ascii="Arial" w:eastAsiaTheme="majorEastAsia" w:hAnsi="Arial" w:cs="Arial"/>
          <w:sz w:val="26"/>
          <w:szCs w:val="26"/>
          <w:shd w:val="clear" w:color="auto" w:fill="FFFFFF"/>
        </w:rPr>
      </w:pPr>
      <w:r w:rsidRPr="004A73C1">
        <w:rPr>
          <w:rFonts w:ascii="Arial" w:hAnsi="Arial" w:cs="Arial"/>
        </w:rPr>
        <w:lastRenderedPageBreak/>
        <w:t>In our calculations, t</w:t>
      </w:r>
      <w:r w:rsidR="002E690B" w:rsidRPr="004A73C1">
        <w:rPr>
          <w:rFonts w:ascii="Arial" w:hAnsi="Arial" w:cs="Arial"/>
        </w:rPr>
        <w:t>he regression analysis yielded an R-squared value of less than 0.90, indicating that the model accounts for a significant but not overwhelming portion of the variability in the data, which is generally considered acceptable. Our dataset encompasses observations from the last 9 years, allowing for a comprehensive analysis of trends. Furthermore, the positive p-value suggests a direct and statistically significant relationship between economic growth and Foreign Direct Investment (FDI), indicating that as the economy grows, there is an observable increase in FDI inflows</w:t>
      </w:r>
      <w:r w:rsidR="002E690B" w:rsidRPr="004A73C1">
        <w:rPr>
          <w:rFonts w:ascii="Arial" w:eastAsiaTheme="majorEastAsia" w:hAnsi="Arial" w:cs="Arial"/>
          <w:sz w:val="26"/>
          <w:szCs w:val="26"/>
          <w:shd w:val="clear" w:color="auto" w:fill="FFFFFF"/>
        </w:rPr>
        <w:t>.</w:t>
      </w:r>
    </w:p>
    <w:p w14:paraId="3B6C2E3F" w14:textId="017B693E" w:rsidR="00C75C62" w:rsidRPr="004A73C1" w:rsidRDefault="00D53F0F" w:rsidP="00C75C62">
      <w:pPr>
        <w:spacing w:after="0" w:line="360" w:lineRule="auto"/>
        <w:jc w:val="both"/>
        <w:rPr>
          <w:rFonts w:ascii="Arial" w:hAnsi="Arial" w:cs="Arial"/>
        </w:rPr>
      </w:pPr>
      <w:r w:rsidRPr="004A73C1">
        <w:rPr>
          <w:rFonts w:ascii="Arial" w:hAnsi="Arial" w:cs="Arial"/>
          <w:noProof/>
        </w:rPr>
        <w:drawing>
          <wp:inline distT="0" distB="0" distL="0" distR="0" wp14:anchorId="6D0F14FE" wp14:editId="08BFFBD0">
            <wp:extent cx="5731510" cy="4733290"/>
            <wp:effectExtent l="0" t="0" r="2540" b="0"/>
            <wp:docPr id="1708332633"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332633" name="Picture 1" descr="A table with numbers and text&#10;&#10;Description automatically generated"/>
                    <pic:cNvPicPr/>
                  </pic:nvPicPr>
                  <pic:blipFill>
                    <a:blip r:embed="rId42"/>
                    <a:stretch>
                      <a:fillRect/>
                    </a:stretch>
                  </pic:blipFill>
                  <pic:spPr>
                    <a:xfrm>
                      <a:off x="0" y="0"/>
                      <a:ext cx="5731510" cy="4733290"/>
                    </a:xfrm>
                    <a:prstGeom prst="rect">
                      <a:avLst/>
                    </a:prstGeom>
                  </pic:spPr>
                </pic:pic>
              </a:graphicData>
            </a:graphic>
          </wp:inline>
        </w:drawing>
      </w:r>
      <w:r w:rsidR="00C75C62" w:rsidRPr="004A73C1">
        <w:rPr>
          <w:rFonts w:ascii="Arial" w:hAnsi="Arial" w:cs="Arial"/>
        </w:rPr>
        <w:t xml:space="preserve"> </w:t>
      </w:r>
    </w:p>
    <w:p w14:paraId="7A7AD8F0" w14:textId="1C88917E" w:rsidR="002E690B" w:rsidRDefault="002E690B" w:rsidP="00B93891">
      <w:pPr>
        <w:spacing w:after="200" w:line="360" w:lineRule="auto"/>
        <w:jc w:val="both"/>
        <w:rPr>
          <w:rFonts w:ascii="Arial" w:hAnsi="Arial" w:cs="Arial"/>
        </w:rPr>
      </w:pPr>
      <w:r w:rsidRPr="004A73C1">
        <w:rPr>
          <w:rFonts w:ascii="Arial" w:hAnsi="Arial" w:cs="Arial"/>
        </w:rPr>
        <w:t>The table above provides a comprehensive overview of various statistical data points, including Foreign Direct Investment (FDI), economic growth, and employment rates spanning the last nine years. The data indicates that despite the challenges posed by Brexit, the UK economy remains an attractive destination for foreign direct investment. Our analysis involves a direct comparison of FDI with GDP growth and unemployment rates, as these two factors are crucial in understanding the overarching impact of FDI on the UK economy.</w:t>
      </w:r>
    </w:p>
    <w:p w14:paraId="69B8D5C9" w14:textId="77777777" w:rsidR="00ED3916" w:rsidRPr="004A73C1" w:rsidRDefault="00ED3916" w:rsidP="00B93891">
      <w:pPr>
        <w:spacing w:after="200" w:line="360" w:lineRule="auto"/>
        <w:jc w:val="both"/>
        <w:rPr>
          <w:rFonts w:ascii="Arial" w:hAnsi="Arial" w:cs="Arial"/>
        </w:rPr>
      </w:pPr>
    </w:p>
    <w:p w14:paraId="4228BC4B" w14:textId="77777777" w:rsidR="00C75C62" w:rsidRPr="004A73C1" w:rsidRDefault="00C75C62" w:rsidP="00B93891">
      <w:pPr>
        <w:spacing w:after="200" w:line="360" w:lineRule="auto"/>
        <w:jc w:val="both"/>
        <w:rPr>
          <w:rFonts w:ascii="Arial" w:eastAsiaTheme="majorEastAsia" w:hAnsi="Arial" w:cs="Arial"/>
          <w:sz w:val="26"/>
          <w:szCs w:val="26"/>
          <w:shd w:val="clear" w:color="auto" w:fill="FFFFFF"/>
        </w:rPr>
      </w:pPr>
    </w:p>
    <w:p w14:paraId="7854BCB5" w14:textId="77777777" w:rsidR="00880023" w:rsidRPr="004A73C1" w:rsidRDefault="00880023" w:rsidP="00B93891">
      <w:pPr>
        <w:spacing w:after="200" w:line="360" w:lineRule="auto"/>
        <w:jc w:val="both"/>
        <w:rPr>
          <w:rFonts w:ascii="Arial" w:eastAsiaTheme="majorEastAsia" w:hAnsi="Arial" w:cs="Arial"/>
          <w:sz w:val="26"/>
          <w:szCs w:val="26"/>
          <w:shd w:val="clear" w:color="auto" w:fill="FFFFFF"/>
        </w:rPr>
      </w:pPr>
    </w:p>
    <w:p w14:paraId="5395C3C2" w14:textId="77777777" w:rsidR="00BE222C" w:rsidRDefault="00BE222C" w:rsidP="00B93891">
      <w:pPr>
        <w:spacing w:after="200" w:line="360" w:lineRule="auto"/>
        <w:jc w:val="both"/>
        <w:rPr>
          <w:rFonts w:ascii="Arial" w:eastAsiaTheme="majorEastAsia" w:hAnsi="Arial" w:cs="Arial"/>
          <w:b/>
          <w:bCs/>
          <w:sz w:val="26"/>
          <w:szCs w:val="26"/>
          <w:shd w:val="clear" w:color="auto" w:fill="FFFFFF"/>
        </w:rPr>
      </w:pPr>
    </w:p>
    <w:p w14:paraId="3BFDA8B1" w14:textId="768125D8" w:rsidR="00EE7955" w:rsidRPr="004A73C1" w:rsidRDefault="00CA52E6" w:rsidP="00B93891">
      <w:pPr>
        <w:spacing w:after="200" w:line="360" w:lineRule="auto"/>
        <w:jc w:val="both"/>
        <w:rPr>
          <w:rFonts w:ascii="Arial" w:eastAsiaTheme="majorEastAsia" w:hAnsi="Arial" w:cs="Arial"/>
          <w:b/>
          <w:bCs/>
          <w:sz w:val="26"/>
          <w:szCs w:val="26"/>
          <w:shd w:val="clear" w:color="auto" w:fill="FFFFFF"/>
        </w:rPr>
      </w:pPr>
      <w:r w:rsidRPr="004A73C1">
        <w:rPr>
          <w:rFonts w:ascii="Arial" w:eastAsiaTheme="majorEastAsia" w:hAnsi="Arial" w:cs="Arial"/>
          <w:b/>
          <w:bCs/>
          <w:sz w:val="26"/>
          <w:szCs w:val="26"/>
          <w:shd w:val="clear" w:color="auto" w:fill="FFFFFF"/>
        </w:rPr>
        <w:t>4.4.3</w:t>
      </w:r>
      <w:r w:rsidRPr="004A73C1">
        <w:rPr>
          <w:rFonts w:ascii="Arial" w:eastAsiaTheme="majorEastAsia" w:hAnsi="Arial" w:cs="Arial"/>
          <w:b/>
          <w:bCs/>
          <w:sz w:val="26"/>
          <w:szCs w:val="26"/>
          <w:shd w:val="clear" w:color="auto" w:fill="FFFFFF"/>
        </w:rPr>
        <w:tab/>
      </w:r>
      <w:r w:rsidR="00EE7955" w:rsidRPr="004A73C1">
        <w:rPr>
          <w:rFonts w:ascii="Arial" w:eastAsiaTheme="majorEastAsia" w:hAnsi="Arial" w:cs="Arial"/>
          <w:b/>
          <w:bCs/>
          <w:sz w:val="26"/>
          <w:szCs w:val="26"/>
          <w:shd w:val="clear" w:color="auto" w:fill="FFFFFF"/>
        </w:rPr>
        <w:t xml:space="preserve">Linear Line Regression Graph </w:t>
      </w:r>
    </w:p>
    <w:p w14:paraId="70471C19" w14:textId="1EAFEBB2" w:rsidR="0092745F" w:rsidRPr="004A73C1" w:rsidRDefault="0092745F" w:rsidP="00B93891">
      <w:pPr>
        <w:spacing w:after="200" w:line="360" w:lineRule="auto"/>
        <w:jc w:val="both"/>
        <w:rPr>
          <w:rFonts w:ascii="Arial" w:eastAsiaTheme="majorEastAsia" w:hAnsi="Arial" w:cs="Arial"/>
          <w:sz w:val="26"/>
          <w:szCs w:val="26"/>
          <w:shd w:val="clear" w:color="auto" w:fill="FFFFFF"/>
        </w:rPr>
      </w:pPr>
      <w:r w:rsidRPr="004A73C1">
        <w:rPr>
          <w:rFonts w:ascii="Arial" w:hAnsi="Arial" w:cs="Arial"/>
          <w:noProof/>
        </w:rPr>
        <w:drawing>
          <wp:inline distT="0" distB="0" distL="0" distR="0" wp14:anchorId="5DF1E14E" wp14:editId="65ECF330">
            <wp:extent cx="5934974" cy="2717321"/>
            <wp:effectExtent l="0" t="0" r="8890" b="6985"/>
            <wp:docPr id="849352363" name="Chart 1">
              <a:extLst xmlns:a="http://schemas.openxmlformats.org/drawingml/2006/main">
                <a:ext uri="{FF2B5EF4-FFF2-40B4-BE49-F238E27FC236}">
                  <a16:creationId xmlns:a16="http://schemas.microsoft.com/office/drawing/2014/main" id="{8DD8A233-790F-2317-A1E7-7E66DC813A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5046F6AF" w14:textId="33546D1C" w:rsidR="00C75C62" w:rsidRPr="004A73C1" w:rsidRDefault="00C75C62" w:rsidP="00C75C62">
      <w:pPr>
        <w:spacing w:after="0" w:line="360" w:lineRule="auto"/>
        <w:jc w:val="both"/>
        <w:rPr>
          <w:rFonts w:ascii="Arial" w:hAnsi="Arial" w:cs="Arial"/>
        </w:rPr>
      </w:pPr>
      <w:r w:rsidRPr="004A73C1">
        <w:rPr>
          <w:rFonts w:ascii="Arial" w:hAnsi="Arial" w:cs="Arial"/>
        </w:rPr>
        <w:t>Figure 21</w:t>
      </w:r>
      <w:r w:rsidRPr="004A73C1">
        <w:rPr>
          <w:rFonts w:ascii="Arial" w:hAnsi="Arial" w:cs="Arial"/>
        </w:rPr>
        <w:tab/>
      </w:r>
      <w:r w:rsidR="00976200">
        <w:rPr>
          <w:rFonts w:ascii="Arial" w:hAnsi="Arial" w:cs="Arial"/>
        </w:rPr>
        <w:t>(</w:t>
      </w:r>
      <w:r w:rsidR="00976200">
        <w:rPr>
          <w:rFonts w:ascii="Arial" w:eastAsiaTheme="majorEastAsia" w:hAnsi="Arial" w:cs="Arial"/>
          <w:sz w:val="26"/>
          <w:szCs w:val="26"/>
          <w:shd w:val="clear" w:color="auto" w:fill="FFFFFF"/>
        </w:rPr>
        <w:t>Source: World Bank)</w:t>
      </w:r>
    </w:p>
    <w:p w14:paraId="39AB74E9" w14:textId="77777777" w:rsidR="00C75C62" w:rsidRPr="004A73C1" w:rsidRDefault="00C75C62" w:rsidP="00B93891">
      <w:pPr>
        <w:spacing w:after="200" w:line="360" w:lineRule="auto"/>
        <w:jc w:val="both"/>
        <w:rPr>
          <w:rFonts w:ascii="Arial" w:eastAsiaTheme="majorEastAsia" w:hAnsi="Arial" w:cs="Arial"/>
          <w:sz w:val="26"/>
          <w:szCs w:val="26"/>
          <w:shd w:val="clear" w:color="auto" w:fill="FFFFFF"/>
        </w:rPr>
      </w:pPr>
    </w:p>
    <w:p w14:paraId="529C0609" w14:textId="77777777" w:rsidR="00C75C62" w:rsidRPr="004A73C1" w:rsidRDefault="00C75C62" w:rsidP="00B93891">
      <w:pPr>
        <w:spacing w:after="200" w:line="360" w:lineRule="auto"/>
        <w:jc w:val="both"/>
        <w:rPr>
          <w:rFonts w:ascii="Arial" w:eastAsiaTheme="majorEastAsia" w:hAnsi="Arial" w:cs="Arial"/>
          <w:sz w:val="26"/>
          <w:szCs w:val="26"/>
          <w:shd w:val="clear" w:color="auto" w:fill="FFFFFF"/>
        </w:rPr>
      </w:pPr>
    </w:p>
    <w:p w14:paraId="10C8CBB6" w14:textId="77777777" w:rsidR="00C75C62" w:rsidRPr="004A73C1" w:rsidRDefault="00C75C62" w:rsidP="00B93891">
      <w:pPr>
        <w:spacing w:after="200" w:line="360" w:lineRule="auto"/>
        <w:jc w:val="both"/>
        <w:rPr>
          <w:rFonts w:ascii="Arial" w:eastAsiaTheme="majorEastAsia" w:hAnsi="Arial" w:cs="Arial"/>
          <w:sz w:val="26"/>
          <w:szCs w:val="26"/>
          <w:shd w:val="clear" w:color="auto" w:fill="FFFFFF"/>
        </w:rPr>
      </w:pPr>
    </w:p>
    <w:p w14:paraId="38BE3039" w14:textId="77777777" w:rsidR="0092745F" w:rsidRPr="004A73C1" w:rsidRDefault="0092745F">
      <w:pPr>
        <w:rPr>
          <w:rFonts w:ascii="Arial" w:eastAsiaTheme="majorEastAsia" w:hAnsi="Arial" w:cs="Arial"/>
          <w:sz w:val="26"/>
          <w:szCs w:val="26"/>
          <w:shd w:val="clear" w:color="auto" w:fill="FFFFFF"/>
        </w:rPr>
      </w:pPr>
      <w:r w:rsidRPr="004A73C1">
        <w:rPr>
          <w:rFonts w:ascii="Arial" w:hAnsi="Arial" w:cs="Arial"/>
          <w:noProof/>
        </w:rPr>
        <w:drawing>
          <wp:inline distT="0" distB="0" distL="0" distR="0" wp14:anchorId="2215C6F9" wp14:editId="1AEA1DC0">
            <wp:extent cx="5909094" cy="3010618"/>
            <wp:effectExtent l="0" t="0" r="15875" b="18415"/>
            <wp:docPr id="605707435" name="Chart 1">
              <a:extLst xmlns:a="http://schemas.openxmlformats.org/drawingml/2006/main">
                <a:ext uri="{FF2B5EF4-FFF2-40B4-BE49-F238E27FC236}">
                  <a16:creationId xmlns:a16="http://schemas.microsoft.com/office/drawing/2014/main" id="{579D1256-F308-F2E4-49F8-92B40625F5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16F9AF88" w14:textId="35DF540C" w:rsidR="00C75C62" w:rsidRPr="004A73C1" w:rsidRDefault="00C75C62" w:rsidP="00C75C62">
      <w:pPr>
        <w:spacing w:after="0" w:line="360" w:lineRule="auto"/>
        <w:jc w:val="both"/>
        <w:rPr>
          <w:rFonts w:ascii="Arial" w:hAnsi="Arial" w:cs="Arial"/>
        </w:rPr>
      </w:pPr>
      <w:r w:rsidRPr="004A73C1">
        <w:rPr>
          <w:rFonts w:ascii="Arial" w:hAnsi="Arial" w:cs="Arial"/>
        </w:rPr>
        <w:t>Figure 22</w:t>
      </w:r>
      <w:r w:rsidR="00976200">
        <w:rPr>
          <w:rFonts w:ascii="Arial" w:hAnsi="Arial" w:cs="Arial"/>
        </w:rPr>
        <w:t xml:space="preserve"> (</w:t>
      </w:r>
      <w:r w:rsidR="00976200">
        <w:rPr>
          <w:rFonts w:ascii="Arial" w:eastAsiaTheme="majorEastAsia" w:hAnsi="Arial" w:cs="Arial"/>
          <w:sz w:val="26"/>
          <w:szCs w:val="26"/>
          <w:shd w:val="clear" w:color="auto" w:fill="FFFFFF"/>
        </w:rPr>
        <w:t>Source: World Bank)</w:t>
      </w:r>
      <w:r w:rsidRPr="004A73C1">
        <w:rPr>
          <w:rFonts w:ascii="Arial" w:hAnsi="Arial" w:cs="Arial"/>
        </w:rPr>
        <w:tab/>
        <w:t xml:space="preserve"> </w:t>
      </w:r>
    </w:p>
    <w:p w14:paraId="61BFDBDB" w14:textId="77777777" w:rsidR="0092745F" w:rsidRPr="004A73C1" w:rsidRDefault="0092745F">
      <w:pPr>
        <w:rPr>
          <w:rFonts w:ascii="Arial" w:eastAsiaTheme="majorEastAsia" w:hAnsi="Arial" w:cs="Arial"/>
          <w:sz w:val="26"/>
          <w:szCs w:val="26"/>
          <w:shd w:val="clear" w:color="auto" w:fill="FFFFFF"/>
        </w:rPr>
      </w:pPr>
    </w:p>
    <w:p w14:paraId="3F980D16" w14:textId="77777777" w:rsidR="002E690B" w:rsidRPr="004A73C1" w:rsidRDefault="0092745F">
      <w:pPr>
        <w:rPr>
          <w:rFonts w:ascii="Arial" w:eastAsiaTheme="majorEastAsia" w:hAnsi="Arial" w:cs="Arial"/>
          <w:sz w:val="26"/>
          <w:szCs w:val="26"/>
          <w:shd w:val="clear" w:color="auto" w:fill="FFFFFF"/>
        </w:rPr>
      </w:pPr>
      <w:r w:rsidRPr="004A73C1">
        <w:rPr>
          <w:rFonts w:ascii="Arial" w:hAnsi="Arial" w:cs="Arial"/>
          <w:noProof/>
        </w:rPr>
        <w:lastRenderedPageBreak/>
        <w:drawing>
          <wp:inline distT="0" distB="0" distL="0" distR="0" wp14:anchorId="5A83E499" wp14:editId="2109273B">
            <wp:extent cx="5727940" cy="3614468"/>
            <wp:effectExtent l="0" t="0" r="6350" b="5080"/>
            <wp:docPr id="2132004606" name="Chart 1">
              <a:extLst xmlns:a="http://schemas.openxmlformats.org/drawingml/2006/main">
                <a:ext uri="{FF2B5EF4-FFF2-40B4-BE49-F238E27FC236}">
                  <a16:creationId xmlns:a16="http://schemas.microsoft.com/office/drawing/2014/main" id="{9A2F3D1C-ABA2-16E1-CC39-96EA80E4DB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38106839" w14:textId="62738371" w:rsidR="002E690B" w:rsidRPr="004A73C1" w:rsidRDefault="00C75C62">
      <w:pPr>
        <w:rPr>
          <w:rFonts w:ascii="Arial" w:eastAsiaTheme="majorEastAsia" w:hAnsi="Arial" w:cs="Arial"/>
          <w:sz w:val="26"/>
          <w:szCs w:val="26"/>
          <w:shd w:val="clear" w:color="auto" w:fill="FFFFFF"/>
        </w:rPr>
      </w:pPr>
      <w:r w:rsidRPr="004A73C1">
        <w:rPr>
          <w:rFonts w:ascii="Arial" w:eastAsiaTheme="majorEastAsia" w:hAnsi="Arial" w:cs="Arial"/>
          <w:sz w:val="26"/>
          <w:szCs w:val="26"/>
          <w:shd w:val="clear" w:color="auto" w:fill="FFFFFF"/>
        </w:rPr>
        <w:t>Table 23</w:t>
      </w:r>
      <w:r w:rsidR="00976200">
        <w:rPr>
          <w:rFonts w:ascii="Arial" w:eastAsiaTheme="majorEastAsia" w:hAnsi="Arial" w:cs="Arial"/>
          <w:sz w:val="26"/>
          <w:szCs w:val="26"/>
          <w:shd w:val="clear" w:color="auto" w:fill="FFFFFF"/>
        </w:rPr>
        <w:t xml:space="preserve">  </w:t>
      </w:r>
      <w:r w:rsidR="00976200">
        <w:rPr>
          <w:rFonts w:ascii="Arial" w:hAnsi="Arial" w:cs="Arial"/>
        </w:rPr>
        <w:t>(</w:t>
      </w:r>
      <w:r w:rsidR="00976200">
        <w:rPr>
          <w:rFonts w:ascii="Arial" w:eastAsiaTheme="majorEastAsia" w:hAnsi="Arial" w:cs="Arial"/>
          <w:sz w:val="26"/>
          <w:szCs w:val="26"/>
          <w:shd w:val="clear" w:color="auto" w:fill="FFFFFF"/>
        </w:rPr>
        <w:t>Source: World Bank)</w:t>
      </w:r>
    </w:p>
    <w:p w14:paraId="3C64098B" w14:textId="77777777" w:rsidR="00C75C62" w:rsidRPr="004A73C1" w:rsidRDefault="00C75C62">
      <w:pPr>
        <w:rPr>
          <w:rFonts w:ascii="Arial" w:eastAsiaTheme="majorEastAsia" w:hAnsi="Arial" w:cs="Arial"/>
          <w:sz w:val="26"/>
          <w:szCs w:val="26"/>
          <w:shd w:val="clear" w:color="auto" w:fill="FFFFFF"/>
        </w:rPr>
      </w:pPr>
    </w:p>
    <w:p w14:paraId="6034661E" w14:textId="7A1B951C" w:rsidR="00B93891" w:rsidRPr="004A73C1" w:rsidRDefault="002E690B" w:rsidP="00C75C62">
      <w:pPr>
        <w:spacing w:line="360" w:lineRule="auto"/>
        <w:jc w:val="both"/>
        <w:rPr>
          <w:rFonts w:ascii="Arial" w:eastAsiaTheme="majorEastAsia" w:hAnsi="Arial" w:cs="Arial"/>
          <w:sz w:val="24"/>
          <w:szCs w:val="24"/>
          <w:shd w:val="clear" w:color="auto" w:fill="FFFFFF"/>
        </w:rPr>
      </w:pPr>
      <w:r w:rsidRPr="004A73C1">
        <w:rPr>
          <w:rFonts w:ascii="Arial" w:eastAsiaTheme="majorEastAsia" w:hAnsi="Arial" w:cs="Arial"/>
          <w:sz w:val="24"/>
          <w:szCs w:val="24"/>
          <w:shd w:val="clear" w:color="auto" w:fill="FFFFFF"/>
        </w:rPr>
        <w:t xml:space="preserve">The following table is based on data sourced from the World Bank. We have used this data to create a forecast over the next 7 years </w:t>
      </w:r>
      <w:r w:rsidR="00BC5C82" w:rsidRPr="004A73C1">
        <w:rPr>
          <w:rFonts w:ascii="Arial" w:eastAsiaTheme="majorEastAsia" w:hAnsi="Arial" w:cs="Arial"/>
          <w:sz w:val="24"/>
          <w:szCs w:val="24"/>
          <w:shd w:val="clear" w:color="auto" w:fill="FFFFFF"/>
        </w:rPr>
        <w:t>to</w:t>
      </w:r>
      <w:r w:rsidRPr="004A73C1">
        <w:rPr>
          <w:rFonts w:ascii="Arial" w:eastAsiaTheme="majorEastAsia" w:hAnsi="Arial" w:cs="Arial"/>
          <w:sz w:val="24"/>
          <w:szCs w:val="24"/>
          <w:shd w:val="clear" w:color="auto" w:fill="FFFFFF"/>
        </w:rPr>
        <w:t xml:space="preserve"> track the expected trends of Foreign Direct Investment (FDI), Gross Domestic Product (GDP), and the Unemployment Rate. It is important to note that our analysis assumes that the factors and trends influencing these metrics will remain consistent over the next 7 years.</w:t>
      </w:r>
      <w:r w:rsidR="00B93891" w:rsidRPr="004A73C1">
        <w:rPr>
          <w:rFonts w:ascii="Arial" w:eastAsiaTheme="majorEastAsia" w:hAnsi="Arial" w:cs="Arial"/>
          <w:sz w:val="24"/>
          <w:szCs w:val="24"/>
          <w:shd w:val="clear" w:color="auto" w:fill="FFFFFF"/>
        </w:rPr>
        <w:br w:type="page"/>
      </w:r>
    </w:p>
    <w:p w14:paraId="1A33911F" w14:textId="39900E3E" w:rsidR="00B93891" w:rsidRPr="004A73C1" w:rsidRDefault="00CA52E6" w:rsidP="002836D7">
      <w:pPr>
        <w:pStyle w:val="Heading3"/>
        <w:rPr>
          <w:rFonts w:ascii="Arial" w:hAnsi="Arial" w:cs="Arial"/>
          <w:color w:val="auto"/>
          <w:shd w:val="clear" w:color="auto" w:fill="FFFFFF"/>
        </w:rPr>
      </w:pPr>
      <w:bookmarkStart w:id="134" w:name="_Toc175675372"/>
      <w:r w:rsidRPr="004A73C1">
        <w:rPr>
          <w:rFonts w:ascii="Arial" w:hAnsi="Arial" w:cs="Arial"/>
          <w:color w:val="auto"/>
          <w:shd w:val="clear" w:color="auto" w:fill="FFFFFF"/>
        </w:rPr>
        <w:lastRenderedPageBreak/>
        <w:t>4.4.4</w:t>
      </w:r>
      <w:r w:rsidRPr="004A73C1">
        <w:rPr>
          <w:rFonts w:ascii="Arial" w:hAnsi="Arial" w:cs="Arial"/>
          <w:color w:val="auto"/>
          <w:shd w:val="clear" w:color="auto" w:fill="FFFFFF"/>
        </w:rPr>
        <w:tab/>
      </w:r>
      <w:r w:rsidR="00B93891" w:rsidRPr="004A73C1">
        <w:rPr>
          <w:rFonts w:ascii="Arial" w:hAnsi="Arial" w:cs="Arial"/>
          <w:color w:val="auto"/>
          <w:shd w:val="clear" w:color="auto" w:fill="FFFFFF"/>
        </w:rPr>
        <w:t xml:space="preserve">Forecast </w:t>
      </w:r>
      <w:r w:rsidR="002836D7" w:rsidRPr="004A73C1">
        <w:rPr>
          <w:rFonts w:ascii="Arial" w:hAnsi="Arial" w:cs="Arial"/>
          <w:color w:val="auto"/>
          <w:shd w:val="clear" w:color="auto" w:fill="FFFFFF"/>
        </w:rPr>
        <w:t>-FDI, GDP &amp; Unemployment</w:t>
      </w:r>
      <w:bookmarkEnd w:id="134"/>
      <w:r w:rsidR="002836D7" w:rsidRPr="004A73C1">
        <w:rPr>
          <w:rFonts w:ascii="Arial" w:hAnsi="Arial" w:cs="Arial"/>
          <w:color w:val="auto"/>
          <w:shd w:val="clear" w:color="auto" w:fill="FFFFFF"/>
        </w:rPr>
        <w:t xml:space="preserve"> </w:t>
      </w:r>
    </w:p>
    <w:tbl>
      <w:tblPr>
        <w:tblW w:w="9579" w:type="dxa"/>
        <w:shd w:val="clear" w:color="auto" w:fill="CEDBE6" w:themeFill="background2"/>
        <w:tblLook w:val="04A0" w:firstRow="1" w:lastRow="0" w:firstColumn="1" w:lastColumn="0" w:noHBand="0" w:noVBand="1"/>
      </w:tblPr>
      <w:tblGrid>
        <w:gridCol w:w="1701"/>
        <w:gridCol w:w="706"/>
        <w:gridCol w:w="1984"/>
        <w:gridCol w:w="1772"/>
        <w:gridCol w:w="1917"/>
        <w:gridCol w:w="1475"/>
        <w:gridCol w:w="24"/>
      </w:tblGrid>
      <w:tr w:rsidR="00B93891" w:rsidRPr="004A73C1" w14:paraId="5CA9392D" w14:textId="77777777" w:rsidTr="00BC5C82">
        <w:trPr>
          <w:trHeight w:val="390"/>
        </w:trPr>
        <w:tc>
          <w:tcPr>
            <w:tcW w:w="9579" w:type="dxa"/>
            <w:gridSpan w:val="7"/>
            <w:tcBorders>
              <w:top w:val="nil"/>
              <w:left w:val="nil"/>
              <w:bottom w:val="single" w:sz="8" w:space="0" w:color="auto"/>
              <w:right w:val="nil"/>
            </w:tcBorders>
            <w:shd w:val="clear" w:color="auto" w:fill="CEDBE6" w:themeFill="background2"/>
            <w:noWrap/>
            <w:vAlign w:val="center"/>
            <w:hideMark/>
          </w:tcPr>
          <w:p w14:paraId="58F8D250" w14:textId="2F6287B9" w:rsidR="00B93891" w:rsidRPr="004A73C1" w:rsidRDefault="00B93891" w:rsidP="00B93891">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 xml:space="preserve">Forecasted Calculations Based on 9-year Data </w:t>
            </w:r>
            <w:r w:rsidR="00BC5C82" w:rsidRPr="004A73C1">
              <w:rPr>
                <w:rFonts w:ascii="Arial" w:eastAsia="Times New Roman" w:hAnsi="Arial" w:cs="Arial"/>
                <w:b/>
                <w:bCs/>
                <w:color w:val="000000"/>
                <w:sz w:val="18"/>
                <w:szCs w:val="18"/>
                <w:lang w:eastAsia="en-GB"/>
              </w:rPr>
              <w:t>from</w:t>
            </w:r>
            <w:r w:rsidRPr="004A73C1">
              <w:rPr>
                <w:rFonts w:ascii="Arial" w:eastAsia="Times New Roman" w:hAnsi="Arial" w:cs="Arial"/>
                <w:b/>
                <w:bCs/>
                <w:color w:val="000000"/>
                <w:sz w:val="18"/>
                <w:szCs w:val="18"/>
                <w:lang w:eastAsia="en-GB"/>
              </w:rPr>
              <w:t xml:space="preserve"> World Bank</w:t>
            </w:r>
          </w:p>
        </w:tc>
      </w:tr>
      <w:tr w:rsidR="00BC5C82" w:rsidRPr="004A73C1" w14:paraId="1753C442" w14:textId="77777777" w:rsidTr="00BC5C82">
        <w:trPr>
          <w:gridAfter w:val="1"/>
          <w:wAfter w:w="24" w:type="dxa"/>
          <w:trHeight w:val="585"/>
        </w:trPr>
        <w:tc>
          <w:tcPr>
            <w:tcW w:w="1701" w:type="dxa"/>
            <w:vMerge w:val="restart"/>
            <w:tcBorders>
              <w:top w:val="nil"/>
              <w:left w:val="single" w:sz="8" w:space="0" w:color="auto"/>
              <w:bottom w:val="single" w:sz="8" w:space="0" w:color="000000"/>
              <w:right w:val="single" w:sz="8" w:space="0" w:color="auto"/>
            </w:tcBorders>
            <w:shd w:val="clear" w:color="auto" w:fill="CEDBE6" w:themeFill="background2"/>
            <w:noWrap/>
            <w:vAlign w:val="center"/>
            <w:hideMark/>
          </w:tcPr>
          <w:p w14:paraId="630365B0" w14:textId="77777777" w:rsidR="00B93891" w:rsidRPr="004A73C1" w:rsidRDefault="00B93891" w:rsidP="00B93891">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Actual Data -Source World Bank</w:t>
            </w: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1460F1D3"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Year</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6629D9CE"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 xml:space="preserve"> NET FDI - Billions </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6E95AFD7"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 xml:space="preserve"> GDP- In Billions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7F87BC8B"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 xml:space="preserve"> Unemployment Rate </w:t>
            </w:r>
          </w:p>
        </w:tc>
        <w:tc>
          <w:tcPr>
            <w:tcW w:w="1475" w:type="dxa"/>
            <w:tcBorders>
              <w:top w:val="nil"/>
              <w:left w:val="nil"/>
              <w:bottom w:val="single" w:sz="8" w:space="0" w:color="auto"/>
              <w:right w:val="single" w:sz="8" w:space="0" w:color="auto"/>
            </w:tcBorders>
            <w:shd w:val="clear" w:color="auto" w:fill="CEDBE6" w:themeFill="background2"/>
            <w:vAlign w:val="center"/>
            <w:hideMark/>
          </w:tcPr>
          <w:p w14:paraId="15592100"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Percentage FDI/GDP%</w:t>
            </w:r>
          </w:p>
        </w:tc>
      </w:tr>
      <w:tr w:rsidR="00BC5C82" w:rsidRPr="004A73C1" w14:paraId="466DA11D" w14:textId="77777777" w:rsidTr="00BC5C82">
        <w:trPr>
          <w:gridAfter w:val="1"/>
          <w:wAfter w:w="24" w:type="dxa"/>
          <w:trHeight w:val="315"/>
        </w:trPr>
        <w:tc>
          <w:tcPr>
            <w:tcW w:w="1701" w:type="dxa"/>
            <w:vMerge/>
            <w:tcBorders>
              <w:top w:val="nil"/>
              <w:left w:val="single" w:sz="8" w:space="0" w:color="auto"/>
              <w:bottom w:val="single" w:sz="8" w:space="0" w:color="000000"/>
              <w:right w:val="single" w:sz="8" w:space="0" w:color="auto"/>
            </w:tcBorders>
            <w:shd w:val="clear" w:color="auto" w:fill="CEDBE6" w:themeFill="background2"/>
            <w:vAlign w:val="center"/>
            <w:hideMark/>
          </w:tcPr>
          <w:p w14:paraId="039CE7DB"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357761CD"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2015</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3FEFB383"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(105.51)</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69C691B6"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2,927.91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01D0ED41"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5.40 </w:t>
            </w:r>
          </w:p>
        </w:tc>
        <w:tc>
          <w:tcPr>
            <w:tcW w:w="1475" w:type="dxa"/>
            <w:tcBorders>
              <w:top w:val="nil"/>
              <w:left w:val="nil"/>
              <w:bottom w:val="single" w:sz="8" w:space="0" w:color="auto"/>
              <w:right w:val="single" w:sz="8" w:space="0" w:color="auto"/>
            </w:tcBorders>
            <w:shd w:val="clear" w:color="auto" w:fill="CEDBE6" w:themeFill="background2"/>
            <w:noWrap/>
            <w:vAlign w:val="center"/>
            <w:hideMark/>
          </w:tcPr>
          <w:p w14:paraId="472A8CF0"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-4%</w:t>
            </w:r>
          </w:p>
        </w:tc>
      </w:tr>
      <w:tr w:rsidR="00BC5C82" w:rsidRPr="004A73C1" w14:paraId="1D9B67FF" w14:textId="77777777" w:rsidTr="00BC5C82">
        <w:trPr>
          <w:gridAfter w:val="1"/>
          <w:wAfter w:w="24" w:type="dxa"/>
          <w:trHeight w:val="315"/>
        </w:trPr>
        <w:tc>
          <w:tcPr>
            <w:tcW w:w="1701" w:type="dxa"/>
            <w:vMerge/>
            <w:tcBorders>
              <w:top w:val="nil"/>
              <w:left w:val="single" w:sz="8" w:space="0" w:color="auto"/>
              <w:bottom w:val="single" w:sz="8" w:space="0" w:color="000000"/>
              <w:right w:val="single" w:sz="8" w:space="0" w:color="auto"/>
            </w:tcBorders>
            <w:shd w:val="clear" w:color="auto" w:fill="CEDBE6" w:themeFill="background2"/>
            <w:vAlign w:val="center"/>
            <w:hideMark/>
          </w:tcPr>
          <w:p w14:paraId="76CAC2C7"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5B9F460D"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2016</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084F4102"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(291.90)</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637DACDC"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2,689.11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675D6A8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4.90 </w:t>
            </w:r>
          </w:p>
        </w:tc>
        <w:tc>
          <w:tcPr>
            <w:tcW w:w="1475" w:type="dxa"/>
            <w:tcBorders>
              <w:top w:val="nil"/>
              <w:left w:val="nil"/>
              <w:bottom w:val="single" w:sz="8" w:space="0" w:color="auto"/>
              <w:right w:val="single" w:sz="8" w:space="0" w:color="auto"/>
            </w:tcBorders>
            <w:shd w:val="clear" w:color="auto" w:fill="CEDBE6" w:themeFill="background2"/>
            <w:noWrap/>
            <w:vAlign w:val="center"/>
            <w:hideMark/>
          </w:tcPr>
          <w:p w14:paraId="05CCD1D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-11%</w:t>
            </w:r>
          </w:p>
        </w:tc>
      </w:tr>
      <w:tr w:rsidR="00BC5C82" w:rsidRPr="004A73C1" w14:paraId="71D082AF" w14:textId="77777777" w:rsidTr="00BC5C82">
        <w:trPr>
          <w:gridAfter w:val="1"/>
          <w:wAfter w:w="24" w:type="dxa"/>
          <w:trHeight w:val="315"/>
        </w:trPr>
        <w:tc>
          <w:tcPr>
            <w:tcW w:w="1701" w:type="dxa"/>
            <w:vMerge/>
            <w:tcBorders>
              <w:top w:val="nil"/>
              <w:left w:val="single" w:sz="8" w:space="0" w:color="auto"/>
              <w:bottom w:val="single" w:sz="8" w:space="0" w:color="000000"/>
              <w:right w:val="single" w:sz="8" w:space="0" w:color="auto"/>
            </w:tcBorders>
            <w:shd w:val="clear" w:color="auto" w:fill="CEDBE6" w:themeFill="background2"/>
            <w:vAlign w:val="center"/>
            <w:hideMark/>
          </w:tcPr>
          <w:p w14:paraId="6DF16645"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60ED4D97"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2017</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0AC682AF"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46.69 </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7C902B7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2,680.15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41E087C4"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4.40 </w:t>
            </w:r>
          </w:p>
        </w:tc>
        <w:tc>
          <w:tcPr>
            <w:tcW w:w="1475" w:type="dxa"/>
            <w:tcBorders>
              <w:top w:val="nil"/>
              <w:left w:val="nil"/>
              <w:bottom w:val="single" w:sz="8" w:space="0" w:color="auto"/>
              <w:right w:val="single" w:sz="8" w:space="0" w:color="auto"/>
            </w:tcBorders>
            <w:shd w:val="clear" w:color="auto" w:fill="CEDBE6" w:themeFill="background2"/>
            <w:noWrap/>
            <w:vAlign w:val="center"/>
            <w:hideMark/>
          </w:tcPr>
          <w:p w14:paraId="5DC536B4"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2%</w:t>
            </w:r>
          </w:p>
        </w:tc>
      </w:tr>
      <w:tr w:rsidR="00BC5C82" w:rsidRPr="004A73C1" w14:paraId="1B6BBC21" w14:textId="77777777" w:rsidTr="00BC5C82">
        <w:trPr>
          <w:gridAfter w:val="1"/>
          <w:wAfter w:w="24" w:type="dxa"/>
          <w:trHeight w:val="315"/>
        </w:trPr>
        <w:tc>
          <w:tcPr>
            <w:tcW w:w="1701" w:type="dxa"/>
            <w:vMerge/>
            <w:tcBorders>
              <w:top w:val="nil"/>
              <w:left w:val="single" w:sz="8" w:space="0" w:color="auto"/>
              <w:bottom w:val="single" w:sz="8" w:space="0" w:color="000000"/>
              <w:right w:val="single" w:sz="8" w:space="0" w:color="auto"/>
            </w:tcBorders>
            <w:shd w:val="clear" w:color="auto" w:fill="CEDBE6" w:themeFill="background2"/>
            <w:vAlign w:val="center"/>
            <w:hideMark/>
          </w:tcPr>
          <w:p w14:paraId="673277F8"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163163CD"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2018</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7FCE68DD"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(3.58)</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2C99EBBC"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2,871.34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27F5521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4.20 </w:t>
            </w:r>
          </w:p>
        </w:tc>
        <w:tc>
          <w:tcPr>
            <w:tcW w:w="1475" w:type="dxa"/>
            <w:tcBorders>
              <w:top w:val="nil"/>
              <w:left w:val="nil"/>
              <w:bottom w:val="single" w:sz="8" w:space="0" w:color="auto"/>
              <w:right w:val="single" w:sz="8" w:space="0" w:color="auto"/>
            </w:tcBorders>
            <w:shd w:val="clear" w:color="auto" w:fill="CEDBE6" w:themeFill="background2"/>
            <w:noWrap/>
            <w:vAlign w:val="center"/>
            <w:hideMark/>
          </w:tcPr>
          <w:p w14:paraId="095BA23D"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0%</w:t>
            </w:r>
          </w:p>
        </w:tc>
      </w:tr>
      <w:tr w:rsidR="00BC5C82" w:rsidRPr="004A73C1" w14:paraId="4EA99E03" w14:textId="77777777" w:rsidTr="00BC5C82">
        <w:trPr>
          <w:gridAfter w:val="1"/>
          <w:wAfter w:w="24" w:type="dxa"/>
          <w:trHeight w:val="315"/>
        </w:trPr>
        <w:tc>
          <w:tcPr>
            <w:tcW w:w="1701" w:type="dxa"/>
            <w:vMerge/>
            <w:tcBorders>
              <w:top w:val="nil"/>
              <w:left w:val="single" w:sz="8" w:space="0" w:color="auto"/>
              <w:bottom w:val="single" w:sz="8" w:space="0" w:color="000000"/>
              <w:right w:val="single" w:sz="8" w:space="0" w:color="auto"/>
            </w:tcBorders>
            <w:shd w:val="clear" w:color="auto" w:fill="CEDBE6" w:themeFill="background2"/>
            <w:vAlign w:val="center"/>
            <w:hideMark/>
          </w:tcPr>
          <w:p w14:paraId="0F1CF9C9"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65A7458C"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2019</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5D23E82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(41.29)</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458EB16E"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2,851.41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0E39B3D0"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3.90 </w:t>
            </w:r>
          </w:p>
        </w:tc>
        <w:tc>
          <w:tcPr>
            <w:tcW w:w="1475" w:type="dxa"/>
            <w:tcBorders>
              <w:top w:val="nil"/>
              <w:left w:val="nil"/>
              <w:bottom w:val="single" w:sz="8" w:space="0" w:color="auto"/>
              <w:right w:val="single" w:sz="8" w:space="0" w:color="auto"/>
            </w:tcBorders>
            <w:shd w:val="clear" w:color="auto" w:fill="CEDBE6" w:themeFill="background2"/>
            <w:noWrap/>
            <w:vAlign w:val="center"/>
            <w:hideMark/>
          </w:tcPr>
          <w:p w14:paraId="56B3E6C9"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-1%</w:t>
            </w:r>
          </w:p>
        </w:tc>
      </w:tr>
      <w:tr w:rsidR="00BC5C82" w:rsidRPr="004A73C1" w14:paraId="6264BA8F" w14:textId="77777777" w:rsidTr="00BC5C82">
        <w:trPr>
          <w:gridAfter w:val="1"/>
          <w:wAfter w:w="24" w:type="dxa"/>
          <w:trHeight w:val="315"/>
        </w:trPr>
        <w:tc>
          <w:tcPr>
            <w:tcW w:w="1701" w:type="dxa"/>
            <w:vMerge/>
            <w:tcBorders>
              <w:top w:val="nil"/>
              <w:left w:val="single" w:sz="8" w:space="0" w:color="auto"/>
              <w:bottom w:val="single" w:sz="8" w:space="0" w:color="000000"/>
              <w:right w:val="single" w:sz="8" w:space="0" w:color="auto"/>
            </w:tcBorders>
            <w:shd w:val="clear" w:color="auto" w:fill="CEDBE6" w:themeFill="background2"/>
            <w:vAlign w:val="center"/>
            <w:hideMark/>
          </w:tcPr>
          <w:p w14:paraId="5C1FAFA1"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46A1ABD3"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2020</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43498C8D"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(140.80)</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77A1E153"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2,697.81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184E20C5"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4.70 </w:t>
            </w:r>
          </w:p>
        </w:tc>
        <w:tc>
          <w:tcPr>
            <w:tcW w:w="1475" w:type="dxa"/>
            <w:tcBorders>
              <w:top w:val="nil"/>
              <w:left w:val="nil"/>
              <w:bottom w:val="single" w:sz="8" w:space="0" w:color="auto"/>
              <w:right w:val="single" w:sz="8" w:space="0" w:color="auto"/>
            </w:tcBorders>
            <w:shd w:val="clear" w:color="auto" w:fill="CEDBE6" w:themeFill="background2"/>
            <w:noWrap/>
            <w:vAlign w:val="center"/>
            <w:hideMark/>
          </w:tcPr>
          <w:p w14:paraId="084BE389"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-5%</w:t>
            </w:r>
          </w:p>
        </w:tc>
      </w:tr>
      <w:tr w:rsidR="00BC5C82" w:rsidRPr="004A73C1" w14:paraId="44CC8851" w14:textId="77777777" w:rsidTr="00BC5C82">
        <w:trPr>
          <w:gridAfter w:val="1"/>
          <w:wAfter w:w="24" w:type="dxa"/>
          <w:trHeight w:val="315"/>
        </w:trPr>
        <w:tc>
          <w:tcPr>
            <w:tcW w:w="1701" w:type="dxa"/>
            <w:vMerge/>
            <w:tcBorders>
              <w:top w:val="nil"/>
              <w:left w:val="single" w:sz="8" w:space="0" w:color="auto"/>
              <w:bottom w:val="single" w:sz="8" w:space="0" w:color="000000"/>
              <w:right w:val="single" w:sz="8" w:space="0" w:color="auto"/>
            </w:tcBorders>
            <w:shd w:val="clear" w:color="auto" w:fill="CEDBE6" w:themeFill="background2"/>
            <w:vAlign w:val="center"/>
            <w:hideMark/>
          </w:tcPr>
          <w:p w14:paraId="4D55FE34"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7705ED33"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2021</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3969B557"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155.01 </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275E8F2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3,141.51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71A71FD0"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4.60 </w:t>
            </w:r>
          </w:p>
        </w:tc>
        <w:tc>
          <w:tcPr>
            <w:tcW w:w="1475" w:type="dxa"/>
            <w:tcBorders>
              <w:top w:val="nil"/>
              <w:left w:val="nil"/>
              <w:bottom w:val="single" w:sz="8" w:space="0" w:color="auto"/>
              <w:right w:val="single" w:sz="8" w:space="0" w:color="auto"/>
            </w:tcBorders>
            <w:shd w:val="clear" w:color="auto" w:fill="CEDBE6" w:themeFill="background2"/>
            <w:noWrap/>
            <w:vAlign w:val="center"/>
            <w:hideMark/>
          </w:tcPr>
          <w:p w14:paraId="337C5B6F"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5%</w:t>
            </w:r>
          </w:p>
        </w:tc>
      </w:tr>
      <w:tr w:rsidR="00BC5C82" w:rsidRPr="004A73C1" w14:paraId="4EF6BA24" w14:textId="77777777" w:rsidTr="00BC5C82">
        <w:trPr>
          <w:gridAfter w:val="1"/>
          <w:wAfter w:w="24" w:type="dxa"/>
          <w:trHeight w:val="315"/>
        </w:trPr>
        <w:tc>
          <w:tcPr>
            <w:tcW w:w="1701" w:type="dxa"/>
            <w:vMerge/>
            <w:tcBorders>
              <w:top w:val="nil"/>
              <w:left w:val="single" w:sz="8" w:space="0" w:color="auto"/>
              <w:bottom w:val="single" w:sz="8" w:space="0" w:color="000000"/>
              <w:right w:val="single" w:sz="8" w:space="0" w:color="auto"/>
            </w:tcBorders>
            <w:shd w:val="clear" w:color="auto" w:fill="CEDBE6" w:themeFill="background2"/>
            <w:vAlign w:val="center"/>
            <w:hideMark/>
          </w:tcPr>
          <w:p w14:paraId="759660D7"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250E1B02"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2022</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292EDBC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79.99 </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05B2B9D7"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3,088.84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34901E56"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3.90 </w:t>
            </w:r>
          </w:p>
        </w:tc>
        <w:tc>
          <w:tcPr>
            <w:tcW w:w="1475" w:type="dxa"/>
            <w:tcBorders>
              <w:top w:val="nil"/>
              <w:left w:val="nil"/>
              <w:bottom w:val="single" w:sz="8" w:space="0" w:color="auto"/>
              <w:right w:val="single" w:sz="8" w:space="0" w:color="auto"/>
            </w:tcBorders>
            <w:shd w:val="clear" w:color="auto" w:fill="CEDBE6" w:themeFill="background2"/>
            <w:noWrap/>
            <w:vAlign w:val="center"/>
            <w:hideMark/>
          </w:tcPr>
          <w:p w14:paraId="17E889AF"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3%</w:t>
            </w:r>
          </w:p>
        </w:tc>
      </w:tr>
      <w:tr w:rsidR="00BC5C82" w:rsidRPr="004A73C1" w14:paraId="3B3BBF3E" w14:textId="77777777" w:rsidTr="00BC5C82">
        <w:trPr>
          <w:gridAfter w:val="1"/>
          <w:wAfter w:w="24" w:type="dxa"/>
          <w:trHeight w:val="315"/>
        </w:trPr>
        <w:tc>
          <w:tcPr>
            <w:tcW w:w="1701" w:type="dxa"/>
            <w:vMerge/>
            <w:tcBorders>
              <w:top w:val="nil"/>
              <w:left w:val="single" w:sz="8" w:space="0" w:color="auto"/>
              <w:bottom w:val="single" w:sz="8" w:space="0" w:color="000000"/>
              <w:right w:val="single" w:sz="8" w:space="0" w:color="auto"/>
            </w:tcBorders>
            <w:shd w:val="clear" w:color="auto" w:fill="CEDBE6" w:themeFill="background2"/>
            <w:vAlign w:val="center"/>
            <w:hideMark/>
          </w:tcPr>
          <w:p w14:paraId="6A4FE06D"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15619E47"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2023</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5D01B3C0"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90.03 </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2559C22A"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3,340.03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7F7A90EF"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4.00 </w:t>
            </w:r>
          </w:p>
        </w:tc>
        <w:tc>
          <w:tcPr>
            <w:tcW w:w="1475" w:type="dxa"/>
            <w:tcBorders>
              <w:top w:val="nil"/>
              <w:left w:val="nil"/>
              <w:bottom w:val="single" w:sz="8" w:space="0" w:color="auto"/>
              <w:right w:val="single" w:sz="8" w:space="0" w:color="auto"/>
            </w:tcBorders>
            <w:shd w:val="clear" w:color="auto" w:fill="CEDBE6" w:themeFill="background2"/>
            <w:noWrap/>
            <w:vAlign w:val="center"/>
            <w:hideMark/>
          </w:tcPr>
          <w:p w14:paraId="1C170C33"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3%</w:t>
            </w:r>
          </w:p>
        </w:tc>
      </w:tr>
      <w:tr w:rsidR="00BC5C82" w:rsidRPr="004A73C1" w14:paraId="2A421E0D" w14:textId="77777777" w:rsidTr="00BC5C82">
        <w:trPr>
          <w:gridAfter w:val="1"/>
          <w:wAfter w:w="24" w:type="dxa"/>
          <w:trHeight w:val="300"/>
        </w:trPr>
        <w:tc>
          <w:tcPr>
            <w:tcW w:w="1701" w:type="dxa"/>
            <w:vMerge w:val="restart"/>
            <w:tcBorders>
              <w:top w:val="nil"/>
              <w:left w:val="single" w:sz="8" w:space="0" w:color="auto"/>
              <w:bottom w:val="single" w:sz="8" w:space="0" w:color="000000"/>
              <w:right w:val="nil"/>
            </w:tcBorders>
            <w:shd w:val="clear" w:color="auto" w:fill="CEDBE6" w:themeFill="background2"/>
            <w:vAlign w:val="center"/>
            <w:hideMark/>
          </w:tcPr>
          <w:p w14:paraId="7E2488A2" w14:textId="77777777" w:rsidR="00B93891" w:rsidRPr="004A73C1" w:rsidRDefault="00B93891" w:rsidP="00B93891">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b/>
                <w:bCs/>
                <w:color w:val="000000"/>
                <w:sz w:val="18"/>
                <w:szCs w:val="18"/>
                <w:lang w:eastAsia="en-GB"/>
              </w:rPr>
              <w:t>Forecast</w:t>
            </w: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5A9AAA42"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2024</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7A82861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141.29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7C5FBBB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3,220.64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7FB1F3EF"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3.80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68E81387"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5%</w:t>
            </w:r>
          </w:p>
        </w:tc>
      </w:tr>
      <w:tr w:rsidR="00BC5C82" w:rsidRPr="004A73C1" w14:paraId="050099F5" w14:textId="77777777" w:rsidTr="00BC5C82">
        <w:trPr>
          <w:gridAfter w:val="1"/>
          <w:wAfter w:w="24" w:type="dxa"/>
          <w:trHeight w:val="300"/>
        </w:trPr>
        <w:tc>
          <w:tcPr>
            <w:tcW w:w="1701" w:type="dxa"/>
            <w:vMerge/>
            <w:tcBorders>
              <w:top w:val="nil"/>
              <w:left w:val="single" w:sz="8" w:space="0" w:color="auto"/>
              <w:bottom w:val="single" w:sz="8" w:space="0" w:color="000000"/>
              <w:right w:val="nil"/>
            </w:tcBorders>
            <w:shd w:val="clear" w:color="auto" w:fill="CEDBE6" w:themeFill="background2"/>
            <w:vAlign w:val="center"/>
            <w:hideMark/>
          </w:tcPr>
          <w:p w14:paraId="4587A3CD"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7FA3C975"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2025</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4974937A"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174.24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184A807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3,280.59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7D2F4A91"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3.67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1A4C87C0"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6%</w:t>
            </w:r>
          </w:p>
        </w:tc>
      </w:tr>
      <w:tr w:rsidR="00BC5C82" w:rsidRPr="004A73C1" w14:paraId="4F0F099D" w14:textId="77777777" w:rsidTr="00BC5C82">
        <w:trPr>
          <w:gridAfter w:val="1"/>
          <w:wAfter w:w="24" w:type="dxa"/>
          <w:trHeight w:val="300"/>
        </w:trPr>
        <w:tc>
          <w:tcPr>
            <w:tcW w:w="1701" w:type="dxa"/>
            <w:vMerge/>
            <w:tcBorders>
              <w:top w:val="nil"/>
              <w:left w:val="single" w:sz="8" w:space="0" w:color="auto"/>
              <w:bottom w:val="single" w:sz="8" w:space="0" w:color="000000"/>
              <w:right w:val="nil"/>
            </w:tcBorders>
            <w:shd w:val="clear" w:color="auto" w:fill="CEDBE6" w:themeFill="background2"/>
            <w:vAlign w:val="center"/>
            <w:hideMark/>
          </w:tcPr>
          <w:p w14:paraId="031F113E"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59E524B4"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2026</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46BDFB8A"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207.19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0167A811"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3,340.53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00A739DE"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3.55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2A63BB23"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7%</w:t>
            </w:r>
          </w:p>
        </w:tc>
      </w:tr>
      <w:tr w:rsidR="00BC5C82" w:rsidRPr="004A73C1" w14:paraId="59006379" w14:textId="77777777" w:rsidTr="00BC5C82">
        <w:trPr>
          <w:gridAfter w:val="1"/>
          <w:wAfter w:w="24" w:type="dxa"/>
          <w:trHeight w:val="300"/>
        </w:trPr>
        <w:tc>
          <w:tcPr>
            <w:tcW w:w="1701" w:type="dxa"/>
            <w:vMerge/>
            <w:tcBorders>
              <w:top w:val="nil"/>
              <w:left w:val="single" w:sz="8" w:space="0" w:color="auto"/>
              <w:bottom w:val="single" w:sz="8" w:space="0" w:color="000000"/>
              <w:right w:val="nil"/>
            </w:tcBorders>
            <w:shd w:val="clear" w:color="auto" w:fill="CEDBE6" w:themeFill="background2"/>
            <w:vAlign w:val="center"/>
            <w:hideMark/>
          </w:tcPr>
          <w:p w14:paraId="0EF099B4"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3F45391A"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2027</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5DAC6273"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240.15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3949C4F9"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3,400.48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5E164D36"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3.42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189CF8C5"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8%</w:t>
            </w:r>
          </w:p>
        </w:tc>
      </w:tr>
      <w:tr w:rsidR="00BC5C82" w:rsidRPr="004A73C1" w14:paraId="302D1AA2" w14:textId="77777777" w:rsidTr="00BC5C82">
        <w:trPr>
          <w:gridAfter w:val="1"/>
          <w:wAfter w:w="24" w:type="dxa"/>
          <w:trHeight w:val="300"/>
        </w:trPr>
        <w:tc>
          <w:tcPr>
            <w:tcW w:w="1701" w:type="dxa"/>
            <w:vMerge/>
            <w:tcBorders>
              <w:top w:val="nil"/>
              <w:left w:val="single" w:sz="8" w:space="0" w:color="auto"/>
              <w:bottom w:val="single" w:sz="8" w:space="0" w:color="000000"/>
              <w:right w:val="nil"/>
            </w:tcBorders>
            <w:shd w:val="clear" w:color="auto" w:fill="CEDBE6" w:themeFill="background2"/>
            <w:vAlign w:val="center"/>
            <w:hideMark/>
          </w:tcPr>
          <w:p w14:paraId="7EF504DA"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18C80E9E"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2028</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4DE57AC5"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273.10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77A3BA52"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3,460.43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5F2FC510"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3.29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46A7D89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9%</w:t>
            </w:r>
          </w:p>
        </w:tc>
      </w:tr>
      <w:tr w:rsidR="00BC5C82" w:rsidRPr="004A73C1" w14:paraId="52745C39" w14:textId="77777777" w:rsidTr="00BC5C82">
        <w:trPr>
          <w:gridAfter w:val="1"/>
          <w:wAfter w:w="24" w:type="dxa"/>
          <w:trHeight w:val="300"/>
        </w:trPr>
        <w:tc>
          <w:tcPr>
            <w:tcW w:w="1701" w:type="dxa"/>
            <w:vMerge/>
            <w:tcBorders>
              <w:top w:val="nil"/>
              <w:left w:val="single" w:sz="8" w:space="0" w:color="auto"/>
              <w:bottom w:val="single" w:sz="8" w:space="0" w:color="000000"/>
              <w:right w:val="nil"/>
            </w:tcBorders>
            <w:shd w:val="clear" w:color="auto" w:fill="CEDBE6" w:themeFill="background2"/>
            <w:vAlign w:val="center"/>
            <w:hideMark/>
          </w:tcPr>
          <w:p w14:paraId="4D638368"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7DB4FC5A"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2029</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23420527"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306.06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36CC77C5"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3,520.38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5D1B88CC"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3.16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045BD7D9"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10%</w:t>
            </w:r>
          </w:p>
        </w:tc>
      </w:tr>
      <w:tr w:rsidR="00BC5C82" w:rsidRPr="004A73C1" w14:paraId="35F9C5BD" w14:textId="77777777" w:rsidTr="00BC5C82">
        <w:trPr>
          <w:gridAfter w:val="1"/>
          <w:wAfter w:w="24" w:type="dxa"/>
          <w:trHeight w:val="315"/>
        </w:trPr>
        <w:tc>
          <w:tcPr>
            <w:tcW w:w="1701" w:type="dxa"/>
            <w:vMerge/>
            <w:tcBorders>
              <w:top w:val="nil"/>
              <w:left w:val="single" w:sz="8" w:space="0" w:color="auto"/>
              <w:bottom w:val="single" w:sz="8" w:space="0" w:color="000000"/>
              <w:right w:val="nil"/>
            </w:tcBorders>
            <w:shd w:val="clear" w:color="auto" w:fill="CEDBE6" w:themeFill="background2"/>
            <w:vAlign w:val="center"/>
            <w:hideMark/>
          </w:tcPr>
          <w:p w14:paraId="5502DFFB"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8" w:space="0" w:color="auto"/>
              <w:right w:val="single" w:sz="4" w:space="0" w:color="auto"/>
            </w:tcBorders>
            <w:shd w:val="clear" w:color="auto" w:fill="CEDBE6" w:themeFill="background2"/>
            <w:noWrap/>
            <w:vAlign w:val="center"/>
            <w:hideMark/>
          </w:tcPr>
          <w:p w14:paraId="6A5781E3"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2030</w:t>
            </w:r>
          </w:p>
        </w:tc>
        <w:tc>
          <w:tcPr>
            <w:tcW w:w="1984" w:type="dxa"/>
            <w:tcBorders>
              <w:top w:val="nil"/>
              <w:left w:val="nil"/>
              <w:bottom w:val="single" w:sz="8" w:space="0" w:color="auto"/>
              <w:right w:val="single" w:sz="4" w:space="0" w:color="auto"/>
            </w:tcBorders>
            <w:shd w:val="clear" w:color="auto" w:fill="CEDBE6" w:themeFill="background2"/>
            <w:noWrap/>
            <w:vAlign w:val="bottom"/>
            <w:hideMark/>
          </w:tcPr>
          <w:p w14:paraId="3A1EDC46"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339.01 </w:t>
            </w:r>
          </w:p>
        </w:tc>
        <w:tc>
          <w:tcPr>
            <w:tcW w:w="1772" w:type="dxa"/>
            <w:tcBorders>
              <w:top w:val="nil"/>
              <w:left w:val="nil"/>
              <w:bottom w:val="single" w:sz="8" w:space="0" w:color="auto"/>
              <w:right w:val="single" w:sz="4" w:space="0" w:color="auto"/>
            </w:tcBorders>
            <w:shd w:val="clear" w:color="auto" w:fill="CEDBE6" w:themeFill="background2"/>
            <w:noWrap/>
            <w:vAlign w:val="bottom"/>
            <w:hideMark/>
          </w:tcPr>
          <w:p w14:paraId="4CF5381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3,580.33 </w:t>
            </w:r>
          </w:p>
        </w:tc>
        <w:tc>
          <w:tcPr>
            <w:tcW w:w="1917" w:type="dxa"/>
            <w:tcBorders>
              <w:top w:val="nil"/>
              <w:left w:val="nil"/>
              <w:bottom w:val="single" w:sz="8" w:space="0" w:color="auto"/>
              <w:right w:val="single" w:sz="4" w:space="0" w:color="auto"/>
            </w:tcBorders>
            <w:shd w:val="clear" w:color="auto" w:fill="CEDBE6" w:themeFill="background2"/>
            <w:noWrap/>
            <w:vAlign w:val="bottom"/>
            <w:hideMark/>
          </w:tcPr>
          <w:p w14:paraId="76763301"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3.03 </w:t>
            </w:r>
          </w:p>
        </w:tc>
        <w:tc>
          <w:tcPr>
            <w:tcW w:w="1475" w:type="dxa"/>
            <w:tcBorders>
              <w:top w:val="nil"/>
              <w:left w:val="nil"/>
              <w:bottom w:val="single" w:sz="8" w:space="0" w:color="auto"/>
              <w:right w:val="single" w:sz="8" w:space="0" w:color="auto"/>
            </w:tcBorders>
            <w:shd w:val="clear" w:color="auto" w:fill="CEDBE6" w:themeFill="background2"/>
            <w:noWrap/>
            <w:vAlign w:val="bottom"/>
            <w:hideMark/>
          </w:tcPr>
          <w:p w14:paraId="2F8FAD5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11%</w:t>
            </w:r>
          </w:p>
        </w:tc>
      </w:tr>
      <w:tr w:rsidR="00BC5C82" w:rsidRPr="004A73C1" w14:paraId="2F2B9339" w14:textId="77777777" w:rsidTr="00BC5C82">
        <w:trPr>
          <w:gridAfter w:val="1"/>
          <w:wAfter w:w="24" w:type="dxa"/>
          <w:trHeight w:val="300"/>
        </w:trPr>
        <w:tc>
          <w:tcPr>
            <w:tcW w:w="1701" w:type="dxa"/>
            <w:vMerge w:val="restart"/>
            <w:tcBorders>
              <w:top w:val="nil"/>
              <w:left w:val="single" w:sz="8" w:space="0" w:color="auto"/>
              <w:bottom w:val="nil"/>
              <w:right w:val="nil"/>
            </w:tcBorders>
            <w:shd w:val="clear" w:color="auto" w:fill="CEDBE6" w:themeFill="background2"/>
            <w:vAlign w:val="center"/>
            <w:hideMark/>
          </w:tcPr>
          <w:p w14:paraId="4A23A30D" w14:textId="77777777" w:rsidR="00B93891" w:rsidRPr="004A73C1" w:rsidRDefault="00B93891" w:rsidP="00B93891">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b/>
                <w:bCs/>
                <w:color w:val="000000"/>
                <w:sz w:val="18"/>
                <w:szCs w:val="18"/>
                <w:lang w:eastAsia="en-GB"/>
              </w:rPr>
              <w:t>Trend</w:t>
            </w:r>
            <w:r w:rsidRPr="004A73C1">
              <w:rPr>
                <w:rFonts w:ascii="Arial" w:eastAsia="Times New Roman" w:hAnsi="Arial" w:cs="Arial"/>
                <w:color w:val="000000"/>
                <w:sz w:val="18"/>
                <w:szCs w:val="18"/>
                <w:lang w:eastAsia="en-GB"/>
              </w:rPr>
              <w:t xml:space="preserve"> </w:t>
            </w: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5432F6D3"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2024</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4233D2F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141.29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59315786"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3,220.64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54F78AF1"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3.80 </w:t>
            </w:r>
          </w:p>
        </w:tc>
        <w:tc>
          <w:tcPr>
            <w:tcW w:w="1475" w:type="dxa"/>
            <w:tcBorders>
              <w:top w:val="nil"/>
              <w:left w:val="nil"/>
              <w:bottom w:val="single" w:sz="4" w:space="0" w:color="auto"/>
              <w:right w:val="single" w:sz="4" w:space="0" w:color="auto"/>
            </w:tcBorders>
            <w:shd w:val="clear" w:color="auto" w:fill="CEDBE6" w:themeFill="background2"/>
            <w:noWrap/>
            <w:vAlign w:val="bottom"/>
            <w:hideMark/>
          </w:tcPr>
          <w:p w14:paraId="379A228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5%</w:t>
            </w:r>
          </w:p>
        </w:tc>
      </w:tr>
      <w:tr w:rsidR="00BC5C82" w:rsidRPr="004A73C1" w14:paraId="68FD59BE" w14:textId="77777777" w:rsidTr="00BC5C82">
        <w:trPr>
          <w:gridAfter w:val="1"/>
          <w:wAfter w:w="24" w:type="dxa"/>
          <w:trHeight w:val="300"/>
        </w:trPr>
        <w:tc>
          <w:tcPr>
            <w:tcW w:w="1701" w:type="dxa"/>
            <w:vMerge/>
            <w:tcBorders>
              <w:top w:val="nil"/>
              <w:left w:val="single" w:sz="8" w:space="0" w:color="auto"/>
              <w:bottom w:val="nil"/>
              <w:right w:val="nil"/>
            </w:tcBorders>
            <w:shd w:val="clear" w:color="auto" w:fill="CEDBE6" w:themeFill="background2"/>
            <w:vAlign w:val="center"/>
            <w:hideMark/>
          </w:tcPr>
          <w:p w14:paraId="35BBC70D"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7FD0134A"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2025</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6C80E85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174.24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285EC93F"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3,280.59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575B35CD"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3.67 </w:t>
            </w:r>
          </w:p>
        </w:tc>
        <w:tc>
          <w:tcPr>
            <w:tcW w:w="1475" w:type="dxa"/>
            <w:tcBorders>
              <w:top w:val="nil"/>
              <w:left w:val="nil"/>
              <w:bottom w:val="single" w:sz="4" w:space="0" w:color="auto"/>
              <w:right w:val="single" w:sz="4" w:space="0" w:color="auto"/>
            </w:tcBorders>
            <w:shd w:val="clear" w:color="auto" w:fill="CEDBE6" w:themeFill="background2"/>
            <w:noWrap/>
            <w:vAlign w:val="bottom"/>
            <w:hideMark/>
          </w:tcPr>
          <w:p w14:paraId="612BD0FD"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6%</w:t>
            </w:r>
          </w:p>
        </w:tc>
      </w:tr>
      <w:tr w:rsidR="00BC5C82" w:rsidRPr="004A73C1" w14:paraId="38765601" w14:textId="77777777" w:rsidTr="00BC5C82">
        <w:trPr>
          <w:gridAfter w:val="1"/>
          <w:wAfter w:w="24" w:type="dxa"/>
          <w:trHeight w:val="300"/>
        </w:trPr>
        <w:tc>
          <w:tcPr>
            <w:tcW w:w="1701" w:type="dxa"/>
            <w:vMerge/>
            <w:tcBorders>
              <w:top w:val="nil"/>
              <w:left w:val="single" w:sz="8" w:space="0" w:color="auto"/>
              <w:bottom w:val="nil"/>
              <w:right w:val="nil"/>
            </w:tcBorders>
            <w:shd w:val="clear" w:color="auto" w:fill="CEDBE6" w:themeFill="background2"/>
            <w:vAlign w:val="center"/>
            <w:hideMark/>
          </w:tcPr>
          <w:p w14:paraId="5A68B413"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7DD125E0"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2026</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5BA6EE92"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207.19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2E1B3BF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3,340.53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65D86645"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3.55 </w:t>
            </w:r>
          </w:p>
        </w:tc>
        <w:tc>
          <w:tcPr>
            <w:tcW w:w="1475" w:type="dxa"/>
            <w:tcBorders>
              <w:top w:val="nil"/>
              <w:left w:val="nil"/>
              <w:bottom w:val="single" w:sz="4" w:space="0" w:color="auto"/>
              <w:right w:val="single" w:sz="4" w:space="0" w:color="auto"/>
            </w:tcBorders>
            <w:shd w:val="clear" w:color="auto" w:fill="CEDBE6" w:themeFill="background2"/>
            <w:noWrap/>
            <w:vAlign w:val="bottom"/>
            <w:hideMark/>
          </w:tcPr>
          <w:p w14:paraId="39D8425A"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7%</w:t>
            </w:r>
          </w:p>
        </w:tc>
      </w:tr>
      <w:tr w:rsidR="00BC5C82" w:rsidRPr="004A73C1" w14:paraId="1B775F09" w14:textId="77777777" w:rsidTr="00BC5C82">
        <w:trPr>
          <w:gridAfter w:val="1"/>
          <w:wAfter w:w="24" w:type="dxa"/>
          <w:trHeight w:val="300"/>
        </w:trPr>
        <w:tc>
          <w:tcPr>
            <w:tcW w:w="1701" w:type="dxa"/>
            <w:vMerge/>
            <w:tcBorders>
              <w:top w:val="nil"/>
              <w:left w:val="single" w:sz="8" w:space="0" w:color="auto"/>
              <w:bottom w:val="nil"/>
              <w:right w:val="nil"/>
            </w:tcBorders>
            <w:shd w:val="clear" w:color="auto" w:fill="CEDBE6" w:themeFill="background2"/>
            <w:vAlign w:val="center"/>
            <w:hideMark/>
          </w:tcPr>
          <w:p w14:paraId="2ECE4001"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397A1F76"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2027</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1D15B515"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240.15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64D0977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3,400.48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31503402"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3.42 </w:t>
            </w:r>
          </w:p>
        </w:tc>
        <w:tc>
          <w:tcPr>
            <w:tcW w:w="1475" w:type="dxa"/>
            <w:tcBorders>
              <w:top w:val="nil"/>
              <w:left w:val="nil"/>
              <w:bottom w:val="single" w:sz="4" w:space="0" w:color="auto"/>
              <w:right w:val="single" w:sz="4" w:space="0" w:color="auto"/>
            </w:tcBorders>
            <w:shd w:val="clear" w:color="auto" w:fill="CEDBE6" w:themeFill="background2"/>
            <w:noWrap/>
            <w:vAlign w:val="bottom"/>
            <w:hideMark/>
          </w:tcPr>
          <w:p w14:paraId="6CE800E6"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8%</w:t>
            </w:r>
          </w:p>
        </w:tc>
      </w:tr>
      <w:tr w:rsidR="00BC5C82" w:rsidRPr="004A73C1" w14:paraId="2491B5DA" w14:textId="77777777" w:rsidTr="00BC5C82">
        <w:trPr>
          <w:gridAfter w:val="1"/>
          <w:wAfter w:w="24" w:type="dxa"/>
          <w:trHeight w:val="300"/>
        </w:trPr>
        <w:tc>
          <w:tcPr>
            <w:tcW w:w="1701" w:type="dxa"/>
            <w:vMerge/>
            <w:tcBorders>
              <w:top w:val="nil"/>
              <w:left w:val="single" w:sz="8" w:space="0" w:color="auto"/>
              <w:bottom w:val="nil"/>
              <w:right w:val="nil"/>
            </w:tcBorders>
            <w:shd w:val="clear" w:color="auto" w:fill="CEDBE6" w:themeFill="background2"/>
            <w:vAlign w:val="center"/>
            <w:hideMark/>
          </w:tcPr>
          <w:p w14:paraId="4D8589E6"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17082E26"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2028</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2FDF295E"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273.10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1F42D284"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3,460.43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6192E3D9"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3.29 </w:t>
            </w:r>
          </w:p>
        </w:tc>
        <w:tc>
          <w:tcPr>
            <w:tcW w:w="1475" w:type="dxa"/>
            <w:tcBorders>
              <w:top w:val="nil"/>
              <w:left w:val="nil"/>
              <w:bottom w:val="single" w:sz="4" w:space="0" w:color="auto"/>
              <w:right w:val="single" w:sz="4" w:space="0" w:color="auto"/>
            </w:tcBorders>
            <w:shd w:val="clear" w:color="auto" w:fill="CEDBE6" w:themeFill="background2"/>
            <w:noWrap/>
            <w:vAlign w:val="bottom"/>
            <w:hideMark/>
          </w:tcPr>
          <w:p w14:paraId="5B3BEA20"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9%</w:t>
            </w:r>
          </w:p>
        </w:tc>
      </w:tr>
      <w:tr w:rsidR="00BC5C82" w:rsidRPr="004A73C1" w14:paraId="5118BE4B" w14:textId="77777777" w:rsidTr="00BC5C82">
        <w:trPr>
          <w:gridAfter w:val="1"/>
          <w:wAfter w:w="24" w:type="dxa"/>
          <w:trHeight w:val="300"/>
        </w:trPr>
        <w:tc>
          <w:tcPr>
            <w:tcW w:w="1701" w:type="dxa"/>
            <w:vMerge/>
            <w:tcBorders>
              <w:top w:val="nil"/>
              <w:left w:val="single" w:sz="8" w:space="0" w:color="auto"/>
              <w:bottom w:val="nil"/>
              <w:right w:val="nil"/>
            </w:tcBorders>
            <w:shd w:val="clear" w:color="auto" w:fill="CEDBE6" w:themeFill="background2"/>
            <w:vAlign w:val="center"/>
            <w:hideMark/>
          </w:tcPr>
          <w:p w14:paraId="04FA3913"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0E6C4F51"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2029</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6C2B9FDA"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306.06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60A06EB2"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3,520.38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05C3904A"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3.16 </w:t>
            </w:r>
          </w:p>
        </w:tc>
        <w:tc>
          <w:tcPr>
            <w:tcW w:w="1475" w:type="dxa"/>
            <w:tcBorders>
              <w:top w:val="nil"/>
              <w:left w:val="nil"/>
              <w:bottom w:val="single" w:sz="4" w:space="0" w:color="auto"/>
              <w:right w:val="single" w:sz="4" w:space="0" w:color="auto"/>
            </w:tcBorders>
            <w:shd w:val="clear" w:color="auto" w:fill="CEDBE6" w:themeFill="background2"/>
            <w:noWrap/>
            <w:vAlign w:val="bottom"/>
            <w:hideMark/>
          </w:tcPr>
          <w:p w14:paraId="3A831065"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10%</w:t>
            </w:r>
          </w:p>
        </w:tc>
      </w:tr>
      <w:tr w:rsidR="00BC5C82" w:rsidRPr="004A73C1" w14:paraId="7E74953E" w14:textId="77777777" w:rsidTr="00BC5C82">
        <w:trPr>
          <w:gridAfter w:val="1"/>
          <w:wAfter w:w="24" w:type="dxa"/>
          <w:trHeight w:val="315"/>
        </w:trPr>
        <w:tc>
          <w:tcPr>
            <w:tcW w:w="1701" w:type="dxa"/>
            <w:vMerge/>
            <w:tcBorders>
              <w:top w:val="nil"/>
              <w:left w:val="single" w:sz="8" w:space="0" w:color="auto"/>
              <w:bottom w:val="nil"/>
              <w:right w:val="nil"/>
            </w:tcBorders>
            <w:shd w:val="clear" w:color="auto" w:fill="CEDBE6" w:themeFill="background2"/>
            <w:vAlign w:val="center"/>
            <w:hideMark/>
          </w:tcPr>
          <w:p w14:paraId="3D4927A7"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nil"/>
              <w:right w:val="single" w:sz="4" w:space="0" w:color="auto"/>
            </w:tcBorders>
            <w:shd w:val="clear" w:color="auto" w:fill="CEDBE6" w:themeFill="background2"/>
            <w:noWrap/>
            <w:vAlign w:val="center"/>
            <w:hideMark/>
          </w:tcPr>
          <w:p w14:paraId="3A82F46E"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2030</w:t>
            </w:r>
          </w:p>
        </w:tc>
        <w:tc>
          <w:tcPr>
            <w:tcW w:w="1984" w:type="dxa"/>
            <w:tcBorders>
              <w:top w:val="nil"/>
              <w:left w:val="nil"/>
              <w:bottom w:val="nil"/>
              <w:right w:val="single" w:sz="4" w:space="0" w:color="auto"/>
            </w:tcBorders>
            <w:shd w:val="clear" w:color="auto" w:fill="CEDBE6" w:themeFill="background2"/>
            <w:noWrap/>
            <w:vAlign w:val="bottom"/>
            <w:hideMark/>
          </w:tcPr>
          <w:p w14:paraId="4CE7F3B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339.01 </w:t>
            </w:r>
          </w:p>
        </w:tc>
        <w:tc>
          <w:tcPr>
            <w:tcW w:w="1772" w:type="dxa"/>
            <w:tcBorders>
              <w:top w:val="nil"/>
              <w:left w:val="nil"/>
              <w:bottom w:val="nil"/>
              <w:right w:val="single" w:sz="4" w:space="0" w:color="auto"/>
            </w:tcBorders>
            <w:shd w:val="clear" w:color="auto" w:fill="CEDBE6" w:themeFill="background2"/>
            <w:noWrap/>
            <w:vAlign w:val="bottom"/>
            <w:hideMark/>
          </w:tcPr>
          <w:p w14:paraId="797E299E"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3,580.33 </w:t>
            </w:r>
          </w:p>
        </w:tc>
        <w:tc>
          <w:tcPr>
            <w:tcW w:w="1917" w:type="dxa"/>
            <w:tcBorders>
              <w:top w:val="nil"/>
              <w:left w:val="nil"/>
              <w:bottom w:val="nil"/>
              <w:right w:val="single" w:sz="4" w:space="0" w:color="auto"/>
            </w:tcBorders>
            <w:shd w:val="clear" w:color="auto" w:fill="CEDBE6" w:themeFill="background2"/>
            <w:noWrap/>
            <w:vAlign w:val="bottom"/>
            <w:hideMark/>
          </w:tcPr>
          <w:p w14:paraId="780F86AF"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3.03 </w:t>
            </w:r>
          </w:p>
        </w:tc>
        <w:tc>
          <w:tcPr>
            <w:tcW w:w="1475" w:type="dxa"/>
            <w:tcBorders>
              <w:top w:val="nil"/>
              <w:left w:val="nil"/>
              <w:bottom w:val="nil"/>
              <w:right w:val="single" w:sz="4" w:space="0" w:color="auto"/>
            </w:tcBorders>
            <w:shd w:val="clear" w:color="auto" w:fill="CEDBE6" w:themeFill="background2"/>
            <w:noWrap/>
            <w:vAlign w:val="bottom"/>
            <w:hideMark/>
          </w:tcPr>
          <w:p w14:paraId="06AEE42F"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11%</w:t>
            </w:r>
          </w:p>
        </w:tc>
      </w:tr>
      <w:tr w:rsidR="00BC5C82" w:rsidRPr="004A73C1" w14:paraId="2D3A8D05" w14:textId="77777777" w:rsidTr="00BC5C82">
        <w:trPr>
          <w:gridAfter w:val="1"/>
          <w:wAfter w:w="24" w:type="dxa"/>
          <w:trHeight w:val="300"/>
        </w:trPr>
        <w:tc>
          <w:tcPr>
            <w:tcW w:w="1701" w:type="dxa"/>
            <w:vMerge w:val="restart"/>
            <w:tcBorders>
              <w:top w:val="single" w:sz="8" w:space="0" w:color="auto"/>
              <w:left w:val="single" w:sz="8" w:space="0" w:color="auto"/>
              <w:bottom w:val="single" w:sz="8" w:space="0" w:color="000000"/>
              <w:right w:val="nil"/>
            </w:tcBorders>
            <w:shd w:val="clear" w:color="auto" w:fill="CEDBE6" w:themeFill="background2"/>
            <w:vAlign w:val="center"/>
            <w:hideMark/>
          </w:tcPr>
          <w:p w14:paraId="598E783D" w14:textId="77777777" w:rsidR="00B93891" w:rsidRPr="004A73C1" w:rsidRDefault="00B93891" w:rsidP="00B93891">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b/>
                <w:bCs/>
                <w:color w:val="000000"/>
                <w:sz w:val="18"/>
                <w:szCs w:val="18"/>
                <w:lang w:eastAsia="en-GB"/>
              </w:rPr>
              <w:t>y=mx+c</w:t>
            </w:r>
          </w:p>
        </w:tc>
        <w:tc>
          <w:tcPr>
            <w:tcW w:w="706" w:type="dxa"/>
            <w:tcBorders>
              <w:top w:val="single" w:sz="8" w:space="0" w:color="auto"/>
              <w:left w:val="single" w:sz="4" w:space="0" w:color="auto"/>
              <w:bottom w:val="single" w:sz="4" w:space="0" w:color="auto"/>
              <w:right w:val="single" w:sz="4" w:space="0" w:color="auto"/>
            </w:tcBorders>
            <w:shd w:val="clear" w:color="auto" w:fill="CEDBE6" w:themeFill="background2"/>
            <w:noWrap/>
            <w:vAlign w:val="center"/>
            <w:hideMark/>
          </w:tcPr>
          <w:p w14:paraId="49A79ACB"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2024</w:t>
            </w:r>
          </w:p>
        </w:tc>
        <w:tc>
          <w:tcPr>
            <w:tcW w:w="1984" w:type="dxa"/>
            <w:tcBorders>
              <w:top w:val="single" w:sz="8" w:space="0" w:color="auto"/>
              <w:left w:val="nil"/>
              <w:bottom w:val="single" w:sz="4" w:space="0" w:color="auto"/>
              <w:right w:val="single" w:sz="4" w:space="0" w:color="auto"/>
            </w:tcBorders>
            <w:shd w:val="clear" w:color="auto" w:fill="CEDBE6" w:themeFill="background2"/>
            <w:noWrap/>
            <w:vAlign w:val="bottom"/>
            <w:hideMark/>
          </w:tcPr>
          <w:p w14:paraId="3DEA4765"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141.29 </w:t>
            </w:r>
          </w:p>
        </w:tc>
        <w:tc>
          <w:tcPr>
            <w:tcW w:w="1772" w:type="dxa"/>
            <w:tcBorders>
              <w:top w:val="single" w:sz="8" w:space="0" w:color="auto"/>
              <w:left w:val="nil"/>
              <w:bottom w:val="single" w:sz="4" w:space="0" w:color="auto"/>
              <w:right w:val="single" w:sz="4" w:space="0" w:color="auto"/>
            </w:tcBorders>
            <w:shd w:val="clear" w:color="auto" w:fill="CEDBE6" w:themeFill="background2"/>
            <w:noWrap/>
            <w:vAlign w:val="bottom"/>
            <w:hideMark/>
          </w:tcPr>
          <w:p w14:paraId="5FC1CBE0"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3,220.64 </w:t>
            </w:r>
          </w:p>
        </w:tc>
        <w:tc>
          <w:tcPr>
            <w:tcW w:w="1917" w:type="dxa"/>
            <w:tcBorders>
              <w:top w:val="single" w:sz="8" w:space="0" w:color="auto"/>
              <w:left w:val="nil"/>
              <w:bottom w:val="single" w:sz="4" w:space="0" w:color="auto"/>
              <w:right w:val="single" w:sz="4" w:space="0" w:color="auto"/>
            </w:tcBorders>
            <w:shd w:val="clear" w:color="auto" w:fill="CEDBE6" w:themeFill="background2"/>
            <w:noWrap/>
            <w:vAlign w:val="bottom"/>
            <w:hideMark/>
          </w:tcPr>
          <w:p w14:paraId="28B73694"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3.80 </w:t>
            </w:r>
          </w:p>
        </w:tc>
        <w:tc>
          <w:tcPr>
            <w:tcW w:w="1475" w:type="dxa"/>
            <w:tcBorders>
              <w:top w:val="single" w:sz="8" w:space="0" w:color="auto"/>
              <w:left w:val="nil"/>
              <w:bottom w:val="single" w:sz="4" w:space="0" w:color="auto"/>
              <w:right w:val="single" w:sz="8" w:space="0" w:color="auto"/>
            </w:tcBorders>
            <w:shd w:val="clear" w:color="auto" w:fill="CEDBE6" w:themeFill="background2"/>
            <w:noWrap/>
            <w:vAlign w:val="bottom"/>
            <w:hideMark/>
          </w:tcPr>
          <w:p w14:paraId="17B59C51"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5%</w:t>
            </w:r>
          </w:p>
        </w:tc>
      </w:tr>
      <w:tr w:rsidR="00BC5C82" w:rsidRPr="004A73C1" w14:paraId="25E663FA" w14:textId="77777777" w:rsidTr="00BC5C82">
        <w:trPr>
          <w:gridAfter w:val="1"/>
          <w:wAfter w:w="24" w:type="dxa"/>
          <w:trHeight w:val="300"/>
        </w:trPr>
        <w:tc>
          <w:tcPr>
            <w:tcW w:w="1701" w:type="dxa"/>
            <w:vMerge/>
            <w:tcBorders>
              <w:top w:val="single" w:sz="8" w:space="0" w:color="auto"/>
              <w:left w:val="single" w:sz="8" w:space="0" w:color="auto"/>
              <w:bottom w:val="single" w:sz="8" w:space="0" w:color="000000"/>
              <w:right w:val="nil"/>
            </w:tcBorders>
            <w:shd w:val="clear" w:color="auto" w:fill="CEDBE6" w:themeFill="background2"/>
            <w:vAlign w:val="center"/>
            <w:hideMark/>
          </w:tcPr>
          <w:p w14:paraId="3A40B822"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5FE4B67C"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2025</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64398D7C"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174.24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0EF5B11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3,280.59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0298113C"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3.67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1ED9D5A9"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6%</w:t>
            </w:r>
          </w:p>
        </w:tc>
      </w:tr>
      <w:tr w:rsidR="00BC5C82" w:rsidRPr="004A73C1" w14:paraId="1117D31E" w14:textId="77777777" w:rsidTr="00BC5C82">
        <w:trPr>
          <w:gridAfter w:val="1"/>
          <w:wAfter w:w="24" w:type="dxa"/>
          <w:trHeight w:val="300"/>
        </w:trPr>
        <w:tc>
          <w:tcPr>
            <w:tcW w:w="1701" w:type="dxa"/>
            <w:vMerge/>
            <w:tcBorders>
              <w:top w:val="single" w:sz="8" w:space="0" w:color="auto"/>
              <w:left w:val="single" w:sz="8" w:space="0" w:color="auto"/>
              <w:bottom w:val="single" w:sz="8" w:space="0" w:color="000000"/>
              <w:right w:val="nil"/>
            </w:tcBorders>
            <w:shd w:val="clear" w:color="auto" w:fill="CEDBE6" w:themeFill="background2"/>
            <w:vAlign w:val="center"/>
            <w:hideMark/>
          </w:tcPr>
          <w:p w14:paraId="1296456A"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29F1B3F3"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2026</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38912CD9"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207.19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347243D2"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3,340.53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1EA0919A"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3.55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10FE9146"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7%</w:t>
            </w:r>
          </w:p>
        </w:tc>
      </w:tr>
      <w:tr w:rsidR="00BC5C82" w:rsidRPr="004A73C1" w14:paraId="018EB484" w14:textId="77777777" w:rsidTr="00BC5C82">
        <w:trPr>
          <w:gridAfter w:val="1"/>
          <w:wAfter w:w="24" w:type="dxa"/>
          <w:trHeight w:val="300"/>
        </w:trPr>
        <w:tc>
          <w:tcPr>
            <w:tcW w:w="1701" w:type="dxa"/>
            <w:vMerge/>
            <w:tcBorders>
              <w:top w:val="single" w:sz="8" w:space="0" w:color="auto"/>
              <w:left w:val="single" w:sz="8" w:space="0" w:color="auto"/>
              <w:bottom w:val="single" w:sz="8" w:space="0" w:color="000000"/>
              <w:right w:val="nil"/>
            </w:tcBorders>
            <w:shd w:val="clear" w:color="auto" w:fill="CEDBE6" w:themeFill="background2"/>
            <w:vAlign w:val="center"/>
            <w:hideMark/>
          </w:tcPr>
          <w:p w14:paraId="5A0AF193"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70E27FC6"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2027</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3C4CB3EF"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240.15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659FABF7"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3,400.48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39952242"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3.42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29501DA9"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8%</w:t>
            </w:r>
          </w:p>
        </w:tc>
      </w:tr>
      <w:tr w:rsidR="00BC5C82" w:rsidRPr="004A73C1" w14:paraId="7699D28D" w14:textId="77777777" w:rsidTr="00BC5C82">
        <w:trPr>
          <w:gridAfter w:val="1"/>
          <w:wAfter w:w="24" w:type="dxa"/>
          <w:trHeight w:val="300"/>
        </w:trPr>
        <w:tc>
          <w:tcPr>
            <w:tcW w:w="1701" w:type="dxa"/>
            <w:vMerge/>
            <w:tcBorders>
              <w:top w:val="single" w:sz="8" w:space="0" w:color="auto"/>
              <w:left w:val="single" w:sz="8" w:space="0" w:color="auto"/>
              <w:bottom w:val="single" w:sz="8" w:space="0" w:color="000000"/>
              <w:right w:val="nil"/>
            </w:tcBorders>
            <w:shd w:val="clear" w:color="auto" w:fill="CEDBE6" w:themeFill="background2"/>
            <w:vAlign w:val="center"/>
            <w:hideMark/>
          </w:tcPr>
          <w:p w14:paraId="5AAFD071"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25DC6A80"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2028</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13EE8193"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273.10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3FEDAC69"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3,460.43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1BFC00FA"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3.29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2DBE3F94"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9%</w:t>
            </w:r>
          </w:p>
        </w:tc>
      </w:tr>
      <w:tr w:rsidR="00BC5C82" w:rsidRPr="004A73C1" w14:paraId="5E34AFB6" w14:textId="77777777" w:rsidTr="00BC5C82">
        <w:trPr>
          <w:gridAfter w:val="1"/>
          <w:wAfter w:w="24" w:type="dxa"/>
          <w:trHeight w:val="300"/>
        </w:trPr>
        <w:tc>
          <w:tcPr>
            <w:tcW w:w="1701" w:type="dxa"/>
            <w:vMerge/>
            <w:tcBorders>
              <w:top w:val="single" w:sz="8" w:space="0" w:color="auto"/>
              <w:left w:val="single" w:sz="8" w:space="0" w:color="auto"/>
              <w:bottom w:val="single" w:sz="8" w:space="0" w:color="000000"/>
              <w:right w:val="nil"/>
            </w:tcBorders>
            <w:shd w:val="clear" w:color="auto" w:fill="CEDBE6" w:themeFill="background2"/>
            <w:vAlign w:val="center"/>
            <w:hideMark/>
          </w:tcPr>
          <w:p w14:paraId="062F577F"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613C68BE"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2029</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658B376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306.06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28D990B0"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3,520.38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3D9065BD"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3.16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679BC72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10%</w:t>
            </w:r>
          </w:p>
        </w:tc>
      </w:tr>
      <w:tr w:rsidR="00BC5C82" w:rsidRPr="004A73C1" w14:paraId="3F51922C" w14:textId="77777777" w:rsidTr="00BC5C82">
        <w:trPr>
          <w:gridAfter w:val="1"/>
          <w:wAfter w:w="24" w:type="dxa"/>
          <w:trHeight w:val="315"/>
        </w:trPr>
        <w:tc>
          <w:tcPr>
            <w:tcW w:w="1701" w:type="dxa"/>
            <w:vMerge/>
            <w:tcBorders>
              <w:top w:val="single" w:sz="8" w:space="0" w:color="auto"/>
              <w:left w:val="single" w:sz="8" w:space="0" w:color="auto"/>
              <w:bottom w:val="single" w:sz="8" w:space="0" w:color="000000"/>
              <w:right w:val="nil"/>
            </w:tcBorders>
            <w:shd w:val="clear" w:color="auto" w:fill="CEDBE6" w:themeFill="background2"/>
            <w:vAlign w:val="center"/>
            <w:hideMark/>
          </w:tcPr>
          <w:p w14:paraId="2645B2F5"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8" w:space="0" w:color="auto"/>
              <w:right w:val="single" w:sz="4" w:space="0" w:color="auto"/>
            </w:tcBorders>
            <w:shd w:val="clear" w:color="auto" w:fill="CEDBE6" w:themeFill="background2"/>
            <w:noWrap/>
            <w:vAlign w:val="center"/>
            <w:hideMark/>
          </w:tcPr>
          <w:p w14:paraId="5AEF32AD"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2030</w:t>
            </w:r>
          </w:p>
        </w:tc>
        <w:tc>
          <w:tcPr>
            <w:tcW w:w="1984" w:type="dxa"/>
            <w:tcBorders>
              <w:top w:val="nil"/>
              <w:left w:val="nil"/>
              <w:bottom w:val="single" w:sz="8" w:space="0" w:color="auto"/>
              <w:right w:val="single" w:sz="4" w:space="0" w:color="auto"/>
            </w:tcBorders>
            <w:shd w:val="clear" w:color="auto" w:fill="CEDBE6" w:themeFill="background2"/>
            <w:noWrap/>
            <w:vAlign w:val="bottom"/>
            <w:hideMark/>
          </w:tcPr>
          <w:p w14:paraId="2577F03D"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339.01 </w:t>
            </w:r>
          </w:p>
        </w:tc>
        <w:tc>
          <w:tcPr>
            <w:tcW w:w="1772" w:type="dxa"/>
            <w:tcBorders>
              <w:top w:val="nil"/>
              <w:left w:val="nil"/>
              <w:bottom w:val="single" w:sz="8" w:space="0" w:color="auto"/>
              <w:right w:val="single" w:sz="4" w:space="0" w:color="auto"/>
            </w:tcBorders>
            <w:shd w:val="clear" w:color="auto" w:fill="CEDBE6" w:themeFill="background2"/>
            <w:noWrap/>
            <w:vAlign w:val="bottom"/>
            <w:hideMark/>
          </w:tcPr>
          <w:p w14:paraId="05482264"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3,580.33 </w:t>
            </w:r>
          </w:p>
        </w:tc>
        <w:tc>
          <w:tcPr>
            <w:tcW w:w="1917" w:type="dxa"/>
            <w:tcBorders>
              <w:top w:val="nil"/>
              <w:left w:val="nil"/>
              <w:bottom w:val="single" w:sz="8" w:space="0" w:color="auto"/>
              <w:right w:val="single" w:sz="4" w:space="0" w:color="auto"/>
            </w:tcBorders>
            <w:shd w:val="clear" w:color="auto" w:fill="CEDBE6" w:themeFill="background2"/>
            <w:noWrap/>
            <w:vAlign w:val="bottom"/>
            <w:hideMark/>
          </w:tcPr>
          <w:p w14:paraId="3B5BFBB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3.03 </w:t>
            </w:r>
          </w:p>
        </w:tc>
        <w:tc>
          <w:tcPr>
            <w:tcW w:w="1475" w:type="dxa"/>
            <w:tcBorders>
              <w:top w:val="nil"/>
              <w:left w:val="nil"/>
              <w:bottom w:val="single" w:sz="8" w:space="0" w:color="auto"/>
              <w:right w:val="single" w:sz="8" w:space="0" w:color="auto"/>
            </w:tcBorders>
            <w:shd w:val="clear" w:color="auto" w:fill="CEDBE6" w:themeFill="background2"/>
            <w:noWrap/>
            <w:vAlign w:val="bottom"/>
            <w:hideMark/>
          </w:tcPr>
          <w:p w14:paraId="52D48DD2"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11%</w:t>
            </w:r>
          </w:p>
        </w:tc>
      </w:tr>
    </w:tbl>
    <w:p w14:paraId="5B6CB149" w14:textId="05260822" w:rsidR="00C75C62" w:rsidRPr="004A73C1" w:rsidRDefault="00C75C62" w:rsidP="00C75C62">
      <w:pPr>
        <w:spacing w:after="0" w:line="360" w:lineRule="auto"/>
        <w:jc w:val="both"/>
        <w:rPr>
          <w:rFonts w:ascii="Arial" w:hAnsi="Arial" w:cs="Arial"/>
        </w:rPr>
      </w:pPr>
      <w:r w:rsidRPr="004A73C1">
        <w:rPr>
          <w:rFonts w:ascii="Arial" w:hAnsi="Arial" w:cs="Arial"/>
        </w:rPr>
        <w:t xml:space="preserve">Figure 24 </w:t>
      </w:r>
    </w:p>
    <w:tbl>
      <w:tblPr>
        <w:tblW w:w="9497" w:type="dxa"/>
        <w:shd w:val="clear" w:color="auto" w:fill="D9D9D9" w:themeFill="background1" w:themeFillShade="D9"/>
        <w:tblLook w:val="04A0" w:firstRow="1" w:lastRow="0" w:firstColumn="1" w:lastColumn="0" w:noHBand="0" w:noVBand="1"/>
      </w:tblPr>
      <w:tblGrid>
        <w:gridCol w:w="2825"/>
        <w:gridCol w:w="3402"/>
        <w:gridCol w:w="3261"/>
        <w:gridCol w:w="9"/>
      </w:tblGrid>
      <w:tr w:rsidR="00EE7955" w:rsidRPr="004A73C1" w14:paraId="31A81AF4" w14:textId="77777777" w:rsidTr="00BC5C82">
        <w:trPr>
          <w:trHeight w:val="300"/>
        </w:trPr>
        <w:tc>
          <w:tcPr>
            <w:tcW w:w="9497" w:type="dxa"/>
            <w:gridSpan w:val="4"/>
            <w:tcBorders>
              <w:top w:val="single" w:sz="8" w:space="0" w:color="auto"/>
              <w:left w:val="single" w:sz="8" w:space="0" w:color="auto"/>
              <w:bottom w:val="nil"/>
              <w:right w:val="single" w:sz="8" w:space="0" w:color="000000"/>
            </w:tcBorders>
            <w:shd w:val="clear" w:color="auto" w:fill="D9D9D9" w:themeFill="background1" w:themeFillShade="D9"/>
            <w:noWrap/>
            <w:vAlign w:val="bottom"/>
            <w:hideMark/>
          </w:tcPr>
          <w:p w14:paraId="3FFB95A1"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M=Slope </w:t>
            </w:r>
          </w:p>
        </w:tc>
      </w:tr>
      <w:tr w:rsidR="00EE7955" w:rsidRPr="004A73C1" w14:paraId="4F4AF45F" w14:textId="77777777" w:rsidTr="00BC5C82">
        <w:trPr>
          <w:trHeight w:val="300"/>
        </w:trPr>
        <w:tc>
          <w:tcPr>
            <w:tcW w:w="9497" w:type="dxa"/>
            <w:gridSpan w:val="4"/>
            <w:tcBorders>
              <w:top w:val="nil"/>
              <w:left w:val="single" w:sz="8" w:space="0" w:color="auto"/>
              <w:bottom w:val="nil"/>
              <w:right w:val="single" w:sz="8" w:space="0" w:color="000000"/>
            </w:tcBorders>
            <w:shd w:val="clear" w:color="auto" w:fill="D9D9D9" w:themeFill="background1" w:themeFillShade="D9"/>
            <w:noWrap/>
            <w:vAlign w:val="bottom"/>
            <w:hideMark/>
          </w:tcPr>
          <w:p w14:paraId="191ED7D6"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X= Date </w:t>
            </w:r>
          </w:p>
        </w:tc>
      </w:tr>
      <w:tr w:rsidR="00EE7955" w:rsidRPr="004A73C1" w14:paraId="20ED356F" w14:textId="77777777" w:rsidTr="00BC5C82">
        <w:trPr>
          <w:trHeight w:val="300"/>
        </w:trPr>
        <w:tc>
          <w:tcPr>
            <w:tcW w:w="9497" w:type="dxa"/>
            <w:gridSpan w:val="4"/>
            <w:tcBorders>
              <w:top w:val="nil"/>
              <w:left w:val="single" w:sz="8" w:space="0" w:color="auto"/>
              <w:bottom w:val="nil"/>
              <w:right w:val="single" w:sz="8" w:space="0" w:color="000000"/>
            </w:tcBorders>
            <w:shd w:val="clear" w:color="auto" w:fill="D9D9D9" w:themeFill="background1" w:themeFillShade="D9"/>
            <w:noWrap/>
            <w:vAlign w:val="bottom"/>
            <w:hideMark/>
          </w:tcPr>
          <w:p w14:paraId="098DD33B"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C= intercept </w:t>
            </w:r>
          </w:p>
        </w:tc>
      </w:tr>
      <w:tr w:rsidR="0092745F" w:rsidRPr="004A73C1" w14:paraId="69BE8E76" w14:textId="77777777" w:rsidTr="00BC5C82">
        <w:trPr>
          <w:gridAfter w:val="1"/>
          <w:wAfter w:w="9" w:type="dxa"/>
          <w:trHeight w:val="300"/>
        </w:trPr>
        <w:tc>
          <w:tcPr>
            <w:tcW w:w="2825" w:type="dxa"/>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hideMark/>
          </w:tcPr>
          <w:p w14:paraId="5E6E31F8" w14:textId="77777777" w:rsidR="0092745F" w:rsidRPr="004A73C1" w:rsidRDefault="0092745F" w:rsidP="00EE7955">
            <w:pPr>
              <w:spacing w:after="0" w:line="240" w:lineRule="auto"/>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lastRenderedPageBreak/>
              <w:t> </w:t>
            </w:r>
          </w:p>
          <w:p w14:paraId="56AE32AD" w14:textId="707F4B07" w:rsidR="0092745F" w:rsidRPr="004A73C1" w:rsidRDefault="0092745F" w:rsidP="00EE7955">
            <w:pPr>
              <w:spacing w:after="0" w:line="240" w:lineRule="auto"/>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 </w:t>
            </w:r>
          </w:p>
        </w:tc>
        <w:tc>
          <w:tcPr>
            <w:tcW w:w="3402"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73DAF6AE" w14:textId="77777777" w:rsidR="0092745F" w:rsidRPr="004A73C1" w:rsidRDefault="0092745F" w:rsidP="00EE7955">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Slope</w:t>
            </w:r>
          </w:p>
        </w:tc>
        <w:tc>
          <w:tcPr>
            <w:tcW w:w="3261"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32365744" w14:textId="77777777" w:rsidR="0092745F" w:rsidRPr="004A73C1" w:rsidRDefault="0092745F" w:rsidP="00EE7955">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Intercept</w:t>
            </w:r>
          </w:p>
        </w:tc>
      </w:tr>
      <w:tr w:rsidR="00BC5C82" w:rsidRPr="004A73C1" w14:paraId="2EF14487" w14:textId="77777777" w:rsidTr="00BC5C82">
        <w:trPr>
          <w:gridAfter w:val="1"/>
          <w:wAfter w:w="9" w:type="dxa"/>
          <w:trHeight w:val="300"/>
        </w:trPr>
        <w:tc>
          <w:tcPr>
            <w:tcW w:w="2825" w:type="dxa"/>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center"/>
            <w:hideMark/>
          </w:tcPr>
          <w:p w14:paraId="4E6C3F00" w14:textId="77777777" w:rsidR="00EE7955" w:rsidRPr="004A73C1" w:rsidRDefault="00EE7955" w:rsidP="00EE7955">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FDI</w:t>
            </w:r>
          </w:p>
        </w:tc>
        <w:tc>
          <w:tcPr>
            <w:tcW w:w="3402"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29B9BFB0"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32.95 </w:t>
            </w:r>
          </w:p>
        </w:tc>
        <w:tc>
          <w:tcPr>
            <w:tcW w:w="3261"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55FB90DD"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(66,557.95)</w:t>
            </w:r>
          </w:p>
        </w:tc>
      </w:tr>
      <w:tr w:rsidR="00BC5C82" w:rsidRPr="004A73C1" w14:paraId="5D2F8EFB" w14:textId="77777777" w:rsidTr="00BC5C82">
        <w:trPr>
          <w:gridAfter w:val="1"/>
          <w:wAfter w:w="9" w:type="dxa"/>
          <w:trHeight w:val="300"/>
        </w:trPr>
        <w:tc>
          <w:tcPr>
            <w:tcW w:w="2825" w:type="dxa"/>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center"/>
            <w:hideMark/>
          </w:tcPr>
          <w:p w14:paraId="78DECB80" w14:textId="77777777" w:rsidR="00EE7955" w:rsidRPr="004A73C1" w:rsidRDefault="00EE7955" w:rsidP="00EE7955">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GDP</w:t>
            </w:r>
          </w:p>
        </w:tc>
        <w:tc>
          <w:tcPr>
            <w:tcW w:w="3402"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1631F340"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59.95 </w:t>
            </w:r>
          </w:p>
        </w:tc>
        <w:tc>
          <w:tcPr>
            <w:tcW w:w="3261"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154D9A92"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(118,113.44)</w:t>
            </w:r>
          </w:p>
        </w:tc>
      </w:tr>
      <w:tr w:rsidR="00BC5C82" w:rsidRPr="004A73C1" w14:paraId="32BF4D29" w14:textId="77777777" w:rsidTr="00BC5C82">
        <w:trPr>
          <w:gridAfter w:val="1"/>
          <w:wAfter w:w="9" w:type="dxa"/>
          <w:trHeight w:val="300"/>
        </w:trPr>
        <w:tc>
          <w:tcPr>
            <w:tcW w:w="2825" w:type="dxa"/>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center"/>
            <w:hideMark/>
          </w:tcPr>
          <w:p w14:paraId="048D1904" w14:textId="77777777" w:rsidR="00EE7955" w:rsidRPr="004A73C1" w:rsidRDefault="00EE7955" w:rsidP="00EE7955">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Unemployment Rate</w:t>
            </w:r>
          </w:p>
        </w:tc>
        <w:tc>
          <w:tcPr>
            <w:tcW w:w="3402"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34055C29"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(0.13)</w:t>
            </w:r>
          </w:p>
        </w:tc>
        <w:tc>
          <w:tcPr>
            <w:tcW w:w="3261"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4CAD6317"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263.55 </w:t>
            </w:r>
          </w:p>
        </w:tc>
      </w:tr>
      <w:tr w:rsidR="00BC5C82" w:rsidRPr="004A73C1" w14:paraId="2358EC57" w14:textId="77777777" w:rsidTr="00BC5C82">
        <w:trPr>
          <w:gridAfter w:val="1"/>
          <w:wAfter w:w="9" w:type="dxa"/>
          <w:trHeight w:val="300"/>
        </w:trPr>
        <w:tc>
          <w:tcPr>
            <w:tcW w:w="2825" w:type="dxa"/>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center"/>
            <w:hideMark/>
          </w:tcPr>
          <w:p w14:paraId="6FFFF5A2" w14:textId="77777777" w:rsidR="00EE7955" w:rsidRPr="004A73C1" w:rsidRDefault="00EE7955" w:rsidP="00EE7955">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Percentage FDI/GDP</w:t>
            </w:r>
          </w:p>
        </w:tc>
        <w:tc>
          <w:tcPr>
            <w:tcW w:w="3402"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497F3C97"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0.01 </w:t>
            </w:r>
          </w:p>
        </w:tc>
        <w:tc>
          <w:tcPr>
            <w:tcW w:w="3261"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314446B2"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(22.50)</w:t>
            </w:r>
          </w:p>
        </w:tc>
      </w:tr>
    </w:tbl>
    <w:p w14:paraId="62197E63" w14:textId="23953E24" w:rsidR="00BE222C" w:rsidRDefault="00976200" w:rsidP="00976200">
      <w:pPr>
        <w:rPr>
          <w:shd w:val="clear" w:color="auto" w:fill="FFFFFF"/>
        </w:rPr>
      </w:pPr>
      <w:r>
        <w:rPr>
          <w:shd w:val="clear" w:color="auto" w:fill="FFFFFF"/>
        </w:rPr>
        <w:t xml:space="preserve">Source- Researcher Own calculations </w:t>
      </w:r>
    </w:p>
    <w:p w14:paraId="06B34027" w14:textId="77777777" w:rsidR="00976200" w:rsidRPr="00976200" w:rsidRDefault="00976200" w:rsidP="00976200"/>
    <w:p w14:paraId="590304C8" w14:textId="3383CB42" w:rsidR="00EE7955" w:rsidRPr="004A73C1" w:rsidRDefault="00CA52E6" w:rsidP="002836D7">
      <w:pPr>
        <w:pStyle w:val="Heading3"/>
        <w:rPr>
          <w:rFonts w:ascii="Arial" w:hAnsi="Arial" w:cs="Arial"/>
          <w:color w:val="auto"/>
          <w:shd w:val="clear" w:color="auto" w:fill="FFFFFF"/>
        </w:rPr>
      </w:pPr>
      <w:bookmarkStart w:id="135" w:name="_Toc175675373"/>
      <w:r w:rsidRPr="004A73C1">
        <w:rPr>
          <w:rFonts w:ascii="Arial" w:hAnsi="Arial" w:cs="Arial"/>
          <w:color w:val="auto"/>
          <w:shd w:val="clear" w:color="auto" w:fill="FFFFFF"/>
        </w:rPr>
        <w:t>4.4.5</w:t>
      </w:r>
      <w:r w:rsidRPr="004A73C1">
        <w:rPr>
          <w:rFonts w:ascii="Arial" w:hAnsi="Arial" w:cs="Arial"/>
          <w:color w:val="auto"/>
          <w:shd w:val="clear" w:color="auto" w:fill="FFFFFF"/>
        </w:rPr>
        <w:tab/>
      </w:r>
      <w:r w:rsidR="002E690B" w:rsidRPr="004A73C1">
        <w:rPr>
          <w:rFonts w:ascii="Arial" w:hAnsi="Arial" w:cs="Arial"/>
          <w:color w:val="auto"/>
          <w:shd w:val="clear" w:color="auto" w:fill="FFFFFF"/>
        </w:rPr>
        <w:t>Result</w:t>
      </w:r>
      <w:r w:rsidR="00BC5C82" w:rsidRPr="004A73C1">
        <w:rPr>
          <w:rFonts w:ascii="Arial" w:hAnsi="Arial" w:cs="Arial"/>
          <w:color w:val="auto"/>
          <w:shd w:val="clear" w:color="auto" w:fill="FFFFFF"/>
        </w:rPr>
        <w:t>s and Analysis of Statistical Data</w:t>
      </w:r>
      <w:r w:rsidR="002836D7" w:rsidRPr="004A73C1">
        <w:rPr>
          <w:rFonts w:ascii="Arial" w:hAnsi="Arial" w:cs="Arial"/>
          <w:color w:val="auto"/>
          <w:shd w:val="clear" w:color="auto" w:fill="FFFFFF"/>
        </w:rPr>
        <w:t>.</w:t>
      </w:r>
      <w:bookmarkEnd w:id="135"/>
    </w:p>
    <w:p w14:paraId="494120A9" w14:textId="77777777" w:rsidR="00880023" w:rsidRPr="004A73C1" w:rsidRDefault="00880023" w:rsidP="00880023">
      <w:pPr>
        <w:rPr>
          <w:rFonts w:ascii="Arial" w:hAnsi="Arial" w:cs="Arial"/>
        </w:rPr>
      </w:pPr>
    </w:p>
    <w:p w14:paraId="02DC53D7" w14:textId="77777777" w:rsidR="00880023" w:rsidRPr="004A73C1" w:rsidRDefault="00BC5C82" w:rsidP="00643808">
      <w:pPr>
        <w:spacing w:line="360" w:lineRule="auto"/>
        <w:jc w:val="both"/>
        <w:rPr>
          <w:rFonts w:ascii="Arial" w:hAnsi="Arial" w:cs="Arial"/>
        </w:rPr>
      </w:pPr>
      <w:bookmarkStart w:id="136" w:name="_Toc175056486"/>
      <w:r w:rsidRPr="004A73C1">
        <w:rPr>
          <w:rFonts w:ascii="Arial" w:hAnsi="Arial" w:cs="Arial"/>
        </w:rPr>
        <w:t xml:space="preserve">Based on the analysis of the data presented in the table, it is evident that Foreign Direct Investment (FDI) is expected to experience an upward trend in the coming years. It is reasonable to anticipate that the impact of Brexit will diminish if current trends continue. While there is a possibility of an increase in the unemployment rate, it is important to recognize that this may not be directly correlated with FDI, unlike the direct relationship between FDI and GDP. </w:t>
      </w:r>
      <w:r w:rsidR="00880023" w:rsidRPr="004A73C1">
        <w:rPr>
          <w:rFonts w:ascii="Arial" w:hAnsi="Arial" w:cs="Arial"/>
        </w:rPr>
        <w:t>Other influential factors can</w:t>
      </w:r>
      <w:r w:rsidRPr="004A73C1">
        <w:rPr>
          <w:rFonts w:ascii="Arial" w:hAnsi="Arial" w:cs="Arial"/>
        </w:rPr>
        <w:t xml:space="preserve"> affect employment, independent of FDI. </w:t>
      </w:r>
    </w:p>
    <w:p w14:paraId="433729F7" w14:textId="59891C05" w:rsidR="00BC5C82" w:rsidRPr="004A73C1" w:rsidRDefault="00880023" w:rsidP="00643808">
      <w:pPr>
        <w:spacing w:line="360" w:lineRule="auto"/>
        <w:jc w:val="both"/>
        <w:rPr>
          <w:rFonts w:ascii="Arial" w:hAnsi="Arial" w:cs="Arial"/>
        </w:rPr>
      </w:pPr>
      <w:r w:rsidRPr="004A73C1">
        <w:rPr>
          <w:rFonts w:ascii="Arial" w:hAnsi="Arial" w:cs="Arial"/>
        </w:rPr>
        <w:t>To</w:t>
      </w:r>
      <w:r w:rsidR="00BC5C82" w:rsidRPr="004A73C1">
        <w:rPr>
          <w:rFonts w:ascii="Arial" w:hAnsi="Arial" w:cs="Arial"/>
        </w:rPr>
        <w:t xml:space="preserve"> gain a thorough understanding of these factors and the intricate relationship between FDI and economic growth, it is imperative to take into account additional data sources such as in-depth analyses from the World Bank, reports from the International Monetary Fund (IMF), and specific government targets. Therefore, following my statistical analysis, I intend to thoroughly explore these alternate data sources to provide a comprehensive and detailed analysis of the situation.</w:t>
      </w:r>
    </w:p>
    <w:p w14:paraId="7A712365" w14:textId="5D335110" w:rsidR="00BC5C82" w:rsidRPr="004A73C1" w:rsidRDefault="00CA52E6" w:rsidP="002836D7">
      <w:pPr>
        <w:pStyle w:val="Heading2"/>
        <w:rPr>
          <w:rFonts w:ascii="Arial" w:hAnsi="Arial" w:cs="Arial"/>
          <w:color w:val="auto"/>
        </w:rPr>
      </w:pPr>
      <w:bookmarkStart w:id="137" w:name="_Toc175675374"/>
      <w:r w:rsidRPr="004A73C1">
        <w:rPr>
          <w:rFonts w:ascii="Arial" w:hAnsi="Arial" w:cs="Arial"/>
          <w:color w:val="auto"/>
        </w:rPr>
        <w:t>4.5</w:t>
      </w:r>
      <w:r w:rsidRPr="004A73C1">
        <w:rPr>
          <w:rFonts w:ascii="Arial" w:hAnsi="Arial" w:cs="Arial"/>
          <w:color w:val="auto"/>
        </w:rPr>
        <w:tab/>
      </w:r>
      <w:r w:rsidR="002836D7" w:rsidRPr="004A73C1">
        <w:rPr>
          <w:rFonts w:ascii="Arial" w:hAnsi="Arial" w:cs="Arial"/>
          <w:color w:val="auto"/>
        </w:rPr>
        <w:t>Other Source Data Analysis</w:t>
      </w:r>
      <w:bookmarkEnd w:id="137"/>
    </w:p>
    <w:p w14:paraId="092BC401" w14:textId="11534D1C" w:rsidR="00CA52E6" w:rsidRPr="004A73C1" w:rsidRDefault="00CA52E6" w:rsidP="00CA52E6">
      <w:pPr>
        <w:rPr>
          <w:rFonts w:ascii="Arial" w:hAnsi="Arial" w:cs="Arial"/>
        </w:rPr>
      </w:pPr>
      <w:r w:rsidRPr="004A73C1">
        <w:rPr>
          <w:rFonts w:ascii="Arial" w:hAnsi="Arial" w:cs="Arial"/>
        </w:rPr>
        <w:t>Please see below other source data analysis based on different available resources e’g World Bank, ONS, Gov.UK, articles newspapers etc.</w:t>
      </w:r>
    </w:p>
    <w:p w14:paraId="212B07CB" w14:textId="77777777" w:rsidR="00CA52E6" w:rsidRPr="004A73C1" w:rsidRDefault="00CA52E6" w:rsidP="00CA52E6">
      <w:pPr>
        <w:rPr>
          <w:rFonts w:ascii="Arial" w:hAnsi="Arial" w:cs="Arial"/>
        </w:rPr>
      </w:pPr>
    </w:p>
    <w:p w14:paraId="30D65206" w14:textId="53B40EBA" w:rsidR="00F01661" w:rsidRPr="004A73C1" w:rsidRDefault="00CA52E6" w:rsidP="002836D7">
      <w:pPr>
        <w:pStyle w:val="Heading3"/>
        <w:rPr>
          <w:rStyle w:val="Heading2Char"/>
          <w:rFonts w:ascii="Arial" w:hAnsi="Arial" w:cs="Arial"/>
          <w:color w:val="auto"/>
        </w:rPr>
      </w:pPr>
      <w:bookmarkStart w:id="138" w:name="_Toc175675375"/>
      <w:r w:rsidRPr="004A73C1">
        <w:rPr>
          <w:rStyle w:val="Heading2Char"/>
          <w:rFonts w:ascii="Arial" w:hAnsi="Arial" w:cs="Arial"/>
          <w:color w:val="auto"/>
        </w:rPr>
        <w:t>4.6</w:t>
      </w:r>
      <w:r w:rsidRPr="004A73C1">
        <w:rPr>
          <w:rStyle w:val="Heading2Char"/>
          <w:rFonts w:ascii="Arial" w:hAnsi="Arial" w:cs="Arial"/>
          <w:color w:val="auto"/>
        </w:rPr>
        <w:tab/>
      </w:r>
      <w:r w:rsidR="00E4547C" w:rsidRPr="004A73C1">
        <w:rPr>
          <w:rStyle w:val="Heading2Char"/>
          <w:rFonts w:ascii="Arial" w:hAnsi="Arial" w:cs="Arial"/>
          <w:color w:val="auto"/>
        </w:rPr>
        <w:t>Factors That Can Influence the FDI</w:t>
      </w:r>
      <w:bookmarkEnd w:id="136"/>
      <w:bookmarkEnd w:id="138"/>
    </w:p>
    <w:p w14:paraId="3DAE1B67" w14:textId="408DD5CC" w:rsidR="00CA52E6" w:rsidRDefault="00CA52E6" w:rsidP="00CA52E6">
      <w:pPr>
        <w:rPr>
          <w:rFonts w:ascii="Arial" w:hAnsi="Arial" w:cs="Arial"/>
        </w:rPr>
      </w:pPr>
      <w:r w:rsidRPr="004A73C1">
        <w:rPr>
          <w:rFonts w:ascii="Arial" w:hAnsi="Arial" w:cs="Arial"/>
        </w:rPr>
        <w:t>Please see below the main factors which can influence the economy of the country. I have chosen 4 factors to limit the research scope.</w:t>
      </w:r>
    </w:p>
    <w:p w14:paraId="024EFFAD" w14:textId="77777777" w:rsidR="00ED3916" w:rsidRPr="004A73C1" w:rsidRDefault="00ED3916" w:rsidP="00CA52E6">
      <w:pPr>
        <w:rPr>
          <w:rFonts w:ascii="Arial" w:hAnsi="Arial" w:cs="Arial"/>
        </w:rPr>
      </w:pPr>
    </w:p>
    <w:p w14:paraId="08677301" w14:textId="53792DDE" w:rsidR="00F01661" w:rsidRPr="004A73C1" w:rsidRDefault="00CA52E6" w:rsidP="002836D7">
      <w:pPr>
        <w:pStyle w:val="Heading3"/>
        <w:rPr>
          <w:rFonts w:ascii="Arial" w:hAnsi="Arial" w:cs="Arial"/>
          <w:color w:val="auto"/>
        </w:rPr>
      </w:pPr>
      <w:bookmarkStart w:id="139" w:name="_Toc175056487"/>
      <w:bookmarkStart w:id="140" w:name="_Toc175675376"/>
      <w:r w:rsidRPr="004A73C1">
        <w:rPr>
          <w:rFonts w:ascii="Arial" w:hAnsi="Arial" w:cs="Arial"/>
          <w:color w:val="auto"/>
        </w:rPr>
        <w:t>4.6.1</w:t>
      </w:r>
      <w:r w:rsidRPr="004A73C1">
        <w:rPr>
          <w:rFonts w:ascii="Arial" w:hAnsi="Arial" w:cs="Arial"/>
          <w:color w:val="auto"/>
        </w:rPr>
        <w:tab/>
      </w:r>
      <w:r w:rsidR="00163D53" w:rsidRPr="004A73C1">
        <w:rPr>
          <w:rFonts w:ascii="Arial" w:hAnsi="Arial" w:cs="Arial"/>
          <w:color w:val="auto"/>
        </w:rPr>
        <w:t xml:space="preserve">The </w:t>
      </w:r>
      <w:r w:rsidR="000F1DEE" w:rsidRPr="004A73C1">
        <w:rPr>
          <w:rFonts w:ascii="Arial" w:hAnsi="Arial" w:cs="Arial"/>
          <w:color w:val="auto"/>
        </w:rPr>
        <w:t>E</w:t>
      </w:r>
      <w:r w:rsidR="00163D53" w:rsidRPr="004A73C1">
        <w:rPr>
          <w:rFonts w:ascii="Arial" w:hAnsi="Arial" w:cs="Arial"/>
          <w:color w:val="auto"/>
        </w:rPr>
        <w:t>conomic</w:t>
      </w:r>
      <w:r w:rsidR="00930F3F" w:rsidRPr="004A73C1">
        <w:rPr>
          <w:rFonts w:ascii="Arial" w:hAnsi="Arial" w:cs="Arial"/>
          <w:color w:val="auto"/>
        </w:rPr>
        <w:t xml:space="preserve"> </w:t>
      </w:r>
      <w:r w:rsidR="000F1DEE" w:rsidRPr="004A73C1">
        <w:rPr>
          <w:rFonts w:ascii="Arial" w:hAnsi="Arial" w:cs="Arial"/>
          <w:color w:val="auto"/>
        </w:rPr>
        <w:t xml:space="preserve">Condition Of The </w:t>
      </w:r>
      <w:r w:rsidR="00930F3F" w:rsidRPr="004A73C1">
        <w:rPr>
          <w:rFonts w:ascii="Arial" w:hAnsi="Arial" w:cs="Arial"/>
          <w:color w:val="auto"/>
        </w:rPr>
        <w:t>UK</w:t>
      </w:r>
      <w:r w:rsidR="000F1DEE" w:rsidRPr="004A73C1">
        <w:rPr>
          <w:rFonts w:ascii="Arial" w:hAnsi="Arial" w:cs="Arial"/>
          <w:color w:val="auto"/>
        </w:rPr>
        <w:t>.</w:t>
      </w:r>
      <w:bookmarkEnd w:id="139"/>
      <w:bookmarkEnd w:id="140"/>
    </w:p>
    <w:p w14:paraId="4AE15532" w14:textId="2D0DF662" w:rsidR="00930F3F" w:rsidRPr="004A73C1" w:rsidRDefault="00930F3F" w:rsidP="00EF2E34">
      <w:pPr>
        <w:spacing w:line="360" w:lineRule="auto"/>
        <w:jc w:val="both"/>
        <w:rPr>
          <w:rFonts w:ascii="Arial" w:hAnsi="Arial" w:cs="Arial"/>
        </w:rPr>
      </w:pPr>
      <w:r w:rsidRPr="004A73C1">
        <w:rPr>
          <w:rFonts w:ascii="Arial" w:hAnsi="Arial" w:cs="Arial"/>
        </w:rPr>
        <w:t xml:space="preserve">The United Kingdom (UK) is an inviting destination for foreign direct investment (FDI) and foreign ownership due to its stable, business-friendly environment. With its open, liberal economy, access to top-tier talent, and developed consumer market, the nation offers ample opportunities for trade and investment growth. Boasting a population of 67 million people and a diverse range of suppliers and partners, the UK also provides various initiatives to support businesses of all sizes, including a </w:t>
      </w:r>
      <w:r w:rsidR="00D47A6A" w:rsidRPr="004A73C1">
        <w:rPr>
          <w:rFonts w:ascii="Arial" w:hAnsi="Arial" w:cs="Arial"/>
        </w:rPr>
        <w:t>strong commitment to invest £100 billion in infrastructure (State.gov/reports,2023).</w:t>
      </w:r>
    </w:p>
    <w:p w14:paraId="30381277" w14:textId="2253F8F7" w:rsidR="00930F3F" w:rsidRPr="004A73C1" w:rsidRDefault="00930F3F" w:rsidP="00EF2E34">
      <w:pPr>
        <w:spacing w:line="360" w:lineRule="auto"/>
        <w:jc w:val="both"/>
        <w:rPr>
          <w:rFonts w:ascii="Arial" w:hAnsi="Arial" w:cs="Arial"/>
        </w:rPr>
      </w:pPr>
      <w:r w:rsidRPr="004A73C1">
        <w:rPr>
          <w:rFonts w:ascii="Arial" w:hAnsi="Arial" w:cs="Arial"/>
        </w:rPr>
        <w:lastRenderedPageBreak/>
        <w:t xml:space="preserve">The economic condition of a country is </w:t>
      </w:r>
      <w:r w:rsidR="00163D53" w:rsidRPr="004A73C1">
        <w:rPr>
          <w:rFonts w:ascii="Arial" w:hAnsi="Arial" w:cs="Arial"/>
        </w:rPr>
        <w:t>essential</w:t>
      </w:r>
      <w:r w:rsidRPr="004A73C1">
        <w:rPr>
          <w:rFonts w:ascii="Arial" w:hAnsi="Arial" w:cs="Arial"/>
        </w:rPr>
        <w:t xml:space="preserve"> for FDI because it directly affects the potential return on investment, the stability of the market, and the overall business environment. Factors such as GDP growth, inflation rates, currency stability, tax policies, and government debt levels all </w:t>
      </w:r>
      <w:r w:rsidR="00163D53" w:rsidRPr="004A73C1">
        <w:rPr>
          <w:rFonts w:ascii="Arial" w:hAnsi="Arial" w:cs="Arial"/>
        </w:rPr>
        <w:t>influence a country's attractiveness</w:t>
      </w:r>
      <w:r w:rsidRPr="004A73C1">
        <w:rPr>
          <w:rFonts w:ascii="Arial" w:hAnsi="Arial" w:cs="Arial"/>
        </w:rPr>
        <w:t xml:space="preserve"> for foreign direct investment. A strong and stable economy provides confidence to foreign investors and can create a </w:t>
      </w:r>
      <w:r w:rsidR="00163D53" w:rsidRPr="004A73C1">
        <w:rPr>
          <w:rFonts w:ascii="Arial" w:hAnsi="Arial" w:cs="Arial"/>
        </w:rPr>
        <w:t>favourable</w:t>
      </w:r>
      <w:r w:rsidRPr="004A73C1">
        <w:rPr>
          <w:rFonts w:ascii="Arial" w:hAnsi="Arial" w:cs="Arial"/>
        </w:rPr>
        <w:t xml:space="preserve"> environment for long-term investment. On the other hand, economic instability and uncertainty can deter potential investors from committing their capital.</w:t>
      </w:r>
    </w:p>
    <w:p w14:paraId="72292FC7" w14:textId="3C484224" w:rsidR="00930F3F" w:rsidRPr="004A73C1" w:rsidRDefault="00930F3F" w:rsidP="00EF2E34">
      <w:pPr>
        <w:spacing w:line="360" w:lineRule="auto"/>
        <w:jc w:val="both"/>
        <w:rPr>
          <w:rFonts w:ascii="Arial" w:hAnsi="Arial" w:cs="Arial"/>
        </w:rPr>
      </w:pPr>
      <w:r w:rsidRPr="004A73C1">
        <w:rPr>
          <w:rFonts w:ascii="Arial" w:hAnsi="Arial" w:cs="Arial"/>
        </w:rPr>
        <w:t xml:space="preserve">According to </w:t>
      </w:r>
      <w:r w:rsidR="00163D53" w:rsidRPr="004A73C1">
        <w:rPr>
          <w:rFonts w:ascii="Arial" w:hAnsi="Arial" w:cs="Arial"/>
        </w:rPr>
        <w:t>World Bank data, the United Kingdom's GDP growth rate in 2021 was 7.5%. This puts the UK</w:t>
      </w:r>
      <w:r w:rsidRPr="004A73C1">
        <w:rPr>
          <w:rFonts w:ascii="Arial" w:hAnsi="Arial" w:cs="Arial"/>
        </w:rPr>
        <w:t xml:space="preserve"> ahead of some major economies such as the United States (5.7%), Germany (2.9%), and Japan (2.8%) but behind countries like China (8.1%) and India (9.1%). These figures reflect the varying economic performances of different countries during that period.</w:t>
      </w:r>
    </w:p>
    <w:p w14:paraId="311AC940" w14:textId="505ED334" w:rsidR="00930F3F" w:rsidRPr="004A73C1" w:rsidRDefault="00930F3F" w:rsidP="00EF2E34">
      <w:pPr>
        <w:spacing w:line="360" w:lineRule="auto"/>
        <w:jc w:val="both"/>
        <w:rPr>
          <w:rFonts w:ascii="Arial" w:hAnsi="Arial" w:cs="Arial"/>
        </w:rPr>
      </w:pPr>
      <w:r w:rsidRPr="004A73C1">
        <w:rPr>
          <w:rFonts w:ascii="Arial" w:hAnsi="Arial" w:cs="Arial"/>
        </w:rPr>
        <w:t>According to the latest data, the United Kingdom's GDP growth rate is currently 2.3%. This puts the UK in the middle range compared to other countries, with some countries experiencing higher growth rates, such as China (6.9%) and India (7.2%), while others have lower rates, such as Japan (1.7%) and Germany (1.9%)</w:t>
      </w:r>
      <w:r w:rsidR="000F1DEE" w:rsidRPr="004A73C1">
        <w:rPr>
          <w:rFonts w:ascii="Arial" w:hAnsi="Arial" w:cs="Arial"/>
        </w:rPr>
        <w:t>. (Source ONS.GOV)</w:t>
      </w:r>
    </w:p>
    <w:p w14:paraId="6BA75BB6" w14:textId="77777777" w:rsidR="00930F3F" w:rsidRPr="004A73C1" w:rsidRDefault="00930F3F" w:rsidP="00EF2E34">
      <w:pPr>
        <w:spacing w:line="360" w:lineRule="auto"/>
        <w:jc w:val="both"/>
        <w:rPr>
          <w:rFonts w:ascii="Arial" w:hAnsi="Arial" w:cs="Arial"/>
        </w:rPr>
      </w:pPr>
      <w:r w:rsidRPr="004A73C1">
        <w:rPr>
          <w:rFonts w:ascii="Arial" w:hAnsi="Arial" w:cs="Arial"/>
        </w:rPr>
        <w:t>The inflation rate in the United Kingdom is currently 2.5%. This places the UK's inflation rate in the middle range compared to other countries. Some countries are experiencing higher inflation rates, such as Brazil (10.7%) and Turkey (17.1%), while others have lower rates, such as the United States (5.4%) and Japan (0.3%).</w:t>
      </w:r>
    </w:p>
    <w:p w14:paraId="1C5CC802" w14:textId="77777777" w:rsidR="00F01661" w:rsidRPr="004A73C1" w:rsidRDefault="00F01661" w:rsidP="00EF2E34">
      <w:pPr>
        <w:spacing w:line="360" w:lineRule="auto"/>
        <w:jc w:val="both"/>
        <w:rPr>
          <w:rFonts w:ascii="Arial" w:hAnsi="Arial" w:cs="Arial"/>
          <w:shd w:val="clear" w:color="auto" w:fill="FFFFFF"/>
        </w:rPr>
      </w:pPr>
    </w:p>
    <w:p w14:paraId="6C27A3FE" w14:textId="77777777" w:rsidR="001270AF" w:rsidRPr="004A73C1" w:rsidRDefault="001279A0" w:rsidP="00EF2E34">
      <w:pPr>
        <w:spacing w:line="360" w:lineRule="auto"/>
        <w:jc w:val="both"/>
        <w:rPr>
          <w:rFonts w:ascii="Arial" w:hAnsi="Arial" w:cs="Arial"/>
          <w:shd w:val="clear" w:color="auto" w:fill="FFFFFF"/>
        </w:rPr>
      </w:pPr>
      <w:r w:rsidRPr="004A73C1">
        <w:rPr>
          <w:rFonts w:ascii="Arial" w:hAnsi="Arial" w:cs="Arial"/>
          <w:noProof/>
          <w:shd w:val="clear" w:color="auto" w:fill="FFFFFF"/>
        </w:rPr>
        <w:drawing>
          <wp:inline distT="0" distB="0" distL="0" distR="0" wp14:anchorId="5CC773FB" wp14:editId="6336AB25">
            <wp:extent cx="5731510" cy="2567940"/>
            <wp:effectExtent l="0" t="0" r="2540" b="3810"/>
            <wp:docPr id="1555106481" name="Picture 1" descr="A graph showing the growth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106481" name="Picture 1" descr="A graph showing the growth of a company&#10;&#10;Description automatically generated with medium confidence"/>
                    <pic:cNvPicPr/>
                  </pic:nvPicPr>
                  <pic:blipFill>
                    <a:blip r:embed="rId46"/>
                    <a:stretch>
                      <a:fillRect/>
                    </a:stretch>
                  </pic:blipFill>
                  <pic:spPr>
                    <a:xfrm>
                      <a:off x="0" y="0"/>
                      <a:ext cx="5731510" cy="2567940"/>
                    </a:xfrm>
                    <a:prstGeom prst="rect">
                      <a:avLst/>
                    </a:prstGeom>
                  </pic:spPr>
                </pic:pic>
              </a:graphicData>
            </a:graphic>
          </wp:inline>
        </w:drawing>
      </w:r>
    </w:p>
    <w:p w14:paraId="6E99FD04" w14:textId="1151B3DA" w:rsidR="00740D35" w:rsidRPr="004A73C1" w:rsidRDefault="00740D35" w:rsidP="00EF2E34">
      <w:pPr>
        <w:spacing w:line="360" w:lineRule="auto"/>
        <w:jc w:val="both"/>
        <w:rPr>
          <w:rFonts w:ascii="Arial" w:hAnsi="Arial" w:cs="Arial"/>
          <w:shd w:val="clear" w:color="auto" w:fill="FFFFFF"/>
        </w:rPr>
      </w:pPr>
      <w:r w:rsidRPr="004A73C1">
        <w:rPr>
          <w:rFonts w:ascii="Arial" w:hAnsi="Arial" w:cs="Arial"/>
        </w:rPr>
        <w:t xml:space="preserve">Figure </w:t>
      </w:r>
      <w:r w:rsidR="00C75C62" w:rsidRPr="004A73C1">
        <w:rPr>
          <w:rFonts w:ascii="Arial" w:hAnsi="Arial" w:cs="Arial"/>
        </w:rPr>
        <w:t>25</w:t>
      </w:r>
    </w:p>
    <w:p w14:paraId="27250125" w14:textId="5CBA3542" w:rsidR="008D2D22" w:rsidRPr="004A73C1" w:rsidRDefault="008D2D22" w:rsidP="00EF2E34">
      <w:pPr>
        <w:spacing w:line="360" w:lineRule="auto"/>
        <w:jc w:val="both"/>
        <w:rPr>
          <w:rFonts w:ascii="Arial" w:hAnsi="Arial" w:cs="Arial"/>
          <w:shd w:val="clear" w:color="auto" w:fill="FFFFFF"/>
        </w:rPr>
      </w:pPr>
      <w:r w:rsidRPr="004A73C1">
        <w:rPr>
          <w:rFonts w:ascii="Arial" w:hAnsi="Arial" w:cs="Arial"/>
          <w:shd w:val="clear" w:color="auto" w:fill="FFFFFF"/>
        </w:rPr>
        <w:t>Source:.ons.gov.uk/economy/inflationandpriceindice</w:t>
      </w:r>
    </w:p>
    <w:p w14:paraId="1155E453" w14:textId="1E4DE790" w:rsidR="008D2D22" w:rsidRPr="004A73C1" w:rsidRDefault="00386A5A" w:rsidP="00EF2E34">
      <w:pPr>
        <w:spacing w:line="360" w:lineRule="auto"/>
        <w:jc w:val="both"/>
        <w:rPr>
          <w:rFonts w:ascii="Arial" w:hAnsi="Arial" w:cs="Arial"/>
          <w:shd w:val="clear" w:color="auto" w:fill="FFFFFF"/>
        </w:rPr>
      </w:pPr>
      <w:r w:rsidRPr="004A73C1">
        <w:rPr>
          <w:rFonts w:ascii="Arial" w:hAnsi="Arial" w:cs="Arial"/>
          <w:shd w:val="clear" w:color="auto" w:fill="FFFFFF"/>
        </w:rPr>
        <w:t xml:space="preserve"> </w:t>
      </w:r>
    </w:p>
    <w:p w14:paraId="5AE9B76E" w14:textId="77777777" w:rsidR="001270AF" w:rsidRPr="004A73C1" w:rsidRDefault="001270AF" w:rsidP="00EF2E34">
      <w:pPr>
        <w:spacing w:line="360" w:lineRule="auto"/>
        <w:jc w:val="both"/>
        <w:rPr>
          <w:rFonts w:ascii="Arial" w:hAnsi="Arial" w:cs="Arial"/>
          <w:shd w:val="clear" w:color="auto" w:fill="FFFFFF"/>
        </w:rPr>
      </w:pPr>
    </w:p>
    <w:p w14:paraId="348EDC22" w14:textId="77777777" w:rsidR="00740D35" w:rsidRPr="004A73C1" w:rsidRDefault="001270AF" w:rsidP="00EF2E34">
      <w:pPr>
        <w:spacing w:line="360" w:lineRule="auto"/>
        <w:jc w:val="both"/>
        <w:rPr>
          <w:rFonts w:ascii="Arial" w:hAnsi="Arial" w:cs="Arial"/>
          <w:shd w:val="clear" w:color="auto" w:fill="FFFFFF"/>
        </w:rPr>
      </w:pPr>
      <w:r w:rsidRPr="004A73C1">
        <w:rPr>
          <w:rFonts w:ascii="Arial" w:hAnsi="Arial" w:cs="Arial"/>
          <w:noProof/>
          <w:shd w:val="clear" w:color="auto" w:fill="FFFFFF"/>
        </w:rPr>
        <w:lastRenderedPageBreak/>
        <w:drawing>
          <wp:inline distT="0" distB="0" distL="0" distR="0" wp14:anchorId="49E5AC0E" wp14:editId="194E3A61">
            <wp:extent cx="5731510" cy="3639820"/>
            <wp:effectExtent l="0" t="0" r="2540" b="0"/>
            <wp:docPr id="1850562213" name="Picture 1" descr="A graph of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562213" name="Picture 1" descr="A graph of blue and white bars&#10;&#10;Description automatically generated"/>
                    <pic:cNvPicPr/>
                  </pic:nvPicPr>
                  <pic:blipFill>
                    <a:blip r:embed="rId47"/>
                    <a:stretch>
                      <a:fillRect/>
                    </a:stretch>
                  </pic:blipFill>
                  <pic:spPr>
                    <a:xfrm>
                      <a:off x="0" y="0"/>
                      <a:ext cx="5731510" cy="3639820"/>
                    </a:xfrm>
                    <a:prstGeom prst="rect">
                      <a:avLst/>
                    </a:prstGeom>
                  </pic:spPr>
                </pic:pic>
              </a:graphicData>
            </a:graphic>
          </wp:inline>
        </w:drawing>
      </w:r>
    </w:p>
    <w:p w14:paraId="4FC23EC9" w14:textId="2CEDF427" w:rsidR="00741FAB" w:rsidRPr="004A73C1" w:rsidRDefault="00740D35" w:rsidP="00741FAB">
      <w:pPr>
        <w:spacing w:line="360" w:lineRule="auto"/>
        <w:jc w:val="both"/>
        <w:rPr>
          <w:rFonts w:ascii="Arial" w:hAnsi="Arial" w:cs="Arial"/>
          <w:shd w:val="clear" w:color="auto" w:fill="FFFFFF"/>
        </w:rPr>
      </w:pPr>
      <w:r w:rsidRPr="004A73C1">
        <w:rPr>
          <w:rFonts w:ascii="Arial" w:hAnsi="Arial" w:cs="Arial"/>
        </w:rPr>
        <w:t>Figure 2</w:t>
      </w:r>
      <w:r w:rsidR="00C75C62" w:rsidRPr="004A73C1">
        <w:rPr>
          <w:rFonts w:ascii="Arial" w:hAnsi="Arial" w:cs="Arial"/>
        </w:rPr>
        <w:t>6</w:t>
      </w:r>
      <w:r w:rsidR="00741FAB" w:rsidRPr="004A73C1">
        <w:rPr>
          <w:rFonts w:ascii="Arial" w:hAnsi="Arial" w:cs="Arial"/>
        </w:rPr>
        <w:tab/>
      </w:r>
      <w:r w:rsidR="00741FAB" w:rsidRPr="004A73C1">
        <w:rPr>
          <w:rFonts w:ascii="Arial" w:hAnsi="Arial" w:cs="Arial"/>
        </w:rPr>
        <w:tab/>
      </w:r>
      <w:r w:rsidR="00741FAB" w:rsidRPr="004A73C1">
        <w:rPr>
          <w:rFonts w:ascii="Arial" w:hAnsi="Arial" w:cs="Arial"/>
          <w:shd w:val="clear" w:color="auto" w:fill="FFFFFF"/>
        </w:rPr>
        <w:t>Source:ons.gov.uk/economy/inflationandpriceindice</w:t>
      </w:r>
    </w:p>
    <w:p w14:paraId="04E58279" w14:textId="43BCA1A5" w:rsidR="00E4547C" w:rsidRPr="004A73C1" w:rsidRDefault="00E4547C" w:rsidP="00EF2E34">
      <w:pPr>
        <w:spacing w:line="360" w:lineRule="auto"/>
        <w:jc w:val="both"/>
        <w:rPr>
          <w:rFonts w:ascii="Arial" w:hAnsi="Arial" w:cs="Arial"/>
          <w:shd w:val="clear" w:color="auto" w:fill="FFFFFF"/>
        </w:rPr>
      </w:pPr>
    </w:p>
    <w:p w14:paraId="1D3F6A05" w14:textId="43D7573E" w:rsidR="006F48F4" w:rsidRPr="004A73C1" w:rsidRDefault="00CA52E6" w:rsidP="002836D7">
      <w:pPr>
        <w:pStyle w:val="Heading3"/>
        <w:rPr>
          <w:rFonts w:ascii="Arial" w:hAnsi="Arial" w:cs="Arial"/>
          <w:color w:val="auto"/>
        </w:rPr>
      </w:pPr>
      <w:bookmarkStart w:id="141" w:name="_Toc175056488"/>
      <w:bookmarkStart w:id="142" w:name="_Toc175675377"/>
      <w:r w:rsidRPr="004A73C1">
        <w:rPr>
          <w:rFonts w:ascii="Arial" w:hAnsi="Arial" w:cs="Arial"/>
          <w:color w:val="auto"/>
        </w:rPr>
        <w:t>4.6.2</w:t>
      </w:r>
      <w:r w:rsidRPr="004A73C1">
        <w:rPr>
          <w:rFonts w:ascii="Arial" w:hAnsi="Arial" w:cs="Arial"/>
          <w:color w:val="auto"/>
        </w:rPr>
        <w:tab/>
      </w:r>
      <w:r w:rsidR="006F48F4" w:rsidRPr="004A73C1">
        <w:rPr>
          <w:rFonts w:ascii="Arial" w:hAnsi="Arial" w:cs="Arial"/>
          <w:color w:val="auto"/>
        </w:rPr>
        <w:t>Political Stability</w:t>
      </w:r>
      <w:bookmarkEnd w:id="141"/>
      <w:bookmarkEnd w:id="142"/>
    </w:p>
    <w:p w14:paraId="3A80A22F" w14:textId="562D37BB" w:rsidR="006E4441" w:rsidRPr="004A73C1" w:rsidRDefault="006F48F4"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xml:space="preserve">Political stability is another crucial factor for </w:t>
      </w:r>
      <w:r w:rsidR="008E168C" w:rsidRPr="004A73C1">
        <w:rPr>
          <w:rFonts w:ascii="Arial" w:hAnsi="Arial" w:cs="Arial"/>
          <w:color w:val="000000"/>
          <w:shd w:val="clear" w:color="auto" w:fill="FFFFFF"/>
        </w:rPr>
        <w:t>UK foreign direct investment (FDI)</w:t>
      </w:r>
      <w:r w:rsidRPr="004A73C1">
        <w:rPr>
          <w:rFonts w:ascii="Arial" w:hAnsi="Arial" w:cs="Arial"/>
          <w:color w:val="000000"/>
          <w:shd w:val="clear" w:color="auto" w:fill="FFFFFF"/>
        </w:rPr>
        <w:t xml:space="preserve">. A stable political environment encourages investors by reducing the risk of sudden policy changes, government instability, or civil unrest that could disrupt business operations. The UK has a well-established democratic system, a history of peaceful transitions of power, and </w:t>
      </w:r>
      <w:r w:rsidR="008E168C" w:rsidRPr="004A73C1">
        <w:rPr>
          <w:rFonts w:ascii="Arial" w:hAnsi="Arial" w:cs="Arial"/>
          <w:color w:val="000000"/>
          <w:shd w:val="clear" w:color="auto" w:fill="FFFFFF"/>
        </w:rPr>
        <w:t>solid</w:t>
      </w:r>
      <w:r w:rsidRPr="004A73C1">
        <w:rPr>
          <w:rFonts w:ascii="Arial" w:hAnsi="Arial" w:cs="Arial"/>
          <w:color w:val="000000"/>
          <w:shd w:val="clear" w:color="auto" w:fill="FFFFFF"/>
        </w:rPr>
        <w:t xml:space="preserve"> legal institutions, contributing to its reputation for political stability. This stability is an attractive feature for foreign investors looking for a secure and predictable environment to conduct business.</w:t>
      </w:r>
      <w:r w:rsidR="006E4441" w:rsidRPr="004A73C1">
        <w:rPr>
          <w:rFonts w:ascii="Arial" w:hAnsi="Arial" w:cs="Arial"/>
          <w:noProof/>
          <w:color w:val="000000"/>
          <w:shd w:val="clear" w:color="auto" w:fill="FFFFFF"/>
        </w:rPr>
        <w:drawing>
          <wp:inline distT="0" distB="0" distL="0" distR="0" wp14:anchorId="66A03A63" wp14:editId="334867BA">
            <wp:extent cx="5731510" cy="2424430"/>
            <wp:effectExtent l="0" t="0" r="2540" b="0"/>
            <wp:docPr id="710545118" name="Picture 1"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545118" name="Picture 1" descr="A graph of blue bars&#10;&#10;Description automatically generated with medium confidence"/>
                    <pic:cNvPicPr/>
                  </pic:nvPicPr>
                  <pic:blipFill>
                    <a:blip r:embed="rId48"/>
                    <a:stretch>
                      <a:fillRect/>
                    </a:stretch>
                  </pic:blipFill>
                  <pic:spPr>
                    <a:xfrm>
                      <a:off x="0" y="0"/>
                      <a:ext cx="5731510" cy="2424430"/>
                    </a:xfrm>
                    <a:prstGeom prst="rect">
                      <a:avLst/>
                    </a:prstGeom>
                  </pic:spPr>
                </pic:pic>
              </a:graphicData>
            </a:graphic>
          </wp:inline>
        </w:drawing>
      </w:r>
    </w:p>
    <w:p w14:paraId="240BAC85" w14:textId="322BF6BA" w:rsidR="00740D35" w:rsidRPr="004A73C1" w:rsidRDefault="00740D35" w:rsidP="00EF2E34">
      <w:pPr>
        <w:spacing w:line="360" w:lineRule="auto"/>
        <w:jc w:val="both"/>
        <w:rPr>
          <w:rFonts w:ascii="Arial" w:hAnsi="Arial" w:cs="Arial"/>
          <w:color w:val="000000"/>
          <w:shd w:val="clear" w:color="auto" w:fill="FFFFFF"/>
        </w:rPr>
      </w:pPr>
      <w:r w:rsidRPr="004A73C1">
        <w:rPr>
          <w:rFonts w:ascii="Arial" w:hAnsi="Arial" w:cs="Arial"/>
        </w:rPr>
        <w:t>Figure 2</w:t>
      </w:r>
      <w:r w:rsidR="00C75C62" w:rsidRPr="004A73C1">
        <w:rPr>
          <w:rFonts w:ascii="Arial" w:hAnsi="Arial" w:cs="Arial"/>
        </w:rPr>
        <w:t>7</w:t>
      </w:r>
    </w:p>
    <w:tbl>
      <w:tblPr>
        <w:tblW w:w="9115" w:type="dxa"/>
        <w:tblLook w:val="04A0" w:firstRow="1" w:lastRow="0" w:firstColumn="1" w:lastColumn="0" w:noHBand="0" w:noVBand="1"/>
      </w:tblPr>
      <w:tblGrid>
        <w:gridCol w:w="10"/>
        <w:gridCol w:w="2514"/>
        <w:gridCol w:w="969"/>
        <w:gridCol w:w="5615"/>
        <w:gridCol w:w="7"/>
      </w:tblGrid>
      <w:tr w:rsidR="006E4441" w:rsidRPr="004A73C1" w14:paraId="78588965" w14:textId="77777777" w:rsidTr="0059145A">
        <w:trPr>
          <w:trHeight w:val="370"/>
        </w:trPr>
        <w:tc>
          <w:tcPr>
            <w:tcW w:w="2524" w:type="dxa"/>
            <w:gridSpan w:val="2"/>
            <w:tcBorders>
              <w:top w:val="nil"/>
              <w:left w:val="nil"/>
              <w:bottom w:val="nil"/>
              <w:right w:val="nil"/>
            </w:tcBorders>
            <w:shd w:val="clear" w:color="000000" w:fill="FDF5CD"/>
            <w:noWrap/>
            <w:vAlign w:val="center"/>
            <w:hideMark/>
          </w:tcPr>
          <w:p w14:paraId="473B76BE" w14:textId="77777777" w:rsidR="006E4441" w:rsidRPr="004A73C1" w:rsidRDefault="006E4441"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lastRenderedPageBreak/>
              <w:t> United Kingdom</w:t>
            </w:r>
          </w:p>
        </w:tc>
        <w:tc>
          <w:tcPr>
            <w:tcW w:w="6591" w:type="dxa"/>
            <w:gridSpan w:val="3"/>
            <w:tcBorders>
              <w:top w:val="nil"/>
              <w:left w:val="nil"/>
              <w:bottom w:val="nil"/>
              <w:right w:val="nil"/>
            </w:tcBorders>
            <w:shd w:val="clear" w:color="000000" w:fill="FDF5CD"/>
            <w:noWrap/>
            <w:vAlign w:val="center"/>
            <w:hideMark/>
          </w:tcPr>
          <w:p w14:paraId="4F472B64" w14:textId="77777777" w:rsidR="006E4441" w:rsidRPr="004A73C1" w:rsidRDefault="006E4441"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Political stability index (-2.5 weak; 2.5 strong)</w:t>
            </w:r>
          </w:p>
        </w:tc>
      </w:tr>
      <w:tr w:rsidR="006E4441" w:rsidRPr="004A73C1" w14:paraId="5C5EB443" w14:textId="77777777" w:rsidTr="0059145A">
        <w:trPr>
          <w:trHeight w:val="389"/>
        </w:trPr>
        <w:tc>
          <w:tcPr>
            <w:tcW w:w="2524" w:type="dxa"/>
            <w:gridSpan w:val="2"/>
            <w:tcBorders>
              <w:top w:val="nil"/>
              <w:left w:val="nil"/>
              <w:bottom w:val="single" w:sz="8" w:space="0" w:color="FDF5CD"/>
              <w:right w:val="nil"/>
            </w:tcBorders>
            <w:shd w:val="clear" w:color="000000" w:fill="FFFFFF"/>
            <w:noWrap/>
            <w:vAlign w:val="center"/>
            <w:hideMark/>
          </w:tcPr>
          <w:p w14:paraId="779BE15F" w14:textId="71A83A8D" w:rsidR="00FB4BC1" w:rsidRPr="004A73C1" w:rsidRDefault="006E4441" w:rsidP="00EF2E34">
            <w:pPr>
              <w:spacing w:after="0" w:line="360" w:lineRule="auto"/>
              <w:jc w:val="both"/>
              <w:rPr>
                <w:rFonts w:ascii="Arial" w:eastAsia="Times New Roman" w:hAnsi="Arial" w:cs="Arial"/>
                <w:b/>
                <w:bCs/>
                <w:lang w:eastAsia="en-GB"/>
              </w:rPr>
            </w:pPr>
            <w:r w:rsidRPr="004A73C1">
              <w:rPr>
                <w:rFonts w:ascii="Arial" w:eastAsia="Times New Roman" w:hAnsi="Arial" w:cs="Arial"/>
                <w:b/>
                <w:bCs/>
                <w:lang w:eastAsia="en-GB"/>
              </w:rPr>
              <w:t>Source</w:t>
            </w:r>
          </w:p>
        </w:tc>
        <w:tc>
          <w:tcPr>
            <w:tcW w:w="6591" w:type="dxa"/>
            <w:gridSpan w:val="3"/>
            <w:tcBorders>
              <w:top w:val="nil"/>
              <w:left w:val="nil"/>
              <w:bottom w:val="single" w:sz="8" w:space="0" w:color="FDF5CD"/>
              <w:right w:val="nil"/>
            </w:tcBorders>
            <w:shd w:val="clear" w:color="000000" w:fill="FFFFFF"/>
            <w:noWrap/>
            <w:vAlign w:val="center"/>
            <w:hideMark/>
          </w:tcPr>
          <w:p w14:paraId="3221F91E" w14:textId="77777777" w:rsidR="006E4441" w:rsidRPr="004A73C1" w:rsidRDefault="00000000" w:rsidP="00EF2E34">
            <w:pPr>
              <w:spacing w:after="0" w:line="360" w:lineRule="auto"/>
              <w:jc w:val="both"/>
              <w:rPr>
                <w:rFonts w:ascii="Arial" w:eastAsia="Times New Roman" w:hAnsi="Arial" w:cs="Arial"/>
                <w:b/>
                <w:bCs/>
                <w:u w:val="single"/>
                <w:lang w:eastAsia="en-GB"/>
              </w:rPr>
            </w:pPr>
            <w:hyperlink r:id="rId49" w:tgtFrame="_blank" w:history="1">
              <w:r w:rsidR="006E4441" w:rsidRPr="004A73C1">
                <w:rPr>
                  <w:rFonts w:ascii="Arial" w:eastAsia="Times New Roman" w:hAnsi="Arial" w:cs="Arial"/>
                  <w:b/>
                  <w:bCs/>
                  <w:u w:val="single"/>
                  <w:lang w:eastAsia="en-GB"/>
                </w:rPr>
                <w:t>The World Bank</w:t>
              </w:r>
            </w:hyperlink>
          </w:p>
        </w:tc>
      </w:tr>
      <w:tr w:rsidR="00FB4BC1" w:rsidRPr="004A73C1" w14:paraId="298D7ED7" w14:textId="77777777" w:rsidTr="0059145A">
        <w:trPr>
          <w:gridBefore w:val="1"/>
          <w:gridAfter w:val="1"/>
          <w:wBefore w:w="10" w:type="dxa"/>
          <w:wAfter w:w="7" w:type="dxa"/>
          <w:trHeight w:val="191"/>
        </w:trPr>
        <w:tc>
          <w:tcPr>
            <w:tcW w:w="3483" w:type="dxa"/>
            <w:gridSpan w:val="2"/>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110E5E4" w14:textId="77777777" w:rsidR="00FB4BC1" w:rsidRPr="004A73C1" w:rsidRDefault="00FB4BC1"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 xml:space="preserve">Countries </w:t>
            </w:r>
          </w:p>
        </w:tc>
        <w:tc>
          <w:tcPr>
            <w:tcW w:w="5615" w:type="dxa"/>
            <w:tcBorders>
              <w:top w:val="single" w:sz="8" w:space="0" w:color="auto"/>
              <w:left w:val="nil"/>
              <w:bottom w:val="nil"/>
              <w:right w:val="single" w:sz="8" w:space="0" w:color="auto"/>
            </w:tcBorders>
            <w:shd w:val="clear" w:color="auto" w:fill="auto"/>
            <w:noWrap/>
            <w:vAlign w:val="bottom"/>
            <w:hideMark/>
          </w:tcPr>
          <w:p w14:paraId="5050099C" w14:textId="77777777" w:rsidR="00FB4BC1" w:rsidRPr="004A73C1" w:rsidRDefault="00FB4BC1"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Political stability, 2022 </w:t>
            </w:r>
          </w:p>
        </w:tc>
      </w:tr>
      <w:tr w:rsidR="00FB4BC1" w:rsidRPr="004A73C1" w14:paraId="50D93F55"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3447B76D"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Ukraine</w:t>
            </w:r>
          </w:p>
        </w:tc>
        <w:tc>
          <w:tcPr>
            <w:tcW w:w="5615" w:type="dxa"/>
            <w:tcBorders>
              <w:top w:val="single" w:sz="4" w:space="0" w:color="auto"/>
              <w:left w:val="nil"/>
              <w:bottom w:val="single" w:sz="4" w:space="0" w:color="auto"/>
              <w:right w:val="single" w:sz="8" w:space="0" w:color="auto"/>
            </w:tcBorders>
            <w:shd w:val="clear" w:color="auto" w:fill="auto"/>
            <w:noWrap/>
            <w:vAlign w:val="bottom"/>
            <w:hideMark/>
          </w:tcPr>
          <w:p w14:paraId="3E54A8B7"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-2</w:t>
            </w:r>
          </w:p>
        </w:tc>
      </w:tr>
      <w:tr w:rsidR="00FB4BC1" w:rsidRPr="004A73C1" w14:paraId="01932AA7"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395F8B54"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Turkey</w:t>
            </w:r>
          </w:p>
        </w:tc>
        <w:tc>
          <w:tcPr>
            <w:tcW w:w="5615" w:type="dxa"/>
            <w:tcBorders>
              <w:top w:val="nil"/>
              <w:left w:val="nil"/>
              <w:bottom w:val="single" w:sz="4" w:space="0" w:color="auto"/>
              <w:right w:val="single" w:sz="8" w:space="0" w:color="auto"/>
            </w:tcBorders>
            <w:shd w:val="clear" w:color="auto" w:fill="auto"/>
            <w:noWrap/>
            <w:vAlign w:val="bottom"/>
            <w:hideMark/>
          </w:tcPr>
          <w:p w14:paraId="2170DB20"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-1.04</w:t>
            </w:r>
          </w:p>
        </w:tc>
      </w:tr>
      <w:tr w:rsidR="00FB4BC1" w:rsidRPr="004A73C1" w14:paraId="01123ADD"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05D7FBD9"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Russia</w:t>
            </w:r>
          </w:p>
        </w:tc>
        <w:tc>
          <w:tcPr>
            <w:tcW w:w="5615" w:type="dxa"/>
            <w:tcBorders>
              <w:top w:val="nil"/>
              <w:left w:val="nil"/>
              <w:bottom w:val="single" w:sz="4" w:space="0" w:color="auto"/>
              <w:right w:val="single" w:sz="8" w:space="0" w:color="auto"/>
            </w:tcBorders>
            <w:shd w:val="clear" w:color="auto" w:fill="auto"/>
            <w:noWrap/>
            <w:vAlign w:val="bottom"/>
            <w:hideMark/>
          </w:tcPr>
          <w:p w14:paraId="49E569A2"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-0.92</w:t>
            </w:r>
          </w:p>
        </w:tc>
      </w:tr>
      <w:tr w:rsidR="00FB4BC1" w:rsidRPr="004A73C1" w14:paraId="7C8BE255"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3368DDB1"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Spain</w:t>
            </w:r>
          </w:p>
        </w:tc>
        <w:tc>
          <w:tcPr>
            <w:tcW w:w="5615" w:type="dxa"/>
            <w:tcBorders>
              <w:top w:val="nil"/>
              <w:left w:val="nil"/>
              <w:bottom w:val="single" w:sz="4" w:space="0" w:color="auto"/>
              <w:right w:val="single" w:sz="8" w:space="0" w:color="auto"/>
            </w:tcBorders>
            <w:shd w:val="clear" w:color="auto" w:fill="auto"/>
            <w:noWrap/>
            <w:vAlign w:val="bottom"/>
            <w:hideMark/>
          </w:tcPr>
          <w:p w14:paraId="590DABFD"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0.27</w:t>
            </w:r>
          </w:p>
        </w:tc>
      </w:tr>
      <w:tr w:rsidR="00FB4BC1" w:rsidRPr="004A73C1" w14:paraId="690D7B07"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1D76E219"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France</w:t>
            </w:r>
          </w:p>
        </w:tc>
        <w:tc>
          <w:tcPr>
            <w:tcW w:w="5615" w:type="dxa"/>
            <w:tcBorders>
              <w:top w:val="nil"/>
              <w:left w:val="nil"/>
              <w:bottom w:val="single" w:sz="4" w:space="0" w:color="auto"/>
              <w:right w:val="single" w:sz="8" w:space="0" w:color="auto"/>
            </w:tcBorders>
            <w:shd w:val="clear" w:color="auto" w:fill="auto"/>
            <w:noWrap/>
            <w:vAlign w:val="bottom"/>
            <w:hideMark/>
          </w:tcPr>
          <w:p w14:paraId="74CC9F70"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0.33</w:t>
            </w:r>
          </w:p>
        </w:tc>
      </w:tr>
      <w:tr w:rsidR="00FB4BC1" w:rsidRPr="004A73C1" w14:paraId="6C216D36"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4535B8C0"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Italy</w:t>
            </w:r>
          </w:p>
        </w:tc>
        <w:tc>
          <w:tcPr>
            <w:tcW w:w="5615" w:type="dxa"/>
            <w:tcBorders>
              <w:top w:val="nil"/>
              <w:left w:val="nil"/>
              <w:bottom w:val="single" w:sz="4" w:space="0" w:color="auto"/>
              <w:right w:val="single" w:sz="8" w:space="0" w:color="auto"/>
            </w:tcBorders>
            <w:shd w:val="clear" w:color="auto" w:fill="auto"/>
            <w:noWrap/>
            <w:vAlign w:val="bottom"/>
            <w:hideMark/>
          </w:tcPr>
          <w:p w14:paraId="38FD653B"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0.41</w:t>
            </w:r>
          </w:p>
        </w:tc>
      </w:tr>
      <w:tr w:rsidR="00FB4BC1" w:rsidRPr="004A73C1" w14:paraId="30D29493"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59679638"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Romania</w:t>
            </w:r>
          </w:p>
        </w:tc>
        <w:tc>
          <w:tcPr>
            <w:tcW w:w="5615" w:type="dxa"/>
            <w:tcBorders>
              <w:top w:val="nil"/>
              <w:left w:val="nil"/>
              <w:bottom w:val="single" w:sz="4" w:space="0" w:color="auto"/>
              <w:right w:val="single" w:sz="8" w:space="0" w:color="auto"/>
            </w:tcBorders>
            <w:shd w:val="clear" w:color="auto" w:fill="auto"/>
            <w:noWrap/>
            <w:vAlign w:val="bottom"/>
            <w:hideMark/>
          </w:tcPr>
          <w:p w14:paraId="75FAC7DE"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0.49</w:t>
            </w:r>
          </w:p>
        </w:tc>
      </w:tr>
      <w:tr w:rsidR="00FB4BC1" w:rsidRPr="004A73C1" w14:paraId="3FAEEB6A"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199A87DF"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UK</w:t>
            </w:r>
          </w:p>
        </w:tc>
        <w:tc>
          <w:tcPr>
            <w:tcW w:w="5615" w:type="dxa"/>
            <w:tcBorders>
              <w:top w:val="nil"/>
              <w:left w:val="nil"/>
              <w:bottom w:val="single" w:sz="4" w:space="0" w:color="auto"/>
              <w:right w:val="single" w:sz="8" w:space="0" w:color="auto"/>
            </w:tcBorders>
            <w:shd w:val="clear" w:color="auto" w:fill="auto"/>
            <w:noWrap/>
            <w:vAlign w:val="bottom"/>
            <w:hideMark/>
          </w:tcPr>
          <w:p w14:paraId="585B3FE4"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0.5</w:t>
            </w:r>
          </w:p>
        </w:tc>
      </w:tr>
      <w:tr w:rsidR="00FB4BC1" w:rsidRPr="004A73C1" w14:paraId="546E0414"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348A1654"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Poland</w:t>
            </w:r>
          </w:p>
        </w:tc>
        <w:tc>
          <w:tcPr>
            <w:tcW w:w="5615" w:type="dxa"/>
            <w:tcBorders>
              <w:top w:val="nil"/>
              <w:left w:val="nil"/>
              <w:bottom w:val="single" w:sz="4" w:space="0" w:color="auto"/>
              <w:right w:val="single" w:sz="8" w:space="0" w:color="auto"/>
            </w:tcBorders>
            <w:shd w:val="clear" w:color="auto" w:fill="auto"/>
            <w:noWrap/>
            <w:vAlign w:val="bottom"/>
            <w:hideMark/>
          </w:tcPr>
          <w:p w14:paraId="30875FAC"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0.5</w:t>
            </w:r>
          </w:p>
        </w:tc>
      </w:tr>
      <w:tr w:rsidR="00FB4BC1" w:rsidRPr="004A73C1" w14:paraId="2A071FAB"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1B9F4EC1"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Belgium</w:t>
            </w:r>
          </w:p>
        </w:tc>
        <w:tc>
          <w:tcPr>
            <w:tcW w:w="5615" w:type="dxa"/>
            <w:tcBorders>
              <w:top w:val="nil"/>
              <w:left w:val="nil"/>
              <w:bottom w:val="single" w:sz="4" w:space="0" w:color="auto"/>
              <w:right w:val="single" w:sz="8" w:space="0" w:color="auto"/>
            </w:tcBorders>
            <w:shd w:val="clear" w:color="auto" w:fill="auto"/>
            <w:noWrap/>
            <w:vAlign w:val="bottom"/>
            <w:hideMark/>
          </w:tcPr>
          <w:p w14:paraId="499D13A3"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0.58</w:t>
            </w:r>
          </w:p>
        </w:tc>
      </w:tr>
      <w:tr w:rsidR="00FB4BC1" w:rsidRPr="004A73C1" w14:paraId="6899EB04"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6E56B996"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Germany</w:t>
            </w:r>
          </w:p>
        </w:tc>
        <w:tc>
          <w:tcPr>
            <w:tcW w:w="5615" w:type="dxa"/>
            <w:tcBorders>
              <w:top w:val="nil"/>
              <w:left w:val="nil"/>
              <w:bottom w:val="single" w:sz="4" w:space="0" w:color="auto"/>
              <w:right w:val="single" w:sz="8" w:space="0" w:color="auto"/>
            </w:tcBorders>
            <w:shd w:val="clear" w:color="auto" w:fill="auto"/>
            <w:noWrap/>
            <w:vAlign w:val="bottom"/>
            <w:hideMark/>
          </w:tcPr>
          <w:p w14:paraId="101AA0DD"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0.61</w:t>
            </w:r>
          </w:p>
        </w:tc>
      </w:tr>
      <w:tr w:rsidR="00FB4BC1" w:rsidRPr="004A73C1" w14:paraId="64F41A3C"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73D9E326"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Denmark</w:t>
            </w:r>
          </w:p>
        </w:tc>
        <w:tc>
          <w:tcPr>
            <w:tcW w:w="5615" w:type="dxa"/>
            <w:tcBorders>
              <w:top w:val="nil"/>
              <w:left w:val="nil"/>
              <w:bottom w:val="single" w:sz="4" w:space="0" w:color="auto"/>
              <w:right w:val="single" w:sz="8" w:space="0" w:color="auto"/>
            </w:tcBorders>
            <w:shd w:val="clear" w:color="auto" w:fill="auto"/>
            <w:noWrap/>
            <w:vAlign w:val="bottom"/>
            <w:hideMark/>
          </w:tcPr>
          <w:p w14:paraId="08EC1BD3"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0.87</w:t>
            </w:r>
          </w:p>
        </w:tc>
      </w:tr>
      <w:tr w:rsidR="00FB4BC1" w:rsidRPr="004A73C1" w14:paraId="3399D697"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039F4C90"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Ireland</w:t>
            </w:r>
          </w:p>
        </w:tc>
        <w:tc>
          <w:tcPr>
            <w:tcW w:w="5615" w:type="dxa"/>
            <w:tcBorders>
              <w:top w:val="nil"/>
              <w:left w:val="nil"/>
              <w:bottom w:val="single" w:sz="4" w:space="0" w:color="auto"/>
              <w:right w:val="single" w:sz="8" w:space="0" w:color="auto"/>
            </w:tcBorders>
            <w:shd w:val="clear" w:color="auto" w:fill="auto"/>
            <w:noWrap/>
            <w:vAlign w:val="bottom"/>
            <w:hideMark/>
          </w:tcPr>
          <w:p w14:paraId="1148DED9"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0.88</w:t>
            </w:r>
          </w:p>
        </w:tc>
      </w:tr>
      <w:tr w:rsidR="00FB4BC1" w:rsidRPr="004A73C1" w14:paraId="29450643"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2FCA3BB1"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Finland</w:t>
            </w:r>
          </w:p>
        </w:tc>
        <w:tc>
          <w:tcPr>
            <w:tcW w:w="5615" w:type="dxa"/>
            <w:tcBorders>
              <w:top w:val="nil"/>
              <w:left w:val="nil"/>
              <w:bottom w:val="single" w:sz="4" w:space="0" w:color="auto"/>
              <w:right w:val="single" w:sz="8" w:space="0" w:color="auto"/>
            </w:tcBorders>
            <w:shd w:val="clear" w:color="auto" w:fill="auto"/>
            <w:noWrap/>
            <w:vAlign w:val="bottom"/>
            <w:hideMark/>
          </w:tcPr>
          <w:p w14:paraId="7C60D129"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0.89</w:t>
            </w:r>
          </w:p>
        </w:tc>
      </w:tr>
      <w:tr w:rsidR="00FB4BC1" w:rsidRPr="004A73C1" w14:paraId="167207F2"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580DEF43"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Sweden</w:t>
            </w:r>
          </w:p>
        </w:tc>
        <w:tc>
          <w:tcPr>
            <w:tcW w:w="5615" w:type="dxa"/>
            <w:tcBorders>
              <w:top w:val="nil"/>
              <w:left w:val="nil"/>
              <w:bottom w:val="single" w:sz="4" w:space="0" w:color="auto"/>
              <w:right w:val="single" w:sz="8" w:space="0" w:color="auto"/>
            </w:tcBorders>
            <w:shd w:val="clear" w:color="auto" w:fill="auto"/>
            <w:noWrap/>
            <w:vAlign w:val="bottom"/>
            <w:hideMark/>
          </w:tcPr>
          <w:p w14:paraId="29A0BCA6"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0.9</w:t>
            </w:r>
          </w:p>
        </w:tc>
      </w:tr>
      <w:tr w:rsidR="00FB4BC1" w:rsidRPr="004A73C1" w14:paraId="76DAC730"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2FA78803"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 xml:space="preserve">India </w:t>
            </w:r>
          </w:p>
        </w:tc>
        <w:tc>
          <w:tcPr>
            <w:tcW w:w="5615" w:type="dxa"/>
            <w:tcBorders>
              <w:top w:val="nil"/>
              <w:left w:val="nil"/>
              <w:bottom w:val="single" w:sz="4" w:space="0" w:color="auto"/>
              <w:right w:val="single" w:sz="8" w:space="0" w:color="auto"/>
            </w:tcBorders>
            <w:shd w:val="clear" w:color="auto" w:fill="auto"/>
            <w:noWrap/>
            <w:vAlign w:val="bottom"/>
            <w:hideMark/>
          </w:tcPr>
          <w:p w14:paraId="49199E4D"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-0.57</w:t>
            </w:r>
          </w:p>
        </w:tc>
      </w:tr>
      <w:tr w:rsidR="00FB4BC1" w:rsidRPr="004A73C1" w14:paraId="39219570"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421866C3"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Japan</w:t>
            </w:r>
          </w:p>
        </w:tc>
        <w:tc>
          <w:tcPr>
            <w:tcW w:w="5615" w:type="dxa"/>
            <w:tcBorders>
              <w:top w:val="nil"/>
              <w:left w:val="nil"/>
              <w:bottom w:val="single" w:sz="4" w:space="0" w:color="auto"/>
              <w:right w:val="single" w:sz="8" w:space="0" w:color="auto"/>
            </w:tcBorders>
            <w:shd w:val="clear" w:color="auto" w:fill="auto"/>
            <w:noWrap/>
            <w:vAlign w:val="bottom"/>
            <w:hideMark/>
          </w:tcPr>
          <w:p w14:paraId="3D2B1717"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1.07</w:t>
            </w:r>
          </w:p>
        </w:tc>
      </w:tr>
      <w:tr w:rsidR="00FB4BC1" w:rsidRPr="004A73C1" w14:paraId="57044F85"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586EB97C"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Canada</w:t>
            </w:r>
          </w:p>
        </w:tc>
        <w:tc>
          <w:tcPr>
            <w:tcW w:w="5615" w:type="dxa"/>
            <w:tcBorders>
              <w:top w:val="nil"/>
              <w:left w:val="nil"/>
              <w:bottom w:val="single" w:sz="4" w:space="0" w:color="auto"/>
              <w:right w:val="single" w:sz="8" w:space="0" w:color="auto"/>
            </w:tcBorders>
            <w:shd w:val="clear" w:color="auto" w:fill="auto"/>
            <w:noWrap/>
            <w:vAlign w:val="bottom"/>
            <w:hideMark/>
          </w:tcPr>
          <w:p w14:paraId="2ACEB50C"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0.77</w:t>
            </w:r>
          </w:p>
        </w:tc>
      </w:tr>
      <w:tr w:rsidR="00FB4BC1" w:rsidRPr="004A73C1" w14:paraId="5AB91785"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5B6B8A11"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Germany</w:t>
            </w:r>
          </w:p>
        </w:tc>
        <w:tc>
          <w:tcPr>
            <w:tcW w:w="5615" w:type="dxa"/>
            <w:tcBorders>
              <w:top w:val="nil"/>
              <w:left w:val="nil"/>
              <w:bottom w:val="single" w:sz="4" w:space="0" w:color="auto"/>
              <w:right w:val="single" w:sz="8" w:space="0" w:color="auto"/>
            </w:tcBorders>
            <w:shd w:val="clear" w:color="auto" w:fill="auto"/>
            <w:noWrap/>
            <w:vAlign w:val="bottom"/>
            <w:hideMark/>
          </w:tcPr>
          <w:p w14:paraId="479C8578"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0.61</w:t>
            </w:r>
          </w:p>
        </w:tc>
      </w:tr>
      <w:tr w:rsidR="00FB4BC1" w:rsidRPr="004A73C1" w14:paraId="12FC5B6C"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09C83BBC"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UK</w:t>
            </w:r>
          </w:p>
        </w:tc>
        <w:tc>
          <w:tcPr>
            <w:tcW w:w="5615" w:type="dxa"/>
            <w:tcBorders>
              <w:top w:val="nil"/>
              <w:left w:val="nil"/>
              <w:bottom w:val="single" w:sz="4" w:space="0" w:color="auto"/>
              <w:right w:val="single" w:sz="8" w:space="0" w:color="auto"/>
            </w:tcBorders>
            <w:shd w:val="clear" w:color="auto" w:fill="auto"/>
            <w:noWrap/>
            <w:vAlign w:val="bottom"/>
            <w:hideMark/>
          </w:tcPr>
          <w:p w14:paraId="61A85CC8"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0.5</w:t>
            </w:r>
          </w:p>
        </w:tc>
      </w:tr>
      <w:tr w:rsidR="00FB4BC1" w:rsidRPr="004A73C1" w14:paraId="35AB9A6D"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764BEDE3"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Italy</w:t>
            </w:r>
          </w:p>
        </w:tc>
        <w:tc>
          <w:tcPr>
            <w:tcW w:w="5615" w:type="dxa"/>
            <w:tcBorders>
              <w:top w:val="nil"/>
              <w:left w:val="nil"/>
              <w:bottom w:val="single" w:sz="4" w:space="0" w:color="auto"/>
              <w:right w:val="single" w:sz="8" w:space="0" w:color="auto"/>
            </w:tcBorders>
            <w:shd w:val="clear" w:color="auto" w:fill="auto"/>
            <w:noWrap/>
            <w:vAlign w:val="bottom"/>
            <w:hideMark/>
          </w:tcPr>
          <w:p w14:paraId="59F20B62"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0.41</w:t>
            </w:r>
          </w:p>
        </w:tc>
      </w:tr>
      <w:tr w:rsidR="00FB4BC1" w:rsidRPr="004A73C1" w14:paraId="3DCD5E79"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135009B0"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France</w:t>
            </w:r>
          </w:p>
        </w:tc>
        <w:tc>
          <w:tcPr>
            <w:tcW w:w="5615" w:type="dxa"/>
            <w:tcBorders>
              <w:top w:val="nil"/>
              <w:left w:val="nil"/>
              <w:bottom w:val="single" w:sz="4" w:space="0" w:color="auto"/>
              <w:right w:val="single" w:sz="8" w:space="0" w:color="auto"/>
            </w:tcBorders>
            <w:shd w:val="clear" w:color="auto" w:fill="auto"/>
            <w:noWrap/>
            <w:vAlign w:val="bottom"/>
            <w:hideMark/>
          </w:tcPr>
          <w:p w14:paraId="0090605C"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0.33</w:t>
            </w:r>
          </w:p>
        </w:tc>
      </w:tr>
      <w:tr w:rsidR="00FB4BC1" w:rsidRPr="004A73C1" w14:paraId="1C501C91" w14:textId="77777777" w:rsidTr="0059145A">
        <w:trPr>
          <w:gridBefore w:val="1"/>
          <w:gridAfter w:val="1"/>
          <w:wBefore w:w="10" w:type="dxa"/>
          <w:wAfter w:w="7" w:type="dxa"/>
          <w:trHeight w:val="136"/>
        </w:trPr>
        <w:tc>
          <w:tcPr>
            <w:tcW w:w="3483" w:type="dxa"/>
            <w:gridSpan w:val="2"/>
            <w:tcBorders>
              <w:top w:val="nil"/>
              <w:left w:val="single" w:sz="8" w:space="0" w:color="auto"/>
              <w:bottom w:val="single" w:sz="8" w:space="0" w:color="auto"/>
              <w:right w:val="single" w:sz="4" w:space="0" w:color="auto"/>
            </w:tcBorders>
            <w:shd w:val="clear" w:color="auto" w:fill="auto"/>
            <w:noWrap/>
            <w:vAlign w:val="bottom"/>
            <w:hideMark/>
          </w:tcPr>
          <w:p w14:paraId="0AAE1284"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USA</w:t>
            </w:r>
          </w:p>
        </w:tc>
        <w:tc>
          <w:tcPr>
            <w:tcW w:w="5615" w:type="dxa"/>
            <w:tcBorders>
              <w:top w:val="nil"/>
              <w:left w:val="nil"/>
              <w:bottom w:val="single" w:sz="8" w:space="0" w:color="auto"/>
              <w:right w:val="single" w:sz="8" w:space="0" w:color="auto"/>
            </w:tcBorders>
            <w:shd w:val="clear" w:color="auto" w:fill="auto"/>
            <w:noWrap/>
            <w:vAlign w:val="bottom"/>
            <w:hideMark/>
          </w:tcPr>
          <w:p w14:paraId="530906A0"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-0.04</w:t>
            </w:r>
          </w:p>
        </w:tc>
      </w:tr>
    </w:tbl>
    <w:p w14:paraId="64412E31" w14:textId="19152E0E" w:rsidR="00C75C62" w:rsidRPr="004A73C1" w:rsidRDefault="00C75C62" w:rsidP="00C75C62">
      <w:pPr>
        <w:spacing w:line="360" w:lineRule="auto"/>
        <w:jc w:val="both"/>
        <w:rPr>
          <w:rFonts w:ascii="Arial" w:hAnsi="Arial" w:cs="Arial"/>
          <w:color w:val="000000"/>
          <w:shd w:val="clear" w:color="auto" w:fill="FFFFFF"/>
        </w:rPr>
      </w:pPr>
      <w:r w:rsidRPr="004A73C1">
        <w:rPr>
          <w:rFonts w:ascii="Arial" w:hAnsi="Arial" w:cs="Arial"/>
        </w:rPr>
        <w:t>Figure 28</w:t>
      </w:r>
    </w:p>
    <w:p w14:paraId="6B52DD84" w14:textId="77777777" w:rsidR="00FB4BC1" w:rsidRPr="004A73C1" w:rsidRDefault="00FB4BC1" w:rsidP="00EF2E34">
      <w:pPr>
        <w:spacing w:line="360" w:lineRule="auto"/>
        <w:jc w:val="both"/>
        <w:rPr>
          <w:rFonts w:ascii="Arial" w:hAnsi="Arial" w:cs="Arial"/>
          <w:color w:val="000000"/>
          <w:shd w:val="clear" w:color="auto" w:fill="FFFFFF"/>
        </w:rPr>
      </w:pPr>
    </w:p>
    <w:p w14:paraId="4438115C" w14:textId="77777777" w:rsidR="00FB4BC1" w:rsidRPr="004A73C1" w:rsidRDefault="00FB4BC1" w:rsidP="00EF2E34">
      <w:pPr>
        <w:spacing w:line="360" w:lineRule="auto"/>
        <w:jc w:val="both"/>
        <w:rPr>
          <w:rFonts w:ascii="Arial" w:hAnsi="Arial" w:cs="Arial"/>
          <w:color w:val="000000"/>
          <w:shd w:val="clear" w:color="auto" w:fill="FFFFFF"/>
        </w:rPr>
      </w:pPr>
      <w:r w:rsidRPr="004A73C1">
        <w:rPr>
          <w:rFonts w:ascii="Arial" w:hAnsi="Arial" w:cs="Arial"/>
          <w:noProof/>
        </w:rPr>
        <w:lastRenderedPageBreak/>
        <w:drawing>
          <wp:inline distT="0" distB="0" distL="0" distR="0" wp14:anchorId="77008C05" wp14:editId="759E662E">
            <wp:extent cx="5705475" cy="4371975"/>
            <wp:effectExtent l="0" t="0" r="9525" b="9525"/>
            <wp:docPr id="1449948975" name="Chart 1">
              <a:extLst xmlns:a="http://schemas.openxmlformats.org/drawingml/2006/main">
                <a:ext uri="{FF2B5EF4-FFF2-40B4-BE49-F238E27FC236}">
                  <a16:creationId xmlns:a16="http://schemas.microsoft.com/office/drawing/2014/main" id="{258A720D-F519-4967-D086-9856C1703F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17FD3AE4" w14:textId="2517B4DD" w:rsidR="008E168C" w:rsidRPr="004A73C1" w:rsidRDefault="00740D35" w:rsidP="00EF2E34">
      <w:pPr>
        <w:spacing w:line="360" w:lineRule="auto"/>
        <w:jc w:val="both"/>
        <w:rPr>
          <w:rFonts w:ascii="Arial" w:hAnsi="Arial" w:cs="Arial"/>
          <w:color w:val="000000"/>
          <w:shd w:val="clear" w:color="auto" w:fill="FFFFFF"/>
        </w:rPr>
      </w:pPr>
      <w:r w:rsidRPr="004A73C1">
        <w:rPr>
          <w:rFonts w:ascii="Arial" w:hAnsi="Arial" w:cs="Arial"/>
        </w:rPr>
        <w:t>Figure</w:t>
      </w:r>
      <w:r w:rsidR="00741FAB" w:rsidRPr="004A73C1">
        <w:rPr>
          <w:rFonts w:ascii="Arial" w:hAnsi="Arial" w:cs="Arial"/>
        </w:rPr>
        <w:t>:</w:t>
      </w:r>
      <w:r w:rsidRPr="004A73C1">
        <w:rPr>
          <w:rFonts w:ascii="Arial" w:hAnsi="Arial" w:cs="Arial"/>
        </w:rPr>
        <w:t xml:space="preserve"> 2</w:t>
      </w:r>
      <w:r w:rsidR="00C75C62" w:rsidRPr="004A73C1">
        <w:rPr>
          <w:rFonts w:ascii="Arial" w:hAnsi="Arial" w:cs="Arial"/>
        </w:rPr>
        <w:t>9</w:t>
      </w:r>
      <w:r w:rsidR="00B66179" w:rsidRPr="004A73C1">
        <w:rPr>
          <w:rFonts w:ascii="Arial" w:hAnsi="Arial" w:cs="Arial"/>
        </w:rPr>
        <w:t xml:space="preserve"> </w:t>
      </w:r>
      <w:r w:rsidR="00741FAB" w:rsidRPr="004A73C1">
        <w:rPr>
          <w:rFonts w:ascii="Arial" w:hAnsi="Arial" w:cs="Arial"/>
        </w:rPr>
        <w:tab/>
      </w:r>
      <w:r w:rsidR="00741FAB" w:rsidRPr="004A73C1">
        <w:rPr>
          <w:rFonts w:ascii="Arial" w:hAnsi="Arial" w:cs="Arial"/>
        </w:rPr>
        <w:tab/>
      </w:r>
      <w:r w:rsidR="00B66179" w:rsidRPr="004A73C1">
        <w:rPr>
          <w:rFonts w:ascii="Arial" w:hAnsi="Arial" w:cs="Arial"/>
        </w:rPr>
        <w:tab/>
      </w:r>
      <w:r w:rsidR="00FB4BC1" w:rsidRPr="004A73C1">
        <w:rPr>
          <w:rFonts w:ascii="Arial" w:hAnsi="Arial" w:cs="Arial"/>
          <w:color w:val="000000"/>
          <w:shd w:val="clear" w:color="auto" w:fill="FFFFFF"/>
        </w:rPr>
        <w:t xml:space="preserve">Source -World </w:t>
      </w:r>
      <w:r w:rsidR="008E168C" w:rsidRPr="004A73C1">
        <w:rPr>
          <w:rFonts w:ascii="Arial" w:hAnsi="Arial" w:cs="Arial"/>
          <w:color w:val="000000"/>
          <w:shd w:val="clear" w:color="auto" w:fill="FFFFFF"/>
        </w:rPr>
        <w:t>Bank</w:t>
      </w:r>
    </w:p>
    <w:p w14:paraId="27AD38CE" w14:textId="17CB69A3" w:rsidR="00E56B8D" w:rsidRPr="004A73C1" w:rsidRDefault="00CA52E6" w:rsidP="002836D7">
      <w:pPr>
        <w:pStyle w:val="Heading3"/>
        <w:rPr>
          <w:rFonts w:ascii="Arial" w:hAnsi="Arial" w:cs="Arial"/>
          <w:color w:val="auto"/>
        </w:rPr>
      </w:pPr>
      <w:bookmarkStart w:id="143" w:name="_Toc175056489"/>
      <w:bookmarkStart w:id="144" w:name="_Toc175675378"/>
      <w:r w:rsidRPr="004A73C1">
        <w:rPr>
          <w:rFonts w:ascii="Arial" w:hAnsi="Arial" w:cs="Arial"/>
          <w:color w:val="auto"/>
        </w:rPr>
        <w:t>4.6.3</w:t>
      </w:r>
      <w:r w:rsidRPr="004A73C1">
        <w:rPr>
          <w:rFonts w:ascii="Arial" w:hAnsi="Arial" w:cs="Arial"/>
          <w:color w:val="auto"/>
        </w:rPr>
        <w:tab/>
      </w:r>
      <w:r w:rsidR="008E168C" w:rsidRPr="004A73C1">
        <w:rPr>
          <w:rFonts w:ascii="Arial" w:hAnsi="Arial" w:cs="Arial"/>
          <w:color w:val="auto"/>
        </w:rPr>
        <w:t>Labour Market</w:t>
      </w:r>
      <w:bookmarkEnd w:id="143"/>
      <w:bookmarkEnd w:id="144"/>
      <w:r w:rsidR="008E168C" w:rsidRPr="004A73C1">
        <w:rPr>
          <w:rFonts w:ascii="Arial" w:hAnsi="Arial" w:cs="Arial"/>
          <w:color w:val="auto"/>
        </w:rPr>
        <w:t xml:space="preserve"> </w:t>
      </w:r>
    </w:p>
    <w:p w14:paraId="3F39BAC6" w14:textId="39B317FD" w:rsidR="00E56B8D" w:rsidRPr="004A73C1" w:rsidRDefault="00E56B8D" w:rsidP="00EF2E34">
      <w:pPr>
        <w:spacing w:after="200" w:line="360" w:lineRule="auto"/>
        <w:jc w:val="both"/>
        <w:rPr>
          <w:rFonts w:ascii="Arial" w:eastAsia="Arial Unicode MS" w:hAnsi="Arial" w:cs="Arial"/>
        </w:rPr>
      </w:pPr>
      <w:r w:rsidRPr="004A73C1">
        <w:rPr>
          <w:rFonts w:ascii="Arial" w:eastAsia="Arial Unicode MS" w:hAnsi="Arial" w:cs="Arial"/>
        </w:rPr>
        <w:t xml:space="preserve">The labour market is crucial in attracting foreign direct investment (FDI) to a country. Companies considering FDI look at various labour market factors such as the availability of skilled and unskilled labour, wage levels, labour laws, regulations, and the overall productivity of the workforce. </w:t>
      </w:r>
      <w:r w:rsidR="008075F8" w:rsidRPr="004A73C1">
        <w:rPr>
          <w:rFonts w:ascii="Arial" w:eastAsia="Arial Unicode MS" w:hAnsi="Arial" w:cs="Arial"/>
        </w:rPr>
        <w:t>Multinational corporations often need a solid and experienced labour force when investing in a particular country</w:t>
      </w:r>
      <w:r w:rsidRPr="004A73C1">
        <w:rPr>
          <w:rFonts w:ascii="Arial" w:eastAsia="Arial Unicode MS" w:hAnsi="Arial" w:cs="Arial"/>
        </w:rPr>
        <w:t xml:space="preserve">. Additionally, flexible labour laws and a stable industrial relations environment can make a country more attractive for FDI, providing </w:t>
      </w:r>
      <w:r w:rsidR="0059145A" w:rsidRPr="004A73C1">
        <w:rPr>
          <w:rFonts w:ascii="Arial" w:eastAsia="Arial Unicode MS" w:hAnsi="Arial" w:cs="Arial"/>
        </w:rPr>
        <w:t>investors with security and predictability</w:t>
      </w:r>
      <w:r w:rsidRPr="004A73C1">
        <w:rPr>
          <w:rFonts w:ascii="Arial" w:eastAsia="Arial Unicode MS" w:hAnsi="Arial" w:cs="Arial"/>
        </w:rPr>
        <w:t>.</w:t>
      </w:r>
    </w:p>
    <w:p w14:paraId="7B5D5B2A" w14:textId="189ED4F3" w:rsidR="0059145A" w:rsidRPr="004A73C1" w:rsidRDefault="0059145A" w:rsidP="00EF2E34">
      <w:pPr>
        <w:spacing w:after="200" w:line="360" w:lineRule="auto"/>
        <w:jc w:val="both"/>
        <w:rPr>
          <w:rFonts w:ascii="Arial" w:eastAsia="Arial Unicode MS" w:hAnsi="Arial" w:cs="Arial"/>
        </w:rPr>
      </w:pPr>
      <w:r w:rsidRPr="004A73C1">
        <w:rPr>
          <w:rFonts w:ascii="Arial" w:eastAsia="Arial Unicode MS" w:hAnsi="Arial" w:cs="Arial"/>
        </w:rPr>
        <w:t>The attractiveness of the UK labour market for Foreign Direct Investment (FDI) can be evaluated based on various factors.</w:t>
      </w:r>
    </w:p>
    <w:p w14:paraId="3E05094A" w14:textId="3B615B57" w:rsidR="0059145A" w:rsidRPr="004A73C1" w:rsidRDefault="0059145A" w:rsidP="00EF2E34">
      <w:pPr>
        <w:spacing w:after="200" w:line="360" w:lineRule="auto"/>
        <w:jc w:val="both"/>
        <w:rPr>
          <w:rFonts w:ascii="Arial" w:eastAsia="Arial Unicode MS" w:hAnsi="Arial" w:cs="Arial"/>
        </w:rPr>
      </w:pPr>
      <w:r w:rsidRPr="004A73C1">
        <w:rPr>
          <w:rFonts w:ascii="Arial" w:eastAsia="Arial Unicode MS" w:hAnsi="Arial" w:cs="Arial"/>
        </w:rPr>
        <w:t>The UK labour market has several attractive features that make it appealing for FDI. These include a highly skilled workforce, flexible labour laws, and a business-friendly environment. The UK's strong legal framework, well-established financial system, and access to international markets also contribute to its attractiveness for FDI in the labour market.</w:t>
      </w:r>
    </w:p>
    <w:p w14:paraId="76C67E06" w14:textId="5A76C773" w:rsidR="0059145A" w:rsidRPr="004A73C1" w:rsidRDefault="0059145A" w:rsidP="00EF2E34">
      <w:pPr>
        <w:spacing w:after="200" w:line="360" w:lineRule="auto"/>
        <w:jc w:val="both"/>
        <w:rPr>
          <w:rFonts w:ascii="Arial" w:eastAsia="Arial Unicode MS" w:hAnsi="Arial" w:cs="Arial"/>
        </w:rPr>
      </w:pPr>
      <w:r w:rsidRPr="004A73C1">
        <w:rPr>
          <w:rFonts w:ascii="Arial" w:eastAsia="Arial Unicode MS" w:hAnsi="Arial" w:cs="Arial"/>
        </w:rPr>
        <w:t xml:space="preserve">According to a report by the World Bank, the UK ranked 8th in the world for ease of doing business in 2020, highlighting the country's favourable conditions for investment and business operations (World Bank, 2020). Additionally, the UK government's initiatives to support skills </w:t>
      </w:r>
      <w:r w:rsidRPr="004A73C1">
        <w:rPr>
          <w:rFonts w:ascii="Arial" w:eastAsia="Arial Unicode MS" w:hAnsi="Arial" w:cs="Arial"/>
        </w:rPr>
        <w:lastRenderedPageBreak/>
        <w:t>development and innovation further enhance the appeal of the labour market for foreign investors.</w:t>
      </w:r>
      <w:r w:rsidR="00741FAB" w:rsidRPr="004A73C1">
        <w:rPr>
          <w:rFonts w:ascii="Arial" w:eastAsia="Arial Unicode MS" w:hAnsi="Arial" w:cs="Arial"/>
        </w:rPr>
        <w:t xml:space="preserve"> </w:t>
      </w:r>
      <w:r w:rsidRPr="004A73C1">
        <w:rPr>
          <w:rFonts w:ascii="Arial" w:eastAsia="Arial Unicode MS" w:hAnsi="Arial" w:cs="Arial"/>
        </w:rPr>
        <w:t>In summary, the UK labour market presents several attractive qualities for FDI. Still, it's crucial to consider various factors and stay updated on the latest developments and policies that may impact FDI attractiveness.</w:t>
      </w:r>
    </w:p>
    <w:tbl>
      <w:tblPr>
        <w:tblW w:w="9267" w:type="dxa"/>
        <w:tblInd w:w="-152" w:type="dxa"/>
        <w:shd w:val="clear" w:color="auto" w:fill="D0E6F6" w:themeFill="accent6" w:themeFillTint="33"/>
        <w:tblLook w:val="04A0" w:firstRow="1" w:lastRow="0" w:firstColumn="1" w:lastColumn="0" w:noHBand="0" w:noVBand="1"/>
      </w:tblPr>
      <w:tblGrid>
        <w:gridCol w:w="3397"/>
        <w:gridCol w:w="918"/>
        <w:gridCol w:w="1265"/>
        <w:gridCol w:w="1090"/>
        <w:gridCol w:w="790"/>
        <w:gridCol w:w="1093"/>
        <w:gridCol w:w="714"/>
      </w:tblGrid>
      <w:tr w:rsidR="0059145A" w:rsidRPr="004A73C1" w14:paraId="5433D7E5" w14:textId="77777777" w:rsidTr="00C75C62">
        <w:trPr>
          <w:trHeight w:val="156"/>
        </w:trPr>
        <w:tc>
          <w:tcPr>
            <w:tcW w:w="3397" w:type="dxa"/>
            <w:vMerge w:val="restart"/>
            <w:tcBorders>
              <w:top w:val="single" w:sz="8" w:space="0" w:color="auto"/>
              <w:left w:val="single" w:sz="8" w:space="0" w:color="auto"/>
              <w:bottom w:val="single" w:sz="8" w:space="0" w:color="000000"/>
              <w:right w:val="single" w:sz="8" w:space="0" w:color="auto"/>
            </w:tcBorders>
            <w:shd w:val="clear" w:color="auto" w:fill="D0E6F6" w:themeFill="accent6" w:themeFillTint="33"/>
            <w:noWrap/>
            <w:vAlign w:val="bottom"/>
            <w:hideMark/>
          </w:tcPr>
          <w:p w14:paraId="3A60E5D7" w14:textId="77777777" w:rsidR="00E56B8D" w:rsidRPr="004A73C1" w:rsidRDefault="00E56B8D" w:rsidP="00EF2E34">
            <w:pPr>
              <w:spacing w:after="0" w:line="360" w:lineRule="auto"/>
              <w:jc w:val="both"/>
              <w:rPr>
                <w:rFonts w:ascii="Arial" w:eastAsia="Times New Roman" w:hAnsi="Arial" w:cs="Arial"/>
                <w:b/>
                <w:bCs/>
                <w:sz w:val="20"/>
                <w:szCs w:val="20"/>
                <w:lang w:eastAsia="en-GB"/>
              </w:rPr>
            </w:pPr>
            <w:r w:rsidRPr="004A73C1">
              <w:rPr>
                <w:rFonts w:ascii="Arial" w:eastAsia="Times New Roman" w:hAnsi="Arial" w:cs="Arial"/>
                <w:b/>
                <w:bCs/>
                <w:sz w:val="20"/>
                <w:szCs w:val="20"/>
                <w:lang w:eastAsia="en-GB"/>
              </w:rPr>
              <w:t>Area Names</w:t>
            </w:r>
          </w:p>
        </w:tc>
        <w:tc>
          <w:tcPr>
            <w:tcW w:w="2183" w:type="dxa"/>
            <w:gridSpan w:val="2"/>
            <w:tcBorders>
              <w:top w:val="single" w:sz="8" w:space="0" w:color="auto"/>
              <w:left w:val="nil"/>
              <w:bottom w:val="single" w:sz="8" w:space="0" w:color="auto"/>
              <w:right w:val="single" w:sz="4" w:space="0" w:color="auto"/>
            </w:tcBorders>
            <w:shd w:val="clear" w:color="auto" w:fill="D0E6F6" w:themeFill="accent6" w:themeFillTint="33"/>
            <w:vAlign w:val="bottom"/>
            <w:hideMark/>
          </w:tcPr>
          <w:p w14:paraId="325E420C" w14:textId="77777777" w:rsidR="00E56B8D" w:rsidRPr="004A73C1" w:rsidRDefault="00E56B8D" w:rsidP="00EF2E34">
            <w:pPr>
              <w:spacing w:after="0" w:line="360" w:lineRule="auto"/>
              <w:jc w:val="both"/>
              <w:rPr>
                <w:rFonts w:ascii="Arial" w:eastAsia="Times New Roman" w:hAnsi="Arial" w:cs="Arial"/>
                <w:b/>
                <w:bCs/>
                <w:sz w:val="20"/>
                <w:szCs w:val="20"/>
                <w:lang w:eastAsia="en-GB"/>
              </w:rPr>
            </w:pPr>
            <w:r w:rsidRPr="004A73C1">
              <w:rPr>
                <w:rFonts w:ascii="Arial" w:eastAsia="Times New Roman" w:hAnsi="Arial" w:cs="Arial"/>
                <w:b/>
                <w:bCs/>
                <w:sz w:val="20"/>
                <w:szCs w:val="20"/>
                <w:lang w:eastAsia="en-GB"/>
              </w:rPr>
              <w:t>Economically active</w:t>
            </w:r>
            <w:r w:rsidRPr="004A73C1">
              <w:rPr>
                <w:rFonts w:ascii="Arial" w:eastAsia="Times New Roman" w:hAnsi="Arial" w:cs="Arial"/>
                <w:b/>
                <w:bCs/>
                <w:sz w:val="20"/>
                <w:szCs w:val="20"/>
                <w:vertAlign w:val="superscript"/>
                <w:lang w:eastAsia="en-GB"/>
              </w:rPr>
              <w:t xml:space="preserve"> 1</w:t>
            </w:r>
          </w:p>
        </w:tc>
        <w:tc>
          <w:tcPr>
            <w:tcW w:w="1880" w:type="dxa"/>
            <w:gridSpan w:val="2"/>
            <w:tcBorders>
              <w:top w:val="single" w:sz="8" w:space="0" w:color="auto"/>
              <w:left w:val="nil"/>
              <w:bottom w:val="single" w:sz="8" w:space="0" w:color="auto"/>
              <w:right w:val="single" w:sz="4" w:space="0" w:color="auto"/>
            </w:tcBorders>
            <w:shd w:val="clear" w:color="auto" w:fill="D0E6F6" w:themeFill="accent6" w:themeFillTint="33"/>
            <w:vAlign w:val="bottom"/>
            <w:hideMark/>
          </w:tcPr>
          <w:p w14:paraId="65189123" w14:textId="77777777" w:rsidR="00E56B8D" w:rsidRPr="004A73C1" w:rsidRDefault="00E56B8D" w:rsidP="00EF2E34">
            <w:pPr>
              <w:spacing w:after="0" w:line="360" w:lineRule="auto"/>
              <w:jc w:val="both"/>
              <w:rPr>
                <w:rFonts w:ascii="Arial" w:eastAsia="Times New Roman" w:hAnsi="Arial" w:cs="Arial"/>
                <w:b/>
                <w:bCs/>
                <w:sz w:val="20"/>
                <w:szCs w:val="20"/>
                <w:lang w:eastAsia="en-GB"/>
              </w:rPr>
            </w:pPr>
            <w:r w:rsidRPr="004A73C1">
              <w:rPr>
                <w:rFonts w:ascii="Arial" w:eastAsia="Times New Roman" w:hAnsi="Arial" w:cs="Arial"/>
                <w:b/>
                <w:bCs/>
                <w:sz w:val="20"/>
                <w:szCs w:val="20"/>
                <w:lang w:eastAsia="en-GB"/>
              </w:rPr>
              <w:t>Employment</w:t>
            </w:r>
          </w:p>
        </w:tc>
        <w:tc>
          <w:tcPr>
            <w:tcW w:w="1807" w:type="dxa"/>
            <w:gridSpan w:val="2"/>
            <w:tcBorders>
              <w:top w:val="single" w:sz="8" w:space="0" w:color="auto"/>
              <w:left w:val="nil"/>
              <w:bottom w:val="single" w:sz="8" w:space="0" w:color="auto"/>
              <w:right w:val="single" w:sz="8" w:space="0" w:color="000000"/>
            </w:tcBorders>
            <w:shd w:val="clear" w:color="auto" w:fill="D0E6F6" w:themeFill="accent6" w:themeFillTint="33"/>
            <w:vAlign w:val="bottom"/>
            <w:hideMark/>
          </w:tcPr>
          <w:p w14:paraId="7A84D031" w14:textId="77777777" w:rsidR="00E56B8D" w:rsidRPr="004A73C1" w:rsidRDefault="00E56B8D" w:rsidP="00EF2E34">
            <w:pPr>
              <w:spacing w:after="0" w:line="360" w:lineRule="auto"/>
              <w:jc w:val="both"/>
              <w:rPr>
                <w:rFonts w:ascii="Arial" w:eastAsia="Times New Roman" w:hAnsi="Arial" w:cs="Arial"/>
                <w:b/>
                <w:bCs/>
                <w:sz w:val="20"/>
                <w:szCs w:val="20"/>
                <w:lang w:eastAsia="en-GB"/>
              </w:rPr>
            </w:pPr>
            <w:r w:rsidRPr="004A73C1">
              <w:rPr>
                <w:rFonts w:ascii="Arial" w:eastAsia="Times New Roman" w:hAnsi="Arial" w:cs="Arial"/>
                <w:b/>
                <w:bCs/>
                <w:sz w:val="20"/>
                <w:szCs w:val="20"/>
                <w:lang w:eastAsia="en-GB"/>
              </w:rPr>
              <w:t>Unemployment</w:t>
            </w:r>
          </w:p>
        </w:tc>
      </w:tr>
      <w:tr w:rsidR="0059145A" w:rsidRPr="004A73C1" w14:paraId="7FC48684" w14:textId="77777777" w:rsidTr="00C75C62">
        <w:trPr>
          <w:trHeight w:val="261"/>
        </w:trPr>
        <w:tc>
          <w:tcPr>
            <w:tcW w:w="3397" w:type="dxa"/>
            <w:vMerge/>
            <w:tcBorders>
              <w:top w:val="single" w:sz="8" w:space="0" w:color="auto"/>
              <w:left w:val="single" w:sz="8" w:space="0" w:color="auto"/>
              <w:bottom w:val="single" w:sz="8" w:space="0" w:color="000000"/>
              <w:right w:val="single" w:sz="8" w:space="0" w:color="auto"/>
            </w:tcBorders>
            <w:shd w:val="clear" w:color="auto" w:fill="D0E6F6" w:themeFill="accent6" w:themeFillTint="33"/>
            <w:vAlign w:val="center"/>
            <w:hideMark/>
          </w:tcPr>
          <w:p w14:paraId="63EE3BD7" w14:textId="77777777" w:rsidR="00E56B8D" w:rsidRPr="004A73C1" w:rsidRDefault="00E56B8D" w:rsidP="00EF2E34">
            <w:pPr>
              <w:spacing w:after="0" w:line="360" w:lineRule="auto"/>
              <w:jc w:val="both"/>
              <w:rPr>
                <w:rFonts w:ascii="Arial" w:eastAsia="Times New Roman" w:hAnsi="Arial" w:cs="Arial"/>
                <w:b/>
                <w:bCs/>
                <w:sz w:val="20"/>
                <w:szCs w:val="20"/>
                <w:lang w:eastAsia="en-GB"/>
              </w:rPr>
            </w:pPr>
          </w:p>
        </w:tc>
        <w:tc>
          <w:tcPr>
            <w:tcW w:w="918" w:type="dxa"/>
            <w:tcBorders>
              <w:top w:val="nil"/>
              <w:left w:val="nil"/>
              <w:bottom w:val="single" w:sz="4" w:space="0" w:color="auto"/>
              <w:right w:val="single" w:sz="4" w:space="0" w:color="auto"/>
            </w:tcBorders>
            <w:shd w:val="clear" w:color="auto" w:fill="D0E6F6" w:themeFill="accent6" w:themeFillTint="33"/>
            <w:vAlign w:val="bottom"/>
            <w:hideMark/>
          </w:tcPr>
          <w:p w14:paraId="457A842B"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Aged 16+</w:t>
            </w:r>
          </w:p>
        </w:tc>
        <w:tc>
          <w:tcPr>
            <w:tcW w:w="1264" w:type="dxa"/>
            <w:tcBorders>
              <w:top w:val="nil"/>
              <w:left w:val="nil"/>
              <w:bottom w:val="single" w:sz="4" w:space="0" w:color="auto"/>
              <w:right w:val="single" w:sz="4" w:space="0" w:color="auto"/>
            </w:tcBorders>
            <w:shd w:val="clear" w:color="auto" w:fill="D0E6F6" w:themeFill="accent6" w:themeFillTint="33"/>
            <w:vAlign w:val="bottom"/>
            <w:hideMark/>
          </w:tcPr>
          <w:p w14:paraId="082D3007"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Aged 16-64</w:t>
            </w:r>
          </w:p>
        </w:tc>
        <w:tc>
          <w:tcPr>
            <w:tcW w:w="1090" w:type="dxa"/>
            <w:tcBorders>
              <w:top w:val="nil"/>
              <w:left w:val="nil"/>
              <w:bottom w:val="single" w:sz="4" w:space="0" w:color="auto"/>
              <w:right w:val="single" w:sz="4" w:space="0" w:color="auto"/>
            </w:tcBorders>
            <w:shd w:val="clear" w:color="auto" w:fill="D0E6F6" w:themeFill="accent6" w:themeFillTint="33"/>
            <w:vAlign w:val="bottom"/>
            <w:hideMark/>
          </w:tcPr>
          <w:p w14:paraId="48983E2E"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Aged 16+</w:t>
            </w:r>
          </w:p>
        </w:tc>
        <w:tc>
          <w:tcPr>
            <w:tcW w:w="790" w:type="dxa"/>
            <w:tcBorders>
              <w:top w:val="nil"/>
              <w:left w:val="nil"/>
              <w:bottom w:val="single" w:sz="4" w:space="0" w:color="auto"/>
              <w:right w:val="single" w:sz="4" w:space="0" w:color="auto"/>
            </w:tcBorders>
            <w:shd w:val="clear" w:color="auto" w:fill="D0E6F6" w:themeFill="accent6" w:themeFillTint="33"/>
            <w:vAlign w:val="bottom"/>
            <w:hideMark/>
          </w:tcPr>
          <w:p w14:paraId="1396490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Aged 16-64</w:t>
            </w:r>
          </w:p>
        </w:tc>
        <w:tc>
          <w:tcPr>
            <w:tcW w:w="1093" w:type="dxa"/>
            <w:tcBorders>
              <w:top w:val="nil"/>
              <w:left w:val="nil"/>
              <w:bottom w:val="single" w:sz="4" w:space="0" w:color="auto"/>
              <w:right w:val="single" w:sz="4" w:space="0" w:color="auto"/>
            </w:tcBorders>
            <w:shd w:val="clear" w:color="auto" w:fill="D0E6F6" w:themeFill="accent6" w:themeFillTint="33"/>
            <w:vAlign w:val="bottom"/>
            <w:hideMark/>
          </w:tcPr>
          <w:p w14:paraId="077D1F24"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Aged 16+</w:t>
            </w:r>
          </w:p>
        </w:tc>
        <w:tc>
          <w:tcPr>
            <w:tcW w:w="714" w:type="dxa"/>
            <w:tcBorders>
              <w:top w:val="nil"/>
              <w:left w:val="nil"/>
              <w:bottom w:val="single" w:sz="4" w:space="0" w:color="auto"/>
              <w:right w:val="single" w:sz="8" w:space="0" w:color="auto"/>
            </w:tcBorders>
            <w:shd w:val="clear" w:color="auto" w:fill="D0E6F6" w:themeFill="accent6" w:themeFillTint="33"/>
            <w:vAlign w:val="bottom"/>
            <w:hideMark/>
          </w:tcPr>
          <w:p w14:paraId="66204A05"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Aged 16+</w:t>
            </w:r>
          </w:p>
        </w:tc>
      </w:tr>
      <w:tr w:rsidR="0059145A" w:rsidRPr="004A73C1" w14:paraId="31598220" w14:textId="77777777" w:rsidTr="00C75C62">
        <w:trPr>
          <w:trHeight w:val="156"/>
        </w:trPr>
        <w:tc>
          <w:tcPr>
            <w:tcW w:w="3397" w:type="dxa"/>
            <w:vMerge/>
            <w:tcBorders>
              <w:top w:val="single" w:sz="8" w:space="0" w:color="auto"/>
              <w:left w:val="single" w:sz="8" w:space="0" w:color="auto"/>
              <w:bottom w:val="single" w:sz="8" w:space="0" w:color="000000"/>
              <w:right w:val="single" w:sz="8" w:space="0" w:color="auto"/>
            </w:tcBorders>
            <w:shd w:val="clear" w:color="auto" w:fill="D0E6F6" w:themeFill="accent6" w:themeFillTint="33"/>
            <w:vAlign w:val="center"/>
            <w:hideMark/>
          </w:tcPr>
          <w:p w14:paraId="31697AF4" w14:textId="77777777" w:rsidR="00E56B8D" w:rsidRPr="004A73C1" w:rsidRDefault="00E56B8D" w:rsidP="00EF2E34">
            <w:pPr>
              <w:spacing w:after="0" w:line="360" w:lineRule="auto"/>
              <w:jc w:val="both"/>
              <w:rPr>
                <w:rFonts w:ascii="Arial" w:eastAsia="Times New Roman" w:hAnsi="Arial" w:cs="Arial"/>
                <w:b/>
                <w:bCs/>
                <w:sz w:val="20"/>
                <w:szCs w:val="20"/>
                <w:lang w:eastAsia="en-GB"/>
              </w:rPr>
            </w:pPr>
          </w:p>
        </w:tc>
        <w:tc>
          <w:tcPr>
            <w:tcW w:w="918" w:type="dxa"/>
            <w:tcBorders>
              <w:top w:val="nil"/>
              <w:left w:val="nil"/>
              <w:bottom w:val="single" w:sz="8" w:space="0" w:color="auto"/>
              <w:right w:val="single" w:sz="4" w:space="0" w:color="auto"/>
            </w:tcBorders>
            <w:shd w:val="clear" w:color="auto" w:fill="D0E6F6" w:themeFill="accent6" w:themeFillTint="33"/>
            <w:noWrap/>
            <w:vAlign w:val="bottom"/>
            <w:hideMark/>
          </w:tcPr>
          <w:p w14:paraId="369EA60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Level</w:t>
            </w:r>
          </w:p>
        </w:tc>
        <w:tc>
          <w:tcPr>
            <w:tcW w:w="1264" w:type="dxa"/>
            <w:tcBorders>
              <w:top w:val="nil"/>
              <w:left w:val="nil"/>
              <w:bottom w:val="single" w:sz="8" w:space="0" w:color="auto"/>
              <w:right w:val="single" w:sz="4" w:space="0" w:color="auto"/>
            </w:tcBorders>
            <w:shd w:val="clear" w:color="auto" w:fill="D0E6F6" w:themeFill="accent6" w:themeFillTint="33"/>
            <w:noWrap/>
            <w:vAlign w:val="bottom"/>
            <w:hideMark/>
          </w:tcPr>
          <w:p w14:paraId="7F533326"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Rate (%)</w:t>
            </w:r>
            <w:r w:rsidRPr="004A73C1">
              <w:rPr>
                <w:rFonts w:ascii="Arial" w:eastAsia="Times New Roman" w:hAnsi="Arial" w:cs="Arial"/>
                <w:sz w:val="20"/>
                <w:szCs w:val="20"/>
                <w:vertAlign w:val="superscript"/>
                <w:lang w:eastAsia="en-GB"/>
              </w:rPr>
              <w:t>2</w:t>
            </w:r>
          </w:p>
        </w:tc>
        <w:tc>
          <w:tcPr>
            <w:tcW w:w="1090" w:type="dxa"/>
            <w:tcBorders>
              <w:top w:val="nil"/>
              <w:left w:val="nil"/>
              <w:bottom w:val="single" w:sz="8" w:space="0" w:color="auto"/>
              <w:right w:val="single" w:sz="4" w:space="0" w:color="auto"/>
            </w:tcBorders>
            <w:shd w:val="clear" w:color="auto" w:fill="D0E6F6" w:themeFill="accent6" w:themeFillTint="33"/>
            <w:noWrap/>
            <w:vAlign w:val="bottom"/>
            <w:hideMark/>
          </w:tcPr>
          <w:p w14:paraId="35DE414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Level</w:t>
            </w:r>
          </w:p>
        </w:tc>
        <w:tc>
          <w:tcPr>
            <w:tcW w:w="790" w:type="dxa"/>
            <w:tcBorders>
              <w:top w:val="nil"/>
              <w:left w:val="nil"/>
              <w:bottom w:val="single" w:sz="8" w:space="0" w:color="auto"/>
              <w:right w:val="single" w:sz="4" w:space="0" w:color="auto"/>
            </w:tcBorders>
            <w:shd w:val="clear" w:color="auto" w:fill="D0E6F6" w:themeFill="accent6" w:themeFillTint="33"/>
            <w:noWrap/>
            <w:vAlign w:val="bottom"/>
            <w:hideMark/>
          </w:tcPr>
          <w:p w14:paraId="2A7A054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Rate (%)</w:t>
            </w:r>
            <w:r w:rsidRPr="004A73C1">
              <w:rPr>
                <w:rFonts w:ascii="Arial" w:eastAsia="Times New Roman" w:hAnsi="Arial" w:cs="Arial"/>
                <w:sz w:val="20"/>
                <w:szCs w:val="20"/>
                <w:vertAlign w:val="superscript"/>
                <w:lang w:eastAsia="en-GB"/>
              </w:rPr>
              <w:t>2</w:t>
            </w:r>
          </w:p>
        </w:tc>
        <w:tc>
          <w:tcPr>
            <w:tcW w:w="1093" w:type="dxa"/>
            <w:tcBorders>
              <w:top w:val="nil"/>
              <w:left w:val="nil"/>
              <w:bottom w:val="single" w:sz="8" w:space="0" w:color="auto"/>
              <w:right w:val="single" w:sz="4" w:space="0" w:color="auto"/>
            </w:tcBorders>
            <w:shd w:val="clear" w:color="auto" w:fill="D0E6F6" w:themeFill="accent6" w:themeFillTint="33"/>
            <w:noWrap/>
            <w:vAlign w:val="bottom"/>
            <w:hideMark/>
          </w:tcPr>
          <w:p w14:paraId="2628294A"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Level</w:t>
            </w:r>
          </w:p>
        </w:tc>
        <w:tc>
          <w:tcPr>
            <w:tcW w:w="714" w:type="dxa"/>
            <w:tcBorders>
              <w:top w:val="nil"/>
              <w:left w:val="nil"/>
              <w:bottom w:val="single" w:sz="8" w:space="0" w:color="auto"/>
              <w:right w:val="single" w:sz="8" w:space="0" w:color="auto"/>
            </w:tcBorders>
            <w:shd w:val="clear" w:color="auto" w:fill="D0E6F6" w:themeFill="accent6" w:themeFillTint="33"/>
            <w:noWrap/>
            <w:vAlign w:val="bottom"/>
            <w:hideMark/>
          </w:tcPr>
          <w:p w14:paraId="6DC4C8D5"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Rate (%)</w:t>
            </w:r>
            <w:r w:rsidRPr="004A73C1">
              <w:rPr>
                <w:rFonts w:ascii="Arial" w:eastAsia="Times New Roman" w:hAnsi="Arial" w:cs="Arial"/>
                <w:sz w:val="20"/>
                <w:szCs w:val="20"/>
                <w:vertAlign w:val="superscript"/>
                <w:lang w:eastAsia="en-GB"/>
              </w:rPr>
              <w:t>3</w:t>
            </w:r>
          </w:p>
        </w:tc>
      </w:tr>
      <w:tr w:rsidR="0059145A" w:rsidRPr="004A73C1" w14:paraId="4F458015"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51E1CB15"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5E38CD14"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44205A0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282B59C6"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221FCB7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38CE239F"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573960DA"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w:t>
            </w:r>
          </w:p>
        </w:tc>
      </w:tr>
      <w:tr w:rsidR="0059145A" w:rsidRPr="004A73C1" w14:paraId="680FF419" w14:textId="77777777" w:rsidTr="00C75C62">
        <w:trPr>
          <w:trHeight w:val="149"/>
        </w:trPr>
        <w:tc>
          <w:tcPr>
            <w:tcW w:w="3397" w:type="dxa"/>
            <w:tcBorders>
              <w:top w:val="nil"/>
              <w:left w:val="single" w:sz="8" w:space="0" w:color="auto"/>
              <w:bottom w:val="nil"/>
              <w:right w:val="nil"/>
            </w:tcBorders>
            <w:shd w:val="clear" w:color="auto" w:fill="D0E6F6" w:themeFill="accent6" w:themeFillTint="33"/>
            <w:vAlign w:val="bottom"/>
            <w:hideMark/>
          </w:tcPr>
          <w:p w14:paraId="384F8D4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United Kingdom</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5EEAD878"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34,527</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727F55F9"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77.9</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1A121E4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32,999</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441F739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74.4</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05A12DE3"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1,528</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136A1763"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4.4</w:t>
            </w:r>
          </w:p>
        </w:tc>
      </w:tr>
      <w:tr w:rsidR="0059145A" w:rsidRPr="004A73C1" w14:paraId="4D8D1A7A"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471459B2"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Great Britain</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72C1C9BE"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33,637</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0F65743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78.0</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42271A26"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32,127</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7122ECEF"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74.5</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63E87173"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1,510</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675546E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4.5</w:t>
            </w:r>
          </w:p>
        </w:tc>
      </w:tr>
      <w:tr w:rsidR="0059145A" w:rsidRPr="004A73C1" w14:paraId="1C16A1ED"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393D9403"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England</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0A63FAD4"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29,449</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389A5249"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78.5</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1353880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28,122</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0695147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74.9</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203DB527"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1,326</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7A5B4FF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4.5</w:t>
            </w:r>
          </w:p>
        </w:tc>
      </w:tr>
      <w:tr w:rsidR="0059145A" w:rsidRPr="004A73C1" w14:paraId="65F23801"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2B4EBEC4"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xml:space="preserve">     North East</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06F92B7D"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1,249</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20061C6D"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72.5</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257D360D"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1,189</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4F8F49E4"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69.0</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4712A05F"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60</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309F2F9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4.8</w:t>
            </w:r>
          </w:p>
        </w:tc>
      </w:tr>
      <w:tr w:rsidR="0059145A" w:rsidRPr="004A73C1" w14:paraId="7C3F2B92" w14:textId="77777777" w:rsidTr="00C75C62">
        <w:trPr>
          <w:trHeight w:val="149"/>
        </w:trPr>
        <w:tc>
          <w:tcPr>
            <w:tcW w:w="3397" w:type="dxa"/>
            <w:tcBorders>
              <w:top w:val="nil"/>
              <w:left w:val="single" w:sz="8" w:space="0" w:color="auto"/>
              <w:bottom w:val="nil"/>
              <w:right w:val="nil"/>
            </w:tcBorders>
            <w:shd w:val="clear" w:color="auto" w:fill="D0E6F6" w:themeFill="accent6" w:themeFillTint="33"/>
            <w:vAlign w:val="bottom"/>
            <w:hideMark/>
          </w:tcPr>
          <w:p w14:paraId="185B7162"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xml:space="preserve">     North West </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0719691D"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3,724</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74E22CF6"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76.3</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23E3D8BF"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3,544</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76FEE92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72.6</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2C429DB6"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180</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12A9196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4.8</w:t>
            </w:r>
          </w:p>
        </w:tc>
      </w:tr>
      <w:tr w:rsidR="0059145A" w:rsidRPr="004A73C1" w14:paraId="1AD14972" w14:textId="77777777" w:rsidTr="00C75C62">
        <w:trPr>
          <w:trHeight w:val="149"/>
        </w:trPr>
        <w:tc>
          <w:tcPr>
            <w:tcW w:w="3397" w:type="dxa"/>
            <w:tcBorders>
              <w:top w:val="nil"/>
              <w:left w:val="single" w:sz="8" w:space="0" w:color="auto"/>
              <w:bottom w:val="nil"/>
              <w:right w:val="nil"/>
            </w:tcBorders>
            <w:shd w:val="clear" w:color="auto" w:fill="D0E6F6" w:themeFill="accent6" w:themeFillTint="33"/>
            <w:vAlign w:val="bottom"/>
            <w:hideMark/>
          </w:tcPr>
          <w:p w14:paraId="1E778CFB"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xml:space="preserve">     Yorkshire and The Humber</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6B684648"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2,699</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1A5D34D7"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75.2</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04C0D92D"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2,603</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7558483E"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72.5</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56D87BDE"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95</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4A14CB8A"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3.5</w:t>
            </w:r>
          </w:p>
        </w:tc>
      </w:tr>
      <w:tr w:rsidR="0059145A" w:rsidRPr="004A73C1" w14:paraId="610245FF"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69FB6BD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xml:space="preserve">     East Midlands</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6D65C1C4"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2,545</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73C77D27"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80.1</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4719323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2,403</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2CA90562"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75.6</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6B40556B"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142</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1E19DB64"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5.6</w:t>
            </w:r>
          </w:p>
        </w:tc>
      </w:tr>
      <w:tr w:rsidR="0059145A" w:rsidRPr="004A73C1" w14:paraId="3FE92071"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2F442A18"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xml:space="preserve">     West Midlands</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650FA81E"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3,014</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24B17917"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77.3</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477F3A4D"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2,857</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76EC78BB"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73.2</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68E0993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156</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0B61BF0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5.2</w:t>
            </w:r>
          </w:p>
        </w:tc>
      </w:tr>
      <w:tr w:rsidR="0059145A" w:rsidRPr="004A73C1" w14:paraId="1A12C014"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6D8E66CA"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xml:space="preserve">     East</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0B0A482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3,249</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247DA71A"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78.6</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0380621F"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3,120</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6F40F249"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75.5</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299BCF1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129</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596530E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4.0</w:t>
            </w:r>
          </w:p>
        </w:tc>
      </w:tr>
      <w:tr w:rsidR="0059145A" w:rsidRPr="004A73C1" w14:paraId="3EEEB7C4"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5C5F79C9"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xml:space="preserve">     London</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55CFE88A"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5,032</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2418CBC7"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79.0</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664E5C5E"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4,773</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673A828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74.8</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4AAD481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259</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74B42B5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5.1</w:t>
            </w:r>
          </w:p>
        </w:tc>
      </w:tr>
      <w:tr w:rsidR="0059145A" w:rsidRPr="004A73C1" w14:paraId="68E534D6"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670C9F0F"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xml:space="preserve">     South East</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6A3EFFE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4,958</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0DEB372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81.6</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13AE9F0B"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4,766</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2D18295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78.4</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12F78963"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192</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3D5E6213"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3.9</w:t>
            </w:r>
          </w:p>
        </w:tc>
      </w:tr>
      <w:tr w:rsidR="0059145A" w:rsidRPr="004A73C1" w14:paraId="334BFE69"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3C28EFF3"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xml:space="preserve">     South West</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098A20F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2,978</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131E3AA2"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81.3</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09BC091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2,866</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0DB629C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78.2</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206C7588"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113</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7BE5A085"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3.8</w:t>
            </w:r>
          </w:p>
        </w:tc>
      </w:tr>
      <w:tr w:rsidR="0059145A" w:rsidRPr="004A73C1" w14:paraId="0E581F8A"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056BD1C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Wales</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145C35CF"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1,438</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3089109B"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71.3</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154ECBF3"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1,387</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0AF2E14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68.7</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22B82207"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50</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0CFE2EDA"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3.5</w:t>
            </w:r>
          </w:p>
        </w:tc>
      </w:tr>
      <w:tr w:rsidR="0059145A" w:rsidRPr="004A73C1" w14:paraId="154B0D49"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65BEA967"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Scotland</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5E75BE1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2,750</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6609705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76.7</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13285FA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2,617</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0EE94DAD"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72.9</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2755A37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133</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1B6BE55E"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4.9</w:t>
            </w:r>
          </w:p>
        </w:tc>
      </w:tr>
      <w:tr w:rsidR="0059145A" w:rsidRPr="004A73C1" w14:paraId="5A716C85" w14:textId="77777777" w:rsidTr="00C75C62">
        <w:trPr>
          <w:trHeight w:val="156"/>
        </w:trPr>
        <w:tc>
          <w:tcPr>
            <w:tcW w:w="3397" w:type="dxa"/>
            <w:tcBorders>
              <w:top w:val="nil"/>
              <w:left w:val="single" w:sz="8" w:space="0" w:color="auto"/>
              <w:bottom w:val="single" w:sz="8" w:space="0" w:color="auto"/>
              <w:right w:val="nil"/>
            </w:tcBorders>
            <w:shd w:val="clear" w:color="auto" w:fill="D0E6F6" w:themeFill="accent6" w:themeFillTint="33"/>
            <w:noWrap/>
            <w:vAlign w:val="bottom"/>
            <w:hideMark/>
          </w:tcPr>
          <w:p w14:paraId="7B495D97"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Northern Ireland</w:t>
            </w:r>
            <w:r w:rsidRPr="004A73C1">
              <w:rPr>
                <w:rFonts w:ascii="Arial" w:eastAsia="Times New Roman" w:hAnsi="Arial" w:cs="Arial"/>
                <w:sz w:val="20"/>
                <w:szCs w:val="20"/>
                <w:vertAlign w:val="superscript"/>
                <w:lang w:eastAsia="en-GB"/>
              </w:rPr>
              <w:t xml:space="preserve"> </w:t>
            </w:r>
          </w:p>
        </w:tc>
        <w:tc>
          <w:tcPr>
            <w:tcW w:w="918" w:type="dxa"/>
            <w:tcBorders>
              <w:top w:val="nil"/>
              <w:left w:val="single" w:sz="4" w:space="0" w:color="auto"/>
              <w:bottom w:val="single" w:sz="8" w:space="0" w:color="auto"/>
              <w:right w:val="single" w:sz="4" w:space="0" w:color="auto"/>
            </w:tcBorders>
            <w:shd w:val="clear" w:color="auto" w:fill="D0E6F6" w:themeFill="accent6" w:themeFillTint="33"/>
            <w:noWrap/>
            <w:vAlign w:val="bottom"/>
            <w:hideMark/>
          </w:tcPr>
          <w:p w14:paraId="48987346"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890</w:t>
            </w:r>
          </w:p>
        </w:tc>
        <w:tc>
          <w:tcPr>
            <w:tcW w:w="1264" w:type="dxa"/>
            <w:tcBorders>
              <w:top w:val="nil"/>
              <w:left w:val="nil"/>
              <w:bottom w:val="single" w:sz="8" w:space="0" w:color="auto"/>
              <w:right w:val="single" w:sz="4" w:space="0" w:color="auto"/>
            </w:tcBorders>
            <w:shd w:val="clear" w:color="auto" w:fill="D0E6F6" w:themeFill="accent6" w:themeFillTint="33"/>
            <w:noWrap/>
            <w:vAlign w:val="bottom"/>
            <w:hideMark/>
          </w:tcPr>
          <w:p w14:paraId="1B8B235E"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72.6</w:t>
            </w:r>
          </w:p>
        </w:tc>
        <w:tc>
          <w:tcPr>
            <w:tcW w:w="1090" w:type="dxa"/>
            <w:tcBorders>
              <w:top w:val="nil"/>
              <w:left w:val="nil"/>
              <w:bottom w:val="single" w:sz="8" w:space="0" w:color="auto"/>
              <w:right w:val="single" w:sz="4" w:space="0" w:color="auto"/>
            </w:tcBorders>
            <w:shd w:val="clear" w:color="auto" w:fill="D0E6F6" w:themeFill="accent6" w:themeFillTint="33"/>
            <w:noWrap/>
            <w:vAlign w:val="bottom"/>
            <w:hideMark/>
          </w:tcPr>
          <w:p w14:paraId="43D885F2"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872</w:t>
            </w:r>
          </w:p>
        </w:tc>
        <w:tc>
          <w:tcPr>
            <w:tcW w:w="790" w:type="dxa"/>
            <w:tcBorders>
              <w:top w:val="nil"/>
              <w:left w:val="nil"/>
              <w:bottom w:val="single" w:sz="8" w:space="0" w:color="auto"/>
              <w:right w:val="single" w:sz="4" w:space="0" w:color="auto"/>
            </w:tcBorders>
            <w:shd w:val="clear" w:color="auto" w:fill="D0E6F6" w:themeFill="accent6" w:themeFillTint="33"/>
            <w:noWrap/>
            <w:vAlign w:val="bottom"/>
            <w:hideMark/>
          </w:tcPr>
          <w:p w14:paraId="6497629D"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71.1</w:t>
            </w:r>
          </w:p>
        </w:tc>
        <w:tc>
          <w:tcPr>
            <w:tcW w:w="1093" w:type="dxa"/>
            <w:tcBorders>
              <w:top w:val="nil"/>
              <w:left w:val="nil"/>
              <w:bottom w:val="single" w:sz="8" w:space="0" w:color="auto"/>
              <w:right w:val="single" w:sz="4" w:space="0" w:color="auto"/>
            </w:tcBorders>
            <w:shd w:val="clear" w:color="auto" w:fill="D0E6F6" w:themeFill="accent6" w:themeFillTint="33"/>
            <w:noWrap/>
            <w:vAlign w:val="bottom"/>
            <w:hideMark/>
          </w:tcPr>
          <w:p w14:paraId="1EAF08BD"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18</w:t>
            </w:r>
          </w:p>
        </w:tc>
        <w:tc>
          <w:tcPr>
            <w:tcW w:w="714" w:type="dxa"/>
            <w:tcBorders>
              <w:top w:val="nil"/>
              <w:left w:val="nil"/>
              <w:bottom w:val="single" w:sz="8" w:space="0" w:color="auto"/>
              <w:right w:val="single" w:sz="8" w:space="0" w:color="auto"/>
            </w:tcBorders>
            <w:shd w:val="clear" w:color="auto" w:fill="D0E6F6" w:themeFill="accent6" w:themeFillTint="33"/>
            <w:noWrap/>
            <w:vAlign w:val="bottom"/>
            <w:hideMark/>
          </w:tcPr>
          <w:p w14:paraId="3BEEFD1F"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2.0</w:t>
            </w:r>
          </w:p>
        </w:tc>
      </w:tr>
    </w:tbl>
    <w:p w14:paraId="790908A5" w14:textId="5CF31520" w:rsidR="00831FB7" w:rsidRPr="004A73C1" w:rsidRDefault="00740D35" w:rsidP="00EF2E34">
      <w:pPr>
        <w:spacing w:line="360" w:lineRule="auto"/>
        <w:jc w:val="both"/>
        <w:rPr>
          <w:rFonts w:ascii="Arial" w:hAnsi="Arial" w:cs="Arial"/>
          <w:color w:val="000000"/>
          <w:shd w:val="clear" w:color="auto" w:fill="FFFFFF"/>
        </w:rPr>
      </w:pPr>
      <w:r w:rsidRPr="004A73C1">
        <w:rPr>
          <w:rFonts w:ascii="Arial" w:hAnsi="Arial" w:cs="Arial"/>
        </w:rPr>
        <w:t xml:space="preserve">Figure </w:t>
      </w:r>
      <w:r w:rsidR="00C75C62" w:rsidRPr="004A73C1">
        <w:rPr>
          <w:rFonts w:ascii="Arial" w:hAnsi="Arial" w:cs="Arial"/>
        </w:rPr>
        <w:t>30</w:t>
      </w:r>
      <w:r w:rsidR="00F90E4F" w:rsidRPr="004A73C1">
        <w:rPr>
          <w:rFonts w:ascii="Arial" w:hAnsi="Arial" w:cs="Arial"/>
        </w:rPr>
        <w:t xml:space="preserve"> </w:t>
      </w:r>
      <w:r w:rsidR="00F90E4F" w:rsidRPr="004A73C1">
        <w:rPr>
          <w:rFonts w:ascii="Arial" w:hAnsi="Arial" w:cs="Arial"/>
        </w:rPr>
        <w:tab/>
      </w:r>
      <w:r w:rsidR="00F90E4F" w:rsidRPr="004A73C1">
        <w:rPr>
          <w:rFonts w:ascii="Arial" w:hAnsi="Arial" w:cs="Arial"/>
        </w:rPr>
        <w:tab/>
      </w:r>
      <w:r w:rsidR="00915B3A" w:rsidRPr="004A73C1">
        <w:rPr>
          <w:rFonts w:ascii="Arial" w:hAnsi="Arial" w:cs="Arial"/>
          <w:color w:val="000000"/>
          <w:shd w:val="clear" w:color="auto" w:fill="FFFFFF"/>
        </w:rPr>
        <w:t>Source- Gov.UK</w:t>
      </w:r>
    </w:p>
    <w:p w14:paraId="45EFB1EE" w14:textId="77777777" w:rsidR="000F1DEE" w:rsidRPr="004A73C1" w:rsidRDefault="000F1DEE" w:rsidP="00EF2E34">
      <w:pPr>
        <w:spacing w:line="360" w:lineRule="auto"/>
        <w:jc w:val="both"/>
        <w:rPr>
          <w:rFonts w:ascii="Arial" w:hAnsi="Arial" w:cs="Arial"/>
          <w:color w:val="000000"/>
          <w:shd w:val="clear" w:color="auto" w:fill="FFFFFF"/>
        </w:rPr>
      </w:pPr>
    </w:p>
    <w:p w14:paraId="4F897DD3" w14:textId="04FDBF1F"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According to the available data (source, World Bank), the UK unemployment rate is 4.4%. Compared to some other countries, the unemployment rates are as follows:</w:t>
      </w:r>
    </w:p>
    <w:p w14:paraId="68ACDA4C"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Ukraine: 4.4%</w:t>
      </w:r>
    </w:p>
    <w:p w14:paraId="4A3F7CDC"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Turkey: 10.3%</w:t>
      </w:r>
    </w:p>
    <w:p w14:paraId="00A5E94E"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Russia: 4.7%</w:t>
      </w:r>
    </w:p>
    <w:p w14:paraId="77F3FF98"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Spain: 15.3%</w:t>
      </w:r>
    </w:p>
    <w:p w14:paraId="66A15524"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France: 8.0%</w:t>
      </w:r>
    </w:p>
    <w:p w14:paraId="564C333F"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Italy: 9.7%</w:t>
      </w:r>
    </w:p>
    <w:p w14:paraId="4456EAAD"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Romania: 3.6%</w:t>
      </w:r>
    </w:p>
    <w:p w14:paraId="5575D32D"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lastRenderedPageBreak/>
        <w:t>- Poland: 6.3%</w:t>
      </w:r>
    </w:p>
    <w:p w14:paraId="24334781"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Belgium: 5.5%</w:t>
      </w:r>
    </w:p>
    <w:p w14:paraId="5E4AF7C1"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Germany: 5.9%</w:t>
      </w:r>
    </w:p>
    <w:p w14:paraId="7D0F836C"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Denmark: 4.2%</w:t>
      </w:r>
    </w:p>
    <w:p w14:paraId="5731BE0B" w14:textId="77777777" w:rsidR="000F1DEE" w:rsidRPr="004A73C1" w:rsidRDefault="000F1DEE" w:rsidP="00EF2E34">
      <w:pPr>
        <w:spacing w:line="360" w:lineRule="auto"/>
        <w:jc w:val="both"/>
        <w:rPr>
          <w:rFonts w:ascii="Arial" w:hAnsi="Arial" w:cs="Arial"/>
          <w:color w:val="000000"/>
          <w:shd w:val="clear" w:color="auto" w:fill="FFFFFF"/>
          <w:lang w:val="de-DE"/>
        </w:rPr>
      </w:pPr>
      <w:r w:rsidRPr="004A73C1">
        <w:rPr>
          <w:rFonts w:ascii="Arial" w:hAnsi="Arial" w:cs="Arial"/>
          <w:color w:val="000000"/>
          <w:shd w:val="clear" w:color="auto" w:fill="FFFFFF"/>
          <w:lang w:val="de-DE"/>
        </w:rPr>
        <w:t>- Ireland: 4.6%</w:t>
      </w:r>
    </w:p>
    <w:p w14:paraId="2A5496EC" w14:textId="77777777" w:rsidR="000F1DEE" w:rsidRPr="004A73C1" w:rsidRDefault="000F1DEE" w:rsidP="00EF2E34">
      <w:pPr>
        <w:spacing w:line="360" w:lineRule="auto"/>
        <w:jc w:val="both"/>
        <w:rPr>
          <w:rFonts w:ascii="Arial" w:hAnsi="Arial" w:cs="Arial"/>
          <w:color w:val="000000"/>
          <w:shd w:val="clear" w:color="auto" w:fill="FFFFFF"/>
          <w:lang w:val="de-DE"/>
        </w:rPr>
      </w:pPr>
      <w:r w:rsidRPr="004A73C1">
        <w:rPr>
          <w:rFonts w:ascii="Arial" w:hAnsi="Arial" w:cs="Arial"/>
          <w:color w:val="000000"/>
          <w:shd w:val="clear" w:color="auto" w:fill="FFFFFF"/>
          <w:lang w:val="de-DE"/>
        </w:rPr>
        <w:t>- Finland: 7.7%</w:t>
      </w:r>
    </w:p>
    <w:p w14:paraId="0A2E96EE" w14:textId="77777777" w:rsidR="000F1DEE" w:rsidRPr="004A73C1" w:rsidRDefault="000F1DEE" w:rsidP="00EF2E34">
      <w:pPr>
        <w:spacing w:line="360" w:lineRule="auto"/>
        <w:jc w:val="both"/>
        <w:rPr>
          <w:rFonts w:ascii="Arial" w:hAnsi="Arial" w:cs="Arial"/>
          <w:color w:val="000000"/>
          <w:shd w:val="clear" w:color="auto" w:fill="FFFFFF"/>
          <w:lang w:val="de-DE"/>
        </w:rPr>
      </w:pPr>
      <w:r w:rsidRPr="004A73C1">
        <w:rPr>
          <w:rFonts w:ascii="Arial" w:hAnsi="Arial" w:cs="Arial"/>
          <w:color w:val="000000"/>
          <w:shd w:val="clear" w:color="auto" w:fill="FFFFFF"/>
          <w:lang w:val="de-DE"/>
        </w:rPr>
        <w:t>- Sweden: 8.9%</w:t>
      </w:r>
    </w:p>
    <w:p w14:paraId="3860EEF8" w14:textId="77777777" w:rsidR="000F1DEE" w:rsidRPr="004A73C1" w:rsidRDefault="000F1DEE" w:rsidP="00EF2E34">
      <w:pPr>
        <w:spacing w:line="360" w:lineRule="auto"/>
        <w:jc w:val="both"/>
        <w:rPr>
          <w:rFonts w:ascii="Arial" w:hAnsi="Arial" w:cs="Arial"/>
          <w:color w:val="000000"/>
          <w:shd w:val="clear" w:color="auto" w:fill="FFFFFF"/>
          <w:lang w:val="de-DE"/>
        </w:rPr>
      </w:pPr>
      <w:r w:rsidRPr="004A73C1">
        <w:rPr>
          <w:rFonts w:ascii="Arial" w:hAnsi="Arial" w:cs="Arial"/>
          <w:color w:val="000000"/>
          <w:shd w:val="clear" w:color="auto" w:fill="FFFFFF"/>
          <w:lang w:val="de-DE"/>
        </w:rPr>
        <w:t>- India: 8.5%</w:t>
      </w:r>
    </w:p>
    <w:p w14:paraId="79BC7702" w14:textId="77777777" w:rsidR="000F1DEE" w:rsidRPr="004A73C1" w:rsidRDefault="000F1DEE" w:rsidP="00EF2E34">
      <w:pPr>
        <w:spacing w:line="360" w:lineRule="auto"/>
        <w:jc w:val="both"/>
        <w:rPr>
          <w:rFonts w:ascii="Arial" w:hAnsi="Arial" w:cs="Arial"/>
          <w:color w:val="000000"/>
          <w:shd w:val="clear" w:color="auto" w:fill="FFFFFF"/>
          <w:lang w:val="de-DE"/>
        </w:rPr>
      </w:pPr>
      <w:r w:rsidRPr="004A73C1">
        <w:rPr>
          <w:rFonts w:ascii="Arial" w:hAnsi="Arial" w:cs="Arial"/>
          <w:color w:val="000000"/>
          <w:shd w:val="clear" w:color="auto" w:fill="FFFFFF"/>
          <w:lang w:val="de-DE"/>
        </w:rPr>
        <w:t>- Japan: 2.9%</w:t>
      </w:r>
    </w:p>
    <w:p w14:paraId="4E2E7C8A"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Canada: 7.5%</w:t>
      </w:r>
    </w:p>
    <w:p w14:paraId="686C9ADD"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USA: 7.1%</w:t>
      </w:r>
    </w:p>
    <w:p w14:paraId="12715441"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These figures provide a comparative view of the unemployment rates across different countries, showing the UK's position relative to others.</w:t>
      </w:r>
    </w:p>
    <w:p w14:paraId="1B8141A5" w14:textId="5E352E0F" w:rsidR="00831FB7" w:rsidRPr="004A73C1" w:rsidRDefault="00831FB7" w:rsidP="00EF2E34">
      <w:pPr>
        <w:spacing w:line="360" w:lineRule="auto"/>
        <w:jc w:val="both"/>
        <w:rPr>
          <w:rFonts w:ascii="Arial" w:hAnsi="Arial" w:cs="Arial"/>
          <w:color w:val="000000"/>
          <w:sz w:val="24"/>
          <w:szCs w:val="24"/>
          <w:shd w:val="clear" w:color="auto" w:fill="FFFFFF"/>
        </w:rPr>
      </w:pPr>
      <w:r w:rsidRPr="004A73C1">
        <w:rPr>
          <w:rFonts w:ascii="Arial" w:hAnsi="Arial" w:cs="Arial"/>
          <w:color w:val="000000"/>
          <w:sz w:val="24"/>
          <w:szCs w:val="24"/>
          <w:shd w:val="clear" w:color="auto" w:fill="FFFFFF"/>
        </w:rPr>
        <w:t>According to research conducted by Mateev in 2008, there is a strong negative correlation between foreign direct investment (FDI) and overall labour costs. Specifically, the study revealed that a 1% increase in labour costs led to a reduction of over 13% in FDI inflows. This suggests that higher labour costs act as a deterrent to foreign investment.</w:t>
      </w:r>
      <w:r w:rsidR="000F1DEE" w:rsidRPr="004A73C1">
        <w:rPr>
          <w:rFonts w:ascii="Arial" w:hAnsi="Arial" w:cs="Arial"/>
          <w:color w:val="000000"/>
          <w:sz w:val="24"/>
          <w:szCs w:val="24"/>
          <w:shd w:val="clear" w:color="auto" w:fill="FFFFFF"/>
        </w:rPr>
        <w:t>(Mateev,2008)</w:t>
      </w:r>
    </w:p>
    <w:p w14:paraId="6B29FC2B" w14:textId="32ACC6B7" w:rsidR="00831FB7" w:rsidRPr="004A73C1" w:rsidRDefault="00831FB7" w:rsidP="00EF2E34">
      <w:pPr>
        <w:spacing w:line="360" w:lineRule="auto"/>
        <w:jc w:val="both"/>
        <w:rPr>
          <w:rFonts w:ascii="Arial" w:hAnsi="Arial" w:cs="Arial"/>
          <w:color w:val="000000"/>
          <w:sz w:val="24"/>
          <w:szCs w:val="24"/>
          <w:shd w:val="clear" w:color="auto" w:fill="FFFFFF"/>
        </w:rPr>
      </w:pPr>
      <w:r w:rsidRPr="004A73C1">
        <w:rPr>
          <w:rFonts w:ascii="Arial" w:hAnsi="Arial" w:cs="Arial"/>
          <w:color w:val="000000"/>
          <w:sz w:val="24"/>
          <w:szCs w:val="24"/>
          <w:shd w:val="clear" w:color="auto" w:fill="FFFFFF"/>
        </w:rPr>
        <w:t xml:space="preserve">Unemployment can </w:t>
      </w:r>
      <w:r w:rsidR="0059145A" w:rsidRPr="004A73C1">
        <w:rPr>
          <w:rFonts w:ascii="Arial" w:hAnsi="Arial" w:cs="Arial"/>
          <w:color w:val="000000"/>
          <w:sz w:val="24"/>
          <w:szCs w:val="24"/>
          <w:shd w:val="clear" w:color="auto" w:fill="FFFFFF"/>
        </w:rPr>
        <w:t>impact</w:t>
      </w:r>
      <w:r w:rsidRPr="004A73C1">
        <w:rPr>
          <w:rFonts w:ascii="Arial" w:hAnsi="Arial" w:cs="Arial"/>
          <w:color w:val="000000"/>
          <w:sz w:val="24"/>
          <w:szCs w:val="24"/>
          <w:shd w:val="clear" w:color="auto" w:fill="FFFFFF"/>
        </w:rPr>
        <w:t xml:space="preserve"> foreign direct investment (FDI) inflows. High unemployment rates may indicate a less skilled or abundant </w:t>
      </w:r>
      <w:r w:rsidR="0059145A" w:rsidRPr="004A73C1">
        <w:rPr>
          <w:rFonts w:ascii="Arial" w:hAnsi="Arial" w:cs="Arial"/>
          <w:color w:val="000000"/>
          <w:sz w:val="24"/>
          <w:szCs w:val="24"/>
          <w:shd w:val="clear" w:color="auto" w:fill="FFFFFF"/>
        </w:rPr>
        <w:t>labour</w:t>
      </w:r>
      <w:r w:rsidRPr="004A73C1">
        <w:rPr>
          <w:rFonts w:ascii="Arial" w:hAnsi="Arial" w:cs="Arial"/>
          <w:color w:val="000000"/>
          <w:sz w:val="24"/>
          <w:szCs w:val="24"/>
          <w:shd w:val="clear" w:color="auto" w:fill="FFFFFF"/>
        </w:rPr>
        <w:t xml:space="preserve"> force, making it less attractive for foreign investors to establish operations in a particular country. On the other hand, low unemployment rates may signal a more skilled and available </w:t>
      </w:r>
      <w:r w:rsidR="0059145A" w:rsidRPr="004A73C1">
        <w:rPr>
          <w:rFonts w:ascii="Arial" w:hAnsi="Arial" w:cs="Arial"/>
          <w:color w:val="000000"/>
          <w:sz w:val="24"/>
          <w:szCs w:val="24"/>
          <w:shd w:val="clear" w:color="auto" w:fill="FFFFFF"/>
        </w:rPr>
        <w:t>labour</w:t>
      </w:r>
      <w:r w:rsidRPr="004A73C1">
        <w:rPr>
          <w:rFonts w:ascii="Arial" w:hAnsi="Arial" w:cs="Arial"/>
          <w:color w:val="000000"/>
          <w:sz w:val="24"/>
          <w:szCs w:val="24"/>
          <w:shd w:val="clear" w:color="auto" w:fill="FFFFFF"/>
        </w:rPr>
        <w:t xml:space="preserve"> force, potentially attracting foreign companies to invest in the host country.</w:t>
      </w:r>
    </w:p>
    <w:p w14:paraId="4EC85AF5" w14:textId="6514D724" w:rsidR="00831FB7" w:rsidRPr="004A73C1" w:rsidRDefault="00831FB7" w:rsidP="00EF2E34">
      <w:pPr>
        <w:spacing w:line="360" w:lineRule="auto"/>
        <w:jc w:val="both"/>
        <w:rPr>
          <w:rFonts w:ascii="Arial" w:hAnsi="Arial" w:cs="Arial"/>
          <w:color w:val="000000"/>
          <w:sz w:val="24"/>
          <w:szCs w:val="24"/>
          <w:shd w:val="clear" w:color="auto" w:fill="FFFFFF"/>
        </w:rPr>
      </w:pPr>
      <w:r w:rsidRPr="004A73C1">
        <w:rPr>
          <w:rFonts w:ascii="Arial" w:hAnsi="Arial" w:cs="Arial"/>
          <w:color w:val="000000"/>
          <w:sz w:val="24"/>
          <w:szCs w:val="24"/>
          <w:shd w:val="clear" w:color="auto" w:fill="FFFFFF"/>
        </w:rPr>
        <w:t xml:space="preserve">One study </w:t>
      </w:r>
      <w:r w:rsidR="000F1DEE" w:rsidRPr="004A73C1">
        <w:rPr>
          <w:rFonts w:ascii="Arial" w:hAnsi="Arial" w:cs="Arial"/>
          <w:color w:val="000000"/>
          <w:sz w:val="24"/>
          <w:szCs w:val="24"/>
          <w:shd w:val="clear" w:color="auto" w:fill="FFFFFF"/>
        </w:rPr>
        <w:t xml:space="preserve">that </w:t>
      </w:r>
      <w:r w:rsidRPr="004A73C1">
        <w:rPr>
          <w:rFonts w:ascii="Arial" w:hAnsi="Arial" w:cs="Arial"/>
          <w:color w:val="000000"/>
          <w:sz w:val="24"/>
          <w:szCs w:val="24"/>
          <w:shd w:val="clear" w:color="auto" w:fill="FFFFFF"/>
        </w:rPr>
        <w:t>delves into the relationship between unemployment and FDI is "Unemployment and Foreign Direct Investment: Evidence from Southeast European Countries" by Mariusz Prochniak and Katarzyna Wasiak. This study examines the impact of unemployment rates on FDI in Southeast European countries.</w:t>
      </w:r>
    </w:p>
    <w:p w14:paraId="56E777C7" w14:textId="77777777" w:rsidR="00831FB7" w:rsidRPr="004A73C1" w:rsidRDefault="00831FB7" w:rsidP="00EF2E34">
      <w:pPr>
        <w:spacing w:line="360" w:lineRule="auto"/>
        <w:jc w:val="both"/>
        <w:rPr>
          <w:rFonts w:ascii="Arial" w:hAnsi="Arial" w:cs="Arial"/>
          <w:color w:val="000000"/>
          <w:sz w:val="24"/>
          <w:szCs w:val="24"/>
          <w:shd w:val="clear" w:color="auto" w:fill="FFFFFF"/>
        </w:rPr>
      </w:pPr>
      <w:r w:rsidRPr="004A73C1">
        <w:rPr>
          <w:rFonts w:ascii="Arial" w:hAnsi="Arial" w:cs="Arial"/>
          <w:color w:val="000000"/>
          <w:sz w:val="24"/>
          <w:szCs w:val="24"/>
          <w:shd w:val="clear" w:color="auto" w:fill="FFFFFF"/>
        </w:rPr>
        <w:t>Another relevant study is "Does Unemployment Hinder Foreign Direct Investment Inflows? Empirical Evidence from Four Central European Countries" by Balázs Égert. This research investigates the relationship between unemployment and FDI inflows in four Central European countries.</w:t>
      </w:r>
    </w:p>
    <w:p w14:paraId="11EDC94C" w14:textId="5982D9DD" w:rsidR="00831FB7" w:rsidRPr="004A73C1" w:rsidRDefault="00831FB7" w:rsidP="00EF2E34">
      <w:pPr>
        <w:spacing w:line="360" w:lineRule="auto"/>
        <w:jc w:val="both"/>
        <w:rPr>
          <w:rFonts w:ascii="Arial" w:hAnsi="Arial" w:cs="Arial"/>
          <w:color w:val="000000"/>
          <w:sz w:val="24"/>
          <w:szCs w:val="24"/>
          <w:shd w:val="clear" w:color="auto" w:fill="FFFFFF"/>
        </w:rPr>
      </w:pPr>
      <w:r w:rsidRPr="004A73C1">
        <w:rPr>
          <w:rFonts w:ascii="Arial" w:hAnsi="Arial" w:cs="Arial"/>
          <w:color w:val="000000"/>
          <w:sz w:val="24"/>
          <w:szCs w:val="24"/>
          <w:shd w:val="clear" w:color="auto" w:fill="FFFFFF"/>
        </w:rPr>
        <w:lastRenderedPageBreak/>
        <w:t>These studies provide insights into how unemployment can influence FDI and are valuable resources for understanding the relationship between these two economic factors.</w:t>
      </w:r>
    </w:p>
    <w:p w14:paraId="44143475" w14:textId="05765B53" w:rsidR="0059145A" w:rsidRPr="004A73C1" w:rsidRDefault="00CA52E6" w:rsidP="002836D7">
      <w:pPr>
        <w:pStyle w:val="Heading3"/>
        <w:rPr>
          <w:rFonts w:ascii="Arial" w:hAnsi="Arial" w:cs="Arial"/>
          <w:color w:val="auto"/>
        </w:rPr>
      </w:pPr>
      <w:bookmarkStart w:id="145" w:name="_Toc175056490"/>
      <w:bookmarkStart w:id="146" w:name="_Toc175675379"/>
      <w:r w:rsidRPr="004A73C1">
        <w:rPr>
          <w:rFonts w:ascii="Arial" w:hAnsi="Arial" w:cs="Arial"/>
          <w:color w:val="auto"/>
        </w:rPr>
        <w:t>4.6.4</w:t>
      </w:r>
      <w:r w:rsidRPr="004A73C1">
        <w:rPr>
          <w:rFonts w:ascii="Arial" w:hAnsi="Arial" w:cs="Arial"/>
          <w:color w:val="auto"/>
        </w:rPr>
        <w:tab/>
      </w:r>
      <w:r w:rsidR="00D47A6A" w:rsidRPr="004A73C1">
        <w:rPr>
          <w:rFonts w:ascii="Arial" w:hAnsi="Arial" w:cs="Arial"/>
          <w:color w:val="auto"/>
        </w:rPr>
        <w:t>Technology and Infrastructure</w:t>
      </w:r>
      <w:bookmarkEnd w:id="145"/>
      <w:bookmarkEnd w:id="146"/>
    </w:p>
    <w:p w14:paraId="572F7EF6" w14:textId="1C8031C1" w:rsidR="00D47A6A" w:rsidRPr="004A73C1" w:rsidRDefault="00D47A6A" w:rsidP="00EF2E34">
      <w:pPr>
        <w:spacing w:line="360" w:lineRule="auto"/>
        <w:jc w:val="both"/>
        <w:rPr>
          <w:rFonts w:ascii="Arial" w:hAnsi="Arial" w:cs="Arial"/>
          <w:color w:val="000000"/>
          <w:sz w:val="24"/>
          <w:szCs w:val="24"/>
          <w:shd w:val="clear" w:color="auto" w:fill="FFFFFF"/>
        </w:rPr>
      </w:pPr>
      <w:r w:rsidRPr="004A73C1">
        <w:rPr>
          <w:rFonts w:ascii="Arial" w:hAnsi="Arial" w:cs="Arial"/>
          <w:color w:val="000000"/>
          <w:sz w:val="24"/>
          <w:szCs w:val="24"/>
          <w:shd w:val="clear" w:color="auto" w:fill="FFFFFF"/>
        </w:rPr>
        <w:t>The importance of technology and infrastructure in the context of foreign direct investment (FDI) cannot be understated. Both factors play a crucial role in attracting and sustaining FDI</w:t>
      </w:r>
      <w:r w:rsidR="00B907C2" w:rsidRPr="004A73C1">
        <w:rPr>
          <w:rFonts w:ascii="Arial" w:hAnsi="Arial" w:cs="Arial"/>
          <w:color w:val="000000"/>
          <w:sz w:val="24"/>
          <w:szCs w:val="24"/>
          <w:shd w:val="clear" w:color="auto" w:fill="FFFFFF"/>
        </w:rPr>
        <w:t xml:space="preserve"> and </w:t>
      </w:r>
      <w:r w:rsidRPr="004A73C1">
        <w:rPr>
          <w:rFonts w:ascii="Arial" w:hAnsi="Arial" w:cs="Arial"/>
          <w:color w:val="000000"/>
          <w:sz w:val="24"/>
          <w:szCs w:val="24"/>
          <w:shd w:val="clear" w:color="auto" w:fill="FFFFFF"/>
        </w:rPr>
        <w:t>have significant implications for the host country's economic development.</w:t>
      </w:r>
    </w:p>
    <w:p w14:paraId="79EDC7FD" w14:textId="249D9D38" w:rsidR="00D47A6A" w:rsidRPr="004A73C1" w:rsidRDefault="00D47A6A" w:rsidP="00EF2E34">
      <w:pPr>
        <w:spacing w:line="360" w:lineRule="auto"/>
        <w:jc w:val="both"/>
        <w:rPr>
          <w:rFonts w:ascii="Arial" w:hAnsi="Arial" w:cs="Arial"/>
          <w:color w:val="000000"/>
          <w:sz w:val="24"/>
          <w:szCs w:val="24"/>
          <w:shd w:val="clear" w:color="auto" w:fill="FFFFFF"/>
        </w:rPr>
      </w:pPr>
      <w:r w:rsidRPr="004A73C1">
        <w:rPr>
          <w:rFonts w:ascii="Arial" w:hAnsi="Arial" w:cs="Arial"/>
          <w:color w:val="000000"/>
          <w:sz w:val="24"/>
          <w:szCs w:val="24"/>
          <w:shd w:val="clear" w:color="auto" w:fill="FFFFFF"/>
        </w:rPr>
        <w:t xml:space="preserve">In terms of technology, advanced technological capabilities and innovation are </w:t>
      </w:r>
      <w:r w:rsidR="00B907C2" w:rsidRPr="004A73C1">
        <w:rPr>
          <w:rFonts w:ascii="Arial" w:hAnsi="Arial" w:cs="Arial"/>
          <w:color w:val="000000"/>
          <w:sz w:val="24"/>
          <w:szCs w:val="24"/>
          <w:shd w:val="clear" w:color="auto" w:fill="FFFFFF"/>
        </w:rPr>
        <w:t>significant</w:t>
      </w:r>
      <w:r w:rsidRPr="004A73C1">
        <w:rPr>
          <w:rFonts w:ascii="Arial" w:hAnsi="Arial" w:cs="Arial"/>
          <w:color w:val="000000"/>
          <w:sz w:val="24"/>
          <w:szCs w:val="24"/>
          <w:shd w:val="clear" w:color="auto" w:fill="FFFFFF"/>
        </w:rPr>
        <w:t xml:space="preserve"> drivers of FDI. When multinational enterprises invest in a host country, they often bring advanced technology, know-how, and expertise. This technology transfer can significantly enhance the host country's industrial capabilities, productivity, and competitiveness. Additionally, the spillover effects of FDI-related technology and knowledge transfer can benefit local firms and industries, leading to broader economic development.</w:t>
      </w:r>
    </w:p>
    <w:p w14:paraId="2586A64F" w14:textId="1D3B5C78" w:rsidR="009275DA" w:rsidRPr="004A73C1" w:rsidRDefault="009275DA" w:rsidP="00EF2E34">
      <w:pPr>
        <w:spacing w:line="360" w:lineRule="auto"/>
        <w:jc w:val="both"/>
        <w:rPr>
          <w:rFonts w:ascii="Arial" w:hAnsi="Arial" w:cs="Arial"/>
          <w:color w:val="000000"/>
          <w:sz w:val="24"/>
          <w:szCs w:val="24"/>
          <w:shd w:val="clear" w:color="auto" w:fill="FFFFFF"/>
        </w:rPr>
      </w:pPr>
      <w:r w:rsidRPr="004A73C1">
        <w:rPr>
          <w:rFonts w:ascii="Arial" w:hAnsi="Arial" w:cs="Arial"/>
          <w:color w:val="000000"/>
          <w:sz w:val="24"/>
          <w:szCs w:val="24"/>
          <w:shd w:val="clear" w:color="auto" w:fill="FFFFFF"/>
        </w:rPr>
        <w:t>Following is the main target for the UK to invest and develop in tech sectors.</w:t>
      </w:r>
    </w:p>
    <w:p w14:paraId="4BCCBB83" w14:textId="2B614837" w:rsidR="00740D35" w:rsidRPr="004A73C1" w:rsidRDefault="009275DA" w:rsidP="00EF2E34">
      <w:pPr>
        <w:spacing w:line="360" w:lineRule="auto"/>
        <w:jc w:val="both"/>
        <w:rPr>
          <w:rFonts w:ascii="Arial" w:hAnsi="Arial" w:cs="Arial"/>
          <w:color w:val="000000"/>
          <w:sz w:val="24"/>
          <w:szCs w:val="24"/>
          <w:shd w:val="clear" w:color="auto" w:fill="FFFFFF"/>
        </w:rPr>
      </w:pPr>
      <w:r w:rsidRPr="004A73C1">
        <w:rPr>
          <w:rFonts w:ascii="Arial" w:hAnsi="Arial" w:cs="Arial"/>
          <w:noProof/>
          <w:color w:val="000000"/>
          <w:sz w:val="24"/>
          <w:szCs w:val="24"/>
          <w:shd w:val="clear" w:color="auto" w:fill="FFFFFF"/>
        </w:rPr>
        <w:lastRenderedPageBreak/>
        <w:drawing>
          <wp:inline distT="0" distB="0" distL="0" distR="0" wp14:anchorId="2F023ADB" wp14:editId="3F746641">
            <wp:extent cx="5731510" cy="5614670"/>
            <wp:effectExtent l="0" t="0" r="2540" b="5080"/>
            <wp:docPr id="1496813088" name="Picture 1" descr="A diagram of 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813088" name="Picture 1" descr="A diagram of a diagram of a diagram&#10;&#10;Description automatically generated with medium confidence"/>
                    <pic:cNvPicPr/>
                  </pic:nvPicPr>
                  <pic:blipFill>
                    <a:blip r:embed="rId51"/>
                    <a:stretch>
                      <a:fillRect/>
                    </a:stretch>
                  </pic:blipFill>
                  <pic:spPr>
                    <a:xfrm>
                      <a:off x="0" y="0"/>
                      <a:ext cx="5731510" cy="5614670"/>
                    </a:xfrm>
                    <a:prstGeom prst="rect">
                      <a:avLst/>
                    </a:prstGeom>
                  </pic:spPr>
                </pic:pic>
              </a:graphicData>
            </a:graphic>
          </wp:inline>
        </w:drawing>
      </w:r>
    </w:p>
    <w:p w14:paraId="19B4B6BA" w14:textId="78A72326" w:rsidR="009275DA" w:rsidRPr="004A73C1" w:rsidRDefault="00740D35" w:rsidP="00EF2E34">
      <w:pPr>
        <w:spacing w:line="360" w:lineRule="auto"/>
        <w:jc w:val="both"/>
        <w:rPr>
          <w:rFonts w:ascii="Arial" w:hAnsi="Arial" w:cs="Arial"/>
          <w:color w:val="000000"/>
          <w:sz w:val="24"/>
          <w:szCs w:val="24"/>
          <w:shd w:val="clear" w:color="auto" w:fill="FFFFFF"/>
        </w:rPr>
      </w:pPr>
      <w:r w:rsidRPr="004A73C1">
        <w:rPr>
          <w:rFonts w:ascii="Arial" w:hAnsi="Arial" w:cs="Arial"/>
        </w:rPr>
        <w:t xml:space="preserve">Figure </w:t>
      </w:r>
      <w:r w:rsidR="00C75C62" w:rsidRPr="004A73C1">
        <w:rPr>
          <w:rFonts w:ascii="Arial" w:hAnsi="Arial" w:cs="Arial"/>
        </w:rPr>
        <w:t>31</w:t>
      </w:r>
      <w:r w:rsidR="00F90E4F" w:rsidRPr="004A73C1">
        <w:rPr>
          <w:rFonts w:ascii="Arial" w:hAnsi="Arial" w:cs="Arial"/>
        </w:rPr>
        <w:tab/>
      </w:r>
      <w:r w:rsidR="00F90E4F" w:rsidRPr="004A73C1">
        <w:rPr>
          <w:rFonts w:ascii="Arial" w:hAnsi="Arial" w:cs="Arial"/>
        </w:rPr>
        <w:tab/>
      </w:r>
      <w:r w:rsidR="009275DA" w:rsidRPr="004A73C1">
        <w:rPr>
          <w:rFonts w:ascii="Arial" w:hAnsi="Arial" w:cs="Arial"/>
          <w:color w:val="000000"/>
          <w:sz w:val="24"/>
          <w:szCs w:val="24"/>
          <w:shd w:val="clear" w:color="auto" w:fill="FFFFFF"/>
        </w:rPr>
        <w:t>Source-</w:t>
      </w:r>
      <w:r w:rsidR="009275DA" w:rsidRPr="004A73C1">
        <w:rPr>
          <w:rFonts w:ascii="Arial" w:hAnsi="Arial" w:cs="Arial"/>
        </w:rPr>
        <w:t xml:space="preserve"> A</w:t>
      </w:r>
      <w:r w:rsidR="009275DA" w:rsidRPr="004A73C1">
        <w:rPr>
          <w:rFonts w:ascii="Arial" w:hAnsi="Arial" w:cs="Arial"/>
          <w:color w:val="000000"/>
          <w:sz w:val="24"/>
          <w:szCs w:val="24"/>
          <w:shd w:val="clear" w:color="auto" w:fill="FFFFFF"/>
        </w:rPr>
        <w:t>ssets.publishing.service.gov.uk</w:t>
      </w:r>
    </w:p>
    <w:p w14:paraId="6AE2FF3D" w14:textId="22709F20" w:rsidR="00D47A6A" w:rsidRPr="004A73C1" w:rsidRDefault="00D47A6A" w:rsidP="00EF2E34">
      <w:pPr>
        <w:spacing w:line="360" w:lineRule="auto"/>
        <w:jc w:val="both"/>
        <w:rPr>
          <w:rFonts w:ascii="Arial" w:hAnsi="Arial" w:cs="Arial"/>
          <w:color w:val="000000"/>
          <w:sz w:val="24"/>
          <w:szCs w:val="24"/>
          <w:shd w:val="clear" w:color="auto" w:fill="FFFFFF"/>
        </w:rPr>
      </w:pPr>
      <w:r w:rsidRPr="004A73C1">
        <w:rPr>
          <w:rFonts w:ascii="Arial" w:hAnsi="Arial" w:cs="Arial"/>
          <w:color w:val="000000"/>
          <w:sz w:val="24"/>
          <w:szCs w:val="24"/>
          <w:shd w:val="clear" w:color="auto" w:fill="FFFFFF"/>
        </w:rPr>
        <w:t xml:space="preserve">On the other hand, infrastructure development is equally vital for attracting and supporting FDI. Well-developed infrastructure, including transportation networks, communication systems, energy facilities, and logistical support, is essential for businesses to operate efficiently and cost-effectively. Adequate infrastructure </w:t>
      </w:r>
      <w:r w:rsidR="009275DA" w:rsidRPr="004A73C1">
        <w:rPr>
          <w:rFonts w:ascii="Arial" w:hAnsi="Arial" w:cs="Arial"/>
          <w:color w:val="000000"/>
          <w:sz w:val="24"/>
          <w:szCs w:val="24"/>
          <w:shd w:val="clear" w:color="auto" w:fill="FFFFFF"/>
        </w:rPr>
        <w:t>facilitates the movement of goods and services and</w:t>
      </w:r>
      <w:r w:rsidRPr="004A73C1">
        <w:rPr>
          <w:rFonts w:ascii="Arial" w:hAnsi="Arial" w:cs="Arial"/>
          <w:color w:val="000000"/>
          <w:sz w:val="24"/>
          <w:szCs w:val="24"/>
          <w:shd w:val="clear" w:color="auto" w:fill="FFFFFF"/>
        </w:rPr>
        <w:t xml:space="preserve"> contributes to </w:t>
      </w:r>
      <w:r w:rsidR="009275DA" w:rsidRPr="004A73C1">
        <w:rPr>
          <w:rFonts w:ascii="Arial" w:hAnsi="Arial" w:cs="Arial"/>
          <w:color w:val="000000"/>
          <w:sz w:val="24"/>
          <w:szCs w:val="24"/>
          <w:shd w:val="clear" w:color="auto" w:fill="FFFFFF"/>
        </w:rPr>
        <w:t xml:space="preserve">the quality of the overall business environment </w:t>
      </w:r>
      <w:r w:rsidRPr="004A73C1">
        <w:rPr>
          <w:rFonts w:ascii="Arial" w:hAnsi="Arial" w:cs="Arial"/>
          <w:color w:val="000000"/>
          <w:sz w:val="24"/>
          <w:szCs w:val="24"/>
          <w:shd w:val="clear" w:color="auto" w:fill="FFFFFF"/>
        </w:rPr>
        <w:t xml:space="preserve">and investor confidence. Moreover, robust infrastructure can lower production costs, </w:t>
      </w:r>
      <w:r w:rsidR="009275DA" w:rsidRPr="004A73C1">
        <w:rPr>
          <w:rFonts w:ascii="Arial" w:hAnsi="Arial" w:cs="Arial"/>
          <w:color w:val="000000"/>
          <w:sz w:val="24"/>
          <w:szCs w:val="24"/>
          <w:shd w:val="clear" w:color="auto" w:fill="FFFFFF"/>
        </w:rPr>
        <w:t>minimise</w:t>
      </w:r>
      <w:r w:rsidRPr="004A73C1">
        <w:rPr>
          <w:rFonts w:ascii="Arial" w:hAnsi="Arial" w:cs="Arial"/>
          <w:color w:val="000000"/>
          <w:sz w:val="24"/>
          <w:szCs w:val="24"/>
          <w:shd w:val="clear" w:color="auto" w:fill="FFFFFF"/>
        </w:rPr>
        <w:t xml:space="preserve"> operational risks, and improve connectivity, making the host country more attractive for FDI.</w:t>
      </w:r>
    </w:p>
    <w:p w14:paraId="0C95AE71" w14:textId="420F4997" w:rsidR="00D47A6A" w:rsidRPr="004A73C1" w:rsidRDefault="009275DA" w:rsidP="00EF2E34">
      <w:pPr>
        <w:spacing w:line="360" w:lineRule="auto"/>
        <w:jc w:val="both"/>
        <w:rPr>
          <w:rFonts w:ascii="Arial" w:hAnsi="Arial" w:cs="Arial"/>
          <w:color w:val="000000"/>
          <w:sz w:val="24"/>
          <w:szCs w:val="24"/>
          <w:shd w:val="clear" w:color="auto" w:fill="FFFFFF"/>
        </w:rPr>
      </w:pPr>
      <w:r w:rsidRPr="004A73C1">
        <w:rPr>
          <w:rFonts w:ascii="Arial" w:hAnsi="Arial" w:cs="Arial"/>
          <w:color w:val="000000"/>
          <w:sz w:val="24"/>
          <w:szCs w:val="24"/>
          <w:shd w:val="clear" w:color="auto" w:fill="FFFFFF"/>
        </w:rPr>
        <w:t xml:space="preserve">Contrastingly, when we evaluate the United Kingdom's position in </w:t>
      </w:r>
      <w:r w:rsidR="00D47A6A" w:rsidRPr="004A73C1">
        <w:rPr>
          <w:rFonts w:ascii="Arial" w:hAnsi="Arial" w:cs="Arial"/>
          <w:color w:val="000000"/>
          <w:sz w:val="24"/>
          <w:szCs w:val="24"/>
          <w:shd w:val="clear" w:color="auto" w:fill="FFFFFF"/>
        </w:rPr>
        <w:t xml:space="preserve">technology and infrastructure, we find that the UK has traditionally been regarded as a global leader in technological innovation and infrastructure development. The country has a strong legacy of research and development, a well-educated workforce, and a thriving digital </w:t>
      </w:r>
      <w:r w:rsidR="00D47A6A" w:rsidRPr="004A73C1">
        <w:rPr>
          <w:rFonts w:ascii="Arial" w:hAnsi="Arial" w:cs="Arial"/>
          <w:color w:val="000000"/>
          <w:sz w:val="24"/>
          <w:szCs w:val="24"/>
          <w:shd w:val="clear" w:color="auto" w:fill="FFFFFF"/>
        </w:rPr>
        <w:lastRenderedPageBreak/>
        <w:t>economy, making it an attractive destination for technology-driven FDI. Furthermore, the UK's well-established infrastructure networks, including world-class transportation systems and modern communication technologies, facilitate efficient business operations and logistics, providing a conducive environment for foreign investors.</w:t>
      </w:r>
    </w:p>
    <w:p w14:paraId="477E5CB2" w14:textId="273A0A8E" w:rsidR="0074690E" w:rsidRPr="004A73C1" w:rsidRDefault="0074690E" w:rsidP="00EF2E34">
      <w:pPr>
        <w:spacing w:line="360" w:lineRule="auto"/>
        <w:jc w:val="both"/>
        <w:rPr>
          <w:rFonts w:ascii="Arial" w:hAnsi="Arial" w:cs="Arial"/>
          <w:color w:val="000000"/>
          <w:sz w:val="24"/>
          <w:szCs w:val="24"/>
          <w:shd w:val="clear" w:color="auto" w:fill="FFFFFF"/>
        </w:rPr>
      </w:pPr>
      <w:r w:rsidRPr="004A73C1">
        <w:rPr>
          <w:rFonts w:ascii="Arial" w:hAnsi="Arial" w:cs="Arial"/>
          <w:noProof/>
        </w:rPr>
        <w:drawing>
          <wp:inline distT="0" distB="0" distL="0" distR="0" wp14:anchorId="78B3A095" wp14:editId="578328A5">
            <wp:extent cx="5731510" cy="3462655"/>
            <wp:effectExtent l="0" t="0" r="2540" b="4445"/>
            <wp:docPr id="1066394775" name="Chart 1">
              <a:extLst xmlns:a="http://schemas.openxmlformats.org/drawingml/2006/main">
                <a:ext uri="{FF2B5EF4-FFF2-40B4-BE49-F238E27FC236}">
                  <a16:creationId xmlns:a16="http://schemas.microsoft.com/office/drawing/2014/main" id="{6E0D8EBD-F1B1-0B6F-27E3-A2E157AA74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443F0558" w14:textId="199E67BB" w:rsidR="00740D35" w:rsidRPr="004A73C1" w:rsidRDefault="00740D35" w:rsidP="00EF2E34">
      <w:pPr>
        <w:spacing w:line="360" w:lineRule="auto"/>
        <w:jc w:val="both"/>
        <w:rPr>
          <w:rFonts w:ascii="Arial" w:hAnsi="Arial" w:cs="Arial"/>
          <w:color w:val="000000"/>
          <w:sz w:val="24"/>
          <w:szCs w:val="24"/>
          <w:shd w:val="clear" w:color="auto" w:fill="FFFFFF"/>
        </w:rPr>
      </w:pPr>
      <w:r w:rsidRPr="004A73C1">
        <w:rPr>
          <w:rFonts w:ascii="Arial" w:hAnsi="Arial" w:cs="Arial"/>
        </w:rPr>
        <w:t xml:space="preserve">Figure </w:t>
      </w:r>
      <w:r w:rsidR="00C75C62" w:rsidRPr="004A73C1">
        <w:rPr>
          <w:rFonts w:ascii="Arial" w:hAnsi="Arial" w:cs="Arial"/>
        </w:rPr>
        <w:t>32</w:t>
      </w:r>
      <w:r w:rsidR="00F90E4F" w:rsidRPr="004A73C1">
        <w:rPr>
          <w:rFonts w:ascii="Arial" w:hAnsi="Arial" w:cs="Arial"/>
        </w:rPr>
        <w:tab/>
      </w:r>
      <w:r w:rsidR="00F90E4F" w:rsidRPr="004A73C1">
        <w:rPr>
          <w:rFonts w:ascii="Arial" w:hAnsi="Arial" w:cs="Arial"/>
        </w:rPr>
        <w:tab/>
      </w:r>
      <w:r w:rsidRPr="004A73C1">
        <w:rPr>
          <w:rFonts w:ascii="Arial" w:hAnsi="Arial" w:cs="Arial"/>
        </w:rPr>
        <w:t>Source- ONS.Gov.UK</w:t>
      </w:r>
    </w:p>
    <w:p w14:paraId="66BA35B3" w14:textId="277DCDA2" w:rsidR="00D47A6A" w:rsidRPr="004A73C1" w:rsidRDefault="00D47A6A" w:rsidP="00EF2E34">
      <w:pPr>
        <w:spacing w:line="360" w:lineRule="auto"/>
        <w:jc w:val="both"/>
        <w:rPr>
          <w:rFonts w:ascii="Arial" w:hAnsi="Arial" w:cs="Arial"/>
          <w:color w:val="000000"/>
          <w:sz w:val="24"/>
          <w:szCs w:val="24"/>
          <w:shd w:val="clear" w:color="auto" w:fill="FFFFFF"/>
        </w:rPr>
      </w:pPr>
      <w:r w:rsidRPr="004A73C1">
        <w:rPr>
          <w:rFonts w:ascii="Arial" w:hAnsi="Arial" w:cs="Arial"/>
          <w:color w:val="000000"/>
          <w:sz w:val="24"/>
          <w:szCs w:val="24"/>
          <w:shd w:val="clear" w:color="auto" w:fill="FFFFFF"/>
        </w:rPr>
        <w:t>In conclusion, both technology and infrastructure are critical determinants of a host country's attractiveness for FDI. While the UK has historically demonstrated strength in these areas, ongoing investment in technology and infrastructure remains essential to maintaining its competitive edge and continuing to attract FDI.</w:t>
      </w:r>
    </w:p>
    <w:p w14:paraId="5A91C06E" w14:textId="77777777" w:rsidR="00B907C2" w:rsidRPr="004A73C1" w:rsidRDefault="004F31D5" w:rsidP="00EF2E34">
      <w:pPr>
        <w:spacing w:line="360" w:lineRule="auto"/>
        <w:jc w:val="both"/>
        <w:rPr>
          <w:rFonts w:ascii="Arial" w:hAnsi="Arial" w:cs="Arial"/>
          <w:color w:val="000000"/>
          <w:sz w:val="24"/>
          <w:szCs w:val="24"/>
          <w:shd w:val="clear" w:color="auto" w:fill="FFFFFF"/>
        </w:rPr>
      </w:pPr>
      <w:r w:rsidRPr="004A73C1">
        <w:rPr>
          <w:rFonts w:ascii="Arial" w:hAnsi="Arial" w:cs="Arial"/>
          <w:color w:val="000000"/>
          <w:sz w:val="24"/>
          <w:szCs w:val="24"/>
          <w:shd w:val="clear" w:color="auto" w:fill="FFFFFF"/>
        </w:rPr>
        <w:t xml:space="preserve">In 2022, the UK IT sector reached a $1 trillion valuation, becoming the third country in history to do so, after the US and China. This success is attributed to steady development. The achievement indicates that the UK IT sector is outperforming its European counterparts, valued at over twice as much as Germany ($467.2 billion) and three times as much as France ($307.5 billion). </w:t>
      </w:r>
      <w:r w:rsidR="009275DA" w:rsidRPr="004A73C1">
        <w:rPr>
          <w:rFonts w:ascii="Arial" w:hAnsi="Arial" w:cs="Arial"/>
          <w:color w:val="000000"/>
          <w:sz w:val="24"/>
          <w:szCs w:val="24"/>
          <w:shd w:val="clear" w:color="auto" w:fill="FFFFFF"/>
        </w:rPr>
        <w:t xml:space="preserve">The UK IT sector also </w:t>
      </w:r>
      <w:r w:rsidR="0072374D" w:rsidRPr="004A73C1">
        <w:rPr>
          <w:rFonts w:ascii="Arial" w:hAnsi="Arial" w:cs="Arial"/>
          <w:color w:val="000000"/>
          <w:sz w:val="24"/>
          <w:szCs w:val="24"/>
          <w:shd w:val="clear" w:color="auto" w:fill="FFFFFF"/>
        </w:rPr>
        <w:t>leads</w:t>
      </w:r>
      <w:r w:rsidRPr="004A73C1">
        <w:rPr>
          <w:rFonts w:ascii="Arial" w:hAnsi="Arial" w:cs="Arial"/>
          <w:color w:val="000000"/>
          <w:sz w:val="24"/>
          <w:szCs w:val="24"/>
          <w:shd w:val="clear" w:color="auto" w:fill="FFFFFF"/>
        </w:rPr>
        <w:t xml:space="preserve"> in total funding, unicorns, and startup counts.</w:t>
      </w:r>
    </w:p>
    <w:p w14:paraId="0EB5A568" w14:textId="14FD218B" w:rsidR="004F31D5" w:rsidRDefault="009275DA" w:rsidP="00EF2E34">
      <w:pPr>
        <w:spacing w:line="360" w:lineRule="auto"/>
        <w:jc w:val="both"/>
        <w:rPr>
          <w:rFonts w:ascii="Arial" w:hAnsi="Arial" w:cs="Arial"/>
          <w:color w:val="000000"/>
          <w:sz w:val="24"/>
          <w:szCs w:val="24"/>
          <w:shd w:val="clear" w:color="auto" w:fill="FFFFFF"/>
        </w:rPr>
      </w:pPr>
      <w:r w:rsidRPr="004A73C1">
        <w:rPr>
          <w:rFonts w:ascii="Arial" w:hAnsi="Arial" w:cs="Arial"/>
          <w:color w:val="000000"/>
          <w:sz w:val="24"/>
          <w:szCs w:val="24"/>
          <w:shd w:val="clear" w:color="auto" w:fill="FFFFFF"/>
        </w:rPr>
        <w:t xml:space="preserve"> </w:t>
      </w:r>
      <w:r w:rsidR="004F31D5" w:rsidRPr="004A73C1">
        <w:rPr>
          <w:rFonts w:ascii="Arial" w:hAnsi="Arial" w:cs="Arial"/>
          <w:color w:val="000000"/>
          <w:sz w:val="24"/>
          <w:szCs w:val="24"/>
          <w:shd w:val="clear" w:color="auto" w:fill="FFFFFF"/>
        </w:rPr>
        <w:t>(Source-</w:t>
      </w:r>
      <w:r w:rsidR="004F31D5" w:rsidRPr="004A73C1">
        <w:rPr>
          <w:rFonts w:ascii="Arial" w:hAnsi="Arial" w:cs="Arial"/>
        </w:rPr>
        <w:t xml:space="preserve"> </w:t>
      </w:r>
      <w:hyperlink r:id="rId53" w:history="1">
        <w:r w:rsidR="00ED3916" w:rsidRPr="005A42FC">
          <w:rPr>
            <w:rStyle w:val="Hyperlink"/>
            <w:rFonts w:ascii="Arial" w:hAnsi="Arial" w:cs="Arial"/>
            <w:sz w:val="24"/>
            <w:szCs w:val="24"/>
            <w:shd w:val="clear" w:color="auto" w:fill="FFFFFF"/>
          </w:rPr>
          <w:t>https://www.gov.uk/government/news/uk-tech-sector</w:t>
        </w:r>
      </w:hyperlink>
      <w:r w:rsidR="004F31D5" w:rsidRPr="004A73C1">
        <w:rPr>
          <w:rFonts w:ascii="Arial" w:hAnsi="Arial" w:cs="Arial"/>
          <w:color w:val="000000"/>
          <w:sz w:val="24"/>
          <w:szCs w:val="24"/>
          <w:shd w:val="clear" w:color="auto" w:fill="FFFFFF"/>
        </w:rPr>
        <w:t>)</w:t>
      </w:r>
    </w:p>
    <w:p w14:paraId="3EE8885A" w14:textId="77777777" w:rsidR="00ED3916" w:rsidRDefault="00ED3916" w:rsidP="00EF2E34">
      <w:pPr>
        <w:spacing w:line="360" w:lineRule="auto"/>
        <w:jc w:val="both"/>
        <w:rPr>
          <w:rFonts w:ascii="Arial" w:hAnsi="Arial" w:cs="Arial"/>
          <w:color w:val="000000"/>
          <w:sz w:val="24"/>
          <w:szCs w:val="24"/>
          <w:shd w:val="clear" w:color="auto" w:fill="FFFFFF"/>
        </w:rPr>
      </w:pPr>
    </w:p>
    <w:p w14:paraId="6BCE0247" w14:textId="77777777" w:rsidR="00ED3916" w:rsidRDefault="00ED3916" w:rsidP="00EF2E34">
      <w:pPr>
        <w:spacing w:line="360" w:lineRule="auto"/>
        <w:jc w:val="both"/>
        <w:rPr>
          <w:rFonts w:ascii="Arial" w:hAnsi="Arial" w:cs="Arial"/>
          <w:color w:val="000000"/>
          <w:sz w:val="24"/>
          <w:szCs w:val="24"/>
          <w:shd w:val="clear" w:color="auto" w:fill="FFFFFF"/>
        </w:rPr>
      </w:pPr>
    </w:p>
    <w:p w14:paraId="2F7F8E06" w14:textId="77777777" w:rsidR="00ED3916" w:rsidRDefault="00ED3916" w:rsidP="00EF2E34">
      <w:pPr>
        <w:spacing w:line="360" w:lineRule="auto"/>
        <w:jc w:val="both"/>
        <w:rPr>
          <w:rFonts w:ascii="Arial" w:hAnsi="Arial" w:cs="Arial"/>
          <w:color w:val="000000"/>
          <w:sz w:val="24"/>
          <w:szCs w:val="24"/>
          <w:shd w:val="clear" w:color="auto" w:fill="FFFFFF"/>
        </w:rPr>
      </w:pPr>
    </w:p>
    <w:p w14:paraId="20E22D13" w14:textId="77777777" w:rsidR="00ED3916" w:rsidRDefault="00ED3916" w:rsidP="00EF2E34">
      <w:pPr>
        <w:spacing w:line="360" w:lineRule="auto"/>
        <w:jc w:val="both"/>
        <w:rPr>
          <w:rFonts w:ascii="Arial" w:hAnsi="Arial" w:cs="Arial"/>
          <w:color w:val="000000"/>
          <w:sz w:val="24"/>
          <w:szCs w:val="24"/>
          <w:shd w:val="clear" w:color="auto" w:fill="FFFFFF"/>
        </w:rPr>
      </w:pPr>
    </w:p>
    <w:p w14:paraId="73651BC8" w14:textId="57A78053" w:rsidR="0072374D" w:rsidRPr="004A73C1" w:rsidRDefault="00CA52E6" w:rsidP="002836D7">
      <w:pPr>
        <w:pStyle w:val="Heading3"/>
        <w:rPr>
          <w:rFonts w:ascii="Arial" w:hAnsi="Arial" w:cs="Arial"/>
          <w:color w:val="auto"/>
        </w:rPr>
      </w:pPr>
      <w:bookmarkStart w:id="147" w:name="_Toc175056491"/>
      <w:bookmarkStart w:id="148" w:name="_Toc175675380"/>
      <w:r w:rsidRPr="004A73C1">
        <w:rPr>
          <w:rFonts w:ascii="Arial" w:hAnsi="Arial" w:cs="Arial"/>
          <w:color w:val="auto"/>
        </w:rPr>
        <w:lastRenderedPageBreak/>
        <w:t>4.6.5</w:t>
      </w:r>
      <w:r w:rsidRPr="004A73C1">
        <w:rPr>
          <w:rFonts w:ascii="Arial" w:hAnsi="Arial" w:cs="Arial"/>
          <w:color w:val="auto"/>
        </w:rPr>
        <w:tab/>
      </w:r>
      <w:r w:rsidR="00D47A6A" w:rsidRPr="004A73C1">
        <w:rPr>
          <w:rFonts w:ascii="Arial" w:hAnsi="Arial" w:cs="Arial"/>
          <w:color w:val="auto"/>
        </w:rPr>
        <w:t xml:space="preserve">Analysis of our First </w:t>
      </w:r>
      <w:r w:rsidRPr="004A73C1">
        <w:rPr>
          <w:rFonts w:ascii="Arial" w:hAnsi="Arial" w:cs="Arial"/>
          <w:color w:val="auto"/>
        </w:rPr>
        <w:t>Objective</w:t>
      </w:r>
      <w:r w:rsidR="00BF432F" w:rsidRPr="004A73C1">
        <w:rPr>
          <w:rFonts w:ascii="Arial" w:hAnsi="Arial" w:cs="Arial"/>
          <w:color w:val="auto"/>
        </w:rPr>
        <w:t>: Factors for FDI</w:t>
      </w:r>
      <w:bookmarkEnd w:id="147"/>
      <w:bookmarkEnd w:id="148"/>
    </w:p>
    <w:p w14:paraId="08E7B967" w14:textId="77777777" w:rsidR="0072374D" w:rsidRPr="004A73C1" w:rsidRDefault="0072374D" w:rsidP="00EF2E34">
      <w:pPr>
        <w:spacing w:line="360" w:lineRule="auto"/>
        <w:jc w:val="both"/>
        <w:rPr>
          <w:rFonts w:ascii="Arial" w:hAnsi="Arial" w:cs="Arial"/>
          <w:sz w:val="24"/>
          <w:szCs w:val="24"/>
        </w:rPr>
      </w:pPr>
      <w:r w:rsidRPr="004A73C1">
        <w:rPr>
          <w:rFonts w:ascii="Arial" w:hAnsi="Arial" w:cs="Arial"/>
          <w:sz w:val="24"/>
          <w:szCs w:val="24"/>
        </w:rPr>
        <w:t xml:space="preserve">Upon reviewing the provided information, it's evident that political stability and the labour market are important considerations for foreign direct investment (FDI) in the UK. </w:t>
      </w:r>
    </w:p>
    <w:p w14:paraId="3CC04DB4" w14:textId="67B5FB75" w:rsidR="0072374D" w:rsidRPr="004A73C1" w:rsidRDefault="0072374D" w:rsidP="00EF2E34">
      <w:pPr>
        <w:spacing w:line="360" w:lineRule="auto"/>
        <w:jc w:val="both"/>
        <w:rPr>
          <w:rFonts w:ascii="Arial" w:hAnsi="Arial" w:cs="Arial"/>
          <w:sz w:val="24"/>
          <w:szCs w:val="24"/>
        </w:rPr>
      </w:pPr>
      <w:r w:rsidRPr="004A73C1">
        <w:rPr>
          <w:rFonts w:ascii="Arial" w:hAnsi="Arial" w:cs="Arial"/>
          <w:sz w:val="24"/>
          <w:szCs w:val="24"/>
        </w:rPr>
        <w:t xml:space="preserve">The UK demonstrates solid political stability, as indicated by its positive political stability index. This stability, along with its well-established democratic system and solid legal institutions, makes it an attractive environment for foreign investors. </w:t>
      </w:r>
    </w:p>
    <w:p w14:paraId="3871CF74" w14:textId="6757BD9D" w:rsidR="0072374D" w:rsidRPr="004A73C1" w:rsidRDefault="0072374D" w:rsidP="00EF2E34">
      <w:pPr>
        <w:spacing w:line="360" w:lineRule="auto"/>
        <w:jc w:val="both"/>
        <w:rPr>
          <w:rFonts w:ascii="Arial" w:hAnsi="Arial" w:cs="Arial"/>
          <w:sz w:val="24"/>
          <w:szCs w:val="24"/>
        </w:rPr>
      </w:pPr>
      <w:r w:rsidRPr="004A73C1">
        <w:rPr>
          <w:rFonts w:ascii="Arial" w:hAnsi="Arial" w:cs="Arial"/>
          <w:sz w:val="24"/>
          <w:szCs w:val="24"/>
        </w:rPr>
        <w:t>Regarding the labour market, the UK offers a highly skilled workforce, flexible labour laws, and favourable investment and business operations conditions. However, factors such as Brexit implications, immigration policies, and labour market regulations should be considered, as they could impact FDI attractiveness.</w:t>
      </w:r>
    </w:p>
    <w:p w14:paraId="01305F8C" w14:textId="77777777" w:rsidR="0072374D" w:rsidRPr="004A73C1" w:rsidRDefault="0072374D" w:rsidP="00EF2E34">
      <w:pPr>
        <w:spacing w:line="360" w:lineRule="auto"/>
        <w:jc w:val="both"/>
        <w:rPr>
          <w:rFonts w:ascii="Arial" w:hAnsi="Arial" w:cs="Arial"/>
          <w:sz w:val="24"/>
          <w:szCs w:val="24"/>
        </w:rPr>
      </w:pPr>
      <w:r w:rsidRPr="004A73C1">
        <w:rPr>
          <w:rFonts w:ascii="Arial" w:hAnsi="Arial" w:cs="Arial"/>
          <w:sz w:val="24"/>
          <w:szCs w:val="24"/>
        </w:rPr>
        <w:t>Furthermore, research indicates a negative correlation between FDI and overall labour costs, suggesting that higher labour costs may deter FDI inflows. Additionally, unemployment rates can also influence FDI, with high unemployment rates potentially indicating a less skilled or abundant labour force, which may be less attractive to foreign investors.</w:t>
      </w:r>
    </w:p>
    <w:p w14:paraId="37CE3F7F" w14:textId="77777777" w:rsidR="0072374D" w:rsidRPr="004A73C1" w:rsidRDefault="0072374D" w:rsidP="00EF2E34">
      <w:pPr>
        <w:spacing w:line="360" w:lineRule="auto"/>
        <w:jc w:val="both"/>
        <w:rPr>
          <w:rFonts w:ascii="Arial" w:hAnsi="Arial" w:cs="Arial"/>
          <w:sz w:val="24"/>
          <w:szCs w:val="24"/>
        </w:rPr>
      </w:pPr>
      <w:r w:rsidRPr="004A73C1">
        <w:rPr>
          <w:rFonts w:ascii="Arial" w:hAnsi="Arial" w:cs="Arial"/>
          <w:sz w:val="24"/>
          <w:szCs w:val="24"/>
        </w:rPr>
        <w:t>Upon critically analysing the data provided, it is evident that the United Kingdom, particularly regions like Greater London and the West Midlands, has experienced significant growth in foreign direct investment (FDI) projects. The numbers indicate a positive trend in FDI, with higher project numbers and an increased share of Europe's inward investment market.</w:t>
      </w:r>
    </w:p>
    <w:p w14:paraId="7E66C978" w14:textId="5501C95F" w:rsidR="0072374D" w:rsidRPr="004A73C1" w:rsidRDefault="0072374D" w:rsidP="00EF2E34">
      <w:pPr>
        <w:spacing w:line="360" w:lineRule="auto"/>
        <w:jc w:val="both"/>
        <w:rPr>
          <w:rFonts w:ascii="Arial" w:hAnsi="Arial" w:cs="Arial"/>
          <w:sz w:val="24"/>
          <w:szCs w:val="24"/>
        </w:rPr>
      </w:pPr>
      <w:r w:rsidRPr="004A73C1">
        <w:rPr>
          <w:rFonts w:ascii="Arial" w:hAnsi="Arial" w:cs="Arial"/>
          <w:sz w:val="24"/>
          <w:szCs w:val="24"/>
        </w:rPr>
        <w:t>The data also highlights the UK's success in attracting digital investment, securing a considerable portion of all European tech projects. Additionally, the UK's consistent performance in EY’s annual ranking of European countries for attracting FDI projects further emphasises its appeal to foreign investors.</w:t>
      </w:r>
    </w:p>
    <w:p w14:paraId="484C0032" w14:textId="77777777" w:rsidR="0072374D" w:rsidRPr="004A73C1" w:rsidRDefault="0072374D" w:rsidP="00EF2E34">
      <w:pPr>
        <w:spacing w:line="360" w:lineRule="auto"/>
        <w:jc w:val="both"/>
        <w:rPr>
          <w:rFonts w:ascii="Arial" w:hAnsi="Arial" w:cs="Arial"/>
          <w:sz w:val="24"/>
          <w:szCs w:val="24"/>
        </w:rPr>
      </w:pPr>
      <w:r w:rsidRPr="004A73C1">
        <w:rPr>
          <w:rFonts w:ascii="Arial" w:hAnsi="Arial" w:cs="Arial"/>
          <w:sz w:val="24"/>
          <w:szCs w:val="24"/>
        </w:rPr>
        <w:t>In conclusion, while the UK offers political stability and an attractive labour market for FDI, closely monitoring factors like labour costs and unemployment rates is crucial for the United Kingdom.</w:t>
      </w:r>
    </w:p>
    <w:p w14:paraId="379B119D" w14:textId="1F53F830" w:rsidR="00D47A6A" w:rsidRPr="004A73C1" w:rsidRDefault="00D47A6A" w:rsidP="00EF2E34">
      <w:pPr>
        <w:spacing w:line="360" w:lineRule="auto"/>
        <w:jc w:val="both"/>
        <w:rPr>
          <w:rFonts w:ascii="Arial" w:hAnsi="Arial" w:cs="Arial"/>
          <w:b/>
          <w:bCs/>
          <w:color w:val="000000"/>
          <w:sz w:val="24"/>
          <w:szCs w:val="24"/>
          <w:shd w:val="clear" w:color="auto" w:fill="FFFFFF"/>
        </w:rPr>
      </w:pPr>
      <w:r w:rsidRPr="004A73C1">
        <w:rPr>
          <w:rFonts w:ascii="Arial" w:hAnsi="Arial" w:cs="Arial"/>
          <w:b/>
          <w:bCs/>
          <w:color w:val="000000"/>
          <w:sz w:val="24"/>
          <w:szCs w:val="24"/>
          <w:shd w:val="clear" w:color="auto" w:fill="FFFFFF"/>
        </w:rPr>
        <w:br w:type="page"/>
      </w:r>
    </w:p>
    <w:p w14:paraId="54C8C135" w14:textId="7AF09908" w:rsidR="00C01CDF" w:rsidRPr="004A73C1" w:rsidRDefault="00CA52E6" w:rsidP="002836D7">
      <w:pPr>
        <w:pStyle w:val="Heading2"/>
        <w:rPr>
          <w:rFonts w:ascii="Arial" w:hAnsi="Arial" w:cs="Arial"/>
          <w:color w:val="auto"/>
        </w:rPr>
      </w:pPr>
      <w:bookmarkStart w:id="149" w:name="_Toc175056492"/>
      <w:bookmarkStart w:id="150" w:name="_Toc175675381"/>
      <w:r w:rsidRPr="004A73C1">
        <w:rPr>
          <w:rFonts w:ascii="Arial" w:hAnsi="Arial" w:cs="Arial"/>
          <w:color w:val="auto"/>
        </w:rPr>
        <w:lastRenderedPageBreak/>
        <w:t>4.7</w:t>
      </w:r>
      <w:r w:rsidRPr="004A73C1">
        <w:rPr>
          <w:rFonts w:ascii="Arial" w:hAnsi="Arial" w:cs="Arial"/>
          <w:color w:val="auto"/>
        </w:rPr>
        <w:tab/>
      </w:r>
      <w:r w:rsidR="00C01CDF" w:rsidRPr="004A73C1">
        <w:rPr>
          <w:rFonts w:ascii="Arial" w:hAnsi="Arial" w:cs="Arial"/>
          <w:color w:val="auto"/>
        </w:rPr>
        <w:t>The impact of Brexit on FDI in the UK.</w:t>
      </w:r>
      <w:bookmarkEnd w:id="149"/>
      <w:bookmarkEnd w:id="150"/>
    </w:p>
    <w:p w14:paraId="4E2A4194" w14:textId="36B470BA" w:rsidR="00C01CDF" w:rsidRPr="004A73C1" w:rsidRDefault="00C01CDF" w:rsidP="00EF2E34">
      <w:pPr>
        <w:spacing w:line="360" w:lineRule="auto"/>
        <w:jc w:val="both"/>
        <w:rPr>
          <w:rFonts w:ascii="Arial" w:hAnsi="Arial" w:cs="Arial"/>
          <w:sz w:val="24"/>
          <w:szCs w:val="24"/>
        </w:rPr>
      </w:pPr>
      <w:r w:rsidRPr="004A73C1">
        <w:rPr>
          <w:rFonts w:ascii="Arial" w:hAnsi="Arial" w:cs="Arial"/>
          <w:sz w:val="24"/>
          <w:szCs w:val="24"/>
        </w:rPr>
        <w:t xml:space="preserve">Several statistical projections suggest that the United Kingdom might suffer more losses than gains from Brexit if a suitable deal cannot be reached. This is because the lack of usual trade cooperation between the European Union and the United Kingdom would likely lead to </w:t>
      </w:r>
      <w:r w:rsidR="003E764A" w:rsidRPr="004A73C1">
        <w:rPr>
          <w:rFonts w:ascii="Arial" w:hAnsi="Arial" w:cs="Arial"/>
          <w:sz w:val="24"/>
          <w:szCs w:val="24"/>
        </w:rPr>
        <w:t>more significant</w:t>
      </w:r>
      <w:r w:rsidRPr="004A73C1">
        <w:rPr>
          <w:rFonts w:ascii="Arial" w:hAnsi="Arial" w:cs="Arial"/>
          <w:sz w:val="24"/>
          <w:szCs w:val="24"/>
        </w:rPr>
        <w:t xml:space="preserve"> losses in free trade, </w:t>
      </w:r>
      <w:r w:rsidR="003E764A" w:rsidRPr="004A73C1">
        <w:rPr>
          <w:rFonts w:ascii="Arial" w:hAnsi="Arial" w:cs="Arial"/>
          <w:sz w:val="24"/>
          <w:szCs w:val="24"/>
        </w:rPr>
        <w:t>labour</w:t>
      </w:r>
      <w:r w:rsidRPr="004A73C1">
        <w:rPr>
          <w:rFonts w:ascii="Arial" w:hAnsi="Arial" w:cs="Arial"/>
          <w:sz w:val="24"/>
          <w:szCs w:val="24"/>
        </w:rPr>
        <w:t xml:space="preserve"> supply, and profitability (Djankov, 2017).</w:t>
      </w:r>
    </w:p>
    <w:p w14:paraId="72F47A28" w14:textId="77777777" w:rsidR="003E764A" w:rsidRPr="004A73C1" w:rsidRDefault="003E764A" w:rsidP="00EF2E34">
      <w:pPr>
        <w:spacing w:line="360" w:lineRule="auto"/>
        <w:jc w:val="both"/>
        <w:rPr>
          <w:rFonts w:ascii="Arial" w:hAnsi="Arial" w:cs="Arial"/>
          <w:sz w:val="24"/>
          <w:szCs w:val="24"/>
        </w:rPr>
      </w:pPr>
      <w:r w:rsidRPr="004A73C1">
        <w:rPr>
          <w:rFonts w:ascii="Arial" w:hAnsi="Arial" w:cs="Arial"/>
          <w:sz w:val="24"/>
          <w:szCs w:val="24"/>
        </w:rPr>
        <w:t>Following Brexit, the United Kingdom's (UK) Foreign Direct Investment (FDI) experienced fluctuations. According to data from the UK's Office for National Statistics (ONS), inward FDI flows into the UK decreased by 30% in 2020 compared to the previous year, reflecting a potential impact of Brexit. However, it's important to note that FDI inflows into the UK remained significant despite the decline, with the country still attracting substantial foreign investment.</w:t>
      </w:r>
    </w:p>
    <w:p w14:paraId="4F1E4041" w14:textId="00EA9C57" w:rsidR="009545E1" w:rsidRPr="004A73C1" w:rsidRDefault="003E764A" w:rsidP="00EF2E34">
      <w:pPr>
        <w:spacing w:line="360" w:lineRule="auto"/>
        <w:jc w:val="both"/>
        <w:rPr>
          <w:rFonts w:ascii="Arial" w:hAnsi="Arial" w:cs="Arial"/>
          <w:sz w:val="24"/>
          <w:szCs w:val="24"/>
        </w:rPr>
      </w:pPr>
      <w:r w:rsidRPr="004A73C1">
        <w:rPr>
          <w:rFonts w:ascii="Arial" w:hAnsi="Arial" w:cs="Arial"/>
          <w:sz w:val="24"/>
          <w:szCs w:val="24"/>
        </w:rPr>
        <w:t xml:space="preserve">One of the factors influencing FDI trends post-Brexit is the UK's trading relationships with other countries. As the UK adapts to its new status outside the European Union, trade agreements, tariffs, and regulatory changes can affect FDI inflows. Additionally, shifts in market access and supply chain considerations may </w:t>
      </w:r>
      <w:r w:rsidR="00B907C2" w:rsidRPr="004A73C1">
        <w:rPr>
          <w:rFonts w:ascii="Arial" w:hAnsi="Arial" w:cs="Arial"/>
          <w:sz w:val="24"/>
          <w:szCs w:val="24"/>
        </w:rPr>
        <w:t>affect</w:t>
      </w:r>
      <w:r w:rsidRPr="004A73C1">
        <w:rPr>
          <w:rFonts w:ascii="Arial" w:hAnsi="Arial" w:cs="Arial"/>
          <w:sz w:val="24"/>
          <w:szCs w:val="24"/>
        </w:rPr>
        <w:t xml:space="preserve"> FDI decisions.</w:t>
      </w:r>
      <w:r w:rsidR="009545E1" w:rsidRPr="004A73C1">
        <w:rPr>
          <w:rFonts w:ascii="Arial" w:hAnsi="Arial" w:cs="Arial"/>
          <w:sz w:val="24"/>
          <w:szCs w:val="24"/>
        </w:rPr>
        <w:t xml:space="preserve"> </w:t>
      </w:r>
    </w:p>
    <w:p w14:paraId="00C49CB9" w14:textId="4747E3A5" w:rsidR="009545E1" w:rsidRPr="004A73C1" w:rsidRDefault="009545E1" w:rsidP="00EF2E34">
      <w:pPr>
        <w:spacing w:line="360" w:lineRule="auto"/>
        <w:jc w:val="both"/>
        <w:rPr>
          <w:rFonts w:ascii="Arial" w:hAnsi="Arial" w:cs="Arial"/>
          <w:sz w:val="24"/>
          <w:szCs w:val="24"/>
        </w:rPr>
      </w:pPr>
      <w:r w:rsidRPr="004A73C1">
        <w:rPr>
          <w:rFonts w:ascii="Arial" w:hAnsi="Arial" w:cs="Arial"/>
          <w:sz w:val="24"/>
          <w:szCs w:val="24"/>
        </w:rPr>
        <w:t xml:space="preserve">It's important to note that </w:t>
      </w:r>
      <w:r w:rsidR="00B907C2" w:rsidRPr="004A73C1">
        <w:rPr>
          <w:rFonts w:ascii="Arial" w:hAnsi="Arial" w:cs="Arial"/>
          <w:sz w:val="24"/>
          <w:szCs w:val="24"/>
        </w:rPr>
        <w:t>Brexit's impact on FDI is complex and multifaceted. Some investors may have concerns about the uncertainty and potential trade barriers arising from Brexit, which could negatively impact</w:t>
      </w:r>
      <w:r w:rsidRPr="004A73C1">
        <w:rPr>
          <w:rFonts w:ascii="Arial" w:hAnsi="Arial" w:cs="Arial"/>
          <w:sz w:val="24"/>
          <w:szCs w:val="24"/>
        </w:rPr>
        <w:t xml:space="preserve"> FDI.</w:t>
      </w:r>
      <w:r w:rsidRPr="004A73C1">
        <w:rPr>
          <w:rFonts w:ascii="Arial" w:hAnsi="Arial" w:cs="Arial"/>
          <w:color w:val="1C1C1C"/>
          <w:sz w:val="21"/>
          <w:szCs w:val="21"/>
          <w:shd w:val="clear" w:color="auto" w:fill="FFFFFF"/>
        </w:rPr>
        <w:t xml:space="preserve"> </w:t>
      </w:r>
      <w:r w:rsidRPr="004A73C1">
        <w:rPr>
          <w:rFonts w:ascii="Arial" w:hAnsi="Arial" w:cs="Arial"/>
          <w:sz w:val="24"/>
          <w:szCs w:val="24"/>
        </w:rPr>
        <w:t>Moreover, the UK's future trade agreements and economic relationships with other countries post-Brexit will also play a significant role in determining the impact on FDI. The UK government's initiatives and policies to mitigate any negative effects of Brexit on FDI will be crucial in shaping the country's attractiveness to foreign investors.</w:t>
      </w:r>
    </w:p>
    <w:p w14:paraId="5BCEA6B7" w14:textId="4999CD71" w:rsidR="003E764A" w:rsidRPr="004A73C1" w:rsidRDefault="003E764A" w:rsidP="00EF2E34">
      <w:pPr>
        <w:spacing w:line="360" w:lineRule="auto"/>
        <w:jc w:val="both"/>
        <w:rPr>
          <w:rFonts w:ascii="Arial" w:hAnsi="Arial" w:cs="Arial"/>
          <w:sz w:val="24"/>
          <w:szCs w:val="24"/>
        </w:rPr>
      </w:pPr>
      <w:r w:rsidRPr="004A73C1">
        <w:rPr>
          <w:rFonts w:ascii="Arial" w:hAnsi="Arial" w:cs="Arial"/>
          <w:sz w:val="24"/>
          <w:szCs w:val="24"/>
        </w:rPr>
        <w:t xml:space="preserve">Furthermore, </w:t>
      </w:r>
      <w:r w:rsidR="00FA36A7" w:rsidRPr="004A73C1">
        <w:rPr>
          <w:rFonts w:ascii="Arial" w:hAnsi="Arial" w:cs="Arial"/>
          <w:sz w:val="24"/>
          <w:szCs w:val="24"/>
        </w:rPr>
        <w:t>regulatory changes, immigration policies, and the overall business environment can influence Brexit's impact on FDI. Considering these factors alongside FDI data is essential to providing</w:t>
      </w:r>
      <w:r w:rsidRPr="004A73C1">
        <w:rPr>
          <w:rFonts w:ascii="Arial" w:hAnsi="Arial" w:cs="Arial"/>
          <w:sz w:val="24"/>
          <w:szCs w:val="24"/>
        </w:rPr>
        <w:t xml:space="preserve"> a comprehensive analysis of Brexit's impact on FDI in the UK.</w:t>
      </w:r>
    </w:p>
    <w:p w14:paraId="3F1D751B" w14:textId="42AF3619" w:rsidR="003E764A" w:rsidRPr="004A73C1" w:rsidRDefault="003E764A" w:rsidP="00EF2E34">
      <w:pPr>
        <w:spacing w:line="360" w:lineRule="auto"/>
        <w:jc w:val="both"/>
        <w:rPr>
          <w:rFonts w:ascii="Arial" w:hAnsi="Arial" w:cs="Arial"/>
          <w:sz w:val="24"/>
          <w:szCs w:val="24"/>
        </w:rPr>
      </w:pPr>
      <w:r w:rsidRPr="004A73C1">
        <w:rPr>
          <w:rFonts w:ascii="Arial" w:hAnsi="Arial" w:cs="Arial"/>
          <w:noProof/>
          <w:sz w:val="24"/>
          <w:szCs w:val="24"/>
        </w:rPr>
        <w:lastRenderedPageBreak/>
        <w:drawing>
          <wp:inline distT="0" distB="0" distL="0" distR="0" wp14:anchorId="56BB3592" wp14:editId="779C1CC9">
            <wp:extent cx="5638800" cy="2536420"/>
            <wp:effectExtent l="0" t="0" r="0" b="0"/>
            <wp:docPr id="1222387466"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387466" name="Picture 1" descr="A graph of different colored lines&#10;&#10;Description automatically generated"/>
                    <pic:cNvPicPr/>
                  </pic:nvPicPr>
                  <pic:blipFill>
                    <a:blip r:embed="rId54"/>
                    <a:stretch>
                      <a:fillRect/>
                    </a:stretch>
                  </pic:blipFill>
                  <pic:spPr>
                    <a:xfrm>
                      <a:off x="0" y="0"/>
                      <a:ext cx="5647009" cy="2540112"/>
                    </a:xfrm>
                    <a:prstGeom prst="rect">
                      <a:avLst/>
                    </a:prstGeom>
                  </pic:spPr>
                </pic:pic>
              </a:graphicData>
            </a:graphic>
          </wp:inline>
        </w:drawing>
      </w:r>
    </w:p>
    <w:p w14:paraId="56444687" w14:textId="2F6224F9" w:rsidR="003E764A" w:rsidRPr="004A73C1" w:rsidRDefault="00740D35" w:rsidP="00EF2E34">
      <w:pPr>
        <w:spacing w:line="360" w:lineRule="auto"/>
        <w:jc w:val="both"/>
        <w:rPr>
          <w:rFonts w:ascii="Arial" w:hAnsi="Arial" w:cs="Arial"/>
          <w:sz w:val="24"/>
          <w:szCs w:val="24"/>
        </w:rPr>
      </w:pPr>
      <w:r w:rsidRPr="004A73C1">
        <w:rPr>
          <w:rFonts w:ascii="Arial" w:hAnsi="Arial" w:cs="Arial"/>
        </w:rPr>
        <w:t xml:space="preserve">Figure </w:t>
      </w:r>
      <w:r w:rsidR="00C75C62" w:rsidRPr="004A73C1">
        <w:rPr>
          <w:rFonts w:ascii="Arial" w:hAnsi="Arial" w:cs="Arial"/>
        </w:rPr>
        <w:t>33</w:t>
      </w:r>
      <w:r w:rsidR="00F90E4F" w:rsidRPr="004A73C1">
        <w:rPr>
          <w:rFonts w:ascii="Arial" w:hAnsi="Arial" w:cs="Arial"/>
        </w:rPr>
        <w:tab/>
      </w:r>
      <w:r w:rsidR="00F90E4F" w:rsidRPr="004A73C1">
        <w:rPr>
          <w:rFonts w:ascii="Arial" w:hAnsi="Arial" w:cs="Arial"/>
        </w:rPr>
        <w:tab/>
        <w:t>(</w:t>
      </w:r>
      <w:r w:rsidR="003E764A" w:rsidRPr="004A73C1">
        <w:rPr>
          <w:rFonts w:ascii="Arial" w:hAnsi="Arial" w:cs="Arial"/>
          <w:sz w:val="24"/>
          <w:szCs w:val="24"/>
        </w:rPr>
        <w:t>Source-</w:t>
      </w:r>
      <w:r w:rsidR="003E764A" w:rsidRPr="004A73C1">
        <w:rPr>
          <w:rFonts w:ascii="Arial" w:hAnsi="Arial" w:cs="Arial"/>
        </w:rPr>
        <w:t xml:space="preserve"> </w:t>
      </w:r>
      <w:r w:rsidR="003E764A" w:rsidRPr="004A73C1">
        <w:rPr>
          <w:rFonts w:ascii="Arial" w:hAnsi="Arial" w:cs="Arial"/>
          <w:sz w:val="24"/>
          <w:szCs w:val="24"/>
        </w:rPr>
        <w:t>EY European Investment Monitor (EIM), 2014-23</w:t>
      </w:r>
      <w:r w:rsidR="00F90E4F" w:rsidRPr="004A73C1">
        <w:rPr>
          <w:rFonts w:ascii="Arial" w:hAnsi="Arial" w:cs="Arial"/>
          <w:sz w:val="24"/>
          <w:szCs w:val="24"/>
        </w:rPr>
        <w:t>)</w:t>
      </w:r>
    </w:p>
    <w:p w14:paraId="4FB34A6E" w14:textId="77777777" w:rsidR="00ED3916" w:rsidRDefault="00ED3916" w:rsidP="00EF2E34">
      <w:pPr>
        <w:spacing w:line="360" w:lineRule="auto"/>
        <w:jc w:val="both"/>
        <w:rPr>
          <w:rFonts w:ascii="Arial" w:hAnsi="Arial" w:cs="Arial"/>
          <w:sz w:val="24"/>
          <w:szCs w:val="24"/>
        </w:rPr>
      </w:pPr>
    </w:p>
    <w:p w14:paraId="426F4C7B" w14:textId="505B0A9F" w:rsidR="003E764A" w:rsidRPr="004A73C1" w:rsidRDefault="003E764A" w:rsidP="00EF2E34">
      <w:pPr>
        <w:spacing w:line="360" w:lineRule="auto"/>
        <w:jc w:val="both"/>
        <w:rPr>
          <w:rFonts w:ascii="Arial" w:hAnsi="Arial" w:cs="Arial"/>
          <w:sz w:val="24"/>
          <w:szCs w:val="24"/>
        </w:rPr>
      </w:pPr>
      <w:r w:rsidRPr="004A73C1">
        <w:rPr>
          <w:rFonts w:ascii="Arial" w:hAnsi="Arial" w:cs="Arial"/>
          <w:sz w:val="24"/>
          <w:szCs w:val="24"/>
        </w:rPr>
        <w:t>In summary, while FDI inflows have declined significantly following Brexit, the UK continues to attract substantial foreign investment. Ongoing monitoring and analysis of FDI trends, policy changes, and economic indicators will be crucial for understanding the evolving relationship between Brexit and FDI in the UK.</w:t>
      </w:r>
    </w:p>
    <w:p w14:paraId="38BFE68B" w14:textId="77777777" w:rsidR="001B3596" w:rsidRPr="004A73C1" w:rsidRDefault="001B3596" w:rsidP="001B3596">
      <w:pPr>
        <w:spacing w:line="360" w:lineRule="auto"/>
        <w:jc w:val="both"/>
        <w:rPr>
          <w:rFonts w:ascii="Arial" w:hAnsi="Arial" w:cs="Arial"/>
          <w:sz w:val="24"/>
          <w:szCs w:val="24"/>
        </w:rPr>
      </w:pPr>
      <w:r w:rsidRPr="004A73C1">
        <w:rPr>
          <w:rFonts w:ascii="Arial" w:hAnsi="Arial" w:cs="Arial"/>
          <w:sz w:val="24"/>
          <w:szCs w:val="24"/>
        </w:rPr>
        <w:t>Despite the overall decline in the perceived attractiveness of the UK in 2024, a breakdown of investors by sector reveals that executives in significant FDI-producing areas like financial services (40%) and business services (31%) still view the UK as having a highly enticing FDI proposal. Surprisingly, the UK does better than most of Europe in terms of perceived attractiveness in these areas (EY Survey 2024).</w:t>
      </w:r>
    </w:p>
    <w:p w14:paraId="2F7108B0" w14:textId="77777777" w:rsidR="00741FAB" w:rsidRDefault="00FA36A7" w:rsidP="00741FAB">
      <w:pPr>
        <w:spacing w:line="360" w:lineRule="auto"/>
        <w:jc w:val="both"/>
        <w:rPr>
          <w:rFonts w:ascii="Arial" w:hAnsi="Arial" w:cs="Arial"/>
          <w:sz w:val="24"/>
          <w:szCs w:val="24"/>
        </w:rPr>
      </w:pPr>
      <w:r w:rsidRPr="004A73C1">
        <w:rPr>
          <w:rFonts w:ascii="Arial" w:hAnsi="Arial" w:cs="Arial"/>
          <w:sz w:val="24"/>
          <w:szCs w:val="24"/>
        </w:rPr>
        <w:t>Analysing the data for the United Kingdom, we can see that the GDP growth rate fluctuated quite a bit over the years. There was a significant spike in 2015</w:t>
      </w:r>
      <w:r w:rsidR="008A67CA" w:rsidRPr="004A73C1">
        <w:rPr>
          <w:rFonts w:ascii="Arial" w:hAnsi="Arial" w:cs="Arial"/>
          <w:sz w:val="24"/>
          <w:szCs w:val="24"/>
        </w:rPr>
        <w:t>,</w:t>
      </w:r>
      <w:r w:rsidRPr="004A73C1">
        <w:rPr>
          <w:rFonts w:ascii="Arial" w:hAnsi="Arial" w:cs="Arial"/>
          <w:sz w:val="24"/>
          <w:szCs w:val="24"/>
        </w:rPr>
        <w:t xml:space="preserve"> with a growth rate of 12.08%, followed by a sharp decline in 2016. The following years showed mixed results</w:t>
      </w:r>
      <w:r w:rsidR="008A67CA" w:rsidRPr="004A73C1">
        <w:rPr>
          <w:rFonts w:ascii="Arial" w:hAnsi="Arial" w:cs="Arial"/>
          <w:sz w:val="24"/>
          <w:szCs w:val="24"/>
        </w:rPr>
        <w:t>,</w:t>
      </w:r>
      <w:r w:rsidRPr="004A73C1">
        <w:rPr>
          <w:rFonts w:ascii="Arial" w:hAnsi="Arial" w:cs="Arial"/>
          <w:sz w:val="24"/>
          <w:szCs w:val="24"/>
        </w:rPr>
        <w:t xml:space="preserve"> with both positive and negative growth rates. It seems that the UK experienced some economic volatility during this period.</w:t>
      </w:r>
      <w:r w:rsidR="00741FAB" w:rsidRPr="004A73C1">
        <w:rPr>
          <w:rFonts w:ascii="Arial" w:hAnsi="Arial" w:cs="Arial"/>
          <w:sz w:val="24"/>
          <w:szCs w:val="24"/>
        </w:rPr>
        <w:t xml:space="preserve"> </w:t>
      </w:r>
    </w:p>
    <w:p w14:paraId="41285756" w14:textId="77777777" w:rsidR="00ED3916" w:rsidRDefault="00ED3916" w:rsidP="00741FAB">
      <w:pPr>
        <w:spacing w:line="360" w:lineRule="auto"/>
        <w:jc w:val="both"/>
        <w:rPr>
          <w:rFonts w:ascii="Arial" w:hAnsi="Arial" w:cs="Arial"/>
          <w:sz w:val="24"/>
          <w:szCs w:val="24"/>
        </w:rPr>
      </w:pPr>
    </w:p>
    <w:p w14:paraId="3A46FCBF" w14:textId="77777777" w:rsidR="00ED3916" w:rsidRPr="004A73C1" w:rsidRDefault="00ED3916" w:rsidP="00741FAB">
      <w:pPr>
        <w:spacing w:line="360" w:lineRule="auto"/>
        <w:jc w:val="both"/>
        <w:rPr>
          <w:rFonts w:ascii="Arial" w:hAnsi="Arial" w:cs="Arial"/>
          <w:sz w:val="24"/>
          <w:szCs w:val="24"/>
        </w:rPr>
      </w:pPr>
    </w:p>
    <w:p w14:paraId="73B3160B" w14:textId="77777777" w:rsidR="00741FAB" w:rsidRPr="004A73C1" w:rsidRDefault="00741FAB" w:rsidP="00741FAB">
      <w:pPr>
        <w:spacing w:line="360" w:lineRule="auto"/>
        <w:jc w:val="both"/>
        <w:rPr>
          <w:rFonts w:ascii="Arial" w:hAnsi="Arial" w:cs="Arial"/>
          <w:sz w:val="24"/>
          <w:szCs w:val="24"/>
        </w:rPr>
      </w:pPr>
    </w:p>
    <w:p w14:paraId="12024B97" w14:textId="77777777" w:rsidR="00741FAB" w:rsidRPr="004A73C1" w:rsidRDefault="00741FAB" w:rsidP="00741FAB">
      <w:pPr>
        <w:spacing w:line="360" w:lineRule="auto"/>
        <w:jc w:val="both"/>
        <w:rPr>
          <w:rFonts w:ascii="Arial" w:hAnsi="Arial" w:cs="Arial"/>
          <w:sz w:val="24"/>
          <w:szCs w:val="24"/>
        </w:rPr>
      </w:pPr>
    </w:p>
    <w:p w14:paraId="7F569843" w14:textId="77777777" w:rsidR="00741FAB" w:rsidRPr="004A73C1" w:rsidRDefault="00741FAB" w:rsidP="00741FAB">
      <w:pPr>
        <w:spacing w:line="360" w:lineRule="auto"/>
        <w:jc w:val="both"/>
        <w:rPr>
          <w:rFonts w:ascii="Arial" w:hAnsi="Arial" w:cs="Arial"/>
          <w:sz w:val="24"/>
          <w:szCs w:val="24"/>
        </w:rPr>
      </w:pPr>
    </w:p>
    <w:p w14:paraId="309BCFF3" w14:textId="77777777" w:rsidR="00741FAB" w:rsidRPr="004A73C1" w:rsidRDefault="00741FAB" w:rsidP="00741FAB">
      <w:pPr>
        <w:spacing w:line="360" w:lineRule="auto"/>
        <w:jc w:val="both"/>
        <w:rPr>
          <w:rFonts w:ascii="Arial" w:hAnsi="Arial" w:cs="Arial"/>
          <w:sz w:val="24"/>
          <w:szCs w:val="24"/>
        </w:rPr>
      </w:pPr>
    </w:p>
    <w:p w14:paraId="6D1E03C0" w14:textId="77777777" w:rsidR="00741FAB" w:rsidRPr="004A73C1" w:rsidRDefault="00741FAB" w:rsidP="00741FAB">
      <w:pPr>
        <w:spacing w:line="360" w:lineRule="auto"/>
        <w:jc w:val="both"/>
        <w:rPr>
          <w:rFonts w:ascii="Arial" w:hAnsi="Arial" w:cs="Arial"/>
          <w:sz w:val="24"/>
          <w:szCs w:val="24"/>
        </w:rPr>
      </w:pPr>
    </w:p>
    <w:p w14:paraId="3ED3696B" w14:textId="77777777" w:rsidR="00741FAB" w:rsidRPr="004A73C1" w:rsidRDefault="00741FAB" w:rsidP="00741FAB">
      <w:pPr>
        <w:spacing w:line="360" w:lineRule="auto"/>
        <w:jc w:val="both"/>
        <w:rPr>
          <w:rFonts w:ascii="Arial" w:hAnsi="Arial" w:cs="Arial"/>
          <w:sz w:val="24"/>
          <w:szCs w:val="24"/>
        </w:rPr>
      </w:pPr>
    </w:p>
    <w:p w14:paraId="0BBAC835" w14:textId="3382DFE0" w:rsidR="00741FAB" w:rsidRPr="004A73C1" w:rsidRDefault="00741FAB" w:rsidP="00741FAB">
      <w:pPr>
        <w:spacing w:line="360" w:lineRule="auto"/>
        <w:jc w:val="both"/>
        <w:rPr>
          <w:rFonts w:ascii="Arial" w:hAnsi="Arial" w:cs="Arial"/>
          <w:sz w:val="24"/>
          <w:szCs w:val="24"/>
        </w:rPr>
      </w:pPr>
      <w:r w:rsidRPr="004A73C1">
        <w:rPr>
          <w:rFonts w:ascii="Arial" w:hAnsi="Arial" w:cs="Arial"/>
          <w:sz w:val="24"/>
          <w:szCs w:val="24"/>
        </w:rPr>
        <w:t xml:space="preserve">The following data shows the different countries' economic growth. </w:t>
      </w:r>
    </w:p>
    <w:tbl>
      <w:tblPr>
        <w:tblW w:w="9209" w:type="dxa"/>
        <w:tblLook w:val="04A0" w:firstRow="1" w:lastRow="0" w:firstColumn="1" w:lastColumn="0" w:noHBand="0" w:noVBand="1"/>
      </w:tblPr>
      <w:tblGrid>
        <w:gridCol w:w="1469"/>
        <w:gridCol w:w="1060"/>
        <w:gridCol w:w="706"/>
        <w:gridCol w:w="767"/>
        <w:gridCol w:w="767"/>
        <w:gridCol w:w="767"/>
        <w:gridCol w:w="767"/>
        <w:gridCol w:w="706"/>
        <w:gridCol w:w="767"/>
        <w:gridCol w:w="767"/>
        <w:gridCol w:w="879"/>
      </w:tblGrid>
      <w:tr w:rsidR="001F02F5" w:rsidRPr="004A73C1" w14:paraId="0DB3F4E9" w14:textId="77777777" w:rsidTr="00ED3916">
        <w:trPr>
          <w:trHeight w:val="107"/>
        </w:trPr>
        <w:tc>
          <w:tcPr>
            <w:tcW w:w="14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8D13FE"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Country Name</w:t>
            </w:r>
          </w:p>
        </w:tc>
        <w:tc>
          <w:tcPr>
            <w:tcW w:w="1025" w:type="dxa"/>
            <w:tcBorders>
              <w:top w:val="single" w:sz="4" w:space="0" w:color="auto"/>
              <w:left w:val="nil"/>
              <w:bottom w:val="single" w:sz="4" w:space="0" w:color="auto"/>
              <w:right w:val="single" w:sz="4" w:space="0" w:color="auto"/>
            </w:tcBorders>
            <w:shd w:val="clear" w:color="auto" w:fill="auto"/>
            <w:noWrap/>
            <w:vAlign w:val="bottom"/>
            <w:hideMark/>
          </w:tcPr>
          <w:p w14:paraId="3B44B83D"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Country Code</w:t>
            </w:r>
          </w:p>
        </w:tc>
        <w:tc>
          <w:tcPr>
            <w:tcW w:w="686" w:type="dxa"/>
            <w:tcBorders>
              <w:top w:val="single" w:sz="4" w:space="0" w:color="auto"/>
              <w:left w:val="nil"/>
              <w:bottom w:val="single" w:sz="4" w:space="0" w:color="auto"/>
              <w:right w:val="single" w:sz="4" w:space="0" w:color="auto"/>
            </w:tcBorders>
            <w:shd w:val="clear" w:color="auto" w:fill="auto"/>
            <w:noWrap/>
            <w:vAlign w:val="bottom"/>
            <w:hideMark/>
          </w:tcPr>
          <w:p w14:paraId="565CC224"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2014</w:t>
            </w:r>
          </w:p>
        </w:tc>
        <w:tc>
          <w:tcPr>
            <w:tcW w:w="744" w:type="dxa"/>
            <w:tcBorders>
              <w:top w:val="single" w:sz="4" w:space="0" w:color="auto"/>
              <w:left w:val="nil"/>
              <w:bottom w:val="single" w:sz="4" w:space="0" w:color="auto"/>
              <w:right w:val="single" w:sz="4" w:space="0" w:color="auto"/>
            </w:tcBorders>
            <w:shd w:val="clear" w:color="auto" w:fill="auto"/>
            <w:noWrap/>
            <w:vAlign w:val="bottom"/>
            <w:hideMark/>
          </w:tcPr>
          <w:p w14:paraId="3F90D1F2"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2015</w:t>
            </w:r>
          </w:p>
        </w:tc>
        <w:tc>
          <w:tcPr>
            <w:tcW w:w="744" w:type="dxa"/>
            <w:tcBorders>
              <w:top w:val="single" w:sz="4" w:space="0" w:color="auto"/>
              <w:left w:val="nil"/>
              <w:bottom w:val="single" w:sz="4" w:space="0" w:color="auto"/>
              <w:right w:val="single" w:sz="4" w:space="0" w:color="auto"/>
            </w:tcBorders>
            <w:shd w:val="clear" w:color="auto" w:fill="auto"/>
            <w:noWrap/>
            <w:vAlign w:val="bottom"/>
            <w:hideMark/>
          </w:tcPr>
          <w:p w14:paraId="31D2F5D9"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2016</w:t>
            </w:r>
          </w:p>
        </w:tc>
        <w:tc>
          <w:tcPr>
            <w:tcW w:w="744" w:type="dxa"/>
            <w:tcBorders>
              <w:top w:val="single" w:sz="4" w:space="0" w:color="auto"/>
              <w:left w:val="nil"/>
              <w:bottom w:val="single" w:sz="4" w:space="0" w:color="auto"/>
              <w:right w:val="single" w:sz="4" w:space="0" w:color="auto"/>
            </w:tcBorders>
            <w:shd w:val="clear" w:color="auto" w:fill="auto"/>
            <w:noWrap/>
            <w:vAlign w:val="bottom"/>
            <w:hideMark/>
          </w:tcPr>
          <w:p w14:paraId="052E63DF"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2017</w:t>
            </w:r>
          </w:p>
        </w:tc>
        <w:tc>
          <w:tcPr>
            <w:tcW w:w="744" w:type="dxa"/>
            <w:tcBorders>
              <w:top w:val="single" w:sz="4" w:space="0" w:color="auto"/>
              <w:left w:val="nil"/>
              <w:bottom w:val="single" w:sz="4" w:space="0" w:color="auto"/>
              <w:right w:val="single" w:sz="4" w:space="0" w:color="auto"/>
            </w:tcBorders>
            <w:shd w:val="clear" w:color="auto" w:fill="auto"/>
            <w:noWrap/>
            <w:vAlign w:val="bottom"/>
            <w:hideMark/>
          </w:tcPr>
          <w:p w14:paraId="5FBA13EA"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2018</w:t>
            </w:r>
          </w:p>
        </w:tc>
        <w:tc>
          <w:tcPr>
            <w:tcW w:w="686" w:type="dxa"/>
            <w:tcBorders>
              <w:top w:val="single" w:sz="4" w:space="0" w:color="auto"/>
              <w:left w:val="nil"/>
              <w:bottom w:val="single" w:sz="4" w:space="0" w:color="auto"/>
              <w:right w:val="single" w:sz="4" w:space="0" w:color="auto"/>
            </w:tcBorders>
            <w:shd w:val="clear" w:color="auto" w:fill="auto"/>
            <w:noWrap/>
            <w:vAlign w:val="bottom"/>
            <w:hideMark/>
          </w:tcPr>
          <w:p w14:paraId="009AD0CD"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2019</w:t>
            </w:r>
          </w:p>
        </w:tc>
        <w:tc>
          <w:tcPr>
            <w:tcW w:w="744" w:type="dxa"/>
            <w:tcBorders>
              <w:top w:val="single" w:sz="4" w:space="0" w:color="auto"/>
              <w:left w:val="nil"/>
              <w:bottom w:val="single" w:sz="4" w:space="0" w:color="auto"/>
              <w:right w:val="single" w:sz="4" w:space="0" w:color="auto"/>
            </w:tcBorders>
            <w:shd w:val="clear" w:color="auto" w:fill="auto"/>
            <w:noWrap/>
            <w:vAlign w:val="bottom"/>
            <w:hideMark/>
          </w:tcPr>
          <w:p w14:paraId="4E490550"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2020</w:t>
            </w:r>
          </w:p>
        </w:tc>
        <w:tc>
          <w:tcPr>
            <w:tcW w:w="744" w:type="dxa"/>
            <w:tcBorders>
              <w:top w:val="single" w:sz="4" w:space="0" w:color="auto"/>
              <w:left w:val="nil"/>
              <w:bottom w:val="single" w:sz="4" w:space="0" w:color="auto"/>
              <w:right w:val="single" w:sz="4" w:space="0" w:color="auto"/>
            </w:tcBorders>
            <w:shd w:val="clear" w:color="auto" w:fill="auto"/>
            <w:noWrap/>
            <w:vAlign w:val="bottom"/>
            <w:hideMark/>
          </w:tcPr>
          <w:p w14:paraId="625DBAC8"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2021</w:t>
            </w:r>
          </w:p>
        </w:tc>
        <w:tc>
          <w:tcPr>
            <w:tcW w:w="879" w:type="dxa"/>
            <w:tcBorders>
              <w:top w:val="single" w:sz="4" w:space="0" w:color="auto"/>
              <w:left w:val="nil"/>
              <w:bottom w:val="single" w:sz="4" w:space="0" w:color="auto"/>
              <w:right w:val="single" w:sz="4" w:space="0" w:color="auto"/>
            </w:tcBorders>
            <w:shd w:val="clear" w:color="auto" w:fill="auto"/>
            <w:noWrap/>
            <w:vAlign w:val="bottom"/>
            <w:hideMark/>
          </w:tcPr>
          <w:p w14:paraId="40D38577"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2022</w:t>
            </w:r>
          </w:p>
        </w:tc>
      </w:tr>
      <w:tr w:rsidR="001F02F5" w:rsidRPr="004A73C1" w14:paraId="6EE0C687"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4BC7377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Arab World</w:t>
            </w:r>
          </w:p>
        </w:tc>
        <w:tc>
          <w:tcPr>
            <w:tcW w:w="1025" w:type="dxa"/>
            <w:tcBorders>
              <w:top w:val="nil"/>
              <w:left w:val="nil"/>
              <w:bottom w:val="single" w:sz="4" w:space="0" w:color="auto"/>
              <w:right w:val="single" w:sz="4" w:space="0" w:color="auto"/>
            </w:tcBorders>
            <w:shd w:val="clear" w:color="auto" w:fill="auto"/>
            <w:noWrap/>
            <w:vAlign w:val="bottom"/>
            <w:hideMark/>
          </w:tcPr>
          <w:p w14:paraId="34A8434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ARB</w:t>
            </w:r>
          </w:p>
        </w:tc>
        <w:tc>
          <w:tcPr>
            <w:tcW w:w="686" w:type="dxa"/>
            <w:tcBorders>
              <w:top w:val="nil"/>
              <w:left w:val="nil"/>
              <w:bottom w:val="single" w:sz="4" w:space="0" w:color="auto"/>
              <w:right w:val="single" w:sz="4" w:space="0" w:color="auto"/>
            </w:tcBorders>
            <w:shd w:val="clear" w:color="auto" w:fill="auto"/>
            <w:noWrap/>
            <w:vAlign w:val="bottom"/>
            <w:hideMark/>
          </w:tcPr>
          <w:p w14:paraId="362A9DB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0.87</w:t>
            </w:r>
          </w:p>
        </w:tc>
        <w:tc>
          <w:tcPr>
            <w:tcW w:w="744" w:type="dxa"/>
            <w:tcBorders>
              <w:top w:val="nil"/>
              <w:left w:val="nil"/>
              <w:bottom w:val="single" w:sz="4" w:space="0" w:color="auto"/>
              <w:right w:val="single" w:sz="4" w:space="0" w:color="auto"/>
            </w:tcBorders>
            <w:shd w:val="clear" w:color="auto" w:fill="auto"/>
            <w:noWrap/>
            <w:vAlign w:val="bottom"/>
            <w:hideMark/>
          </w:tcPr>
          <w:p w14:paraId="1BF2416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0.86</w:t>
            </w:r>
          </w:p>
        </w:tc>
        <w:tc>
          <w:tcPr>
            <w:tcW w:w="744" w:type="dxa"/>
            <w:tcBorders>
              <w:top w:val="nil"/>
              <w:left w:val="nil"/>
              <w:bottom w:val="single" w:sz="4" w:space="0" w:color="auto"/>
              <w:right w:val="single" w:sz="4" w:space="0" w:color="auto"/>
            </w:tcBorders>
            <w:shd w:val="clear" w:color="auto" w:fill="auto"/>
            <w:noWrap/>
            <w:vAlign w:val="bottom"/>
            <w:hideMark/>
          </w:tcPr>
          <w:p w14:paraId="37C44C9C"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1.93</w:t>
            </w:r>
          </w:p>
        </w:tc>
        <w:tc>
          <w:tcPr>
            <w:tcW w:w="744" w:type="dxa"/>
            <w:tcBorders>
              <w:top w:val="nil"/>
              <w:left w:val="nil"/>
              <w:bottom w:val="single" w:sz="4" w:space="0" w:color="auto"/>
              <w:right w:val="single" w:sz="4" w:space="0" w:color="auto"/>
            </w:tcBorders>
            <w:shd w:val="clear" w:color="auto" w:fill="auto"/>
            <w:noWrap/>
            <w:vAlign w:val="bottom"/>
            <w:hideMark/>
          </w:tcPr>
          <w:p w14:paraId="00BBD2F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1.23</w:t>
            </w:r>
          </w:p>
        </w:tc>
        <w:tc>
          <w:tcPr>
            <w:tcW w:w="744" w:type="dxa"/>
            <w:tcBorders>
              <w:top w:val="nil"/>
              <w:left w:val="nil"/>
              <w:bottom w:val="single" w:sz="4" w:space="0" w:color="auto"/>
              <w:right w:val="single" w:sz="4" w:space="0" w:color="auto"/>
            </w:tcBorders>
            <w:shd w:val="clear" w:color="auto" w:fill="auto"/>
            <w:noWrap/>
            <w:vAlign w:val="bottom"/>
            <w:hideMark/>
          </w:tcPr>
          <w:p w14:paraId="409A1757"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1.55</w:t>
            </w:r>
          </w:p>
        </w:tc>
        <w:tc>
          <w:tcPr>
            <w:tcW w:w="686" w:type="dxa"/>
            <w:tcBorders>
              <w:top w:val="nil"/>
              <w:left w:val="nil"/>
              <w:bottom w:val="single" w:sz="4" w:space="0" w:color="auto"/>
              <w:right w:val="single" w:sz="4" w:space="0" w:color="auto"/>
            </w:tcBorders>
            <w:shd w:val="clear" w:color="auto" w:fill="auto"/>
            <w:noWrap/>
            <w:vAlign w:val="bottom"/>
            <w:hideMark/>
          </w:tcPr>
          <w:p w14:paraId="727E3FD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1.23</w:t>
            </w:r>
          </w:p>
        </w:tc>
        <w:tc>
          <w:tcPr>
            <w:tcW w:w="744" w:type="dxa"/>
            <w:tcBorders>
              <w:top w:val="nil"/>
              <w:left w:val="nil"/>
              <w:bottom w:val="single" w:sz="4" w:space="0" w:color="auto"/>
              <w:right w:val="single" w:sz="4" w:space="0" w:color="auto"/>
            </w:tcBorders>
            <w:shd w:val="clear" w:color="auto" w:fill="auto"/>
            <w:noWrap/>
            <w:vAlign w:val="bottom"/>
            <w:hideMark/>
          </w:tcPr>
          <w:p w14:paraId="70651617"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1.31</w:t>
            </w:r>
          </w:p>
        </w:tc>
        <w:tc>
          <w:tcPr>
            <w:tcW w:w="744" w:type="dxa"/>
            <w:tcBorders>
              <w:top w:val="nil"/>
              <w:left w:val="nil"/>
              <w:bottom w:val="single" w:sz="4" w:space="0" w:color="auto"/>
              <w:right w:val="single" w:sz="4" w:space="0" w:color="auto"/>
            </w:tcBorders>
            <w:shd w:val="clear" w:color="auto" w:fill="auto"/>
            <w:noWrap/>
            <w:vAlign w:val="bottom"/>
            <w:hideMark/>
          </w:tcPr>
          <w:p w14:paraId="710D66A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2.17</w:t>
            </w:r>
          </w:p>
        </w:tc>
        <w:tc>
          <w:tcPr>
            <w:tcW w:w="879" w:type="dxa"/>
            <w:tcBorders>
              <w:top w:val="nil"/>
              <w:left w:val="nil"/>
              <w:bottom w:val="single" w:sz="4" w:space="0" w:color="auto"/>
              <w:right w:val="single" w:sz="4" w:space="0" w:color="auto"/>
            </w:tcBorders>
            <w:shd w:val="clear" w:color="auto" w:fill="auto"/>
            <w:noWrap/>
            <w:vAlign w:val="bottom"/>
            <w:hideMark/>
          </w:tcPr>
          <w:p w14:paraId="2A2880C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2.16</w:t>
            </w:r>
          </w:p>
        </w:tc>
      </w:tr>
      <w:tr w:rsidR="001F02F5" w:rsidRPr="004A73C1" w14:paraId="0D667865"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402D156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United Arab Emirates</w:t>
            </w:r>
          </w:p>
        </w:tc>
        <w:tc>
          <w:tcPr>
            <w:tcW w:w="1025" w:type="dxa"/>
            <w:tcBorders>
              <w:top w:val="nil"/>
              <w:left w:val="nil"/>
              <w:bottom w:val="single" w:sz="4" w:space="0" w:color="auto"/>
              <w:right w:val="single" w:sz="4" w:space="0" w:color="auto"/>
            </w:tcBorders>
            <w:shd w:val="clear" w:color="auto" w:fill="auto"/>
            <w:noWrap/>
            <w:vAlign w:val="bottom"/>
            <w:hideMark/>
          </w:tcPr>
          <w:p w14:paraId="1C9A69F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ARE</w:t>
            </w:r>
          </w:p>
        </w:tc>
        <w:tc>
          <w:tcPr>
            <w:tcW w:w="686" w:type="dxa"/>
            <w:tcBorders>
              <w:top w:val="nil"/>
              <w:left w:val="nil"/>
              <w:bottom w:val="single" w:sz="4" w:space="0" w:color="auto"/>
              <w:right w:val="single" w:sz="4" w:space="0" w:color="auto"/>
            </w:tcBorders>
            <w:shd w:val="clear" w:color="auto" w:fill="auto"/>
            <w:noWrap/>
            <w:vAlign w:val="bottom"/>
            <w:hideMark/>
          </w:tcPr>
          <w:p w14:paraId="6AE0950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2.67</w:t>
            </w:r>
          </w:p>
        </w:tc>
        <w:tc>
          <w:tcPr>
            <w:tcW w:w="744" w:type="dxa"/>
            <w:tcBorders>
              <w:top w:val="nil"/>
              <w:left w:val="nil"/>
              <w:bottom w:val="single" w:sz="4" w:space="0" w:color="auto"/>
              <w:right w:val="single" w:sz="4" w:space="0" w:color="auto"/>
            </w:tcBorders>
            <w:shd w:val="clear" w:color="auto" w:fill="auto"/>
            <w:noWrap/>
            <w:vAlign w:val="bottom"/>
            <w:hideMark/>
          </w:tcPr>
          <w:p w14:paraId="44C30FE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2.31</w:t>
            </w:r>
          </w:p>
        </w:tc>
        <w:tc>
          <w:tcPr>
            <w:tcW w:w="744" w:type="dxa"/>
            <w:tcBorders>
              <w:top w:val="nil"/>
              <w:left w:val="nil"/>
              <w:bottom w:val="single" w:sz="4" w:space="0" w:color="auto"/>
              <w:right w:val="single" w:sz="4" w:space="0" w:color="auto"/>
            </w:tcBorders>
            <w:shd w:val="clear" w:color="auto" w:fill="auto"/>
            <w:noWrap/>
            <w:vAlign w:val="bottom"/>
            <w:hideMark/>
          </w:tcPr>
          <w:p w14:paraId="0A4503D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2.60</w:t>
            </w:r>
          </w:p>
        </w:tc>
        <w:tc>
          <w:tcPr>
            <w:tcW w:w="744" w:type="dxa"/>
            <w:tcBorders>
              <w:top w:val="nil"/>
              <w:left w:val="nil"/>
              <w:bottom w:val="single" w:sz="4" w:space="0" w:color="auto"/>
              <w:right w:val="single" w:sz="4" w:space="0" w:color="auto"/>
            </w:tcBorders>
            <w:shd w:val="clear" w:color="auto" w:fill="auto"/>
            <w:noWrap/>
            <w:vAlign w:val="bottom"/>
            <w:hideMark/>
          </w:tcPr>
          <w:p w14:paraId="14B0B4BC"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2.65</w:t>
            </w:r>
          </w:p>
        </w:tc>
        <w:tc>
          <w:tcPr>
            <w:tcW w:w="744" w:type="dxa"/>
            <w:tcBorders>
              <w:top w:val="nil"/>
              <w:left w:val="nil"/>
              <w:bottom w:val="single" w:sz="4" w:space="0" w:color="auto"/>
              <w:right w:val="single" w:sz="4" w:space="0" w:color="auto"/>
            </w:tcBorders>
            <w:shd w:val="clear" w:color="auto" w:fill="auto"/>
            <w:noWrap/>
            <w:vAlign w:val="bottom"/>
            <w:hideMark/>
          </w:tcPr>
          <w:p w14:paraId="5A12462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2.43</w:t>
            </w:r>
          </w:p>
        </w:tc>
        <w:tc>
          <w:tcPr>
            <w:tcW w:w="686" w:type="dxa"/>
            <w:tcBorders>
              <w:top w:val="nil"/>
              <w:left w:val="nil"/>
              <w:bottom w:val="single" w:sz="4" w:space="0" w:color="auto"/>
              <w:right w:val="single" w:sz="4" w:space="0" w:color="auto"/>
            </w:tcBorders>
            <w:shd w:val="clear" w:color="auto" w:fill="auto"/>
            <w:noWrap/>
            <w:vAlign w:val="bottom"/>
            <w:hideMark/>
          </w:tcPr>
          <w:p w14:paraId="0A1AD077"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4.28</w:t>
            </w:r>
          </w:p>
        </w:tc>
        <w:tc>
          <w:tcPr>
            <w:tcW w:w="744" w:type="dxa"/>
            <w:tcBorders>
              <w:top w:val="nil"/>
              <w:left w:val="nil"/>
              <w:bottom w:val="single" w:sz="4" w:space="0" w:color="auto"/>
              <w:right w:val="single" w:sz="4" w:space="0" w:color="auto"/>
            </w:tcBorders>
            <w:shd w:val="clear" w:color="auto" w:fill="auto"/>
            <w:noWrap/>
            <w:vAlign w:val="bottom"/>
            <w:hideMark/>
          </w:tcPr>
          <w:p w14:paraId="41BC2DD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5.69</w:t>
            </w:r>
          </w:p>
        </w:tc>
        <w:tc>
          <w:tcPr>
            <w:tcW w:w="744" w:type="dxa"/>
            <w:tcBorders>
              <w:top w:val="nil"/>
              <w:left w:val="nil"/>
              <w:bottom w:val="single" w:sz="4" w:space="0" w:color="auto"/>
              <w:right w:val="single" w:sz="4" w:space="0" w:color="auto"/>
            </w:tcBorders>
            <w:shd w:val="clear" w:color="auto" w:fill="auto"/>
            <w:noWrap/>
            <w:vAlign w:val="bottom"/>
            <w:hideMark/>
          </w:tcPr>
          <w:p w14:paraId="6B3744F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4.98</w:t>
            </w:r>
          </w:p>
        </w:tc>
        <w:tc>
          <w:tcPr>
            <w:tcW w:w="879" w:type="dxa"/>
            <w:tcBorders>
              <w:top w:val="nil"/>
              <w:left w:val="nil"/>
              <w:bottom w:val="single" w:sz="4" w:space="0" w:color="auto"/>
              <w:right w:val="single" w:sz="4" w:space="0" w:color="auto"/>
            </w:tcBorders>
            <w:shd w:val="clear" w:color="auto" w:fill="auto"/>
            <w:noWrap/>
            <w:vAlign w:val="bottom"/>
            <w:hideMark/>
          </w:tcPr>
          <w:p w14:paraId="425D3928"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4.48</w:t>
            </w:r>
          </w:p>
        </w:tc>
      </w:tr>
      <w:tr w:rsidR="001F02F5" w:rsidRPr="004A73C1" w14:paraId="100E3FD4"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2F256B6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Australia</w:t>
            </w:r>
          </w:p>
        </w:tc>
        <w:tc>
          <w:tcPr>
            <w:tcW w:w="1025" w:type="dxa"/>
            <w:tcBorders>
              <w:top w:val="nil"/>
              <w:left w:val="nil"/>
              <w:bottom w:val="single" w:sz="4" w:space="0" w:color="auto"/>
              <w:right w:val="single" w:sz="4" w:space="0" w:color="auto"/>
            </w:tcBorders>
            <w:shd w:val="clear" w:color="auto" w:fill="auto"/>
            <w:noWrap/>
            <w:vAlign w:val="bottom"/>
            <w:hideMark/>
          </w:tcPr>
          <w:p w14:paraId="4995DE1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AUS</w:t>
            </w:r>
          </w:p>
        </w:tc>
        <w:tc>
          <w:tcPr>
            <w:tcW w:w="686" w:type="dxa"/>
            <w:tcBorders>
              <w:top w:val="nil"/>
              <w:left w:val="nil"/>
              <w:bottom w:val="single" w:sz="4" w:space="0" w:color="auto"/>
              <w:right w:val="single" w:sz="4" w:space="0" w:color="auto"/>
            </w:tcBorders>
            <w:shd w:val="clear" w:color="auto" w:fill="auto"/>
            <w:noWrap/>
            <w:vAlign w:val="bottom"/>
            <w:hideMark/>
          </w:tcPr>
          <w:p w14:paraId="15757DAF"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4.30</w:t>
            </w:r>
          </w:p>
        </w:tc>
        <w:tc>
          <w:tcPr>
            <w:tcW w:w="744" w:type="dxa"/>
            <w:tcBorders>
              <w:top w:val="nil"/>
              <w:left w:val="nil"/>
              <w:bottom w:val="single" w:sz="4" w:space="0" w:color="auto"/>
              <w:right w:val="single" w:sz="4" w:space="0" w:color="auto"/>
            </w:tcBorders>
            <w:shd w:val="clear" w:color="auto" w:fill="auto"/>
            <w:noWrap/>
            <w:vAlign w:val="bottom"/>
            <w:hideMark/>
          </w:tcPr>
          <w:p w14:paraId="576362F0"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3.47</w:t>
            </w:r>
          </w:p>
        </w:tc>
        <w:tc>
          <w:tcPr>
            <w:tcW w:w="744" w:type="dxa"/>
            <w:tcBorders>
              <w:top w:val="nil"/>
              <w:left w:val="nil"/>
              <w:bottom w:val="single" w:sz="4" w:space="0" w:color="auto"/>
              <w:right w:val="single" w:sz="4" w:space="0" w:color="auto"/>
            </w:tcBorders>
            <w:shd w:val="clear" w:color="auto" w:fill="auto"/>
            <w:noWrap/>
            <w:vAlign w:val="bottom"/>
            <w:hideMark/>
          </w:tcPr>
          <w:p w14:paraId="1AD76C27"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3.56</w:t>
            </w:r>
          </w:p>
        </w:tc>
        <w:tc>
          <w:tcPr>
            <w:tcW w:w="744" w:type="dxa"/>
            <w:tcBorders>
              <w:top w:val="nil"/>
              <w:left w:val="nil"/>
              <w:bottom w:val="single" w:sz="4" w:space="0" w:color="auto"/>
              <w:right w:val="single" w:sz="4" w:space="0" w:color="auto"/>
            </w:tcBorders>
            <w:shd w:val="clear" w:color="auto" w:fill="auto"/>
            <w:noWrap/>
            <w:vAlign w:val="bottom"/>
            <w:hideMark/>
          </w:tcPr>
          <w:p w14:paraId="555CDB4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3.63</w:t>
            </w:r>
          </w:p>
        </w:tc>
        <w:tc>
          <w:tcPr>
            <w:tcW w:w="744" w:type="dxa"/>
            <w:tcBorders>
              <w:top w:val="nil"/>
              <w:left w:val="nil"/>
              <w:bottom w:val="single" w:sz="4" w:space="0" w:color="auto"/>
              <w:right w:val="single" w:sz="4" w:space="0" w:color="auto"/>
            </w:tcBorders>
            <w:shd w:val="clear" w:color="auto" w:fill="auto"/>
            <w:noWrap/>
            <w:vAlign w:val="bottom"/>
            <w:hideMark/>
          </w:tcPr>
          <w:p w14:paraId="6654F4B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4.24</w:t>
            </w:r>
          </w:p>
        </w:tc>
        <w:tc>
          <w:tcPr>
            <w:tcW w:w="686" w:type="dxa"/>
            <w:tcBorders>
              <w:top w:val="nil"/>
              <w:left w:val="nil"/>
              <w:bottom w:val="single" w:sz="4" w:space="0" w:color="auto"/>
              <w:right w:val="single" w:sz="4" w:space="0" w:color="auto"/>
            </w:tcBorders>
            <w:shd w:val="clear" w:color="auto" w:fill="auto"/>
            <w:noWrap/>
            <w:vAlign w:val="bottom"/>
            <w:hideMark/>
          </w:tcPr>
          <w:p w14:paraId="643D7DC7"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2.78</w:t>
            </w:r>
          </w:p>
        </w:tc>
        <w:tc>
          <w:tcPr>
            <w:tcW w:w="744" w:type="dxa"/>
            <w:tcBorders>
              <w:top w:val="nil"/>
              <w:left w:val="nil"/>
              <w:bottom w:val="single" w:sz="4" w:space="0" w:color="auto"/>
              <w:right w:val="single" w:sz="4" w:space="0" w:color="auto"/>
            </w:tcBorders>
            <w:shd w:val="clear" w:color="auto" w:fill="auto"/>
            <w:noWrap/>
            <w:vAlign w:val="bottom"/>
            <w:hideMark/>
          </w:tcPr>
          <w:p w14:paraId="260F1EF3"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1.19</w:t>
            </w:r>
          </w:p>
        </w:tc>
        <w:tc>
          <w:tcPr>
            <w:tcW w:w="744" w:type="dxa"/>
            <w:tcBorders>
              <w:top w:val="nil"/>
              <w:left w:val="nil"/>
              <w:bottom w:val="single" w:sz="4" w:space="0" w:color="auto"/>
              <w:right w:val="single" w:sz="4" w:space="0" w:color="auto"/>
            </w:tcBorders>
            <w:shd w:val="clear" w:color="auto" w:fill="auto"/>
            <w:noWrap/>
            <w:vAlign w:val="bottom"/>
            <w:hideMark/>
          </w:tcPr>
          <w:p w14:paraId="2D231A1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1.78</w:t>
            </w:r>
          </w:p>
        </w:tc>
        <w:tc>
          <w:tcPr>
            <w:tcW w:w="879" w:type="dxa"/>
            <w:tcBorders>
              <w:top w:val="nil"/>
              <w:left w:val="nil"/>
              <w:bottom w:val="single" w:sz="4" w:space="0" w:color="auto"/>
              <w:right w:val="single" w:sz="4" w:space="0" w:color="auto"/>
            </w:tcBorders>
            <w:shd w:val="clear" w:color="auto" w:fill="auto"/>
            <w:noWrap/>
            <w:vAlign w:val="bottom"/>
            <w:hideMark/>
          </w:tcPr>
          <w:p w14:paraId="36AC6E3F"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4.14</w:t>
            </w:r>
          </w:p>
        </w:tc>
      </w:tr>
      <w:tr w:rsidR="001F02F5" w:rsidRPr="004A73C1" w14:paraId="13CDE404"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0DB372CC"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Central Europe and the Baltics</w:t>
            </w:r>
          </w:p>
        </w:tc>
        <w:tc>
          <w:tcPr>
            <w:tcW w:w="1025" w:type="dxa"/>
            <w:tcBorders>
              <w:top w:val="nil"/>
              <w:left w:val="nil"/>
              <w:bottom w:val="single" w:sz="4" w:space="0" w:color="auto"/>
              <w:right w:val="single" w:sz="4" w:space="0" w:color="auto"/>
            </w:tcBorders>
            <w:shd w:val="clear" w:color="auto" w:fill="auto"/>
            <w:noWrap/>
            <w:vAlign w:val="bottom"/>
            <w:hideMark/>
          </w:tcPr>
          <w:p w14:paraId="3847BA3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CEB</w:t>
            </w:r>
          </w:p>
        </w:tc>
        <w:tc>
          <w:tcPr>
            <w:tcW w:w="686" w:type="dxa"/>
            <w:tcBorders>
              <w:top w:val="nil"/>
              <w:left w:val="nil"/>
              <w:bottom w:val="single" w:sz="4" w:space="0" w:color="auto"/>
              <w:right w:val="single" w:sz="4" w:space="0" w:color="auto"/>
            </w:tcBorders>
            <w:shd w:val="clear" w:color="auto" w:fill="auto"/>
            <w:noWrap/>
            <w:vAlign w:val="bottom"/>
            <w:hideMark/>
          </w:tcPr>
          <w:p w14:paraId="32C00CC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3.66</w:t>
            </w:r>
          </w:p>
        </w:tc>
        <w:tc>
          <w:tcPr>
            <w:tcW w:w="744" w:type="dxa"/>
            <w:tcBorders>
              <w:top w:val="nil"/>
              <w:left w:val="nil"/>
              <w:bottom w:val="single" w:sz="4" w:space="0" w:color="auto"/>
              <w:right w:val="single" w:sz="4" w:space="0" w:color="auto"/>
            </w:tcBorders>
            <w:shd w:val="clear" w:color="auto" w:fill="auto"/>
            <w:noWrap/>
            <w:vAlign w:val="bottom"/>
            <w:hideMark/>
          </w:tcPr>
          <w:p w14:paraId="0CB7E420"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1.78</w:t>
            </w:r>
          </w:p>
        </w:tc>
        <w:tc>
          <w:tcPr>
            <w:tcW w:w="744" w:type="dxa"/>
            <w:tcBorders>
              <w:top w:val="nil"/>
              <w:left w:val="nil"/>
              <w:bottom w:val="single" w:sz="4" w:space="0" w:color="auto"/>
              <w:right w:val="single" w:sz="4" w:space="0" w:color="auto"/>
            </w:tcBorders>
            <w:shd w:val="clear" w:color="auto" w:fill="auto"/>
            <w:noWrap/>
            <w:vAlign w:val="bottom"/>
            <w:hideMark/>
          </w:tcPr>
          <w:p w14:paraId="05B7565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8.74</w:t>
            </w:r>
          </w:p>
        </w:tc>
        <w:tc>
          <w:tcPr>
            <w:tcW w:w="744" w:type="dxa"/>
            <w:tcBorders>
              <w:top w:val="nil"/>
              <w:left w:val="nil"/>
              <w:bottom w:val="single" w:sz="4" w:space="0" w:color="auto"/>
              <w:right w:val="single" w:sz="4" w:space="0" w:color="auto"/>
            </w:tcBorders>
            <w:shd w:val="clear" w:color="auto" w:fill="auto"/>
            <w:noWrap/>
            <w:vAlign w:val="bottom"/>
            <w:hideMark/>
          </w:tcPr>
          <w:p w14:paraId="6577788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2.00</w:t>
            </w:r>
          </w:p>
        </w:tc>
        <w:tc>
          <w:tcPr>
            <w:tcW w:w="744" w:type="dxa"/>
            <w:tcBorders>
              <w:top w:val="nil"/>
              <w:left w:val="nil"/>
              <w:bottom w:val="single" w:sz="4" w:space="0" w:color="auto"/>
              <w:right w:val="single" w:sz="4" w:space="0" w:color="auto"/>
            </w:tcBorders>
            <w:shd w:val="clear" w:color="auto" w:fill="auto"/>
            <w:noWrap/>
            <w:vAlign w:val="bottom"/>
            <w:hideMark/>
          </w:tcPr>
          <w:p w14:paraId="3358C79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-1.19</w:t>
            </w:r>
          </w:p>
        </w:tc>
        <w:tc>
          <w:tcPr>
            <w:tcW w:w="686" w:type="dxa"/>
            <w:tcBorders>
              <w:top w:val="nil"/>
              <w:left w:val="nil"/>
              <w:bottom w:val="single" w:sz="4" w:space="0" w:color="auto"/>
              <w:right w:val="single" w:sz="4" w:space="0" w:color="auto"/>
            </w:tcBorders>
            <w:shd w:val="clear" w:color="auto" w:fill="auto"/>
            <w:noWrap/>
            <w:vAlign w:val="bottom"/>
            <w:hideMark/>
          </w:tcPr>
          <w:p w14:paraId="6FEDA3D3"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9.10</w:t>
            </w:r>
          </w:p>
        </w:tc>
        <w:tc>
          <w:tcPr>
            <w:tcW w:w="744" w:type="dxa"/>
            <w:tcBorders>
              <w:top w:val="nil"/>
              <w:left w:val="nil"/>
              <w:bottom w:val="single" w:sz="4" w:space="0" w:color="auto"/>
              <w:right w:val="single" w:sz="4" w:space="0" w:color="auto"/>
            </w:tcBorders>
            <w:shd w:val="clear" w:color="auto" w:fill="auto"/>
            <w:noWrap/>
            <w:vAlign w:val="bottom"/>
            <w:hideMark/>
          </w:tcPr>
          <w:p w14:paraId="0AB2C9C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12.74</w:t>
            </w:r>
          </w:p>
        </w:tc>
        <w:tc>
          <w:tcPr>
            <w:tcW w:w="744" w:type="dxa"/>
            <w:tcBorders>
              <w:top w:val="nil"/>
              <w:left w:val="nil"/>
              <w:bottom w:val="single" w:sz="4" w:space="0" w:color="auto"/>
              <w:right w:val="single" w:sz="4" w:space="0" w:color="auto"/>
            </w:tcBorders>
            <w:shd w:val="clear" w:color="auto" w:fill="auto"/>
            <w:noWrap/>
            <w:vAlign w:val="bottom"/>
            <w:hideMark/>
          </w:tcPr>
          <w:p w14:paraId="07F4393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6.23</w:t>
            </w:r>
          </w:p>
        </w:tc>
        <w:tc>
          <w:tcPr>
            <w:tcW w:w="879" w:type="dxa"/>
            <w:tcBorders>
              <w:top w:val="nil"/>
              <w:left w:val="nil"/>
              <w:bottom w:val="single" w:sz="4" w:space="0" w:color="auto"/>
              <w:right w:val="single" w:sz="4" w:space="0" w:color="auto"/>
            </w:tcBorders>
            <w:shd w:val="clear" w:color="auto" w:fill="auto"/>
            <w:noWrap/>
            <w:vAlign w:val="bottom"/>
            <w:hideMark/>
          </w:tcPr>
          <w:p w14:paraId="3F434C2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3.36</w:t>
            </w:r>
          </w:p>
        </w:tc>
      </w:tr>
      <w:tr w:rsidR="001F02F5" w:rsidRPr="004A73C1" w14:paraId="5D3CB2BC"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5CB1317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Switzerland</w:t>
            </w:r>
          </w:p>
        </w:tc>
        <w:tc>
          <w:tcPr>
            <w:tcW w:w="1025" w:type="dxa"/>
            <w:tcBorders>
              <w:top w:val="nil"/>
              <w:left w:val="nil"/>
              <w:bottom w:val="single" w:sz="4" w:space="0" w:color="auto"/>
              <w:right w:val="single" w:sz="4" w:space="0" w:color="auto"/>
            </w:tcBorders>
            <w:shd w:val="clear" w:color="auto" w:fill="auto"/>
            <w:noWrap/>
            <w:vAlign w:val="bottom"/>
            <w:hideMark/>
          </w:tcPr>
          <w:p w14:paraId="14C45F8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CHE</w:t>
            </w:r>
          </w:p>
        </w:tc>
        <w:tc>
          <w:tcPr>
            <w:tcW w:w="686" w:type="dxa"/>
            <w:tcBorders>
              <w:top w:val="nil"/>
              <w:left w:val="nil"/>
              <w:bottom w:val="single" w:sz="4" w:space="0" w:color="auto"/>
              <w:right w:val="single" w:sz="4" w:space="0" w:color="auto"/>
            </w:tcBorders>
            <w:shd w:val="clear" w:color="auto" w:fill="auto"/>
            <w:noWrap/>
            <w:vAlign w:val="bottom"/>
            <w:hideMark/>
          </w:tcPr>
          <w:p w14:paraId="4C92879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2.89</w:t>
            </w:r>
          </w:p>
        </w:tc>
        <w:tc>
          <w:tcPr>
            <w:tcW w:w="744" w:type="dxa"/>
            <w:tcBorders>
              <w:top w:val="nil"/>
              <w:left w:val="nil"/>
              <w:bottom w:val="single" w:sz="4" w:space="0" w:color="auto"/>
              <w:right w:val="single" w:sz="4" w:space="0" w:color="auto"/>
            </w:tcBorders>
            <w:shd w:val="clear" w:color="auto" w:fill="auto"/>
            <w:noWrap/>
            <w:vAlign w:val="bottom"/>
            <w:hideMark/>
          </w:tcPr>
          <w:p w14:paraId="2C680D10"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17.11</w:t>
            </w:r>
          </w:p>
        </w:tc>
        <w:tc>
          <w:tcPr>
            <w:tcW w:w="744" w:type="dxa"/>
            <w:tcBorders>
              <w:top w:val="nil"/>
              <w:left w:val="nil"/>
              <w:bottom w:val="single" w:sz="4" w:space="0" w:color="auto"/>
              <w:right w:val="single" w:sz="4" w:space="0" w:color="auto"/>
            </w:tcBorders>
            <w:shd w:val="clear" w:color="auto" w:fill="auto"/>
            <w:noWrap/>
            <w:vAlign w:val="bottom"/>
            <w:hideMark/>
          </w:tcPr>
          <w:p w14:paraId="2EC9DF8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24.25</w:t>
            </w:r>
          </w:p>
        </w:tc>
        <w:tc>
          <w:tcPr>
            <w:tcW w:w="744" w:type="dxa"/>
            <w:tcBorders>
              <w:top w:val="nil"/>
              <w:left w:val="nil"/>
              <w:bottom w:val="single" w:sz="4" w:space="0" w:color="auto"/>
              <w:right w:val="single" w:sz="4" w:space="0" w:color="auto"/>
            </w:tcBorders>
            <w:shd w:val="clear" w:color="auto" w:fill="auto"/>
            <w:noWrap/>
            <w:vAlign w:val="bottom"/>
            <w:hideMark/>
          </w:tcPr>
          <w:p w14:paraId="1191FBA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20.60</w:t>
            </w:r>
          </w:p>
        </w:tc>
        <w:tc>
          <w:tcPr>
            <w:tcW w:w="744" w:type="dxa"/>
            <w:tcBorders>
              <w:top w:val="nil"/>
              <w:left w:val="nil"/>
              <w:bottom w:val="single" w:sz="4" w:space="0" w:color="auto"/>
              <w:right w:val="single" w:sz="4" w:space="0" w:color="auto"/>
            </w:tcBorders>
            <w:shd w:val="clear" w:color="auto" w:fill="auto"/>
            <w:noWrap/>
            <w:vAlign w:val="bottom"/>
            <w:hideMark/>
          </w:tcPr>
          <w:p w14:paraId="287081A0"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-22.11</w:t>
            </w:r>
          </w:p>
        </w:tc>
        <w:tc>
          <w:tcPr>
            <w:tcW w:w="686" w:type="dxa"/>
            <w:tcBorders>
              <w:top w:val="nil"/>
              <w:left w:val="nil"/>
              <w:bottom w:val="single" w:sz="4" w:space="0" w:color="auto"/>
              <w:right w:val="single" w:sz="4" w:space="0" w:color="auto"/>
            </w:tcBorders>
            <w:shd w:val="clear" w:color="auto" w:fill="auto"/>
            <w:noWrap/>
            <w:vAlign w:val="bottom"/>
            <w:hideMark/>
          </w:tcPr>
          <w:p w14:paraId="7F299AE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1.22</w:t>
            </w:r>
          </w:p>
        </w:tc>
        <w:tc>
          <w:tcPr>
            <w:tcW w:w="744" w:type="dxa"/>
            <w:tcBorders>
              <w:top w:val="nil"/>
              <w:left w:val="nil"/>
              <w:bottom w:val="single" w:sz="4" w:space="0" w:color="auto"/>
              <w:right w:val="single" w:sz="4" w:space="0" w:color="auto"/>
            </w:tcBorders>
            <w:shd w:val="clear" w:color="auto" w:fill="auto"/>
            <w:noWrap/>
            <w:vAlign w:val="bottom"/>
            <w:hideMark/>
          </w:tcPr>
          <w:p w14:paraId="7A29AB6C"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-32.64</w:t>
            </w:r>
          </w:p>
        </w:tc>
        <w:tc>
          <w:tcPr>
            <w:tcW w:w="744" w:type="dxa"/>
            <w:tcBorders>
              <w:top w:val="nil"/>
              <w:left w:val="nil"/>
              <w:bottom w:val="single" w:sz="4" w:space="0" w:color="auto"/>
              <w:right w:val="single" w:sz="4" w:space="0" w:color="auto"/>
            </w:tcBorders>
            <w:shd w:val="clear" w:color="auto" w:fill="auto"/>
            <w:noWrap/>
            <w:vAlign w:val="bottom"/>
            <w:hideMark/>
          </w:tcPr>
          <w:p w14:paraId="2BA23DF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-14.41</w:t>
            </w:r>
          </w:p>
        </w:tc>
        <w:tc>
          <w:tcPr>
            <w:tcW w:w="879" w:type="dxa"/>
            <w:tcBorders>
              <w:top w:val="nil"/>
              <w:left w:val="nil"/>
              <w:bottom w:val="single" w:sz="4" w:space="0" w:color="auto"/>
              <w:right w:val="single" w:sz="4" w:space="0" w:color="auto"/>
            </w:tcBorders>
            <w:shd w:val="clear" w:color="auto" w:fill="auto"/>
            <w:noWrap/>
            <w:vAlign w:val="bottom"/>
            <w:hideMark/>
          </w:tcPr>
          <w:p w14:paraId="0A2F8CE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-1.34</w:t>
            </w:r>
          </w:p>
        </w:tc>
      </w:tr>
      <w:tr w:rsidR="001F02F5" w:rsidRPr="004A73C1" w14:paraId="6058598D"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7CA1C11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Germany</w:t>
            </w:r>
          </w:p>
        </w:tc>
        <w:tc>
          <w:tcPr>
            <w:tcW w:w="1025" w:type="dxa"/>
            <w:tcBorders>
              <w:top w:val="nil"/>
              <w:left w:val="nil"/>
              <w:bottom w:val="single" w:sz="4" w:space="0" w:color="auto"/>
              <w:right w:val="single" w:sz="4" w:space="0" w:color="auto"/>
            </w:tcBorders>
            <w:shd w:val="clear" w:color="auto" w:fill="auto"/>
            <w:noWrap/>
            <w:vAlign w:val="bottom"/>
            <w:hideMark/>
          </w:tcPr>
          <w:p w14:paraId="6478A328"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DEU</w:t>
            </w:r>
          </w:p>
        </w:tc>
        <w:tc>
          <w:tcPr>
            <w:tcW w:w="686" w:type="dxa"/>
            <w:tcBorders>
              <w:top w:val="nil"/>
              <w:left w:val="nil"/>
              <w:bottom w:val="single" w:sz="4" w:space="0" w:color="auto"/>
              <w:right w:val="single" w:sz="4" w:space="0" w:color="auto"/>
            </w:tcBorders>
            <w:shd w:val="clear" w:color="auto" w:fill="auto"/>
            <w:noWrap/>
            <w:vAlign w:val="bottom"/>
            <w:hideMark/>
          </w:tcPr>
          <w:p w14:paraId="03182AA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0.50</w:t>
            </w:r>
          </w:p>
        </w:tc>
        <w:tc>
          <w:tcPr>
            <w:tcW w:w="744" w:type="dxa"/>
            <w:tcBorders>
              <w:top w:val="nil"/>
              <w:left w:val="nil"/>
              <w:bottom w:val="single" w:sz="4" w:space="0" w:color="auto"/>
              <w:right w:val="single" w:sz="4" w:space="0" w:color="auto"/>
            </w:tcBorders>
            <w:shd w:val="clear" w:color="auto" w:fill="auto"/>
            <w:noWrap/>
            <w:vAlign w:val="bottom"/>
            <w:hideMark/>
          </w:tcPr>
          <w:p w14:paraId="5128D21C"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1.86</w:t>
            </w:r>
          </w:p>
        </w:tc>
        <w:tc>
          <w:tcPr>
            <w:tcW w:w="744" w:type="dxa"/>
            <w:tcBorders>
              <w:top w:val="nil"/>
              <w:left w:val="nil"/>
              <w:bottom w:val="single" w:sz="4" w:space="0" w:color="auto"/>
              <w:right w:val="single" w:sz="4" w:space="0" w:color="auto"/>
            </w:tcBorders>
            <w:shd w:val="clear" w:color="auto" w:fill="auto"/>
            <w:noWrap/>
            <w:vAlign w:val="bottom"/>
            <w:hideMark/>
          </w:tcPr>
          <w:p w14:paraId="261151A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1.87</w:t>
            </w:r>
          </w:p>
        </w:tc>
        <w:tc>
          <w:tcPr>
            <w:tcW w:w="744" w:type="dxa"/>
            <w:tcBorders>
              <w:top w:val="nil"/>
              <w:left w:val="nil"/>
              <w:bottom w:val="single" w:sz="4" w:space="0" w:color="auto"/>
              <w:right w:val="single" w:sz="4" w:space="0" w:color="auto"/>
            </w:tcBorders>
            <w:shd w:val="clear" w:color="auto" w:fill="auto"/>
            <w:noWrap/>
            <w:vAlign w:val="bottom"/>
            <w:hideMark/>
          </w:tcPr>
          <w:p w14:paraId="0176E14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2.97</w:t>
            </w:r>
          </w:p>
        </w:tc>
        <w:tc>
          <w:tcPr>
            <w:tcW w:w="744" w:type="dxa"/>
            <w:tcBorders>
              <w:top w:val="nil"/>
              <w:left w:val="nil"/>
              <w:bottom w:val="single" w:sz="4" w:space="0" w:color="auto"/>
              <w:right w:val="single" w:sz="4" w:space="0" w:color="auto"/>
            </w:tcBorders>
            <w:shd w:val="clear" w:color="auto" w:fill="auto"/>
            <w:noWrap/>
            <w:vAlign w:val="bottom"/>
            <w:hideMark/>
          </w:tcPr>
          <w:p w14:paraId="48ACC6D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4.20</w:t>
            </w:r>
          </w:p>
        </w:tc>
        <w:tc>
          <w:tcPr>
            <w:tcW w:w="686" w:type="dxa"/>
            <w:tcBorders>
              <w:top w:val="nil"/>
              <w:left w:val="nil"/>
              <w:bottom w:val="single" w:sz="4" w:space="0" w:color="auto"/>
              <w:right w:val="single" w:sz="4" w:space="0" w:color="auto"/>
            </w:tcBorders>
            <w:shd w:val="clear" w:color="auto" w:fill="auto"/>
            <w:noWrap/>
            <w:vAlign w:val="bottom"/>
            <w:hideMark/>
          </w:tcPr>
          <w:p w14:paraId="2756125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1.90</w:t>
            </w:r>
          </w:p>
        </w:tc>
        <w:tc>
          <w:tcPr>
            <w:tcW w:w="744" w:type="dxa"/>
            <w:tcBorders>
              <w:top w:val="nil"/>
              <w:left w:val="nil"/>
              <w:bottom w:val="single" w:sz="4" w:space="0" w:color="auto"/>
              <w:right w:val="single" w:sz="4" w:space="0" w:color="auto"/>
            </w:tcBorders>
            <w:shd w:val="clear" w:color="auto" w:fill="auto"/>
            <w:noWrap/>
            <w:vAlign w:val="bottom"/>
            <w:hideMark/>
          </w:tcPr>
          <w:p w14:paraId="2C0A2A7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4.55</w:t>
            </w:r>
          </w:p>
        </w:tc>
        <w:tc>
          <w:tcPr>
            <w:tcW w:w="744" w:type="dxa"/>
            <w:tcBorders>
              <w:top w:val="nil"/>
              <w:left w:val="nil"/>
              <w:bottom w:val="single" w:sz="4" w:space="0" w:color="auto"/>
              <w:right w:val="single" w:sz="4" w:space="0" w:color="auto"/>
            </w:tcBorders>
            <w:shd w:val="clear" w:color="auto" w:fill="auto"/>
            <w:noWrap/>
            <w:vAlign w:val="bottom"/>
            <w:hideMark/>
          </w:tcPr>
          <w:p w14:paraId="1D0BB3B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2.39</w:t>
            </w:r>
          </w:p>
        </w:tc>
        <w:tc>
          <w:tcPr>
            <w:tcW w:w="879" w:type="dxa"/>
            <w:tcBorders>
              <w:top w:val="nil"/>
              <w:left w:val="nil"/>
              <w:bottom w:val="single" w:sz="4" w:space="0" w:color="auto"/>
              <w:right w:val="single" w:sz="4" w:space="0" w:color="auto"/>
            </w:tcBorders>
            <w:shd w:val="clear" w:color="auto" w:fill="auto"/>
            <w:noWrap/>
            <w:vAlign w:val="bottom"/>
            <w:hideMark/>
          </w:tcPr>
          <w:p w14:paraId="64F9DB20"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1.54</w:t>
            </w:r>
          </w:p>
        </w:tc>
      </w:tr>
      <w:tr w:rsidR="001F02F5" w:rsidRPr="004A73C1" w14:paraId="619FCD3E"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38706AE3"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East Asia &amp; Pacific</w:t>
            </w:r>
          </w:p>
        </w:tc>
        <w:tc>
          <w:tcPr>
            <w:tcW w:w="1025" w:type="dxa"/>
            <w:tcBorders>
              <w:top w:val="nil"/>
              <w:left w:val="nil"/>
              <w:bottom w:val="single" w:sz="4" w:space="0" w:color="auto"/>
              <w:right w:val="single" w:sz="4" w:space="0" w:color="auto"/>
            </w:tcBorders>
            <w:shd w:val="clear" w:color="auto" w:fill="auto"/>
            <w:noWrap/>
            <w:vAlign w:val="bottom"/>
            <w:hideMark/>
          </w:tcPr>
          <w:p w14:paraId="4BC1592F"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EAS</w:t>
            </w:r>
          </w:p>
        </w:tc>
        <w:tc>
          <w:tcPr>
            <w:tcW w:w="686" w:type="dxa"/>
            <w:tcBorders>
              <w:top w:val="nil"/>
              <w:left w:val="nil"/>
              <w:bottom w:val="single" w:sz="4" w:space="0" w:color="auto"/>
              <w:right w:val="single" w:sz="4" w:space="0" w:color="auto"/>
            </w:tcBorders>
            <w:shd w:val="clear" w:color="auto" w:fill="auto"/>
            <w:noWrap/>
            <w:vAlign w:val="bottom"/>
            <w:hideMark/>
          </w:tcPr>
          <w:p w14:paraId="53874E4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2.86</w:t>
            </w:r>
          </w:p>
        </w:tc>
        <w:tc>
          <w:tcPr>
            <w:tcW w:w="744" w:type="dxa"/>
            <w:tcBorders>
              <w:top w:val="nil"/>
              <w:left w:val="nil"/>
              <w:bottom w:val="single" w:sz="4" w:space="0" w:color="auto"/>
              <w:right w:val="single" w:sz="4" w:space="0" w:color="auto"/>
            </w:tcBorders>
            <w:shd w:val="clear" w:color="auto" w:fill="auto"/>
            <w:noWrap/>
            <w:vAlign w:val="bottom"/>
            <w:hideMark/>
          </w:tcPr>
          <w:p w14:paraId="08D3748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2.81</w:t>
            </w:r>
          </w:p>
        </w:tc>
        <w:tc>
          <w:tcPr>
            <w:tcW w:w="744" w:type="dxa"/>
            <w:tcBorders>
              <w:top w:val="nil"/>
              <w:left w:val="nil"/>
              <w:bottom w:val="single" w:sz="4" w:space="0" w:color="auto"/>
              <w:right w:val="single" w:sz="4" w:space="0" w:color="auto"/>
            </w:tcBorders>
            <w:shd w:val="clear" w:color="auto" w:fill="auto"/>
            <w:noWrap/>
            <w:vAlign w:val="bottom"/>
            <w:hideMark/>
          </w:tcPr>
          <w:p w14:paraId="332949D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2.33</w:t>
            </w:r>
          </w:p>
        </w:tc>
        <w:tc>
          <w:tcPr>
            <w:tcW w:w="744" w:type="dxa"/>
            <w:tcBorders>
              <w:top w:val="nil"/>
              <w:left w:val="nil"/>
              <w:bottom w:val="single" w:sz="4" w:space="0" w:color="auto"/>
              <w:right w:val="single" w:sz="4" w:space="0" w:color="auto"/>
            </w:tcBorders>
            <w:shd w:val="clear" w:color="auto" w:fill="auto"/>
            <w:noWrap/>
            <w:vAlign w:val="bottom"/>
            <w:hideMark/>
          </w:tcPr>
          <w:p w14:paraId="5203645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2.31</w:t>
            </w:r>
          </w:p>
        </w:tc>
        <w:tc>
          <w:tcPr>
            <w:tcW w:w="744" w:type="dxa"/>
            <w:tcBorders>
              <w:top w:val="nil"/>
              <w:left w:val="nil"/>
              <w:bottom w:val="single" w:sz="4" w:space="0" w:color="auto"/>
              <w:right w:val="single" w:sz="4" w:space="0" w:color="auto"/>
            </w:tcBorders>
            <w:shd w:val="clear" w:color="auto" w:fill="auto"/>
            <w:noWrap/>
            <w:vAlign w:val="bottom"/>
            <w:hideMark/>
          </w:tcPr>
          <w:p w14:paraId="672C911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2.27</w:t>
            </w:r>
          </w:p>
        </w:tc>
        <w:tc>
          <w:tcPr>
            <w:tcW w:w="686" w:type="dxa"/>
            <w:tcBorders>
              <w:top w:val="nil"/>
              <w:left w:val="nil"/>
              <w:bottom w:val="single" w:sz="4" w:space="0" w:color="auto"/>
              <w:right w:val="single" w:sz="4" w:space="0" w:color="auto"/>
            </w:tcBorders>
            <w:shd w:val="clear" w:color="auto" w:fill="auto"/>
            <w:noWrap/>
            <w:vAlign w:val="bottom"/>
            <w:hideMark/>
          </w:tcPr>
          <w:p w14:paraId="33C7813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1.97</w:t>
            </w:r>
          </w:p>
        </w:tc>
        <w:tc>
          <w:tcPr>
            <w:tcW w:w="744" w:type="dxa"/>
            <w:tcBorders>
              <w:top w:val="nil"/>
              <w:left w:val="nil"/>
              <w:bottom w:val="single" w:sz="4" w:space="0" w:color="auto"/>
              <w:right w:val="single" w:sz="4" w:space="0" w:color="auto"/>
            </w:tcBorders>
            <w:shd w:val="clear" w:color="auto" w:fill="auto"/>
            <w:noWrap/>
            <w:vAlign w:val="bottom"/>
            <w:hideMark/>
          </w:tcPr>
          <w:p w14:paraId="07B3FA1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2.18</w:t>
            </w:r>
          </w:p>
        </w:tc>
        <w:tc>
          <w:tcPr>
            <w:tcW w:w="744" w:type="dxa"/>
            <w:tcBorders>
              <w:top w:val="nil"/>
              <w:left w:val="nil"/>
              <w:bottom w:val="single" w:sz="4" w:space="0" w:color="auto"/>
              <w:right w:val="single" w:sz="4" w:space="0" w:color="auto"/>
            </w:tcBorders>
            <w:shd w:val="clear" w:color="auto" w:fill="auto"/>
            <w:noWrap/>
            <w:vAlign w:val="bottom"/>
            <w:hideMark/>
          </w:tcPr>
          <w:p w14:paraId="1E8EDEB0"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2.61</w:t>
            </w:r>
          </w:p>
        </w:tc>
        <w:tc>
          <w:tcPr>
            <w:tcW w:w="879" w:type="dxa"/>
            <w:tcBorders>
              <w:top w:val="nil"/>
              <w:left w:val="nil"/>
              <w:bottom w:val="single" w:sz="4" w:space="0" w:color="auto"/>
              <w:right w:val="single" w:sz="4" w:space="0" w:color="auto"/>
            </w:tcBorders>
            <w:shd w:val="clear" w:color="auto" w:fill="auto"/>
            <w:noWrap/>
            <w:vAlign w:val="bottom"/>
            <w:hideMark/>
          </w:tcPr>
          <w:p w14:paraId="6A01C998"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2.30</w:t>
            </w:r>
          </w:p>
        </w:tc>
      </w:tr>
      <w:tr w:rsidR="001F02F5" w:rsidRPr="004A73C1" w14:paraId="47F6DA55" w14:textId="77777777" w:rsidTr="00ED3916">
        <w:trPr>
          <w:trHeight w:val="169"/>
        </w:trPr>
        <w:tc>
          <w:tcPr>
            <w:tcW w:w="1469" w:type="dxa"/>
            <w:tcBorders>
              <w:top w:val="nil"/>
              <w:left w:val="single" w:sz="4" w:space="0" w:color="auto"/>
              <w:bottom w:val="single" w:sz="4" w:space="0" w:color="auto"/>
              <w:right w:val="single" w:sz="4" w:space="0" w:color="auto"/>
            </w:tcBorders>
            <w:shd w:val="clear" w:color="auto" w:fill="auto"/>
            <w:vAlign w:val="bottom"/>
            <w:hideMark/>
          </w:tcPr>
          <w:p w14:paraId="4A91BB7C" w14:textId="72D6D0A6"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Europe &amp; Central Asia (excluding high-income)</w:t>
            </w:r>
          </w:p>
        </w:tc>
        <w:tc>
          <w:tcPr>
            <w:tcW w:w="1025" w:type="dxa"/>
            <w:tcBorders>
              <w:top w:val="nil"/>
              <w:left w:val="nil"/>
              <w:bottom w:val="single" w:sz="4" w:space="0" w:color="auto"/>
              <w:right w:val="single" w:sz="4" w:space="0" w:color="auto"/>
            </w:tcBorders>
            <w:shd w:val="clear" w:color="auto" w:fill="auto"/>
            <w:noWrap/>
            <w:vAlign w:val="bottom"/>
            <w:hideMark/>
          </w:tcPr>
          <w:p w14:paraId="53D25678"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ECA</w:t>
            </w:r>
          </w:p>
        </w:tc>
        <w:tc>
          <w:tcPr>
            <w:tcW w:w="686" w:type="dxa"/>
            <w:tcBorders>
              <w:top w:val="nil"/>
              <w:left w:val="nil"/>
              <w:bottom w:val="single" w:sz="4" w:space="0" w:color="auto"/>
              <w:right w:val="single" w:sz="4" w:space="0" w:color="auto"/>
            </w:tcBorders>
            <w:shd w:val="clear" w:color="auto" w:fill="auto"/>
            <w:noWrap/>
            <w:vAlign w:val="bottom"/>
            <w:hideMark/>
          </w:tcPr>
          <w:p w14:paraId="474C0BF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2.32</w:t>
            </w:r>
          </w:p>
        </w:tc>
        <w:tc>
          <w:tcPr>
            <w:tcW w:w="744" w:type="dxa"/>
            <w:tcBorders>
              <w:top w:val="nil"/>
              <w:left w:val="nil"/>
              <w:bottom w:val="single" w:sz="4" w:space="0" w:color="auto"/>
              <w:right w:val="single" w:sz="4" w:space="0" w:color="auto"/>
            </w:tcBorders>
            <w:shd w:val="clear" w:color="auto" w:fill="auto"/>
            <w:noWrap/>
            <w:vAlign w:val="bottom"/>
            <w:hideMark/>
          </w:tcPr>
          <w:p w14:paraId="4B72E7E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2.93</w:t>
            </w:r>
          </w:p>
        </w:tc>
        <w:tc>
          <w:tcPr>
            <w:tcW w:w="744" w:type="dxa"/>
            <w:tcBorders>
              <w:top w:val="nil"/>
              <w:left w:val="nil"/>
              <w:bottom w:val="single" w:sz="4" w:space="0" w:color="auto"/>
              <w:right w:val="single" w:sz="4" w:space="0" w:color="auto"/>
            </w:tcBorders>
            <w:shd w:val="clear" w:color="auto" w:fill="auto"/>
            <w:noWrap/>
            <w:vAlign w:val="bottom"/>
            <w:hideMark/>
          </w:tcPr>
          <w:p w14:paraId="123864F7"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3.63</w:t>
            </w:r>
          </w:p>
        </w:tc>
        <w:tc>
          <w:tcPr>
            <w:tcW w:w="744" w:type="dxa"/>
            <w:tcBorders>
              <w:top w:val="nil"/>
              <w:left w:val="nil"/>
              <w:bottom w:val="single" w:sz="4" w:space="0" w:color="auto"/>
              <w:right w:val="single" w:sz="4" w:space="0" w:color="auto"/>
            </w:tcBorders>
            <w:shd w:val="clear" w:color="auto" w:fill="auto"/>
            <w:noWrap/>
            <w:vAlign w:val="bottom"/>
            <w:hideMark/>
          </w:tcPr>
          <w:p w14:paraId="1886007F"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2.41</w:t>
            </w:r>
          </w:p>
        </w:tc>
        <w:tc>
          <w:tcPr>
            <w:tcW w:w="744" w:type="dxa"/>
            <w:tcBorders>
              <w:top w:val="nil"/>
              <w:left w:val="nil"/>
              <w:bottom w:val="single" w:sz="4" w:space="0" w:color="auto"/>
              <w:right w:val="single" w:sz="4" w:space="0" w:color="auto"/>
            </w:tcBorders>
            <w:shd w:val="clear" w:color="auto" w:fill="auto"/>
            <w:noWrap/>
            <w:vAlign w:val="bottom"/>
            <w:hideMark/>
          </w:tcPr>
          <w:p w14:paraId="67CDB46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2.22</w:t>
            </w:r>
          </w:p>
        </w:tc>
        <w:tc>
          <w:tcPr>
            <w:tcW w:w="686" w:type="dxa"/>
            <w:tcBorders>
              <w:top w:val="nil"/>
              <w:left w:val="nil"/>
              <w:bottom w:val="single" w:sz="4" w:space="0" w:color="auto"/>
              <w:right w:val="single" w:sz="4" w:space="0" w:color="auto"/>
            </w:tcBorders>
            <w:shd w:val="clear" w:color="auto" w:fill="auto"/>
            <w:noWrap/>
            <w:vAlign w:val="bottom"/>
            <w:hideMark/>
          </w:tcPr>
          <w:p w14:paraId="598F541F"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2.40</w:t>
            </w:r>
          </w:p>
        </w:tc>
        <w:tc>
          <w:tcPr>
            <w:tcW w:w="744" w:type="dxa"/>
            <w:tcBorders>
              <w:top w:val="nil"/>
              <w:left w:val="nil"/>
              <w:bottom w:val="single" w:sz="4" w:space="0" w:color="auto"/>
              <w:right w:val="single" w:sz="4" w:space="0" w:color="auto"/>
            </w:tcBorders>
            <w:shd w:val="clear" w:color="auto" w:fill="auto"/>
            <w:noWrap/>
            <w:vAlign w:val="bottom"/>
            <w:hideMark/>
          </w:tcPr>
          <w:p w14:paraId="6A9B0EA3"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1.87</w:t>
            </w:r>
          </w:p>
        </w:tc>
        <w:tc>
          <w:tcPr>
            <w:tcW w:w="744" w:type="dxa"/>
            <w:tcBorders>
              <w:top w:val="nil"/>
              <w:left w:val="nil"/>
              <w:bottom w:val="single" w:sz="4" w:space="0" w:color="auto"/>
              <w:right w:val="single" w:sz="4" w:space="0" w:color="auto"/>
            </w:tcBorders>
            <w:shd w:val="clear" w:color="auto" w:fill="auto"/>
            <w:noWrap/>
            <w:vAlign w:val="bottom"/>
            <w:hideMark/>
          </w:tcPr>
          <w:p w14:paraId="598D7A33"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2.37</w:t>
            </w:r>
          </w:p>
        </w:tc>
        <w:tc>
          <w:tcPr>
            <w:tcW w:w="879" w:type="dxa"/>
            <w:tcBorders>
              <w:top w:val="nil"/>
              <w:left w:val="nil"/>
              <w:bottom w:val="single" w:sz="4" w:space="0" w:color="auto"/>
              <w:right w:val="single" w:sz="4" w:space="0" w:color="auto"/>
            </w:tcBorders>
            <w:shd w:val="clear" w:color="auto" w:fill="auto"/>
            <w:noWrap/>
            <w:vAlign w:val="bottom"/>
            <w:hideMark/>
          </w:tcPr>
          <w:p w14:paraId="2395E17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1.81</w:t>
            </w:r>
          </w:p>
        </w:tc>
      </w:tr>
      <w:tr w:rsidR="001F02F5" w:rsidRPr="004A73C1" w14:paraId="64A22C9B"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6422DBBF"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Europe &amp; Central Asia</w:t>
            </w:r>
          </w:p>
        </w:tc>
        <w:tc>
          <w:tcPr>
            <w:tcW w:w="1025" w:type="dxa"/>
            <w:tcBorders>
              <w:top w:val="nil"/>
              <w:left w:val="nil"/>
              <w:bottom w:val="single" w:sz="4" w:space="0" w:color="auto"/>
              <w:right w:val="single" w:sz="4" w:space="0" w:color="auto"/>
            </w:tcBorders>
            <w:shd w:val="clear" w:color="auto" w:fill="auto"/>
            <w:noWrap/>
            <w:vAlign w:val="bottom"/>
            <w:hideMark/>
          </w:tcPr>
          <w:p w14:paraId="28552BA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ECS</w:t>
            </w:r>
          </w:p>
        </w:tc>
        <w:tc>
          <w:tcPr>
            <w:tcW w:w="686" w:type="dxa"/>
            <w:tcBorders>
              <w:top w:val="nil"/>
              <w:left w:val="nil"/>
              <w:bottom w:val="single" w:sz="4" w:space="0" w:color="auto"/>
              <w:right w:val="single" w:sz="4" w:space="0" w:color="auto"/>
            </w:tcBorders>
            <w:shd w:val="clear" w:color="auto" w:fill="auto"/>
            <w:noWrap/>
            <w:vAlign w:val="bottom"/>
            <w:hideMark/>
          </w:tcPr>
          <w:p w14:paraId="66790D9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2.48</w:t>
            </w:r>
          </w:p>
        </w:tc>
        <w:tc>
          <w:tcPr>
            <w:tcW w:w="744" w:type="dxa"/>
            <w:tcBorders>
              <w:top w:val="nil"/>
              <w:left w:val="nil"/>
              <w:bottom w:val="single" w:sz="4" w:space="0" w:color="auto"/>
              <w:right w:val="single" w:sz="4" w:space="0" w:color="auto"/>
            </w:tcBorders>
            <w:shd w:val="clear" w:color="auto" w:fill="auto"/>
            <w:noWrap/>
            <w:vAlign w:val="bottom"/>
            <w:hideMark/>
          </w:tcPr>
          <w:p w14:paraId="4D0A7AB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5.47</w:t>
            </w:r>
          </w:p>
        </w:tc>
        <w:tc>
          <w:tcPr>
            <w:tcW w:w="744" w:type="dxa"/>
            <w:tcBorders>
              <w:top w:val="nil"/>
              <w:left w:val="nil"/>
              <w:bottom w:val="single" w:sz="4" w:space="0" w:color="auto"/>
              <w:right w:val="single" w:sz="4" w:space="0" w:color="auto"/>
            </w:tcBorders>
            <w:shd w:val="clear" w:color="auto" w:fill="auto"/>
            <w:noWrap/>
            <w:vAlign w:val="bottom"/>
            <w:hideMark/>
          </w:tcPr>
          <w:p w14:paraId="2611E4A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6.56</w:t>
            </w:r>
          </w:p>
        </w:tc>
        <w:tc>
          <w:tcPr>
            <w:tcW w:w="744" w:type="dxa"/>
            <w:tcBorders>
              <w:top w:val="nil"/>
              <w:left w:val="nil"/>
              <w:bottom w:val="single" w:sz="4" w:space="0" w:color="auto"/>
              <w:right w:val="single" w:sz="4" w:space="0" w:color="auto"/>
            </w:tcBorders>
            <w:shd w:val="clear" w:color="auto" w:fill="auto"/>
            <w:noWrap/>
            <w:vAlign w:val="bottom"/>
            <w:hideMark/>
          </w:tcPr>
          <w:p w14:paraId="177D499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4.15</w:t>
            </w:r>
          </w:p>
        </w:tc>
        <w:tc>
          <w:tcPr>
            <w:tcW w:w="744" w:type="dxa"/>
            <w:tcBorders>
              <w:top w:val="nil"/>
              <w:left w:val="nil"/>
              <w:bottom w:val="single" w:sz="4" w:space="0" w:color="auto"/>
              <w:right w:val="single" w:sz="4" w:space="0" w:color="auto"/>
            </w:tcBorders>
            <w:shd w:val="clear" w:color="auto" w:fill="auto"/>
            <w:noWrap/>
            <w:vAlign w:val="bottom"/>
            <w:hideMark/>
          </w:tcPr>
          <w:p w14:paraId="3C7CC97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-1.38</w:t>
            </w:r>
          </w:p>
        </w:tc>
        <w:tc>
          <w:tcPr>
            <w:tcW w:w="686" w:type="dxa"/>
            <w:tcBorders>
              <w:top w:val="nil"/>
              <w:left w:val="nil"/>
              <w:bottom w:val="single" w:sz="4" w:space="0" w:color="auto"/>
              <w:right w:val="single" w:sz="4" w:space="0" w:color="auto"/>
            </w:tcBorders>
            <w:shd w:val="clear" w:color="auto" w:fill="auto"/>
            <w:noWrap/>
            <w:vAlign w:val="bottom"/>
            <w:hideMark/>
          </w:tcPr>
          <w:p w14:paraId="1A48FEF8"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2.69</w:t>
            </w:r>
          </w:p>
        </w:tc>
        <w:tc>
          <w:tcPr>
            <w:tcW w:w="744" w:type="dxa"/>
            <w:tcBorders>
              <w:top w:val="nil"/>
              <w:left w:val="nil"/>
              <w:bottom w:val="single" w:sz="4" w:space="0" w:color="auto"/>
              <w:right w:val="single" w:sz="4" w:space="0" w:color="auto"/>
            </w:tcBorders>
            <w:shd w:val="clear" w:color="auto" w:fill="auto"/>
            <w:noWrap/>
            <w:vAlign w:val="bottom"/>
            <w:hideMark/>
          </w:tcPr>
          <w:p w14:paraId="7D6A40C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0.76</w:t>
            </w:r>
          </w:p>
        </w:tc>
        <w:tc>
          <w:tcPr>
            <w:tcW w:w="744" w:type="dxa"/>
            <w:tcBorders>
              <w:top w:val="nil"/>
              <w:left w:val="nil"/>
              <w:bottom w:val="single" w:sz="4" w:space="0" w:color="auto"/>
              <w:right w:val="single" w:sz="4" w:space="0" w:color="auto"/>
            </w:tcBorders>
            <w:shd w:val="clear" w:color="auto" w:fill="auto"/>
            <w:noWrap/>
            <w:vAlign w:val="bottom"/>
            <w:hideMark/>
          </w:tcPr>
          <w:p w14:paraId="7044774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2.11</w:t>
            </w:r>
          </w:p>
        </w:tc>
        <w:tc>
          <w:tcPr>
            <w:tcW w:w="879" w:type="dxa"/>
            <w:tcBorders>
              <w:top w:val="nil"/>
              <w:left w:val="nil"/>
              <w:bottom w:val="single" w:sz="4" w:space="0" w:color="auto"/>
              <w:right w:val="single" w:sz="4" w:space="0" w:color="auto"/>
            </w:tcBorders>
            <w:shd w:val="clear" w:color="auto" w:fill="auto"/>
            <w:noWrap/>
            <w:vAlign w:val="bottom"/>
            <w:hideMark/>
          </w:tcPr>
          <w:p w14:paraId="0DA095D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0.74</w:t>
            </w:r>
          </w:p>
        </w:tc>
      </w:tr>
      <w:tr w:rsidR="001F02F5" w:rsidRPr="004A73C1" w14:paraId="3547516C"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3C9610AC"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France</w:t>
            </w:r>
          </w:p>
        </w:tc>
        <w:tc>
          <w:tcPr>
            <w:tcW w:w="1025" w:type="dxa"/>
            <w:tcBorders>
              <w:top w:val="nil"/>
              <w:left w:val="nil"/>
              <w:bottom w:val="single" w:sz="4" w:space="0" w:color="auto"/>
              <w:right w:val="single" w:sz="4" w:space="0" w:color="auto"/>
            </w:tcBorders>
            <w:shd w:val="clear" w:color="auto" w:fill="auto"/>
            <w:noWrap/>
            <w:vAlign w:val="bottom"/>
            <w:hideMark/>
          </w:tcPr>
          <w:p w14:paraId="640A729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FRA</w:t>
            </w:r>
          </w:p>
        </w:tc>
        <w:tc>
          <w:tcPr>
            <w:tcW w:w="686" w:type="dxa"/>
            <w:tcBorders>
              <w:top w:val="nil"/>
              <w:left w:val="nil"/>
              <w:bottom w:val="single" w:sz="4" w:space="0" w:color="auto"/>
              <w:right w:val="single" w:sz="4" w:space="0" w:color="auto"/>
            </w:tcBorders>
            <w:shd w:val="clear" w:color="auto" w:fill="auto"/>
            <w:noWrap/>
            <w:vAlign w:val="bottom"/>
            <w:hideMark/>
          </w:tcPr>
          <w:p w14:paraId="7FDA2DF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0.20</w:t>
            </w:r>
          </w:p>
        </w:tc>
        <w:tc>
          <w:tcPr>
            <w:tcW w:w="744" w:type="dxa"/>
            <w:tcBorders>
              <w:top w:val="nil"/>
              <w:left w:val="nil"/>
              <w:bottom w:val="single" w:sz="4" w:space="0" w:color="auto"/>
              <w:right w:val="single" w:sz="4" w:space="0" w:color="auto"/>
            </w:tcBorders>
            <w:shd w:val="clear" w:color="auto" w:fill="auto"/>
            <w:noWrap/>
            <w:vAlign w:val="bottom"/>
            <w:hideMark/>
          </w:tcPr>
          <w:p w14:paraId="70216DC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1.76</w:t>
            </w:r>
          </w:p>
        </w:tc>
        <w:tc>
          <w:tcPr>
            <w:tcW w:w="744" w:type="dxa"/>
            <w:tcBorders>
              <w:top w:val="nil"/>
              <w:left w:val="nil"/>
              <w:bottom w:val="single" w:sz="4" w:space="0" w:color="auto"/>
              <w:right w:val="single" w:sz="4" w:space="0" w:color="auto"/>
            </w:tcBorders>
            <w:shd w:val="clear" w:color="auto" w:fill="auto"/>
            <w:noWrap/>
            <w:vAlign w:val="bottom"/>
            <w:hideMark/>
          </w:tcPr>
          <w:p w14:paraId="4D7CAB6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1.33</w:t>
            </w:r>
          </w:p>
        </w:tc>
        <w:tc>
          <w:tcPr>
            <w:tcW w:w="744" w:type="dxa"/>
            <w:tcBorders>
              <w:top w:val="nil"/>
              <w:left w:val="nil"/>
              <w:bottom w:val="single" w:sz="4" w:space="0" w:color="auto"/>
              <w:right w:val="single" w:sz="4" w:space="0" w:color="auto"/>
            </w:tcBorders>
            <w:shd w:val="clear" w:color="auto" w:fill="auto"/>
            <w:noWrap/>
            <w:vAlign w:val="bottom"/>
            <w:hideMark/>
          </w:tcPr>
          <w:p w14:paraId="42C7847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1.38</w:t>
            </w:r>
          </w:p>
        </w:tc>
        <w:tc>
          <w:tcPr>
            <w:tcW w:w="744" w:type="dxa"/>
            <w:tcBorders>
              <w:top w:val="nil"/>
              <w:left w:val="nil"/>
              <w:bottom w:val="single" w:sz="4" w:space="0" w:color="auto"/>
              <w:right w:val="single" w:sz="4" w:space="0" w:color="auto"/>
            </w:tcBorders>
            <w:shd w:val="clear" w:color="auto" w:fill="auto"/>
            <w:noWrap/>
            <w:vAlign w:val="bottom"/>
            <w:hideMark/>
          </w:tcPr>
          <w:p w14:paraId="7B3206CC"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2.78</w:t>
            </w:r>
          </w:p>
        </w:tc>
        <w:tc>
          <w:tcPr>
            <w:tcW w:w="686" w:type="dxa"/>
            <w:tcBorders>
              <w:top w:val="nil"/>
              <w:left w:val="nil"/>
              <w:bottom w:val="single" w:sz="4" w:space="0" w:color="auto"/>
              <w:right w:val="single" w:sz="4" w:space="0" w:color="auto"/>
            </w:tcBorders>
            <w:shd w:val="clear" w:color="auto" w:fill="auto"/>
            <w:noWrap/>
            <w:vAlign w:val="bottom"/>
            <w:hideMark/>
          </w:tcPr>
          <w:p w14:paraId="493BAF1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1.96</w:t>
            </w:r>
          </w:p>
        </w:tc>
        <w:tc>
          <w:tcPr>
            <w:tcW w:w="744" w:type="dxa"/>
            <w:tcBorders>
              <w:top w:val="nil"/>
              <w:left w:val="nil"/>
              <w:bottom w:val="single" w:sz="4" w:space="0" w:color="auto"/>
              <w:right w:val="single" w:sz="4" w:space="0" w:color="auto"/>
            </w:tcBorders>
            <w:shd w:val="clear" w:color="auto" w:fill="auto"/>
            <w:noWrap/>
            <w:vAlign w:val="bottom"/>
            <w:hideMark/>
          </w:tcPr>
          <w:p w14:paraId="11B86C8F"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0.73</w:t>
            </w:r>
          </w:p>
        </w:tc>
        <w:tc>
          <w:tcPr>
            <w:tcW w:w="744" w:type="dxa"/>
            <w:tcBorders>
              <w:top w:val="nil"/>
              <w:left w:val="nil"/>
              <w:bottom w:val="single" w:sz="4" w:space="0" w:color="auto"/>
              <w:right w:val="single" w:sz="4" w:space="0" w:color="auto"/>
            </w:tcBorders>
            <w:shd w:val="clear" w:color="auto" w:fill="auto"/>
            <w:noWrap/>
            <w:vAlign w:val="bottom"/>
            <w:hideMark/>
          </w:tcPr>
          <w:p w14:paraId="6B2958B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3.24</w:t>
            </w:r>
          </w:p>
        </w:tc>
        <w:tc>
          <w:tcPr>
            <w:tcW w:w="879" w:type="dxa"/>
            <w:tcBorders>
              <w:top w:val="nil"/>
              <w:left w:val="nil"/>
              <w:bottom w:val="single" w:sz="4" w:space="0" w:color="auto"/>
              <w:right w:val="single" w:sz="4" w:space="0" w:color="auto"/>
            </w:tcBorders>
            <w:shd w:val="clear" w:color="auto" w:fill="auto"/>
            <w:noWrap/>
            <w:vAlign w:val="bottom"/>
            <w:hideMark/>
          </w:tcPr>
          <w:p w14:paraId="2C3CD86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3.79</w:t>
            </w:r>
          </w:p>
        </w:tc>
      </w:tr>
      <w:tr w:rsidR="001F02F5" w:rsidRPr="004A73C1" w14:paraId="48701C7D"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0C0B59D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United Kingdom</w:t>
            </w:r>
          </w:p>
        </w:tc>
        <w:tc>
          <w:tcPr>
            <w:tcW w:w="1025" w:type="dxa"/>
            <w:tcBorders>
              <w:top w:val="nil"/>
              <w:left w:val="nil"/>
              <w:bottom w:val="single" w:sz="4" w:space="0" w:color="auto"/>
              <w:right w:val="single" w:sz="4" w:space="0" w:color="auto"/>
            </w:tcBorders>
            <w:shd w:val="clear" w:color="auto" w:fill="auto"/>
            <w:noWrap/>
            <w:vAlign w:val="bottom"/>
            <w:hideMark/>
          </w:tcPr>
          <w:p w14:paraId="2A81D95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GBR</w:t>
            </w:r>
          </w:p>
        </w:tc>
        <w:tc>
          <w:tcPr>
            <w:tcW w:w="686" w:type="dxa"/>
            <w:tcBorders>
              <w:top w:val="nil"/>
              <w:left w:val="nil"/>
              <w:bottom w:val="single" w:sz="4" w:space="0" w:color="auto"/>
              <w:right w:val="single" w:sz="4" w:space="0" w:color="auto"/>
            </w:tcBorders>
            <w:shd w:val="clear" w:color="auto" w:fill="auto"/>
            <w:noWrap/>
            <w:vAlign w:val="bottom"/>
            <w:hideMark/>
          </w:tcPr>
          <w:p w14:paraId="527B5803"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1.92</w:t>
            </w:r>
          </w:p>
        </w:tc>
        <w:tc>
          <w:tcPr>
            <w:tcW w:w="744" w:type="dxa"/>
            <w:tcBorders>
              <w:top w:val="nil"/>
              <w:left w:val="nil"/>
              <w:bottom w:val="single" w:sz="4" w:space="0" w:color="auto"/>
              <w:right w:val="single" w:sz="4" w:space="0" w:color="auto"/>
            </w:tcBorders>
            <w:shd w:val="clear" w:color="auto" w:fill="auto"/>
            <w:noWrap/>
            <w:vAlign w:val="bottom"/>
            <w:hideMark/>
          </w:tcPr>
          <w:p w14:paraId="60EC4587"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1.55</w:t>
            </w:r>
          </w:p>
        </w:tc>
        <w:tc>
          <w:tcPr>
            <w:tcW w:w="744" w:type="dxa"/>
            <w:tcBorders>
              <w:top w:val="nil"/>
              <w:left w:val="nil"/>
              <w:bottom w:val="single" w:sz="4" w:space="0" w:color="auto"/>
              <w:right w:val="single" w:sz="4" w:space="0" w:color="auto"/>
            </w:tcBorders>
            <w:shd w:val="clear" w:color="auto" w:fill="auto"/>
            <w:noWrap/>
            <w:vAlign w:val="bottom"/>
            <w:hideMark/>
          </w:tcPr>
          <w:p w14:paraId="63342F19"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12.08</w:t>
            </w:r>
          </w:p>
        </w:tc>
        <w:tc>
          <w:tcPr>
            <w:tcW w:w="744" w:type="dxa"/>
            <w:tcBorders>
              <w:top w:val="nil"/>
              <w:left w:val="nil"/>
              <w:bottom w:val="single" w:sz="4" w:space="0" w:color="auto"/>
              <w:right w:val="single" w:sz="4" w:space="0" w:color="auto"/>
            </w:tcBorders>
            <w:shd w:val="clear" w:color="auto" w:fill="auto"/>
            <w:noWrap/>
            <w:vAlign w:val="bottom"/>
            <w:hideMark/>
          </w:tcPr>
          <w:p w14:paraId="63FFB0D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4.68</w:t>
            </w:r>
          </w:p>
        </w:tc>
        <w:tc>
          <w:tcPr>
            <w:tcW w:w="744" w:type="dxa"/>
            <w:tcBorders>
              <w:top w:val="nil"/>
              <w:left w:val="nil"/>
              <w:bottom w:val="single" w:sz="4" w:space="0" w:color="auto"/>
              <w:right w:val="single" w:sz="4" w:space="0" w:color="auto"/>
            </w:tcBorders>
            <w:shd w:val="clear" w:color="auto" w:fill="auto"/>
            <w:noWrap/>
            <w:vAlign w:val="bottom"/>
            <w:hideMark/>
          </w:tcPr>
          <w:p w14:paraId="633105D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-0.87</w:t>
            </w:r>
          </w:p>
        </w:tc>
        <w:tc>
          <w:tcPr>
            <w:tcW w:w="686" w:type="dxa"/>
            <w:tcBorders>
              <w:top w:val="nil"/>
              <w:left w:val="nil"/>
              <w:bottom w:val="single" w:sz="4" w:space="0" w:color="auto"/>
              <w:right w:val="single" w:sz="4" w:space="0" w:color="auto"/>
            </w:tcBorders>
            <w:shd w:val="clear" w:color="auto" w:fill="auto"/>
            <w:noWrap/>
            <w:vAlign w:val="bottom"/>
            <w:hideMark/>
          </w:tcPr>
          <w:p w14:paraId="6ABB11F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0.69</w:t>
            </w:r>
          </w:p>
        </w:tc>
        <w:tc>
          <w:tcPr>
            <w:tcW w:w="744" w:type="dxa"/>
            <w:tcBorders>
              <w:top w:val="nil"/>
              <w:left w:val="nil"/>
              <w:bottom w:val="single" w:sz="4" w:space="0" w:color="auto"/>
              <w:right w:val="single" w:sz="4" w:space="0" w:color="auto"/>
            </w:tcBorders>
            <w:shd w:val="clear" w:color="auto" w:fill="auto"/>
            <w:noWrap/>
            <w:vAlign w:val="bottom"/>
            <w:hideMark/>
          </w:tcPr>
          <w:p w14:paraId="25ACA498"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5.83</w:t>
            </w:r>
          </w:p>
        </w:tc>
        <w:tc>
          <w:tcPr>
            <w:tcW w:w="744" w:type="dxa"/>
            <w:tcBorders>
              <w:top w:val="nil"/>
              <w:left w:val="nil"/>
              <w:bottom w:val="single" w:sz="4" w:space="0" w:color="auto"/>
              <w:right w:val="single" w:sz="4" w:space="0" w:color="auto"/>
            </w:tcBorders>
            <w:shd w:val="clear" w:color="auto" w:fill="auto"/>
            <w:noWrap/>
            <w:vAlign w:val="bottom"/>
            <w:hideMark/>
          </w:tcPr>
          <w:p w14:paraId="6B3324B9"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0.19</w:t>
            </w:r>
          </w:p>
        </w:tc>
        <w:tc>
          <w:tcPr>
            <w:tcW w:w="879" w:type="dxa"/>
            <w:tcBorders>
              <w:top w:val="nil"/>
              <w:left w:val="nil"/>
              <w:bottom w:val="single" w:sz="4" w:space="0" w:color="auto"/>
              <w:right w:val="single" w:sz="4" w:space="0" w:color="auto"/>
            </w:tcBorders>
            <w:shd w:val="clear" w:color="auto" w:fill="auto"/>
            <w:noWrap/>
            <w:vAlign w:val="bottom"/>
            <w:hideMark/>
          </w:tcPr>
          <w:p w14:paraId="2414AE5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1.45</w:t>
            </w:r>
          </w:p>
        </w:tc>
      </w:tr>
      <w:tr w:rsidR="001F02F5" w:rsidRPr="004A73C1" w14:paraId="16C3BE79"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1001B0B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India</w:t>
            </w:r>
          </w:p>
        </w:tc>
        <w:tc>
          <w:tcPr>
            <w:tcW w:w="1025" w:type="dxa"/>
            <w:tcBorders>
              <w:top w:val="nil"/>
              <w:left w:val="nil"/>
              <w:bottom w:val="single" w:sz="4" w:space="0" w:color="auto"/>
              <w:right w:val="single" w:sz="4" w:space="0" w:color="auto"/>
            </w:tcBorders>
            <w:shd w:val="clear" w:color="auto" w:fill="auto"/>
            <w:noWrap/>
            <w:vAlign w:val="bottom"/>
            <w:hideMark/>
          </w:tcPr>
          <w:p w14:paraId="2BE4428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IND</w:t>
            </w:r>
          </w:p>
        </w:tc>
        <w:tc>
          <w:tcPr>
            <w:tcW w:w="686" w:type="dxa"/>
            <w:tcBorders>
              <w:top w:val="nil"/>
              <w:left w:val="nil"/>
              <w:bottom w:val="single" w:sz="4" w:space="0" w:color="auto"/>
              <w:right w:val="single" w:sz="4" w:space="0" w:color="auto"/>
            </w:tcBorders>
            <w:shd w:val="clear" w:color="auto" w:fill="auto"/>
            <w:noWrap/>
            <w:vAlign w:val="bottom"/>
            <w:hideMark/>
          </w:tcPr>
          <w:p w14:paraId="6ED81E49"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1.70</w:t>
            </w:r>
          </w:p>
        </w:tc>
        <w:tc>
          <w:tcPr>
            <w:tcW w:w="744" w:type="dxa"/>
            <w:tcBorders>
              <w:top w:val="nil"/>
              <w:left w:val="nil"/>
              <w:bottom w:val="single" w:sz="4" w:space="0" w:color="auto"/>
              <w:right w:val="single" w:sz="4" w:space="0" w:color="auto"/>
            </w:tcBorders>
            <w:shd w:val="clear" w:color="auto" w:fill="auto"/>
            <w:noWrap/>
            <w:vAlign w:val="bottom"/>
            <w:hideMark/>
          </w:tcPr>
          <w:p w14:paraId="740EC509"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2.09</w:t>
            </w:r>
          </w:p>
        </w:tc>
        <w:tc>
          <w:tcPr>
            <w:tcW w:w="744" w:type="dxa"/>
            <w:tcBorders>
              <w:top w:val="nil"/>
              <w:left w:val="nil"/>
              <w:bottom w:val="single" w:sz="4" w:space="0" w:color="auto"/>
              <w:right w:val="single" w:sz="4" w:space="0" w:color="auto"/>
            </w:tcBorders>
            <w:shd w:val="clear" w:color="auto" w:fill="auto"/>
            <w:noWrap/>
            <w:vAlign w:val="bottom"/>
            <w:hideMark/>
          </w:tcPr>
          <w:p w14:paraId="75A9E779"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1.94</w:t>
            </w:r>
          </w:p>
        </w:tc>
        <w:tc>
          <w:tcPr>
            <w:tcW w:w="744" w:type="dxa"/>
            <w:tcBorders>
              <w:top w:val="nil"/>
              <w:left w:val="nil"/>
              <w:bottom w:val="single" w:sz="4" w:space="0" w:color="auto"/>
              <w:right w:val="single" w:sz="4" w:space="0" w:color="auto"/>
            </w:tcBorders>
            <w:shd w:val="clear" w:color="auto" w:fill="auto"/>
            <w:noWrap/>
            <w:vAlign w:val="bottom"/>
            <w:hideMark/>
          </w:tcPr>
          <w:p w14:paraId="1221FAE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1.51</w:t>
            </w:r>
          </w:p>
        </w:tc>
        <w:tc>
          <w:tcPr>
            <w:tcW w:w="744" w:type="dxa"/>
            <w:tcBorders>
              <w:top w:val="nil"/>
              <w:left w:val="nil"/>
              <w:bottom w:val="single" w:sz="4" w:space="0" w:color="auto"/>
              <w:right w:val="single" w:sz="4" w:space="0" w:color="auto"/>
            </w:tcBorders>
            <w:shd w:val="clear" w:color="auto" w:fill="auto"/>
            <w:noWrap/>
            <w:vAlign w:val="bottom"/>
            <w:hideMark/>
          </w:tcPr>
          <w:p w14:paraId="3CA24F33"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1.56</w:t>
            </w:r>
          </w:p>
        </w:tc>
        <w:tc>
          <w:tcPr>
            <w:tcW w:w="686" w:type="dxa"/>
            <w:tcBorders>
              <w:top w:val="nil"/>
              <w:left w:val="nil"/>
              <w:bottom w:val="single" w:sz="4" w:space="0" w:color="auto"/>
              <w:right w:val="single" w:sz="4" w:space="0" w:color="auto"/>
            </w:tcBorders>
            <w:shd w:val="clear" w:color="auto" w:fill="auto"/>
            <w:noWrap/>
            <w:vAlign w:val="bottom"/>
            <w:hideMark/>
          </w:tcPr>
          <w:p w14:paraId="39C5199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1.78</w:t>
            </w:r>
          </w:p>
        </w:tc>
        <w:tc>
          <w:tcPr>
            <w:tcW w:w="744" w:type="dxa"/>
            <w:tcBorders>
              <w:top w:val="nil"/>
              <w:left w:val="nil"/>
              <w:bottom w:val="single" w:sz="4" w:space="0" w:color="auto"/>
              <w:right w:val="single" w:sz="4" w:space="0" w:color="auto"/>
            </w:tcBorders>
            <w:shd w:val="clear" w:color="auto" w:fill="auto"/>
            <w:noWrap/>
            <w:vAlign w:val="bottom"/>
            <w:hideMark/>
          </w:tcPr>
          <w:p w14:paraId="59747DD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2.41</w:t>
            </w:r>
          </w:p>
        </w:tc>
        <w:tc>
          <w:tcPr>
            <w:tcW w:w="744" w:type="dxa"/>
            <w:tcBorders>
              <w:top w:val="nil"/>
              <w:left w:val="nil"/>
              <w:bottom w:val="single" w:sz="4" w:space="0" w:color="auto"/>
              <w:right w:val="single" w:sz="4" w:space="0" w:color="auto"/>
            </w:tcBorders>
            <w:shd w:val="clear" w:color="auto" w:fill="auto"/>
            <w:noWrap/>
            <w:vAlign w:val="bottom"/>
            <w:hideMark/>
          </w:tcPr>
          <w:p w14:paraId="650B965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1.41</w:t>
            </w:r>
          </w:p>
        </w:tc>
        <w:tc>
          <w:tcPr>
            <w:tcW w:w="879" w:type="dxa"/>
            <w:tcBorders>
              <w:top w:val="nil"/>
              <w:left w:val="nil"/>
              <w:bottom w:val="single" w:sz="4" w:space="0" w:color="auto"/>
              <w:right w:val="single" w:sz="4" w:space="0" w:color="auto"/>
            </w:tcBorders>
            <w:shd w:val="clear" w:color="auto" w:fill="auto"/>
            <w:noWrap/>
            <w:vAlign w:val="bottom"/>
            <w:hideMark/>
          </w:tcPr>
          <w:p w14:paraId="0893522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1.49</w:t>
            </w:r>
          </w:p>
        </w:tc>
      </w:tr>
      <w:tr w:rsidR="001F02F5" w:rsidRPr="004A73C1" w14:paraId="60D97FD3"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6E6ED7AF"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Japan</w:t>
            </w:r>
          </w:p>
        </w:tc>
        <w:tc>
          <w:tcPr>
            <w:tcW w:w="1025" w:type="dxa"/>
            <w:tcBorders>
              <w:top w:val="nil"/>
              <w:left w:val="nil"/>
              <w:bottom w:val="single" w:sz="4" w:space="0" w:color="auto"/>
              <w:right w:val="single" w:sz="4" w:space="0" w:color="auto"/>
            </w:tcBorders>
            <w:shd w:val="clear" w:color="auto" w:fill="auto"/>
            <w:noWrap/>
            <w:vAlign w:val="bottom"/>
            <w:hideMark/>
          </w:tcPr>
          <w:p w14:paraId="2D554977"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JPN</w:t>
            </w:r>
          </w:p>
        </w:tc>
        <w:tc>
          <w:tcPr>
            <w:tcW w:w="686" w:type="dxa"/>
            <w:tcBorders>
              <w:top w:val="nil"/>
              <w:left w:val="nil"/>
              <w:bottom w:val="single" w:sz="4" w:space="0" w:color="auto"/>
              <w:right w:val="single" w:sz="4" w:space="0" w:color="auto"/>
            </w:tcBorders>
            <w:shd w:val="clear" w:color="auto" w:fill="auto"/>
            <w:noWrap/>
            <w:vAlign w:val="bottom"/>
            <w:hideMark/>
          </w:tcPr>
          <w:p w14:paraId="3BF01B7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0.40</w:t>
            </w:r>
          </w:p>
        </w:tc>
        <w:tc>
          <w:tcPr>
            <w:tcW w:w="744" w:type="dxa"/>
            <w:tcBorders>
              <w:top w:val="nil"/>
              <w:left w:val="nil"/>
              <w:bottom w:val="single" w:sz="4" w:space="0" w:color="auto"/>
              <w:right w:val="single" w:sz="4" w:space="0" w:color="auto"/>
            </w:tcBorders>
            <w:shd w:val="clear" w:color="auto" w:fill="auto"/>
            <w:noWrap/>
            <w:vAlign w:val="bottom"/>
            <w:hideMark/>
          </w:tcPr>
          <w:p w14:paraId="055B92A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0.12</w:t>
            </w:r>
          </w:p>
        </w:tc>
        <w:tc>
          <w:tcPr>
            <w:tcW w:w="744" w:type="dxa"/>
            <w:tcBorders>
              <w:top w:val="nil"/>
              <w:left w:val="nil"/>
              <w:bottom w:val="single" w:sz="4" w:space="0" w:color="auto"/>
              <w:right w:val="single" w:sz="4" w:space="0" w:color="auto"/>
            </w:tcBorders>
            <w:shd w:val="clear" w:color="auto" w:fill="auto"/>
            <w:noWrap/>
            <w:vAlign w:val="bottom"/>
            <w:hideMark/>
          </w:tcPr>
          <w:p w14:paraId="25150CDF"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0.82</w:t>
            </w:r>
          </w:p>
        </w:tc>
        <w:tc>
          <w:tcPr>
            <w:tcW w:w="744" w:type="dxa"/>
            <w:tcBorders>
              <w:top w:val="nil"/>
              <w:left w:val="nil"/>
              <w:bottom w:val="single" w:sz="4" w:space="0" w:color="auto"/>
              <w:right w:val="single" w:sz="4" w:space="0" w:color="auto"/>
            </w:tcBorders>
            <w:shd w:val="clear" w:color="auto" w:fill="auto"/>
            <w:noWrap/>
            <w:vAlign w:val="bottom"/>
            <w:hideMark/>
          </w:tcPr>
          <w:p w14:paraId="339B8D7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0.38</w:t>
            </w:r>
          </w:p>
        </w:tc>
        <w:tc>
          <w:tcPr>
            <w:tcW w:w="744" w:type="dxa"/>
            <w:tcBorders>
              <w:top w:val="nil"/>
              <w:left w:val="nil"/>
              <w:bottom w:val="single" w:sz="4" w:space="0" w:color="auto"/>
              <w:right w:val="single" w:sz="4" w:space="0" w:color="auto"/>
            </w:tcBorders>
            <w:shd w:val="clear" w:color="auto" w:fill="auto"/>
            <w:noWrap/>
            <w:vAlign w:val="bottom"/>
            <w:hideMark/>
          </w:tcPr>
          <w:p w14:paraId="718E1E5C"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0.50</w:t>
            </w:r>
          </w:p>
        </w:tc>
        <w:tc>
          <w:tcPr>
            <w:tcW w:w="686" w:type="dxa"/>
            <w:tcBorders>
              <w:top w:val="nil"/>
              <w:left w:val="nil"/>
              <w:bottom w:val="single" w:sz="4" w:space="0" w:color="auto"/>
              <w:right w:val="single" w:sz="4" w:space="0" w:color="auto"/>
            </w:tcBorders>
            <w:shd w:val="clear" w:color="auto" w:fill="auto"/>
            <w:noWrap/>
            <w:vAlign w:val="bottom"/>
            <w:hideMark/>
          </w:tcPr>
          <w:p w14:paraId="742FA85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0.78</w:t>
            </w:r>
          </w:p>
        </w:tc>
        <w:tc>
          <w:tcPr>
            <w:tcW w:w="744" w:type="dxa"/>
            <w:tcBorders>
              <w:top w:val="nil"/>
              <w:left w:val="nil"/>
              <w:bottom w:val="single" w:sz="4" w:space="0" w:color="auto"/>
              <w:right w:val="single" w:sz="4" w:space="0" w:color="auto"/>
            </w:tcBorders>
            <w:shd w:val="clear" w:color="auto" w:fill="auto"/>
            <w:noWrap/>
            <w:vAlign w:val="bottom"/>
            <w:hideMark/>
          </w:tcPr>
          <w:p w14:paraId="635A8B7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1.24</w:t>
            </w:r>
          </w:p>
        </w:tc>
        <w:tc>
          <w:tcPr>
            <w:tcW w:w="744" w:type="dxa"/>
            <w:tcBorders>
              <w:top w:val="nil"/>
              <w:left w:val="nil"/>
              <w:bottom w:val="single" w:sz="4" w:space="0" w:color="auto"/>
              <w:right w:val="single" w:sz="4" w:space="0" w:color="auto"/>
            </w:tcBorders>
            <w:shd w:val="clear" w:color="auto" w:fill="auto"/>
            <w:noWrap/>
            <w:vAlign w:val="bottom"/>
            <w:hideMark/>
          </w:tcPr>
          <w:p w14:paraId="23A631EC"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0.70</w:t>
            </w:r>
          </w:p>
        </w:tc>
        <w:tc>
          <w:tcPr>
            <w:tcW w:w="879" w:type="dxa"/>
            <w:tcBorders>
              <w:top w:val="nil"/>
              <w:left w:val="nil"/>
              <w:bottom w:val="single" w:sz="4" w:space="0" w:color="auto"/>
              <w:right w:val="single" w:sz="4" w:space="0" w:color="auto"/>
            </w:tcBorders>
            <w:shd w:val="clear" w:color="auto" w:fill="auto"/>
            <w:noWrap/>
            <w:vAlign w:val="bottom"/>
            <w:hideMark/>
          </w:tcPr>
          <w:p w14:paraId="39D5F9B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1.16</w:t>
            </w:r>
          </w:p>
        </w:tc>
      </w:tr>
      <w:tr w:rsidR="001F02F5" w:rsidRPr="004A73C1" w14:paraId="2EE6EDE4"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1309B12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United States</w:t>
            </w:r>
          </w:p>
        </w:tc>
        <w:tc>
          <w:tcPr>
            <w:tcW w:w="1025" w:type="dxa"/>
            <w:tcBorders>
              <w:top w:val="nil"/>
              <w:left w:val="nil"/>
              <w:bottom w:val="single" w:sz="4" w:space="0" w:color="auto"/>
              <w:right w:val="single" w:sz="4" w:space="0" w:color="auto"/>
            </w:tcBorders>
            <w:shd w:val="clear" w:color="auto" w:fill="auto"/>
            <w:noWrap/>
            <w:vAlign w:val="bottom"/>
            <w:hideMark/>
          </w:tcPr>
          <w:p w14:paraId="75DDBD1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USA</w:t>
            </w:r>
          </w:p>
        </w:tc>
        <w:tc>
          <w:tcPr>
            <w:tcW w:w="686" w:type="dxa"/>
            <w:tcBorders>
              <w:top w:val="nil"/>
              <w:left w:val="nil"/>
              <w:bottom w:val="single" w:sz="4" w:space="0" w:color="auto"/>
              <w:right w:val="single" w:sz="4" w:space="0" w:color="auto"/>
            </w:tcBorders>
            <w:shd w:val="clear" w:color="auto" w:fill="auto"/>
            <w:noWrap/>
            <w:vAlign w:val="bottom"/>
            <w:hideMark/>
          </w:tcPr>
          <w:p w14:paraId="56AB333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1.43</w:t>
            </w:r>
          </w:p>
        </w:tc>
        <w:tc>
          <w:tcPr>
            <w:tcW w:w="744" w:type="dxa"/>
            <w:tcBorders>
              <w:top w:val="nil"/>
              <w:left w:val="nil"/>
              <w:bottom w:val="single" w:sz="4" w:space="0" w:color="auto"/>
              <w:right w:val="single" w:sz="4" w:space="0" w:color="auto"/>
            </w:tcBorders>
            <w:shd w:val="clear" w:color="auto" w:fill="auto"/>
            <w:noWrap/>
            <w:vAlign w:val="bottom"/>
            <w:hideMark/>
          </w:tcPr>
          <w:p w14:paraId="00D83FD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2.80</w:t>
            </w:r>
          </w:p>
        </w:tc>
        <w:tc>
          <w:tcPr>
            <w:tcW w:w="744" w:type="dxa"/>
            <w:tcBorders>
              <w:top w:val="nil"/>
              <w:left w:val="nil"/>
              <w:bottom w:val="single" w:sz="4" w:space="0" w:color="auto"/>
              <w:right w:val="single" w:sz="4" w:space="0" w:color="auto"/>
            </w:tcBorders>
            <w:shd w:val="clear" w:color="auto" w:fill="auto"/>
            <w:noWrap/>
            <w:vAlign w:val="bottom"/>
            <w:hideMark/>
          </w:tcPr>
          <w:p w14:paraId="0314D3F3"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2.52</w:t>
            </w:r>
          </w:p>
        </w:tc>
        <w:tc>
          <w:tcPr>
            <w:tcW w:w="744" w:type="dxa"/>
            <w:tcBorders>
              <w:top w:val="nil"/>
              <w:left w:val="nil"/>
              <w:bottom w:val="single" w:sz="4" w:space="0" w:color="auto"/>
              <w:right w:val="single" w:sz="4" w:space="0" w:color="auto"/>
            </w:tcBorders>
            <w:shd w:val="clear" w:color="auto" w:fill="auto"/>
            <w:noWrap/>
            <w:vAlign w:val="bottom"/>
            <w:hideMark/>
          </w:tcPr>
          <w:p w14:paraId="5113CC6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1.94</w:t>
            </w:r>
          </w:p>
        </w:tc>
        <w:tc>
          <w:tcPr>
            <w:tcW w:w="744" w:type="dxa"/>
            <w:tcBorders>
              <w:top w:val="nil"/>
              <w:left w:val="nil"/>
              <w:bottom w:val="single" w:sz="4" w:space="0" w:color="auto"/>
              <w:right w:val="single" w:sz="4" w:space="0" w:color="auto"/>
            </w:tcBorders>
            <w:shd w:val="clear" w:color="auto" w:fill="auto"/>
            <w:noWrap/>
            <w:vAlign w:val="bottom"/>
            <w:hideMark/>
          </w:tcPr>
          <w:p w14:paraId="7F953017"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1.04</w:t>
            </w:r>
          </w:p>
        </w:tc>
        <w:tc>
          <w:tcPr>
            <w:tcW w:w="686" w:type="dxa"/>
            <w:tcBorders>
              <w:top w:val="nil"/>
              <w:left w:val="nil"/>
              <w:bottom w:val="single" w:sz="4" w:space="0" w:color="auto"/>
              <w:right w:val="single" w:sz="4" w:space="0" w:color="auto"/>
            </w:tcBorders>
            <w:shd w:val="clear" w:color="auto" w:fill="auto"/>
            <w:noWrap/>
            <w:vAlign w:val="bottom"/>
            <w:hideMark/>
          </w:tcPr>
          <w:p w14:paraId="1962DB7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1.47</w:t>
            </w:r>
          </w:p>
        </w:tc>
        <w:tc>
          <w:tcPr>
            <w:tcW w:w="744" w:type="dxa"/>
            <w:tcBorders>
              <w:top w:val="nil"/>
              <w:left w:val="nil"/>
              <w:bottom w:val="single" w:sz="4" w:space="0" w:color="auto"/>
              <w:right w:val="single" w:sz="4" w:space="0" w:color="auto"/>
            </w:tcBorders>
            <w:shd w:val="clear" w:color="auto" w:fill="auto"/>
            <w:noWrap/>
            <w:vAlign w:val="bottom"/>
            <w:hideMark/>
          </w:tcPr>
          <w:p w14:paraId="008945E9"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0.65</w:t>
            </w:r>
          </w:p>
        </w:tc>
        <w:tc>
          <w:tcPr>
            <w:tcW w:w="744" w:type="dxa"/>
            <w:tcBorders>
              <w:top w:val="nil"/>
              <w:left w:val="nil"/>
              <w:bottom w:val="single" w:sz="4" w:space="0" w:color="auto"/>
              <w:right w:val="single" w:sz="4" w:space="0" w:color="auto"/>
            </w:tcBorders>
            <w:shd w:val="clear" w:color="auto" w:fill="auto"/>
            <w:noWrap/>
            <w:vAlign w:val="bottom"/>
            <w:hideMark/>
          </w:tcPr>
          <w:p w14:paraId="2D4BB68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2.09</w:t>
            </w:r>
          </w:p>
        </w:tc>
        <w:tc>
          <w:tcPr>
            <w:tcW w:w="879" w:type="dxa"/>
            <w:tcBorders>
              <w:top w:val="nil"/>
              <w:left w:val="nil"/>
              <w:bottom w:val="single" w:sz="4" w:space="0" w:color="auto"/>
              <w:right w:val="single" w:sz="4" w:space="0" w:color="auto"/>
            </w:tcBorders>
            <w:shd w:val="clear" w:color="auto" w:fill="auto"/>
            <w:noWrap/>
            <w:vAlign w:val="bottom"/>
            <w:hideMark/>
          </w:tcPr>
          <w:p w14:paraId="4CA69D2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1.51</w:t>
            </w:r>
          </w:p>
        </w:tc>
      </w:tr>
    </w:tbl>
    <w:p w14:paraId="5149E391" w14:textId="542071AB" w:rsidR="001F02F5" w:rsidRPr="004A73C1" w:rsidRDefault="00740D35" w:rsidP="00EF2E34">
      <w:pPr>
        <w:spacing w:line="360" w:lineRule="auto"/>
        <w:jc w:val="both"/>
        <w:rPr>
          <w:rFonts w:ascii="Arial" w:hAnsi="Arial" w:cs="Arial"/>
          <w:sz w:val="24"/>
          <w:szCs w:val="24"/>
        </w:rPr>
      </w:pPr>
      <w:r w:rsidRPr="004A73C1">
        <w:rPr>
          <w:rFonts w:ascii="Arial" w:hAnsi="Arial" w:cs="Arial"/>
        </w:rPr>
        <w:t xml:space="preserve">Figure </w:t>
      </w:r>
      <w:r w:rsidR="00C75C62" w:rsidRPr="004A73C1">
        <w:rPr>
          <w:rFonts w:ascii="Arial" w:hAnsi="Arial" w:cs="Arial"/>
        </w:rPr>
        <w:t>34</w:t>
      </w:r>
      <w:r w:rsidRPr="004A73C1">
        <w:rPr>
          <w:rFonts w:ascii="Arial" w:hAnsi="Arial" w:cs="Arial"/>
        </w:rPr>
        <w:t xml:space="preserve"> </w:t>
      </w:r>
      <w:r w:rsidRPr="004A73C1">
        <w:rPr>
          <w:rFonts w:ascii="Arial" w:hAnsi="Arial" w:cs="Arial"/>
        </w:rPr>
        <w:tab/>
      </w:r>
      <w:r w:rsidR="00F90E4F" w:rsidRPr="004A73C1">
        <w:rPr>
          <w:rFonts w:ascii="Arial" w:hAnsi="Arial" w:cs="Arial"/>
        </w:rPr>
        <w:t>(</w:t>
      </w:r>
      <w:r w:rsidR="008A67CA" w:rsidRPr="004A73C1">
        <w:rPr>
          <w:rFonts w:ascii="Arial" w:hAnsi="Arial" w:cs="Arial"/>
          <w:sz w:val="24"/>
          <w:szCs w:val="24"/>
        </w:rPr>
        <w:t xml:space="preserve">Source – World </w:t>
      </w:r>
      <w:r w:rsidR="00976200">
        <w:rPr>
          <w:rFonts w:ascii="Arial" w:hAnsi="Arial" w:cs="Arial"/>
          <w:sz w:val="24"/>
          <w:szCs w:val="24"/>
        </w:rPr>
        <w:t>Bank</w:t>
      </w:r>
      <w:r w:rsidR="00F90E4F" w:rsidRPr="004A73C1">
        <w:rPr>
          <w:rFonts w:ascii="Arial" w:hAnsi="Arial" w:cs="Arial"/>
          <w:sz w:val="24"/>
          <w:szCs w:val="24"/>
        </w:rPr>
        <w:t>)</w:t>
      </w:r>
    </w:p>
    <w:p w14:paraId="5B31A33A" w14:textId="6085B285" w:rsidR="001F02F5" w:rsidRPr="004A73C1" w:rsidRDefault="001F02F5" w:rsidP="00EF2E34">
      <w:pPr>
        <w:spacing w:line="360" w:lineRule="auto"/>
        <w:jc w:val="both"/>
        <w:rPr>
          <w:rFonts w:ascii="Arial" w:hAnsi="Arial" w:cs="Arial"/>
          <w:sz w:val="24"/>
          <w:szCs w:val="24"/>
        </w:rPr>
      </w:pPr>
      <w:r w:rsidRPr="004A73C1">
        <w:rPr>
          <w:rFonts w:ascii="Arial" w:hAnsi="Arial" w:cs="Arial"/>
          <w:noProof/>
        </w:rPr>
        <w:lastRenderedPageBreak/>
        <w:drawing>
          <wp:inline distT="0" distB="0" distL="0" distR="0" wp14:anchorId="041E7EAC" wp14:editId="553CE02A">
            <wp:extent cx="5731510" cy="3366135"/>
            <wp:effectExtent l="0" t="0" r="2540" b="5715"/>
            <wp:docPr id="952409417" name="Chart 1">
              <a:extLst xmlns:a="http://schemas.openxmlformats.org/drawingml/2006/main">
                <a:ext uri="{FF2B5EF4-FFF2-40B4-BE49-F238E27FC236}">
                  <a16:creationId xmlns:a16="http://schemas.microsoft.com/office/drawing/2014/main" id="{9E7856E3-6F57-6F2F-E3B6-4BB656C913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5B9AD317" w14:textId="23F7545F" w:rsidR="009545E1" w:rsidRPr="004A73C1" w:rsidRDefault="00740D35" w:rsidP="00EF2E34">
      <w:pPr>
        <w:spacing w:line="360" w:lineRule="auto"/>
        <w:jc w:val="both"/>
        <w:rPr>
          <w:rFonts w:ascii="Arial" w:hAnsi="Arial" w:cs="Arial"/>
          <w:sz w:val="24"/>
          <w:szCs w:val="24"/>
        </w:rPr>
      </w:pPr>
      <w:r w:rsidRPr="004A73C1">
        <w:rPr>
          <w:rFonts w:ascii="Arial" w:hAnsi="Arial" w:cs="Arial"/>
        </w:rPr>
        <w:t xml:space="preserve">Figure </w:t>
      </w:r>
      <w:r w:rsidR="00C75C62" w:rsidRPr="004A73C1">
        <w:rPr>
          <w:rFonts w:ascii="Arial" w:hAnsi="Arial" w:cs="Arial"/>
        </w:rPr>
        <w:t>35</w:t>
      </w:r>
      <w:r w:rsidRPr="004A73C1">
        <w:rPr>
          <w:rFonts w:ascii="Arial" w:hAnsi="Arial" w:cs="Arial"/>
        </w:rPr>
        <w:tab/>
      </w:r>
      <w:r w:rsidR="00F90E4F" w:rsidRPr="004A73C1">
        <w:rPr>
          <w:rFonts w:ascii="Arial" w:hAnsi="Arial" w:cs="Arial"/>
        </w:rPr>
        <w:t>(</w:t>
      </w:r>
      <w:r w:rsidR="001F02F5" w:rsidRPr="004A73C1">
        <w:rPr>
          <w:rFonts w:ascii="Arial" w:hAnsi="Arial" w:cs="Arial"/>
          <w:sz w:val="24"/>
          <w:szCs w:val="24"/>
        </w:rPr>
        <w:t>Source – World Bank</w:t>
      </w:r>
      <w:r w:rsidR="00F90E4F" w:rsidRPr="004A73C1">
        <w:rPr>
          <w:rFonts w:ascii="Arial" w:hAnsi="Arial" w:cs="Arial"/>
          <w:sz w:val="24"/>
          <w:szCs w:val="24"/>
        </w:rPr>
        <w:t>)</w:t>
      </w:r>
    </w:p>
    <w:p w14:paraId="6DB389AC" w14:textId="77777777" w:rsidR="00BE222C" w:rsidRDefault="00BE222C" w:rsidP="00D11768">
      <w:pPr>
        <w:pStyle w:val="Heading3"/>
        <w:rPr>
          <w:rFonts w:ascii="Arial" w:hAnsi="Arial" w:cs="Arial"/>
          <w:color w:val="auto"/>
        </w:rPr>
      </w:pPr>
      <w:bookmarkStart w:id="151" w:name="_Toc175056493"/>
    </w:p>
    <w:p w14:paraId="626EFDB6" w14:textId="65D7BCA2" w:rsidR="00C01CDF" w:rsidRPr="004A73C1" w:rsidRDefault="00CA52E6" w:rsidP="00D11768">
      <w:pPr>
        <w:pStyle w:val="Heading3"/>
        <w:rPr>
          <w:rFonts w:ascii="Arial" w:hAnsi="Arial" w:cs="Arial"/>
          <w:color w:val="auto"/>
        </w:rPr>
      </w:pPr>
      <w:bookmarkStart w:id="152" w:name="_Toc175675382"/>
      <w:r w:rsidRPr="004A73C1">
        <w:rPr>
          <w:rFonts w:ascii="Arial" w:hAnsi="Arial" w:cs="Arial"/>
          <w:color w:val="auto"/>
        </w:rPr>
        <w:t>4.7.2</w:t>
      </w:r>
      <w:r w:rsidRPr="004A73C1">
        <w:rPr>
          <w:rFonts w:ascii="Arial" w:hAnsi="Arial" w:cs="Arial"/>
          <w:color w:val="auto"/>
        </w:rPr>
        <w:tab/>
      </w:r>
      <w:r w:rsidR="001F02F5" w:rsidRPr="004A73C1">
        <w:rPr>
          <w:rFonts w:ascii="Arial" w:hAnsi="Arial" w:cs="Arial"/>
          <w:color w:val="auto"/>
        </w:rPr>
        <w:t xml:space="preserve">Analysis </w:t>
      </w:r>
      <w:r w:rsidR="00C13730">
        <w:rPr>
          <w:rFonts w:ascii="Arial" w:hAnsi="Arial" w:cs="Arial"/>
          <w:color w:val="auto"/>
        </w:rPr>
        <w:t>O</w:t>
      </w:r>
      <w:r w:rsidR="00BF432F" w:rsidRPr="004A73C1">
        <w:rPr>
          <w:rFonts w:ascii="Arial" w:hAnsi="Arial" w:cs="Arial"/>
          <w:color w:val="auto"/>
        </w:rPr>
        <w:t xml:space="preserve">f </w:t>
      </w:r>
      <w:r w:rsidR="00C13730">
        <w:rPr>
          <w:rFonts w:ascii="Arial" w:hAnsi="Arial" w:cs="Arial"/>
          <w:color w:val="auto"/>
        </w:rPr>
        <w:t>T</w:t>
      </w:r>
      <w:r w:rsidR="00BF432F" w:rsidRPr="004A73C1">
        <w:rPr>
          <w:rFonts w:ascii="Arial" w:hAnsi="Arial" w:cs="Arial"/>
          <w:color w:val="auto"/>
        </w:rPr>
        <w:t xml:space="preserve">he </w:t>
      </w:r>
      <w:r w:rsidR="00C13730">
        <w:rPr>
          <w:rFonts w:ascii="Arial" w:hAnsi="Arial" w:cs="Arial"/>
          <w:color w:val="auto"/>
        </w:rPr>
        <w:t>S</w:t>
      </w:r>
      <w:r w:rsidR="00BF432F" w:rsidRPr="004A73C1">
        <w:rPr>
          <w:rFonts w:ascii="Arial" w:hAnsi="Arial" w:cs="Arial"/>
          <w:color w:val="auto"/>
        </w:rPr>
        <w:t xml:space="preserve">econd </w:t>
      </w:r>
      <w:r w:rsidR="00C13730">
        <w:rPr>
          <w:rFonts w:ascii="Arial" w:hAnsi="Arial" w:cs="Arial"/>
          <w:color w:val="auto"/>
        </w:rPr>
        <w:t>O</w:t>
      </w:r>
      <w:r w:rsidR="00BF432F" w:rsidRPr="004A73C1">
        <w:rPr>
          <w:rFonts w:ascii="Arial" w:hAnsi="Arial" w:cs="Arial"/>
          <w:color w:val="auto"/>
        </w:rPr>
        <w:t>bjective: Brexit Impact.</w:t>
      </w:r>
      <w:bookmarkEnd w:id="151"/>
      <w:bookmarkEnd w:id="152"/>
    </w:p>
    <w:p w14:paraId="574CF6C0" w14:textId="21508801" w:rsidR="00B16187" w:rsidRPr="004A73C1" w:rsidRDefault="00BF432F" w:rsidP="00EF2E34">
      <w:pPr>
        <w:spacing w:line="360" w:lineRule="auto"/>
        <w:jc w:val="both"/>
        <w:rPr>
          <w:rFonts w:ascii="Arial" w:hAnsi="Arial" w:cs="Arial"/>
          <w:sz w:val="24"/>
          <w:szCs w:val="24"/>
        </w:rPr>
      </w:pPr>
      <w:r w:rsidRPr="004A73C1">
        <w:rPr>
          <w:rFonts w:ascii="Arial" w:hAnsi="Arial" w:cs="Arial"/>
          <w:sz w:val="24"/>
          <w:szCs w:val="24"/>
        </w:rPr>
        <w:t xml:space="preserve">Based on the data provided, our analysis indicates that Brexit had a noticeable impact on the UK from 2018 to 2022. However, the current situation reflects a different trajectory, as the UK's Foreign Direct Investment (FDI) is demonstrating improvement and is attracting more investments. It's important to consider that the overall impact of Brexit is ambiguous, given that during the Brexit period, the countries we are comparing </w:t>
      </w:r>
      <w:r w:rsidR="00303FD1" w:rsidRPr="004A73C1">
        <w:rPr>
          <w:rFonts w:ascii="Arial" w:hAnsi="Arial" w:cs="Arial"/>
          <w:sz w:val="24"/>
          <w:szCs w:val="24"/>
        </w:rPr>
        <w:t>also contend</w:t>
      </w:r>
      <w:r w:rsidRPr="004A73C1">
        <w:rPr>
          <w:rFonts w:ascii="Arial" w:hAnsi="Arial" w:cs="Arial"/>
          <w:sz w:val="24"/>
          <w:szCs w:val="24"/>
        </w:rPr>
        <w:t xml:space="preserve"> with the effects of COVID-19 and the ongoing Ukraine war. As a result, it's challenging </w:t>
      </w:r>
      <w:r w:rsidR="00303FD1" w:rsidRPr="004A73C1">
        <w:rPr>
          <w:rFonts w:ascii="Arial" w:hAnsi="Arial" w:cs="Arial"/>
          <w:sz w:val="24"/>
          <w:szCs w:val="24"/>
        </w:rPr>
        <w:t>to attribute any adverse effects solely to Brexit definitively</w:t>
      </w:r>
      <w:r w:rsidRPr="004A73C1">
        <w:rPr>
          <w:rFonts w:ascii="Arial" w:hAnsi="Arial" w:cs="Arial"/>
          <w:sz w:val="24"/>
          <w:szCs w:val="24"/>
        </w:rPr>
        <w:t xml:space="preserve">. </w:t>
      </w:r>
      <w:r w:rsidR="00303FD1" w:rsidRPr="004A73C1">
        <w:rPr>
          <w:rFonts w:ascii="Arial" w:hAnsi="Arial" w:cs="Arial"/>
          <w:sz w:val="24"/>
          <w:szCs w:val="24"/>
        </w:rPr>
        <w:t>Continuous</w:t>
      </w:r>
      <w:r w:rsidRPr="004A73C1">
        <w:rPr>
          <w:rFonts w:ascii="Arial" w:hAnsi="Arial" w:cs="Arial"/>
          <w:sz w:val="24"/>
          <w:szCs w:val="24"/>
        </w:rPr>
        <w:t xml:space="preserve"> observation and analysis will be necessary to determine the full extent of Brexit's impact.</w:t>
      </w:r>
    </w:p>
    <w:p w14:paraId="50849805" w14:textId="0525478B" w:rsidR="00D47A50" w:rsidRPr="004A73C1" w:rsidRDefault="00D47A50" w:rsidP="00EF2E34">
      <w:pPr>
        <w:spacing w:line="360" w:lineRule="auto"/>
        <w:jc w:val="both"/>
        <w:rPr>
          <w:rFonts w:ascii="Arial" w:hAnsi="Arial" w:cs="Arial"/>
          <w:sz w:val="24"/>
          <w:szCs w:val="24"/>
        </w:rPr>
      </w:pPr>
      <w:r w:rsidRPr="004A73C1">
        <w:rPr>
          <w:rFonts w:ascii="Arial" w:hAnsi="Arial" w:cs="Arial"/>
          <w:sz w:val="24"/>
          <w:szCs w:val="24"/>
        </w:rPr>
        <w:t>Analysing the data from the UK's Office for National Statistics (ONS), it is evident that inward FDI flows into the UK decreased by 30% in 2020 compared to the previous year, reflecting a potential impact of Brexit. This decline in FDI inflows suggests that the lack of usual trade cooperation between the European Union and the United Kingdom has led to losses in free trade, labour supply, and profitability.</w:t>
      </w:r>
    </w:p>
    <w:p w14:paraId="77C10FF8" w14:textId="36347C94" w:rsidR="00D47A50" w:rsidRPr="004A73C1" w:rsidRDefault="00D47A50" w:rsidP="00EF2E34">
      <w:pPr>
        <w:spacing w:line="360" w:lineRule="auto"/>
        <w:jc w:val="both"/>
        <w:rPr>
          <w:rFonts w:ascii="Arial" w:hAnsi="Arial" w:cs="Arial"/>
          <w:sz w:val="24"/>
          <w:szCs w:val="24"/>
        </w:rPr>
      </w:pPr>
      <w:r w:rsidRPr="004A73C1">
        <w:rPr>
          <w:rFonts w:ascii="Arial" w:hAnsi="Arial" w:cs="Arial"/>
          <w:sz w:val="24"/>
          <w:szCs w:val="24"/>
        </w:rPr>
        <w:t>Furthermore, the UK's GDP growth rate fluctuated over the years, with a significant spike in 2015 followed by a sharp decline in 2016. Although the following years produced mixed results, overall economic volatility was observed during this period.</w:t>
      </w:r>
    </w:p>
    <w:p w14:paraId="448E8B63" w14:textId="77777777" w:rsidR="00D47A50" w:rsidRPr="004A73C1" w:rsidRDefault="00D47A50" w:rsidP="00EF2E34">
      <w:pPr>
        <w:spacing w:line="360" w:lineRule="auto"/>
        <w:jc w:val="both"/>
        <w:rPr>
          <w:rFonts w:ascii="Arial" w:hAnsi="Arial" w:cs="Arial"/>
          <w:sz w:val="24"/>
          <w:szCs w:val="24"/>
        </w:rPr>
      </w:pPr>
    </w:p>
    <w:p w14:paraId="2B863D31" w14:textId="77777777" w:rsidR="00D47A50" w:rsidRPr="004A73C1" w:rsidRDefault="00D47A50" w:rsidP="00EF2E34">
      <w:pPr>
        <w:spacing w:line="360" w:lineRule="auto"/>
        <w:jc w:val="both"/>
        <w:rPr>
          <w:rFonts w:ascii="Arial" w:hAnsi="Arial" w:cs="Arial"/>
          <w:sz w:val="24"/>
          <w:szCs w:val="24"/>
        </w:rPr>
      </w:pPr>
      <w:r w:rsidRPr="004A73C1">
        <w:rPr>
          <w:rFonts w:ascii="Arial" w:hAnsi="Arial" w:cs="Arial"/>
          <w:sz w:val="24"/>
          <w:szCs w:val="24"/>
        </w:rPr>
        <w:lastRenderedPageBreak/>
        <w:t>On the positive side, the UK continues to attract substantial foreign investment despite the decline in FDI inflows. According to the EY European Investment Monitor (EIM), key FDI-producing industries such as financial services and business services still consider the UK to have a highly appealing FDI proposition. This suggests that certain sectors remain optimistic about investing in the UK.</w:t>
      </w:r>
    </w:p>
    <w:p w14:paraId="05D47AF3" w14:textId="66E122DA" w:rsidR="00D47A50" w:rsidRPr="004A73C1" w:rsidRDefault="00D47A50" w:rsidP="00EF2E34">
      <w:pPr>
        <w:spacing w:line="360" w:lineRule="auto"/>
        <w:jc w:val="both"/>
        <w:rPr>
          <w:rFonts w:ascii="Arial" w:hAnsi="Arial" w:cs="Arial"/>
          <w:sz w:val="24"/>
          <w:szCs w:val="24"/>
        </w:rPr>
      </w:pPr>
      <w:r w:rsidRPr="004A73C1">
        <w:rPr>
          <w:rFonts w:ascii="Arial" w:hAnsi="Arial" w:cs="Arial"/>
          <w:sz w:val="24"/>
          <w:szCs w:val="24"/>
        </w:rPr>
        <w:t>In summary, Brexit's impact on the UK economy, particularly in terms of FDI and economic growth, has been noticeable. However, ongoing monitoring and analysis of FDI trends, policy changes, and economic indicators will be crucial in understanding the evolving relationship between Brexit and FDI in the UK.</w:t>
      </w:r>
    </w:p>
    <w:p w14:paraId="6A327636" w14:textId="29522174" w:rsidR="00BF432F" w:rsidRPr="004A73C1" w:rsidRDefault="00CA52E6" w:rsidP="00EF2E34">
      <w:pPr>
        <w:pStyle w:val="Heading2"/>
        <w:spacing w:line="360" w:lineRule="auto"/>
        <w:rPr>
          <w:rFonts w:ascii="Arial" w:hAnsi="Arial" w:cs="Arial"/>
          <w:color w:val="auto"/>
        </w:rPr>
      </w:pPr>
      <w:bookmarkStart w:id="153" w:name="_Toc175056494"/>
      <w:bookmarkStart w:id="154" w:name="_Toc175675383"/>
      <w:r w:rsidRPr="004A73C1">
        <w:rPr>
          <w:rFonts w:ascii="Arial" w:hAnsi="Arial" w:cs="Arial"/>
          <w:color w:val="auto"/>
        </w:rPr>
        <w:t>4.8</w:t>
      </w:r>
      <w:r w:rsidRPr="004A73C1">
        <w:rPr>
          <w:rFonts w:ascii="Arial" w:hAnsi="Arial" w:cs="Arial"/>
          <w:color w:val="auto"/>
        </w:rPr>
        <w:tab/>
      </w:r>
      <w:r w:rsidR="00BF432F" w:rsidRPr="004A73C1">
        <w:rPr>
          <w:rFonts w:ascii="Arial" w:hAnsi="Arial" w:cs="Arial"/>
          <w:color w:val="auto"/>
        </w:rPr>
        <w:t xml:space="preserve">Impact of FDI on </w:t>
      </w:r>
      <w:r w:rsidR="00C13730">
        <w:rPr>
          <w:rFonts w:ascii="Arial" w:hAnsi="Arial" w:cs="Arial"/>
          <w:color w:val="auto"/>
        </w:rPr>
        <w:t>E</w:t>
      </w:r>
      <w:r w:rsidR="00BF432F" w:rsidRPr="004A73C1">
        <w:rPr>
          <w:rFonts w:ascii="Arial" w:hAnsi="Arial" w:cs="Arial"/>
          <w:color w:val="auto"/>
        </w:rPr>
        <w:t xml:space="preserve">conomic </w:t>
      </w:r>
      <w:r w:rsidR="00C13730">
        <w:rPr>
          <w:rFonts w:ascii="Arial" w:hAnsi="Arial" w:cs="Arial"/>
          <w:color w:val="auto"/>
        </w:rPr>
        <w:t>G</w:t>
      </w:r>
      <w:r w:rsidR="00BF432F" w:rsidRPr="004A73C1">
        <w:rPr>
          <w:rFonts w:ascii="Arial" w:hAnsi="Arial" w:cs="Arial"/>
          <w:color w:val="auto"/>
        </w:rPr>
        <w:t>rowth</w:t>
      </w:r>
      <w:bookmarkEnd w:id="153"/>
      <w:bookmarkEnd w:id="154"/>
      <w:r w:rsidR="00BF432F" w:rsidRPr="004A73C1">
        <w:rPr>
          <w:rFonts w:ascii="Arial" w:hAnsi="Arial" w:cs="Arial"/>
          <w:color w:val="auto"/>
        </w:rPr>
        <w:t xml:space="preserve"> </w:t>
      </w:r>
    </w:p>
    <w:p w14:paraId="5A942A45" w14:textId="360F6B93" w:rsidR="00BF432F" w:rsidRPr="004A73C1" w:rsidRDefault="00BF432F" w:rsidP="00EF2E34">
      <w:pPr>
        <w:spacing w:line="360" w:lineRule="auto"/>
        <w:jc w:val="both"/>
        <w:rPr>
          <w:rFonts w:ascii="Arial" w:hAnsi="Arial" w:cs="Arial"/>
        </w:rPr>
      </w:pPr>
      <w:r w:rsidRPr="004A73C1">
        <w:rPr>
          <w:rFonts w:ascii="Arial" w:hAnsi="Arial" w:cs="Arial"/>
        </w:rPr>
        <w:t>The impact of Foreign Direct Investment (FDI) on economic growth is very interrelated.</w:t>
      </w:r>
    </w:p>
    <w:p w14:paraId="49C44F85" w14:textId="785ED4CD" w:rsidR="00BF432F" w:rsidRPr="004A73C1" w:rsidRDefault="00BF432F" w:rsidP="00EF2E34">
      <w:pPr>
        <w:spacing w:line="360" w:lineRule="auto"/>
        <w:jc w:val="both"/>
        <w:rPr>
          <w:rFonts w:ascii="Arial" w:hAnsi="Arial" w:cs="Arial"/>
        </w:rPr>
      </w:pPr>
      <w:r w:rsidRPr="004A73C1">
        <w:rPr>
          <w:rFonts w:ascii="Arial" w:hAnsi="Arial" w:cs="Arial"/>
        </w:rPr>
        <w:t xml:space="preserve">One notable study is by Borensztein, E., De Gregorio, J., &amp; Lee, J. W. (1998). "How does foreign direct investment affect economic growth?" The authors found evidence that FDI contributes to economic growth by facilitating technology transfer, </w:t>
      </w:r>
      <w:r w:rsidR="00B6380F" w:rsidRPr="004A73C1">
        <w:rPr>
          <w:rFonts w:ascii="Arial" w:hAnsi="Arial" w:cs="Arial"/>
        </w:rPr>
        <w:t>developing human capital, and enhancing the host country's productivity</w:t>
      </w:r>
      <w:r w:rsidRPr="004A73C1">
        <w:rPr>
          <w:rFonts w:ascii="Arial" w:hAnsi="Arial" w:cs="Arial"/>
        </w:rPr>
        <w:t>. This study is widely cited in the field of international economics.</w:t>
      </w:r>
    </w:p>
    <w:p w14:paraId="653D16C3" w14:textId="77777777" w:rsidR="00BF432F" w:rsidRPr="004A73C1" w:rsidRDefault="00BF432F" w:rsidP="00EF2E34">
      <w:pPr>
        <w:spacing w:line="360" w:lineRule="auto"/>
        <w:jc w:val="both"/>
        <w:rPr>
          <w:rFonts w:ascii="Arial" w:hAnsi="Arial" w:cs="Arial"/>
        </w:rPr>
      </w:pPr>
      <w:r w:rsidRPr="004A73C1">
        <w:rPr>
          <w:rFonts w:ascii="Arial" w:hAnsi="Arial" w:cs="Arial"/>
        </w:rPr>
        <w:t>Another influential research paper is by Carkovic, M., &amp; Levine, R. (2005). "Does foreign direct investment accelerate economic growth?" This study provides empirical evidence that FDI has a positive impact on economic growth, particularly in developing countries.</w:t>
      </w:r>
    </w:p>
    <w:p w14:paraId="4F5A9FBA" w14:textId="7DB19E50" w:rsidR="00A072DF" w:rsidRPr="004A73C1" w:rsidRDefault="00A072DF" w:rsidP="00EF2E34">
      <w:pPr>
        <w:spacing w:line="360" w:lineRule="auto"/>
        <w:jc w:val="both"/>
        <w:rPr>
          <w:rFonts w:ascii="Arial" w:hAnsi="Arial" w:cs="Arial"/>
        </w:rPr>
      </w:pPr>
      <w:r w:rsidRPr="004A73C1">
        <w:rPr>
          <w:rFonts w:ascii="Arial" w:hAnsi="Arial" w:cs="Arial"/>
        </w:rPr>
        <w:t xml:space="preserve">Economic growth and Foreign Direct Investment (FDI) </w:t>
      </w:r>
      <w:r w:rsidR="00B6380F" w:rsidRPr="004A73C1">
        <w:rPr>
          <w:rFonts w:ascii="Arial" w:hAnsi="Arial" w:cs="Arial"/>
        </w:rPr>
        <w:t>are complex and interdependent</w:t>
      </w:r>
      <w:r w:rsidRPr="004A73C1">
        <w:rPr>
          <w:rFonts w:ascii="Arial" w:hAnsi="Arial" w:cs="Arial"/>
        </w:rPr>
        <w:t>.</w:t>
      </w:r>
      <w:r w:rsidR="008C1362" w:rsidRPr="004A73C1">
        <w:rPr>
          <w:rFonts w:ascii="Arial" w:eastAsia="Times New Roman" w:hAnsi="Arial" w:cs="Arial"/>
          <w:sz w:val="24"/>
          <w:szCs w:val="24"/>
          <w:lang w:eastAsia="en-GB"/>
        </w:rPr>
        <w:t xml:space="preserve"> </w:t>
      </w:r>
      <w:r w:rsidR="008C1362" w:rsidRPr="004A73C1">
        <w:rPr>
          <w:rFonts w:ascii="Arial" w:hAnsi="Arial" w:cs="Arial"/>
        </w:rPr>
        <w:t>Because FDI brings in capital, technology, and managerial experience that can boost productivity and overall economic development, it can be a major engine of economic progress. When foreign businesses invest in a host nation, they frequently provide specialized expertise and skills that can improve the capacities of local industries in addition to financial resources.</w:t>
      </w:r>
      <w:r w:rsidRPr="004A73C1">
        <w:rPr>
          <w:rFonts w:ascii="Arial" w:hAnsi="Arial" w:cs="Arial"/>
        </w:rPr>
        <w:t xml:space="preserve">This transfer of technology and know-how can </w:t>
      </w:r>
      <w:r w:rsidR="00B6380F" w:rsidRPr="004A73C1">
        <w:rPr>
          <w:rFonts w:ascii="Arial" w:hAnsi="Arial" w:cs="Arial"/>
        </w:rPr>
        <w:t>improve</w:t>
      </w:r>
      <w:r w:rsidRPr="004A73C1">
        <w:rPr>
          <w:rFonts w:ascii="Arial" w:hAnsi="Arial" w:cs="Arial"/>
        </w:rPr>
        <w:t xml:space="preserve"> productivity, product quality, and overall competitiveness, ultimately contributing to economic growth.</w:t>
      </w:r>
    </w:p>
    <w:p w14:paraId="36EBD1CF" w14:textId="6092C528" w:rsidR="00A072DF" w:rsidRPr="004A73C1" w:rsidRDefault="00035D15" w:rsidP="00EF2E34">
      <w:pPr>
        <w:spacing w:line="360" w:lineRule="auto"/>
        <w:jc w:val="both"/>
        <w:rPr>
          <w:rFonts w:ascii="Arial" w:hAnsi="Arial" w:cs="Arial"/>
        </w:rPr>
      </w:pPr>
      <w:r w:rsidRPr="004A73C1">
        <w:rPr>
          <w:rFonts w:ascii="Arial" w:hAnsi="Arial" w:cs="Arial"/>
        </w:rPr>
        <w:t>T</w:t>
      </w:r>
      <w:r w:rsidR="00A072DF" w:rsidRPr="004A73C1">
        <w:rPr>
          <w:rFonts w:ascii="Arial" w:hAnsi="Arial" w:cs="Arial"/>
        </w:rPr>
        <w:t>he relationship between economic growth and FDI is mutually reinforcing. FDI can stimulate economic growth, and in turn, a growing economy can attract more FDI, leading to a cycle of development and prosperity.</w:t>
      </w:r>
    </w:p>
    <w:p w14:paraId="3F0EE7C1" w14:textId="68D97D00" w:rsidR="00A072DF" w:rsidRPr="004A73C1" w:rsidRDefault="00A072DF" w:rsidP="00EF2E34">
      <w:pPr>
        <w:spacing w:line="360" w:lineRule="auto"/>
        <w:jc w:val="both"/>
        <w:rPr>
          <w:rFonts w:ascii="Arial" w:hAnsi="Arial" w:cs="Arial"/>
        </w:rPr>
      </w:pPr>
      <w:r w:rsidRPr="004A73C1">
        <w:rPr>
          <w:rFonts w:ascii="Arial" w:hAnsi="Arial" w:cs="Arial"/>
        </w:rPr>
        <w:t>According to Culey and Rios (2017), FDI can lead to a decline in domestic investment and productivity growth, which may ultimately hinder overall economic growth. Similarly, Aitken and Harrison (1999) found that FDI can displace domestic firms and reduce their market share, leading to a negative impact on economic growth.</w:t>
      </w:r>
    </w:p>
    <w:p w14:paraId="7ECCD131" w14:textId="0B083559" w:rsidR="00A072DF" w:rsidRPr="004A73C1" w:rsidRDefault="00A072DF" w:rsidP="00EF2E34">
      <w:pPr>
        <w:spacing w:line="360" w:lineRule="auto"/>
        <w:jc w:val="both"/>
        <w:rPr>
          <w:rFonts w:ascii="Arial" w:hAnsi="Arial" w:cs="Arial"/>
        </w:rPr>
      </w:pPr>
      <w:r w:rsidRPr="004A73C1">
        <w:rPr>
          <w:rFonts w:ascii="Arial" w:hAnsi="Arial" w:cs="Arial"/>
        </w:rPr>
        <w:t xml:space="preserve">The negative effects of foreign direct investment (FDI) on economic growth can include issues such as crowding out domestic investment, transfer pricing and profit repatriation, and adverse </w:t>
      </w:r>
      <w:r w:rsidRPr="004A73C1">
        <w:rPr>
          <w:rFonts w:ascii="Arial" w:hAnsi="Arial" w:cs="Arial"/>
        </w:rPr>
        <w:lastRenderedPageBreak/>
        <w:t>effects on local industries and unemployment. These effects have been discussed in various academic studies, including those by Aisbett (2007), Alfaro and Charlton (2009), and Carkovic and Levine (2005).</w:t>
      </w:r>
    </w:p>
    <w:p w14:paraId="698FD2D6" w14:textId="1CE8B23E" w:rsidR="00A072DF" w:rsidRPr="004A73C1" w:rsidRDefault="0047070F" w:rsidP="00EF2E34">
      <w:pPr>
        <w:spacing w:line="360" w:lineRule="auto"/>
        <w:jc w:val="both"/>
        <w:rPr>
          <w:rFonts w:ascii="Arial" w:hAnsi="Arial" w:cs="Arial"/>
        </w:rPr>
      </w:pPr>
      <w:r w:rsidRPr="004A73C1">
        <w:rPr>
          <w:rFonts w:ascii="Arial" w:hAnsi="Arial" w:cs="Arial"/>
        </w:rPr>
        <w:t>Some of the growth sectors in the UK due to Foreign Direct Investment (FDI) include technology and innovation, renewable energy, financial services, pharmaceuticals, and advanced manufacturing. These sectors have attracted significant FDI due to the UK's skilled workforce, strong research and development capabilities, and supportive business environment. The UK government has also implemented policies to encourage investment in these sectors, further contributing to their growth.</w:t>
      </w:r>
    </w:p>
    <w:p w14:paraId="26AF5A69" w14:textId="6D3F6E2F" w:rsidR="004519CD" w:rsidRPr="004A73C1" w:rsidRDefault="004519CD" w:rsidP="00EF2E34">
      <w:pPr>
        <w:spacing w:line="360" w:lineRule="auto"/>
        <w:jc w:val="both"/>
        <w:rPr>
          <w:rFonts w:ascii="Arial" w:hAnsi="Arial" w:cs="Arial"/>
        </w:rPr>
      </w:pPr>
      <w:r w:rsidRPr="004A73C1">
        <w:rPr>
          <w:rFonts w:ascii="Arial" w:hAnsi="Arial" w:cs="Arial"/>
          <w:noProof/>
        </w:rPr>
        <w:drawing>
          <wp:inline distT="0" distB="0" distL="0" distR="0" wp14:anchorId="3572EEEC" wp14:editId="48F6A1E9">
            <wp:extent cx="5734050" cy="2905125"/>
            <wp:effectExtent l="0" t="0" r="0" b="9525"/>
            <wp:docPr id="900021991" name="Chart 1">
              <a:extLst xmlns:a="http://schemas.openxmlformats.org/drawingml/2006/main">
                <a:ext uri="{FF2B5EF4-FFF2-40B4-BE49-F238E27FC236}">
                  <a16:creationId xmlns:a16="http://schemas.microsoft.com/office/drawing/2014/main" id="{7E5BB2A8-4E8D-38FD-04FC-F60D18E6C2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594B26C0" w14:textId="5F1B4591" w:rsidR="00740D35" w:rsidRPr="004A73C1" w:rsidRDefault="00740D35" w:rsidP="00EF2E34">
      <w:pPr>
        <w:spacing w:line="360" w:lineRule="auto"/>
        <w:jc w:val="both"/>
        <w:rPr>
          <w:rFonts w:ascii="Arial" w:hAnsi="Arial" w:cs="Arial"/>
        </w:rPr>
      </w:pPr>
      <w:r w:rsidRPr="004A73C1">
        <w:rPr>
          <w:rFonts w:ascii="Arial" w:hAnsi="Arial" w:cs="Arial"/>
        </w:rPr>
        <w:t xml:space="preserve">Figure </w:t>
      </w:r>
      <w:r w:rsidR="00C75C62" w:rsidRPr="004A73C1">
        <w:rPr>
          <w:rFonts w:ascii="Arial" w:hAnsi="Arial" w:cs="Arial"/>
        </w:rPr>
        <w:t>36</w:t>
      </w:r>
      <w:r w:rsidRPr="004A73C1">
        <w:rPr>
          <w:rFonts w:ascii="Arial" w:hAnsi="Arial" w:cs="Arial"/>
        </w:rPr>
        <w:tab/>
      </w:r>
    </w:p>
    <w:p w14:paraId="666B82D9" w14:textId="6B1545A8" w:rsidR="00A072DF" w:rsidRPr="004A73C1" w:rsidRDefault="00F90E4F" w:rsidP="00EF2E34">
      <w:pPr>
        <w:spacing w:line="360" w:lineRule="auto"/>
        <w:jc w:val="both"/>
        <w:rPr>
          <w:rFonts w:ascii="Arial" w:hAnsi="Arial" w:cs="Arial"/>
        </w:rPr>
      </w:pPr>
      <w:r w:rsidRPr="004A73C1">
        <w:rPr>
          <w:rFonts w:ascii="Arial" w:hAnsi="Arial" w:cs="Arial"/>
        </w:rPr>
        <w:t>(</w:t>
      </w:r>
      <w:r w:rsidR="004519CD" w:rsidRPr="004A73C1">
        <w:rPr>
          <w:rFonts w:ascii="Arial" w:hAnsi="Arial" w:cs="Arial"/>
        </w:rPr>
        <w:t>Source: Gov.uk/government/statistics/dbt-inward-investment-results-2022-to-2023)</w:t>
      </w:r>
    </w:p>
    <w:p w14:paraId="311D1067" w14:textId="2930642B" w:rsidR="00D47A50" w:rsidRPr="004A73C1" w:rsidRDefault="00CA52E6" w:rsidP="00D11768">
      <w:pPr>
        <w:pStyle w:val="Heading3"/>
        <w:rPr>
          <w:rFonts w:ascii="Arial" w:hAnsi="Arial" w:cs="Arial"/>
          <w:color w:val="auto"/>
        </w:rPr>
      </w:pPr>
      <w:bookmarkStart w:id="155" w:name="_Toc175056495"/>
      <w:bookmarkStart w:id="156" w:name="_Toc175675384"/>
      <w:r w:rsidRPr="004A73C1">
        <w:rPr>
          <w:rFonts w:ascii="Arial" w:hAnsi="Arial" w:cs="Arial"/>
          <w:color w:val="auto"/>
        </w:rPr>
        <w:t>4.8.1</w:t>
      </w:r>
      <w:r w:rsidRPr="004A73C1">
        <w:rPr>
          <w:rFonts w:ascii="Arial" w:hAnsi="Arial" w:cs="Arial"/>
          <w:color w:val="auto"/>
        </w:rPr>
        <w:tab/>
      </w:r>
      <w:r w:rsidR="00303FD1" w:rsidRPr="004A73C1">
        <w:rPr>
          <w:rFonts w:ascii="Arial" w:hAnsi="Arial" w:cs="Arial"/>
          <w:color w:val="auto"/>
        </w:rPr>
        <w:t>GDP Growth</w:t>
      </w:r>
      <w:bookmarkEnd w:id="155"/>
      <w:bookmarkEnd w:id="156"/>
    </w:p>
    <w:p w14:paraId="681D8C08" w14:textId="18538611" w:rsidR="00D47A50" w:rsidRPr="004A73C1" w:rsidRDefault="00D47A50" w:rsidP="00EF2E34">
      <w:pPr>
        <w:pStyle w:val="ListParagraph"/>
        <w:spacing w:line="360" w:lineRule="auto"/>
        <w:ind w:left="0"/>
        <w:jc w:val="both"/>
        <w:rPr>
          <w:rFonts w:ascii="Arial" w:hAnsi="Arial" w:cs="Arial"/>
          <w:color w:val="000000"/>
          <w:shd w:val="clear" w:color="auto" w:fill="FFFFFF"/>
        </w:rPr>
      </w:pPr>
      <w:r w:rsidRPr="004A73C1">
        <w:rPr>
          <w:rFonts w:ascii="Arial" w:hAnsi="Arial" w:cs="Arial"/>
          <w:color w:val="000000"/>
          <w:shd w:val="clear" w:color="auto" w:fill="FFFFFF"/>
        </w:rPr>
        <w:t>The GDP growth rate for the United Kingdom has shown significant fluctuations over the years. 2014 the growth rate was 1.92%, followed by a slight decrease to 1.55% in 2015. However, there was a remarkable spike in 2016, with a growth rate of 12.08%. After that, the growth rate declined to -0.87% in 2017. In the following years, the growth rates were 0.69% in 2018, 5.83% in 2019, 0.19% in 2020, and 1.45% in 2021. The data indicates that the UK experienced significant economic volatility during this period, with both positive and negative growth rates.</w:t>
      </w:r>
    </w:p>
    <w:p w14:paraId="6EE871C7" w14:textId="21B80A2A" w:rsidR="00303FD1" w:rsidRPr="004A73C1" w:rsidRDefault="00CA52E6" w:rsidP="00D11768">
      <w:pPr>
        <w:pStyle w:val="Heading3"/>
        <w:rPr>
          <w:rFonts w:ascii="Arial" w:hAnsi="Arial" w:cs="Arial"/>
          <w:color w:val="auto"/>
        </w:rPr>
      </w:pPr>
      <w:bookmarkStart w:id="157" w:name="_Toc175675385"/>
      <w:r w:rsidRPr="004A73C1">
        <w:rPr>
          <w:rFonts w:ascii="Arial" w:hAnsi="Arial" w:cs="Arial"/>
          <w:color w:val="auto"/>
        </w:rPr>
        <w:t>4.8.2</w:t>
      </w:r>
      <w:r w:rsidRPr="004A73C1">
        <w:rPr>
          <w:rFonts w:ascii="Arial" w:hAnsi="Arial" w:cs="Arial"/>
          <w:color w:val="auto"/>
        </w:rPr>
        <w:tab/>
      </w:r>
      <w:r w:rsidR="00303FD1" w:rsidRPr="004A73C1">
        <w:rPr>
          <w:rFonts w:ascii="Arial" w:hAnsi="Arial" w:cs="Arial"/>
          <w:color w:val="auto"/>
        </w:rPr>
        <w:t xml:space="preserve">Employment </w:t>
      </w:r>
      <w:r w:rsidR="00C13730">
        <w:rPr>
          <w:rFonts w:ascii="Arial" w:hAnsi="Arial" w:cs="Arial"/>
          <w:color w:val="auto"/>
        </w:rPr>
        <w:t>R</w:t>
      </w:r>
      <w:r w:rsidR="00303FD1" w:rsidRPr="004A73C1">
        <w:rPr>
          <w:rFonts w:ascii="Arial" w:hAnsi="Arial" w:cs="Arial"/>
          <w:color w:val="auto"/>
        </w:rPr>
        <w:t>ate</w:t>
      </w:r>
      <w:bookmarkEnd w:id="157"/>
    </w:p>
    <w:p w14:paraId="35A1FD8E" w14:textId="3A511028" w:rsidR="00D47A50" w:rsidRPr="004A73C1" w:rsidRDefault="00D47A50"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xml:space="preserve">The UK employment data from 2017 to 2024 shows fluctuations in the labour market. 2017 the employment rate was relatively stable, but it experienced a noticeable decline in 2018. However, there was an improvement in 2019, with a positive trend in employment. In 2020, the employment rate faced challenges, likely due to the impact of the COVID-19 pandemic. Subsequently, in 2021 and 2022, there was a gradual recovery and improvement in the </w:t>
      </w:r>
      <w:r w:rsidRPr="004A73C1">
        <w:rPr>
          <w:rFonts w:ascii="Arial" w:hAnsi="Arial" w:cs="Arial"/>
          <w:color w:val="000000"/>
          <w:shd w:val="clear" w:color="auto" w:fill="FFFFFF"/>
        </w:rPr>
        <w:lastRenderedPageBreak/>
        <w:t xml:space="preserve">employment rate. As of 2024, the UK's employment situation seems </w:t>
      </w:r>
      <w:r w:rsidR="00FF7800" w:rsidRPr="004A73C1">
        <w:rPr>
          <w:rFonts w:ascii="Arial" w:hAnsi="Arial" w:cs="Arial"/>
          <w:color w:val="000000"/>
          <w:shd w:val="clear" w:color="auto" w:fill="FFFFFF"/>
        </w:rPr>
        <w:t>upward</w:t>
      </w:r>
      <w:r w:rsidRPr="004A73C1">
        <w:rPr>
          <w:rFonts w:ascii="Arial" w:hAnsi="Arial" w:cs="Arial"/>
          <w:color w:val="000000"/>
          <w:shd w:val="clear" w:color="auto" w:fill="FFFFFF"/>
        </w:rPr>
        <w:t xml:space="preserve">, showing signs of </w:t>
      </w:r>
      <w:r w:rsidR="00035D15" w:rsidRPr="004A73C1">
        <w:rPr>
          <w:rFonts w:ascii="Arial" w:hAnsi="Arial" w:cs="Arial"/>
          <w:color w:val="000000"/>
          <w:shd w:val="clear" w:color="auto" w:fill="FFFFFF"/>
        </w:rPr>
        <w:t>growth</w:t>
      </w:r>
      <w:r w:rsidRPr="004A73C1">
        <w:rPr>
          <w:rFonts w:ascii="Arial" w:hAnsi="Arial" w:cs="Arial"/>
          <w:color w:val="000000"/>
          <w:shd w:val="clear" w:color="auto" w:fill="FFFFFF"/>
        </w:rPr>
        <w:t xml:space="preserve"> and stability.</w:t>
      </w:r>
    </w:p>
    <w:p w14:paraId="3F0713A3" w14:textId="77777777" w:rsidR="00FF7800" w:rsidRPr="004A73C1" w:rsidRDefault="00FF7800" w:rsidP="00EF2E34">
      <w:pPr>
        <w:spacing w:line="360" w:lineRule="auto"/>
        <w:jc w:val="both"/>
        <w:rPr>
          <w:rFonts w:ascii="Arial" w:hAnsi="Arial" w:cs="Arial"/>
          <w:color w:val="000000"/>
          <w:shd w:val="clear" w:color="auto" w:fill="FFFFFF"/>
        </w:rPr>
      </w:pPr>
    </w:p>
    <w:p w14:paraId="6259C506" w14:textId="092FBD6B" w:rsidR="00FF7800" w:rsidRPr="004A73C1" w:rsidRDefault="00FF7800"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xml:space="preserve">The following table shows </w:t>
      </w:r>
      <w:r w:rsidR="006662A2" w:rsidRPr="004A73C1">
        <w:rPr>
          <w:rFonts w:ascii="Arial" w:hAnsi="Arial" w:cs="Arial"/>
          <w:color w:val="000000"/>
          <w:shd w:val="clear" w:color="auto" w:fill="FFFFFF"/>
        </w:rPr>
        <w:t>a comparison of different</w:t>
      </w:r>
      <w:r w:rsidRPr="004A73C1">
        <w:rPr>
          <w:rFonts w:ascii="Arial" w:hAnsi="Arial" w:cs="Arial"/>
          <w:color w:val="000000"/>
          <w:shd w:val="clear" w:color="auto" w:fill="FFFFFF"/>
        </w:rPr>
        <w:t xml:space="preserve"> projects from 2022 to 2023. </w:t>
      </w:r>
    </w:p>
    <w:p w14:paraId="392BD2F8" w14:textId="669755DC" w:rsidR="008C1362" w:rsidRPr="004A73C1" w:rsidRDefault="008C1362" w:rsidP="008C1362">
      <w:pPr>
        <w:spacing w:line="360" w:lineRule="auto"/>
        <w:jc w:val="both"/>
        <w:rPr>
          <w:rFonts w:ascii="Arial" w:hAnsi="Arial" w:cs="Arial"/>
        </w:rPr>
      </w:pPr>
      <w:r w:rsidRPr="004A73C1">
        <w:rPr>
          <w:rFonts w:ascii="Arial" w:hAnsi="Arial" w:cs="Arial"/>
        </w:rPr>
        <w:t>Figure 3</w:t>
      </w:r>
      <w:r w:rsidR="00C75C62" w:rsidRPr="004A73C1">
        <w:rPr>
          <w:rFonts w:ascii="Arial" w:hAnsi="Arial" w:cs="Arial"/>
        </w:rPr>
        <w:t>7</w:t>
      </w:r>
    </w:p>
    <w:p w14:paraId="2F41AA4F" w14:textId="3C0D69F4" w:rsidR="008C1362" w:rsidRPr="004A73C1" w:rsidRDefault="008C1362" w:rsidP="008C1362">
      <w:pPr>
        <w:spacing w:line="360" w:lineRule="auto"/>
        <w:jc w:val="both"/>
        <w:rPr>
          <w:rFonts w:ascii="Arial" w:hAnsi="Arial" w:cs="Arial"/>
          <w:color w:val="000000"/>
          <w:shd w:val="clear" w:color="auto" w:fill="FFFFFF"/>
        </w:rPr>
      </w:pPr>
      <w:r w:rsidRPr="004A73C1">
        <w:rPr>
          <w:rFonts w:ascii="Arial" w:hAnsi="Arial" w:cs="Arial"/>
          <w:noProof/>
          <w:color w:val="000000"/>
          <w:shd w:val="clear" w:color="auto" w:fill="FFFFFF"/>
        </w:rPr>
        <w:drawing>
          <wp:inline distT="0" distB="0" distL="0" distR="0" wp14:anchorId="69A6813E" wp14:editId="4FA8B24E">
            <wp:extent cx="5926347" cy="5942762"/>
            <wp:effectExtent l="0" t="0" r="0" b="1270"/>
            <wp:docPr id="158972868"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72868" name="Picture 1" descr="A table with numbers and text&#10;&#10;Description automatically generated"/>
                    <pic:cNvPicPr/>
                  </pic:nvPicPr>
                  <pic:blipFill>
                    <a:blip r:embed="rId57"/>
                    <a:stretch>
                      <a:fillRect/>
                    </a:stretch>
                  </pic:blipFill>
                  <pic:spPr>
                    <a:xfrm>
                      <a:off x="0" y="0"/>
                      <a:ext cx="5927541" cy="5943959"/>
                    </a:xfrm>
                    <a:prstGeom prst="rect">
                      <a:avLst/>
                    </a:prstGeom>
                  </pic:spPr>
                </pic:pic>
              </a:graphicData>
            </a:graphic>
          </wp:inline>
        </w:drawing>
      </w:r>
    </w:p>
    <w:p w14:paraId="6E2B2F62" w14:textId="3CD6A69A" w:rsidR="00D47A50" w:rsidRPr="004A73C1" w:rsidRDefault="00CA52E6" w:rsidP="00D11768">
      <w:pPr>
        <w:pStyle w:val="Heading3"/>
        <w:rPr>
          <w:rFonts w:ascii="Arial" w:hAnsi="Arial" w:cs="Arial"/>
          <w:color w:val="auto"/>
        </w:rPr>
      </w:pPr>
      <w:bookmarkStart w:id="158" w:name="_Toc175056496"/>
      <w:bookmarkStart w:id="159" w:name="_Toc175675386"/>
      <w:r w:rsidRPr="004A73C1">
        <w:rPr>
          <w:rFonts w:ascii="Arial" w:hAnsi="Arial" w:cs="Arial"/>
          <w:color w:val="auto"/>
        </w:rPr>
        <w:t>4.8.3</w:t>
      </w:r>
      <w:r w:rsidRPr="004A73C1">
        <w:rPr>
          <w:rFonts w:ascii="Arial" w:hAnsi="Arial" w:cs="Arial"/>
          <w:color w:val="auto"/>
        </w:rPr>
        <w:tab/>
      </w:r>
      <w:r w:rsidR="00F90E4F" w:rsidRPr="004A73C1">
        <w:rPr>
          <w:rFonts w:ascii="Arial" w:hAnsi="Arial" w:cs="Arial"/>
          <w:color w:val="auto"/>
        </w:rPr>
        <w:t>I</w:t>
      </w:r>
      <w:r w:rsidR="00303FD1" w:rsidRPr="004A73C1">
        <w:rPr>
          <w:rFonts w:ascii="Arial" w:hAnsi="Arial" w:cs="Arial"/>
          <w:color w:val="auto"/>
        </w:rPr>
        <w:t xml:space="preserve">mpact of FDI on the </w:t>
      </w:r>
      <w:r w:rsidR="00C13730">
        <w:rPr>
          <w:rFonts w:ascii="Arial" w:hAnsi="Arial" w:cs="Arial"/>
          <w:color w:val="auto"/>
        </w:rPr>
        <w:t>L</w:t>
      </w:r>
      <w:r w:rsidR="00303FD1" w:rsidRPr="004A73C1">
        <w:rPr>
          <w:rFonts w:ascii="Arial" w:hAnsi="Arial" w:cs="Arial"/>
          <w:color w:val="auto"/>
        </w:rPr>
        <w:t xml:space="preserve">ocal </w:t>
      </w:r>
      <w:r w:rsidR="00C13730">
        <w:rPr>
          <w:rFonts w:ascii="Arial" w:hAnsi="Arial" w:cs="Arial"/>
          <w:color w:val="auto"/>
        </w:rPr>
        <w:t>C</w:t>
      </w:r>
      <w:r w:rsidR="00303FD1" w:rsidRPr="004A73C1">
        <w:rPr>
          <w:rFonts w:ascii="Arial" w:hAnsi="Arial" w:cs="Arial"/>
          <w:color w:val="auto"/>
        </w:rPr>
        <w:t>ommunity</w:t>
      </w:r>
      <w:bookmarkEnd w:id="158"/>
      <w:bookmarkEnd w:id="159"/>
      <w:r w:rsidR="00303FD1" w:rsidRPr="004A73C1">
        <w:rPr>
          <w:rFonts w:ascii="Arial" w:hAnsi="Arial" w:cs="Arial"/>
          <w:color w:val="auto"/>
        </w:rPr>
        <w:t xml:space="preserve"> </w:t>
      </w:r>
    </w:p>
    <w:p w14:paraId="0F1EE2F5" w14:textId="081AD194" w:rsidR="00D47A50" w:rsidRPr="004A73C1" w:rsidRDefault="00D47A50" w:rsidP="00EF2E34">
      <w:pPr>
        <w:pStyle w:val="ListParagraph"/>
        <w:spacing w:line="360" w:lineRule="auto"/>
        <w:ind w:left="0"/>
        <w:jc w:val="both"/>
        <w:rPr>
          <w:rFonts w:ascii="Arial" w:hAnsi="Arial" w:cs="Arial"/>
          <w:color w:val="000000"/>
          <w:shd w:val="clear" w:color="auto" w:fill="FFFFFF"/>
        </w:rPr>
      </w:pPr>
      <w:r w:rsidRPr="004A73C1">
        <w:rPr>
          <w:rFonts w:ascii="Arial" w:hAnsi="Arial" w:cs="Arial"/>
          <w:color w:val="000000"/>
          <w:shd w:val="clear" w:color="auto" w:fill="FFFFFF"/>
        </w:rPr>
        <w:t xml:space="preserve">The impact of Foreign Direct Investment (FDI) on the local community in the UK over the last five years has been significant. Despite fluctuations in FDI inflows following Brexit, the UK has continued attracting substantial foreign investment, contributing to the local economy and job creation. FDI has played a vital role in fostering innovation, creating employment opportunities, and stimulating economic growth in various sectors. Additionally, FDI has often led to the transfer of new technologies and management practices, benefiting the local workforce and </w:t>
      </w:r>
      <w:r w:rsidRPr="004A73C1">
        <w:rPr>
          <w:rFonts w:ascii="Arial" w:hAnsi="Arial" w:cs="Arial"/>
          <w:color w:val="000000"/>
          <w:shd w:val="clear" w:color="auto" w:fill="FFFFFF"/>
        </w:rPr>
        <w:lastRenderedPageBreak/>
        <w:t>businesses. It's essential to monitor and analyse FDI trends to understand their evolving impact on the UK's local community and the broader economy.</w:t>
      </w:r>
    </w:p>
    <w:p w14:paraId="5586DD67" w14:textId="1373E926" w:rsidR="00303FD1" w:rsidRPr="004A73C1" w:rsidRDefault="00CA52E6" w:rsidP="00D11768">
      <w:pPr>
        <w:pStyle w:val="Heading3"/>
        <w:rPr>
          <w:rFonts w:ascii="Arial" w:hAnsi="Arial" w:cs="Arial"/>
          <w:color w:val="auto"/>
        </w:rPr>
      </w:pPr>
      <w:bookmarkStart w:id="160" w:name="_Toc175056497"/>
      <w:bookmarkStart w:id="161" w:name="_Toc175675387"/>
      <w:r w:rsidRPr="004A73C1">
        <w:rPr>
          <w:rFonts w:ascii="Arial" w:hAnsi="Arial" w:cs="Arial"/>
          <w:color w:val="auto"/>
        </w:rPr>
        <w:t>4.8.4</w:t>
      </w:r>
      <w:r w:rsidRPr="004A73C1">
        <w:rPr>
          <w:rFonts w:ascii="Arial" w:hAnsi="Arial" w:cs="Arial"/>
          <w:color w:val="auto"/>
        </w:rPr>
        <w:tab/>
      </w:r>
      <w:r w:rsidR="00303FD1" w:rsidRPr="004A73C1">
        <w:rPr>
          <w:rFonts w:ascii="Arial" w:hAnsi="Arial" w:cs="Arial"/>
          <w:color w:val="auto"/>
        </w:rPr>
        <w:t xml:space="preserve">Future FDI </w:t>
      </w:r>
      <w:r w:rsidR="00C13730">
        <w:rPr>
          <w:rFonts w:ascii="Arial" w:hAnsi="Arial" w:cs="Arial"/>
          <w:color w:val="auto"/>
        </w:rPr>
        <w:t>P</w:t>
      </w:r>
      <w:r w:rsidR="00303FD1" w:rsidRPr="004A73C1">
        <w:rPr>
          <w:rFonts w:ascii="Arial" w:hAnsi="Arial" w:cs="Arial"/>
          <w:color w:val="auto"/>
        </w:rPr>
        <w:t>rojects.</w:t>
      </w:r>
      <w:bookmarkEnd w:id="160"/>
      <w:bookmarkEnd w:id="161"/>
    </w:p>
    <w:p w14:paraId="7B7E822E" w14:textId="132A94D6" w:rsidR="00D47A50" w:rsidRPr="004A73C1" w:rsidRDefault="00D47A50" w:rsidP="00EF2E34">
      <w:pPr>
        <w:pStyle w:val="ListParagraph"/>
        <w:spacing w:line="360" w:lineRule="auto"/>
        <w:ind w:left="0"/>
        <w:jc w:val="both"/>
        <w:rPr>
          <w:rFonts w:ascii="Arial" w:hAnsi="Arial" w:cs="Arial"/>
          <w:color w:val="000000"/>
          <w:shd w:val="clear" w:color="auto" w:fill="FFFFFF"/>
        </w:rPr>
      </w:pPr>
      <w:r w:rsidRPr="004A73C1">
        <w:rPr>
          <w:rFonts w:ascii="Arial" w:hAnsi="Arial" w:cs="Arial"/>
          <w:color w:val="000000"/>
          <w:shd w:val="clear" w:color="auto" w:fill="FFFFFF"/>
        </w:rPr>
        <w:t>According to the EY European Investment Monitor (EIM) data from 2014-2023, the United Kingdom has experienced fluctuations in Foreign Direct Investment (FDI) following Brexit. While inward FDI flows into the UK decreased by 30% in 2020 compared to the previous year, the country still remains a significant recipient of foreign investment. The UK's FDI proposition continues to be highly appealing to executives in key FDI-producing industries such as financial services and business services, despite the overall decrease in the country's perceived attractiveness. Furthermore, ongoing monitoring and analysis of FDI trends, policy changes, and economic indicators will be crucial for understanding the evolving relationship between Brexit and FDI in the UK(Source: EY European Investment Monitor (EIM), 2014-23)</w:t>
      </w:r>
    </w:p>
    <w:p w14:paraId="15352C11" w14:textId="77777777" w:rsidR="00D47A50" w:rsidRPr="004A73C1" w:rsidRDefault="00D47A50" w:rsidP="00EF2E34">
      <w:pPr>
        <w:pStyle w:val="ListParagraph"/>
        <w:spacing w:line="360" w:lineRule="auto"/>
        <w:jc w:val="both"/>
        <w:rPr>
          <w:rFonts w:ascii="Arial" w:hAnsi="Arial" w:cs="Arial"/>
          <w:color w:val="000000"/>
          <w:shd w:val="clear" w:color="auto" w:fill="FFFFFF"/>
        </w:rPr>
      </w:pPr>
    </w:p>
    <w:p w14:paraId="6B99E5EF" w14:textId="15252173" w:rsidR="00D47A50" w:rsidRPr="004A73C1" w:rsidRDefault="00CA52E6" w:rsidP="00D11768">
      <w:pPr>
        <w:pStyle w:val="Heading3"/>
        <w:rPr>
          <w:rFonts w:ascii="Arial" w:hAnsi="Arial" w:cs="Arial"/>
          <w:color w:val="auto"/>
        </w:rPr>
      </w:pPr>
      <w:bookmarkStart w:id="162" w:name="_Toc175056498"/>
      <w:bookmarkStart w:id="163" w:name="_Toc175675388"/>
      <w:r w:rsidRPr="004A73C1">
        <w:rPr>
          <w:rFonts w:ascii="Arial" w:hAnsi="Arial" w:cs="Arial"/>
          <w:color w:val="auto"/>
        </w:rPr>
        <w:t>4.8.5</w:t>
      </w:r>
      <w:r w:rsidRPr="004A73C1">
        <w:rPr>
          <w:rFonts w:ascii="Arial" w:hAnsi="Arial" w:cs="Arial"/>
          <w:color w:val="auto"/>
        </w:rPr>
        <w:tab/>
      </w:r>
      <w:r w:rsidR="00303FD1" w:rsidRPr="004A73C1">
        <w:rPr>
          <w:rFonts w:ascii="Arial" w:hAnsi="Arial" w:cs="Arial"/>
          <w:color w:val="auto"/>
        </w:rPr>
        <w:t xml:space="preserve">FDI </w:t>
      </w:r>
      <w:r w:rsidR="00C13730">
        <w:rPr>
          <w:rFonts w:ascii="Arial" w:hAnsi="Arial" w:cs="Arial"/>
          <w:color w:val="auto"/>
        </w:rPr>
        <w:t>I</w:t>
      </w:r>
      <w:r w:rsidR="00303FD1" w:rsidRPr="004A73C1">
        <w:rPr>
          <w:rFonts w:ascii="Arial" w:hAnsi="Arial" w:cs="Arial"/>
          <w:color w:val="auto"/>
        </w:rPr>
        <w:t xml:space="preserve">mpact </w:t>
      </w:r>
      <w:r w:rsidR="00C13730">
        <w:rPr>
          <w:rFonts w:ascii="Arial" w:hAnsi="Arial" w:cs="Arial"/>
          <w:color w:val="auto"/>
        </w:rPr>
        <w:t>O</w:t>
      </w:r>
      <w:r w:rsidR="00303FD1" w:rsidRPr="004A73C1">
        <w:rPr>
          <w:rFonts w:ascii="Arial" w:hAnsi="Arial" w:cs="Arial"/>
          <w:color w:val="auto"/>
        </w:rPr>
        <w:t xml:space="preserve">n </w:t>
      </w:r>
      <w:r w:rsidR="00C13730">
        <w:rPr>
          <w:rFonts w:ascii="Arial" w:hAnsi="Arial" w:cs="Arial"/>
          <w:color w:val="auto"/>
        </w:rPr>
        <w:t>T</w:t>
      </w:r>
      <w:r w:rsidR="00303FD1" w:rsidRPr="004A73C1">
        <w:rPr>
          <w:rFonts w:ascii="Arial" w:hAnsi="Arial" w:cs="Arial"/>
          <w:color w:val="auto"/>
        </w:rPr>
        <w:t>he Environment - Green investment.</w:t>
      </w:r>
      <w:bookmarkEnd w:id="162"/>
      <w:bookmarkEnd w:id="163"/>
    </w:p>
    <w:p w14:paraId="593A46F3" w14:textId="2A422720" w:rsidR="00D47A50" w:rsidRPr="004A73C1" w:rsidRDefault="00D47A50" w:rsidP="00EF2E34">
      <w:pPr>
        <w:pStyle w:val="ListParagraph"/>
        <w:spacing w:line="360" w:lineRule="auto"/>
        <w:ind w:left="0"/>
        <w:jc w:val="both"/>
        <w:rPr>
          <w:rFonts w:ascii="Arial" w:hAnsi="Arial" w:cs="Arial"/>
          <w:color w:val="000000"/>
          <w:shd w:val="clear" w:color="auto" w:fill="FFFFFF"/>
        </w:rPr>
      </w:pPr>
      <w:r w:rsidRPr="004A73C1">
        <w:rPr>
          <w:rFonts w:ascii="Arial" w:hAnsi="Arial" w:cs="Arial"/>
          <w:color w:val="000000"/>
          <w:shd w:val="clear" w:color="auto" w:fill="FFFFFF"/>
        </w:rPr>
        <w:t>The impact of foreign direct investment (FDI) on the environment is a critical issue that requires careful analysis. Several factors come into play when examining the impact of FDI on the environment in the UK context. FDI can have both positive and negative effects on the environment, depending on various circumstances.</w:t>
      </w:r>
    </w:p>
    <w:p w14:paraId="5F3FA763" w14:textId="5C376719" w:rsidR="00035D15" w:rsidRPr="004A73C1" w:rsidRDefault="00035D15"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xml:space="preserve">The UK has attracted significant Foreign Direct Investment (FDI) in environmentally friendly projects in recent years. One notable example is the investment made by a multinational renewable energy company in offshore wind farms off the UK coast. This FDI has been directed towards expanding the capacity for renewable energy production, contributing to the UK's goal of reducing carbon emissions and transitioning towards a greener economy(Source </w:t>
      </w:r>
      <w:r w:rsidRPr="004A73C1">
        <w:rPr>
          <w:rFonts w:ascii="Arial" w:hAnsi="Arial" w:cs="Arial"/>
        </w:rPr>
        <w:t>assets.publishing.service.gov.uk)</w:t>
      </w:r>
      <w:r w:rsidRPr="004A73C1">
        <w:rPr>
          <w:rFonts w:ascii="Arial" w:hAnsi="Arial" w:cs="Arial"/>
          <w:color w:val="000000"/>
          <w:shd w:val="clear" w:color="auto" w:fill="FFFFFF"/>
        </w:rPr>
        <w:t>.</w:t>
      </w:r>
    </w:p>
    <w:p w14:paraId="73D4DBD6" w14:textId="78C028AD" w:rsidR="00035D15" w:rsidRPr="004A73C1" w:rsidRDefault="00035D15"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Additionally, another example of FDI in environmentally friendly projects in the UK is the investment in sustainable infrastructure development, such as eco-friendly urban transportation systems and green building initiatives. These investments aim to improve energy efficiency, reduce environmental impact, and promote sustainable urban development. (Assets.publishing.service.gov.uk/media)</w:t>
      </w:r>
    </w:p>
    <w:p w14:paraId="27249E41" w14:textId="77777777" w:rsidR="00035D15" w:rsidRPr="004A73C1" w:rsidRDefault="00035D15"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These examples demonstrate how FDI has played a crucial role in supporting the UK's efforts to advance environmentally friendly projects and transition towards a more sustainable economy.</w:t>
      </w:r>
    </w:p>
    <w:p w14:paraId="76E0AE9C" w14:textId="6E15B8D0" w:rsidR="00D47A50" w:rsidRPr="004A73C1" w:rsidRDefault="00D47A50"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xml:space="preserve">It's essential to critically </w:t>
      </w:r>
      <w:r w:rsidR="005B2149" w:rsidRPr="004A73C1">
        <w:rPr>
          <w:rFonts w:ascii="Arial" w:hAnsi="Arial" w:cs="Arial"/>
          <w:color w:val="000000"/>
          <w:shd w:val="clear" w:color="auto" w:fill="FFFFFF"/>
        </w:rPr>
        <w:t>analyse</w:t>
      </w:r>
      <w:r w:rsidRPr="004A73C1">
        <w:rPr>
          <w:rFonts w:ascii="Arial" w:hAnsi="Arial" w:cs="Arial"/>
          <w:color w:val="000000"/>
          <w:shd w:val="clear" w:color="auto" w:fill="FFFFFF"/>
        </w:rPr>
        <w:t xml:space="preserve"> the environmental implications of FDI by considering specific investment projects and sectors. For instance, investments in renewable energy and green technology may have a positive influence on the environment, while investments in industries with high carbon emissions and intensive resource consumption may have detrimental effects.</w:t>
      </w:r>
    </w:p>
    <w:p w14:paraId="36E822FB" w14:textId="77777777" w:rsidR="00D47A50" w:rsidRPr="004A73C1" w:rsidRDefault="00D47A50"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lastRenderedPageBreak/>
        <w:t>Furthermore, the regulatory framework and enforcement of environmental standards play a crucial role in mitigating the potential negative impact of FDI on the environment. The UK's approach to regulating and monitoring environmental practices in FDI projects can significantly influence the overall environmental impact.</w:t>
      </w:r>
    </w:p>
    <w:p w14:paraId="444A524D" w14:textId="77777777" w:rsidR="00382A74" w:rsidRPr="004A73C1" w:rsidRDefault="00D47A50"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xml:space="preserve">In conclusion, the impact of FDI on the environment in the UK necessitates a critical and comprehensive analysis, </w:t>
      </w:r>
      <w:r w:rsidR="00B438E3" w:rsidRPr="004A73C1">
        <w:rPr>
          <w:rFonts w:ascii="Arial" w:hAnsi="Arial" w:cs="Arial"/>
          <w:color w:val="000000"/>
          <w:shd w:val="clear" w:color="auto" w:fill="FFFFFF"/>
        </w:rPr>
        <w:t>considering</w:t>
      </w:r>
      <w:r w:rsidRPr="004A73C1">
        <w:rPr>
          <w:rFonts w:ascii="Arial" w:hAnsi="Arial" w:cs="Arial"/>
          <w:color w:val="000000"/>
          <w:shd w:val="clear" w:color="auto" w:fill="FFFFFF"/>
        </w:rPr>
        <w:t xml:space="preserve"> the nature of investments, technological advancements, regulatory mechanisms, and the balance between economic growth and environmental sustainability. By carefully evaluating these factors, it is possible to understand and address the </w:t>
      </w:r>
      <w:r w:rsidR="00B438E3" w:rsidRPr="004A73C1">
        <w:rPr>
          <w:rFonts w:ascii="Arial" w:hAnsi="Arial" w:cs="Arial"/>
          <w:color w:val="000000"/>
          <w:shd w:val="clear" w:color="auto" w:fill="FFFFFF"/>
        </w:rPr>
        <w:t>ecological</w:t>
      </w:r>
      <w:r w:rsidRPr="004A73C1">
        <w:rPr>
          <w:rFonts w:ascii="Arial" w:hAnsi="Arial" w:cs="Arial"/>
          <w:color w:val="000000"/>
          <w:shd w:val="clear" w:color="auto" w:fill="FFFFFF"/>
        </w:rPr>
        <w:t xml:space="preserve"> implications of FDI in the UK.</w:t>
      </w:r>
    </w:p>
    <w:p w14:paraId="11FA5010" w14:textId="57A29949" w:rsidR="000C59D1" w:rsidRPr="004A73C1" w:rsidRDefault="00CA52E6" w:rsidP="00EF2E34">
      <w:pPr>
        <w:pStyle w:val="Heading2"/>
        <w:spacing w:line="360" w:lineRule="auto"/>
        <w:rPr>
          <w:rFonts w:ascii="Arial" w:hAnsi="Arial" w:cs="Arial"/>
          <w:color w:val="auto"/>
          <w:shd w:val="clear" w:color="auto" w:fill="FFFFFF"/>
        </w:rPr>
      </w:pPr>
      <w:bookmarkStart w:id="164" w:name="_Toc175056499"/>
      <w:bookmarkStart w:id="165" w:name="_Toc175675389"/>
      <w:r w:rsidRPr="004A73C1">
        <w:rPr>
          <w:rFonts w:ascii="Arial" w:hAnsi="Arial" w:cs="Arial"/>
          <w:color w:val="auto"/>
          <w:shd w:val="clear" w:color="auto" w:fill="FFFFFF"/>
        </w:rPr>
        <w:t>4.9</w:t>
      </w:r>
      <w:r w:rsidRPr="004A73C1">
        <w:rPr>
          <w:rFonts w:ascii="Arial" w:hAnsi="Arial" w:cs="Arial"/>
          <w:color w:val="auto"/>
          <w:shd w:val="clear" w:color="auto" w:fill="FFFFFF"/>
        </w:rPr>
        <w:tab/>
      </w:r>
      <w:r w:rsidR="000C59D1" w:rsidRPr="004A73C1">
        <w:rPr>
          <w:rFonts w:ascii="Arial" w:hAnsi="Arial" w:cs="Arial"/>
          <w:color w:val="auto"/>
          <w:shd w:val="clear" w:color="auto" w:fill="FFFFFF"/>
        </w:rPr>
        <w:t>Chapter Summary:</w:t>
      </w:r>
      <w:bookmarkEnd w:id="164"/>
      <w:bookmarkEnd w:id="165"/>
    </w:p>
    <w:p w14:paraId="329C8D79" w14:textId="5181A114" w:rsidR="000C59D1" w:rsidRPr="004A73C1" w:rsidRDefault="000C59D1"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This chapter provides a detailed analysis and discusses the impact of Foreign Direct Investment (FDI) on economic growth, GDP growth, employment rate, and local community in the UK. It addresses the fluctuations in the GDP growth rate, employment rate, and FDI projects from 2014 to 2023. The sectors experiencing growth due to FDI, such as technology, innovation, renewable energy, financial services, pharmaceuticals, and advanced manufacturing, are highlighted. The impact of FDI on the local community and the importance of monitoring FDI trends are also emphasized. Furthermore, it mentions the future of FDI projects and the impact of FDI on the environment with a focus on green investment.</w:t>
      </w:r>
    </w:p>
    <w:p w14:paraId="3F2F3D18" w14:textId="77777777" w:rsidR="000C59D1" w:rsidRPr="004A73C1" w:rsidRDefault="000C59D1" w:rsidP="00EF2E34">
      <w:pPr>
        <w:spacing w:line="360" w:lineRule="auto"/>
        <w:jc w:val="both"/>
        <w:rPr>
          <w:rFonts w:ascii="Arial" w:hAnsi="Arial" w:cs="Arial"/>
          <w:color w:val="000000"/>
          <w:shd w:val="clear" w:color="auto" w:fill="FFFFFF"/>
        </w:rPr>
      </w:pPr>
    </w:p>
    <w:p w14:paraId="3E30C421" w14:textId="77777777" w:rsidR="00382A74" w:rsidRPr="004A73C1" w:rsidRDefault="00382A74" w:rsidP="00EF2E34">
      <w:pPr>
        <w:spacing w:line="360" w:lineRule="auto"/>
        <w:rPr>
          <w:rFonts w:ascii="Arial" w:hAnsi="Arial" w:cs="Arial"/>
          <w:color w:val="000000"/>
          <w:shd w:val="clear" w:color="auto" w:fill="FFFFFF"/>
        </w:rPr>
      </w:pPr>
      <w:r w:rsidRPr="004A73C1">
        <w:rPr>
          <w:rFonts w:ascii="Arial" w:hAnsi="Arial" w:cs="Arial"/>
          <w:color w:val="000000"/>
          <w:shd w:val="clear" w:color="auto" w:fill="FFFFFF"/>
        </w:rPr>
        <w:br w:type="page"/>
      </w:r>
    </w:p>
    <w:p w14:paraId="4C1F0BBD" w14:textId="6F7E81CC" w:rsidR="00382A74" w:rsidRDefault="00382A74" w:rsidP="00EF2E34">
      <w:pPr>
        <w:pStyle w:val="Heading1"/>
        <w:spacing w:line="360" w:lineRule="auto"/>
        <w:rPr>
          <w:rFonts w:ascii="Arial" w:hAnsi="Arial" w:cs="Arial"/>
          <w:b/>
          <w:bCs/>
        </w:rPr>
      </w:pPr>
      <w:bookmarkStart w:id="166" w:name="_Toc175056500"/>
      <w:bookmarkStart w:id="167" w:name="_Toc175675390"/>
      <w:r w:rsidRPr="004A73C1">
        <w:rPr>
          <w:rFonts w:ascii="Arial" w:hAnsi="Arial" w:cs="Arial"/>
          <w:b/>
          <w:bCs/>
        </w:rPr>
        <w:lastRenderedPageBreak/>
        <w:t>Chapter 5. Conclusion</w:t>
      </w:r>
      <w:bookmarkEnd w:id="166"/>
      <w:bookmarkEnd w:id="167"/>
    </w:p>
    <w:p w14:paraId="2B03C6E4" w14:textId="5500E4C1" w:rsidR="000E3D3E" w:rsidRDefault="000E3D3E" w:rsidP="000E3D3E">
      <w:pPr>
        <w:pStyle w:val="Heading2"/>
        <w:rPr>
          <w:color w:val="auto"/>
        </w:rPr>
      </w:pPr>
      <w:bookmarkStart w:id="168" w:name="_Toc175675391"/>
      <w:r>
        <w:rPr>
          <w:color w:val="auto"/>
        </w:rPr>
        <w:t>5.1</w:t>
      </w:r>
      <w:r>
        <w:rPr>
          <w:color w:val="auto"/>
        </w:rPr>
        <w:tab/>
      </w:r>
      <w:r w:rsidRPr="000E3D3E">
        <w:rPr>
          <w:color w:val="auto"/>
        </w:rPr>
        <w:t xml:space="preserve">Summary of Main </w:t>
      </w:r>
      <w:r>
        <w:rPr>
          <w:color w:val="auto"/>
        </w:rPr>
        <w:t>Findings</w:t>
      </w:r>
      <w:bookmarkEnd w:id="168"/>
    </w:p>
    <w:p w14:paraId="341F0E30" w14:textId="382FBB55" w:rsidR="00382A74" w:rsidRDefault="001F5E63" w:rsidP="00F90E4F">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T</w:t>
      </w:r>
      <w:r w:rsidR="00382A74" w:rsidRPr="004A73C1">
        <w:rPr>
          <w:rFonts w:ascii="Arial" w:hAnsi="Arial" w:cs="Arial"/>
          <w:color w:val="000000"/>
          <w:shd w:val="clear" w:color="auto" w:fill="FFFFFF"/>
        </w:rPr>
        <w:t>he dissertation provides a comprehensive understanding of the complex and interdependent relationship between FDI and economic growth. The findings emphasize the positive impact of FDI on economic growth and underscore the need for proper governance and regulation to harness its full potential.</w:t>
      </w:r>
    </w:p>
    <w:p w14:paraId="732B6D02" w14:textId="77777777" w:rsidR="000E3D3E" w:rsidRDefault="000E3D3E" w:rsidP="00F90E4F">
      <w:pPr>
        <w:spacing w:line="360" w:lineRule="auto"/>
        <w:jc w:val="both"/>
        <w:rPr>
          <w:rFonts w:ascii="Arial" w:hAnsi="Arial" w:cs="Arial"/>
          <w:color w:val="000000"/>
          <w:shd w:val="clear" w:color="auto" w:fill="FFFFFF"/>
        </w:rPr>
      </w:pPr>
      <w:r w:rsidRPr="000E3D3E">
        <w:rPr>
          <w:rFonts w:ascii="Arial" w:hAnsi="Arial" w:cs="Arial"/>
          <w:color w:val="000000"/>
          <w:shd w:val="clear" w:color="auto" w:fill="FFFFFF"/>
        </w:rPr>
        <w:t xml:space="preserve">The main findings from the UK employment data between 2017 and 2024 indicate fluctuations in the </w:t>
      </w:r>
      <w:r>
        <w:rPr>
          <w:rFonts w:ascii="Arial" w:hAnsi="Arial" w:cs="Arial"/>
          <w:color w:val="000000"/>
          <w:shd w:val="clear" w:color="auto" w:fill="FFFFFF"/>
        </w:rPr>
        <w:t>labour</w:t>
      </w:r>
      <w:r w:rsidRPr="000E3D3E">
        <w:rPr>
          <w:rFonts w:ascii="Arial" w:hAnsi="Arial" w:cs="Arial"/>
          <w:color w:val="000000"/>
          <w:shd w:val="clear" w:color="auto" w:fill="FFFFFF"/>
        </w:rPr>
        <w:t xml:space="preserve"> market. While there was stability in 2017, a decline was observed in 2018, followed by </w:t>
      </w:r>
      <w:r>
        <w:rPr>
          <w:rFonts w:ascii="Arial" w:hAnsi="Arial" w:cs="Arial"/>
          <w:color w:val="000000"/>
          <w:shd w:val="clear" w:color="auto" w:fill="FFFFFF"/>
        </w:rPr>
        <w:t xml:space="preserve">an </w:t>
      </w:r>
      <w:r w:rsidRPr="000E3D3E">
        <w:rPr>
          <w:rFonts w:ascii="Arial" w:hAnsi="Arial" w:cs="Arial"/>
          <w:color w:val="000000"/>
          <w:shd w:val="clear" w:color="auto" w:fill="FFFFFF"/>
        </w:rPr>
        <w:t xml:space="preserve">improvement in 2019. The year 2020 saw challenges most likely due to the impact of the COVID-19 pandemic, with subsequent gradual recovery and improvement in 2021 and 2022. </w:t>
      </w:r>
    </w:p>
    <w:p w14:paraId="3A80B81E" w14:textId="6401CD0D" w:rsidR="000E3D3E" w:rsidRDefault="000E3D3E" w:rsidP="00F90E4F">
      <w:pPr>
        <w:spacing w:line="360" w:lineRule="auto"/>
        <w:jc w:val="both"/>
        <w:rPr>
          <w:rFonts w:ascii="Arial" w:hAnsi="Arial" w:cs="Arial"/>
          <w:color w:val="000000"/>
          <w:shd w:val="clear" w:color="auto" w:fill="FFFFFF"/>
        </w:rPr>
      </w:pPr>
      <w:r w:rsidRPr="000E3D3E">
        <w:rPr>
          <w:rFonts w:ascii="Arial" w:hAnsi="Arial" w:cs="Arial"/>
          <w:color w:val="000000"/>
          <w:shd w:val="clear" w:color="auto" w:fill="FFFFFF"/>
        </w:rPr>
        <w:t>As of 2024, the employment situation seems to be on the rise, showing signs of growth and stability. Regarding Foreign Direct Investment (FDI) in the UK, despite fluctuations following Brexit, the country has continued to attract substantial foreign investment, contributing to the local economy, job creation, innovation, and economic growth. FDI has also facilitated the transfer of new technologies and management practices, benefiting the local workforce and businesses. Monitoring and analyzing FDI trends are crucial to understanding their evolving impact on the local community and the broader economy.</w:t>
      </w:r>
    </w:p>
    <w:p w14:paraId="2FD96959" w14:textId="23572502" w:rsidR="000E3D3E" w:rsidRPr="000E3D3E" w:rsidRDefault="000E3D3E" w:rsidP="000E3D3E">
      <w:pPr>
        <w:pStyle w:val="Heading2"/>
        <w:rPr>
          <w:rFonts w:ascii="Arial" w:hAnsi="Arial" w:cs="Arial"/>
          <w:color w:val="auto"/>
          <w:shd w:val="clear" w:color="auto" w:fill="FFFFFF"/>
        </w:rPr>
      </w:pPr>
      <w:bookmarkStart w:id="169" w:name="_Toc175675392"/>
      <w:r>
        <w:rPr>
          <w:color w:val="auto"/>
        </w:rPr>
        <w:t>5.2</w:t>
      </w:r>
      <w:r>
        <w:rPr>
          <w:color w:val="auto"/>
        </w:rPr>
        <w:tab/>
      </w:r>
      <w:r w:rsidRPr="000E3D3E">
        <w:rPr>
          <w:color w:val="auto"/>
        </w:rPr>
        <w:t>Conclusion.</w:t>
      </w:r>
      <w:bookmarkEnd w:id="169"/>
    </w:p>
    <w:p w14:paraId="51E93B03" w14:textId="77777777" w:rsidR="001F5E63" w:rsidRPr="004A73C1" w:rsidRDefault="001F5E63" w:rsidP="00F90E4F">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The analysis of various research papers, including those by Borensztein, E., De Gregorio, J., &amp; Lee, J. W. (1998) and Carkovic, M., &amp; Levine, R. (2005), demonstrates that FDI contributes to economic growth by facilitating technology transfer, developing human capital, and enhancing the host country's productivity. These studies provide empirical evidence that FDI has a positive impact on economic growth, particularly in developing countries.</w:t>
      </w:r>
    </w:p>
    <w:p w14:paraId="1081EED1" w14:textId="77777777" w:rsidR="005B2149" w:rsidRPr="004A73C1" w:rsidRDefault="005B2149" w:rsidP="00F90E4F">
      <w:pPr>
        <w:spacing w:line="360" w:lineRule="auto"/>
        <w:jc w:val="both"/>
        <w:rPr>
          <w:rFonts w:ascii="Arial" w:hAnsi="Arial" w:cs="Arial"/>
        </w:rPr>
      </w:pPr>
      <w:r w:rsidRPr="004A73C1">
        <w:rPr>
          <w:rFonts w:ascii="Arial" w:hAnsi="Arial" w:cs="Arial"/>
        </w:rPr>
        <w:t>Foreign Direct Investment (FDI) plays a significant role in the economic growth of the United Kingdom. Historically, the UK has been an attractive destination for FDI due to factors such as its favourable business environment, skilled workforce, and access to global markets. FDI has contributed to job creation, technology transfer, and the overall expansion of the UK economy.</w:t>
      </w:r>
    </w:p>
    <w:p w14:paraId="766CBD47" w14:textId="77777777" w:rsidR="005B2149" w:rsidRPr="004A73C1" w:rsidRDefault="005B2149" w:rsidP="00F90E4F">
      <w:pPr>
        <w:spacing w:line="360" w:lineRule="auto"/>
        <w:jc w:val="both"/>
        <w:rPr>
          <w:rFonts w:ascii="Arial" w:hAnsi="Arial" w:cs="Arial"/>
        </w:rPr>
      </w:pPr>
      <w:r w:rsidRPr="004A73C1">
        <w:rPr>
          <w:rFonts w:ascii="Arial" w:hAnsi="Arial" w:cs="Arial"/>
        </w:rPr>
        <w:t>One example of the positive impact of FDI on the UK's economic growth is the influx of investment in the automotive industry. Several global automakers have chosen to establish manufacturing plants in the UK, leading to job opportunities and technological advancements in the sector. This has not only bolstered the UK's export capabilities but has also stimulated economic growth in the regions where these investments are located.</w:t>
      </w:r>
    </w:p>
    <w:p w14:paraId="3A942801" w14:textId="77777777" w:rsidR="005B2149" w:rsidRPr="004A73C1" w:rsidRDefault="005B2149" w:rsidP="00F90E4F">
      <w:pPr>
        <w:spacing w:line="360" w:lineRule="auto"/>
        <w:jc w:val="both"/>
        <w:rPr>
          <w:rFonts w:ascii="Arial" w:hAnsi="Arial" w:cs="Arial"/>
        </w:rPr>
      </w:pPr>
      <w:r w:rsidRPr="004A73C1">
        <w:rPr>
          <w:rFonts w:ascii="Arial" w:hAnsi="Arial" w:cs="Arial"/>
        </w:rPr>
        <w:t xml:space="preserve">Additionally, FDI has been instrumental in the development of the UK's financial services sector. Many multinational financial institutions have established their operations in the UK, particularly in London, turning it into a global financial hub. This has contributed to the growth </w:t>
      </w:r>
      <w:r w:rsidRPr="004A73C1">
        <w:rPr>
          <w:rFonts w:ascii="Arial" w:hAnsi="Arial" w:cs="Arial"/>
        </w:rPr>
        <w:lastRenderedPageBreak/>
        <w:t>of ancillary services, such as legal and consultancy services, further strengthening the UK's position in the global economy.</w:t>
      </w:r>
    </w:p>
    <w:p w14:paraId="15AE98CC" w14:textId="77777777" w:rsidR="005B2149" w:rsidRPr="004A73C1" w:rsidRDefault="005B2149" w:rsidP="00F90E4F">
      <w:pPr>
        <w:spacing w:line="360" w:lineRule="auto"/>
        <w:jc w:val="both"/>
        <w:rPr>
          <w:rFonts w:ascii="Arial" w:hAnsi="Arial" w:cs="Arial"/>
        </w:rPr>
      </w:pPr>
      <w:r w:rsidRPr="004A73C1">
        <w:rPr>
          <w:rFonts w:ascii="Arial" w:hAnsi="Arial" w:cs="Arial"/>
        </w:rPr>
        <w:t>However, the impact of Brexit on FDI and economic growth in the UK remains a point of concern. Uncertainties surrounding trade agreements, regulatory divergence, and market access have led to a decline in FDI after the Brexit vote. Companies are facing challenges in making investment decisions due to uncertain future trade relationships and potential barriers to market entry.</w:t>
      </w:r>
    </w:p>
    <w:p w14:paraId="32142CEA" w14:textId="02657852" w:rsidR="005B2149" w:rsidRPr="004A73C1" w:rsidRDefault="005B2149" w:rsidP="00F90E4F">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xml:space="preserve">It's important to critically </w:t>
      </w:r>
      <w:r w:rsidR="00BE55F8" w:rsidRPr="004A73C1">
        <w:rPr>
          <w:rFonts w:ascii="Arial" w:hAnsi="Arial" w:cs="Arial"/>
          <w:color w:val="000000"/>
          <w:shd w:val="clear" w:color="auto" w:fill="FFFFFF"/>
        </w:rPr>
        <w:t>analyse</w:t>
      </w:r>
      <w:r w:rsidRPr="004A73C1">
        <w:rPr>
          <w:rFonts w:ascii="Arial" w:hAnsi="Arial" w:cs="Arial"/>
          <w:color w:val="000000"/>
          <w:shd w:val="clear" w:color="auto" w:fill="FFFFFF"/>
        </w:rPr>
        <w:t xml:space="preserve"> the potential drawbacks associated with FDI, such as concerns about exploitation, loss of control over national resources, and potential negative impacts on local industries. It's crucial for policymakers to carefully manage FDI to maximize its benefits while minimizing its potential negative consequences.</w:t>
      </w:r>
    </w:p>
    <w:p w14:paraId="3BA00711" w14:textId="34908412" w:rsidR="005B2149" w:rsidRPr="004A73C1" w:rsidRDefault="005B2149" w:rsidP="00F90E4F">
      <w:pPr>
        <w:spacing w:line="360" w:lineRule="auto"/>
        <w:jc w:val="both"/>
        <w:rPr>
          <w:rFonts w:ascii="Arial" w:hAnsi="Arial" w:cs="Arial"/>
        </w:rPr>
      </w:pPr>
      <w:r w:rsidRPr="004A73C1">
        <w:rPr>
          <w:rFonts w:ascii="Arial" w:hAnsi="Arial" w:cs="Arial"/>
        </w:rPr>
        <w:t xml:space="preserve">To address these challenges and ensure continued economic growth through FDI, the UK may consider several strategies and policy measures. First, providing clarity and stability in trade and investment policies post-Brexit is crucial to restore investor confidence. Negotiating </w:t>
      </w:r>
      <w:r w:rsidR="00BE55F8" w:rsidRPr="004A73C1">
        <w:rPr>
          <w:rFonts w:ascii="Arial" w:hAnsi="Arial" w:cs="Arial"/>
        </w:rPr>
        <w:t>favourable</w:t>
      </w:r>
      <w:r w:rsidRPr="004A73C1">
        <w:rPr>
          <w:rFonts w:ascii="Arial" w:hAnsi="Arial" w:cs="Arial"/>
        </w:rPr>
        <w:t xml:space="preserve"> trade agreements with key partners and implementing clear regulations that promote ease of doing business can attract FDI.</w:t>
      </w:r>
    </w:p>
    <w:p w14:paraId="693505A1" w14:textId="77777777" w:rsidR="005B2149" w:rsidRPr="004A73C1" w:rsidRDefault="005B2149" w:rsidP="00F90E4F">
      <w:pPr>
        <w:spacing w:line="360" w:lineRule="auto"/>
        <w:jc w:val="both"/>
        <w:rPr>
          <w:rFonts w:ascii="Arial" w:hAnsi="Arial" w:cs="Arial"/>
        </w:rPr>
      </w:pPr>
      <w:r w:rsidRPr="004A73C1">
        <w:rPr>
          <w:rFonts w:ascii="Arial" w:hAnsi="Arial" w:cs="Arial"/>
        </w:rPr>
        <w:t>Furthermore, investing in infrastructure and innovation to enhance the UK's competitiveness can make it an attractive destination for FDI. For example, targeted investments in research and development, technological innovation, and sustainable infrastructure can signal the UK's commitment to remaining a global business hub.</w:t>
      </w:r>
    </w:p>
    <w:p w14:paraId="661DAB9F" w14:textId="39BF4473" w:rsidR="00BE55F8" w:rsidRPr="004A73C1" w:rsidRDefault="00BE55F8" w:rsidP="00BE55F8">
      <w:pPr>
        <w:spacing w:line="360" w:lineRule="auto"/>
        <w:jc w:val="both"/>
        <w:rPr>
          <w:rFonts w:ascii="Arial" w:hAnsi="Arial" w:cs="Arial"/>
        </w:rPr>
      </w:pPr>
      <w:r w:rsidRPr="004A73C1">
        <w:rPr>
          <w:rFonts w:ascii="Arial" w:hAnsi="Arial" w:cs="Arial"/>
        </w:rPr>
        <w:t>The Foreign Direct Investment (FDI) analysis indicates that while FDI can bring substantial benefits to host countries in terms of economic growth, job creation, and technology transfer, it also presents challenges such as potential negative impacts on local businesses, the environment, and income inequality. The analysis has highlighted the importance of implementing policies and regulations to maximize the positive effects of FDI while mitigating its potential drawbacks.</w:t>
      </w:r>
    </w:p>
    <w:p w14:paraId="144A0F20" w14:textId="77777777" w:rsidR="00BE55F8" w:rsidRPr="004A73C1" w:rsidRDefault="00BE55F8" w:rsidP="00BE55F8">
      <w:pPr>
        <w:spacing w:line="360" w:lineRule="auto"/>
        <w:jc w:val="both"/>
        <w:rPr>
          <w:rFonts w:ascii="Arial" w:hAnsi="Arial" w:cs="Arial"/>
        </w:rPr>
      </w:pPr>
      <w:r w:rsidRPr="004A73C1">
        <w:rPr>
          <w:rFonts w:ascii="Arial" w:hAnsi="Arial" w:cs="Arial"/>
        </w:rPr>
        <w:t>Based on the findings, it is recommended that host countries develop strategic policies to attract FDI in sectors that align with their long-term development goals, such as infrastructure, education, and technology. Additionally, measures should be implemented to ensure that FDI complements rather than displaces domestic investment and employment. This can be achieved through targeted incentives, capacity-building programs, and initiatives to promote local entrepreneurship and innovation.</w:t>
      </w:r>
    </w:p>
    <w:p w14:paraId="1541DB0D" w14:textId="7E6347B3" w:rsidR="00BE55F8" w:rsidRPr="004A73C1" w:rsidRDefault="00BE55F8" w:rsidP="00BE55F8">
      <w:pPr>
        <w:spacing w:line="360" w:lineRule="auto"/>
        <w:jc w:val="both"/>
        <w:rPr>
          <w:rFonts w:ascii="Arial" w:hAnsi="Arial" w:cs="Arial"/>
        </w:rPr>
      </w:pPr>
      <w:r w:rsidRPr="004A73C1">
        <w:rPr>
          <w:rFonts w:ascii="Arial" w:hAnsi="Arial" w:cs="Arial"/>
        </w:rPr>
        <w:t>In conclusion, while FDI offers significant opportunities for economic development, host countries to proactively manage and channel FDI inflows must maximize their benefits. Through a balanced and strategic approach, countries can harness the potential of FDI to drive sustainable growth and prosperity.</w:t>
      </w:r>
    </w:p>
    <w:p w14:paraId="4B775161" w14:textId="0DDB25F2" w:rsidR="008075F8" w:rsidRPr="004A73C1" w:rsidRDefault="00CA52E6" w:rsidP="00EF2E34">
      <w:pPr>
        <w:pStyle w:val="Heading2"/>
        <w:spacing w:line="360" w:lineRule="auto"/>
        <w:rPr>
          <w:rFonts w:ascii="Arial" w:hAnsi="Arial" w:cs="Arial"/>
          <w:color w:val="auto"/>
        </w:rPr>
      </w:pPr>
      <w:bookmarkStart w:id="170" w:name="_Toc175056501"/>
      <w:bookmarkStart w:id="171" w:name="_Toc175675393"/>
      <w:r w:rsidRPr="004A73C1">
        <w:rPr>
          <w:rFonts w:ascii="Arial" w:hAnsi="Arial" w:cs="Arial"/>
          <w:color w:val="auto"/>
        </w:rPr>
        <w:lastRenderedPageBreak/>
        <w:t>5.</w:t>
      </w:r>
      <w:r w:rsidR="000E3D3E">
        <w:rPr>
          <w:rFonts w:ascii="Arial" w:hAnsi="Arial" w:cs="Arial"/>
          <w:color w:val="auto"/>
        </w:rPr>
        <w:t>3</w:t>
      </w:r>
      <w:r w:rsidRPr="004A73C1">
        <w:rPr>
          <w:rFonts w:ascii="Arial" w:hAnsi="Arial" w:cs="Arial"/>
          <w:color w:val="auto"/>
        </w:rPr>
        <w:tab/>
      </w:r>
      <w:r w:rsidR="001F5E63" w:rsidRPr="004A73C1">
        <w:rPr>
          <w:rFonts w:ascii="Arial" w:hAnsi="Arial" w:cs="Arial"/>
          <w:color w:val="auto"/>
        </w:rPr>
        <w:t>Recommendations</w:t>
      </w:r>
      <w:bookmarkEnd w:id="170"/>
      <w:bookmarkEnd w:id="171"/>
    </w:p>
    <w:p w14:paraId="09A25A22" w14:textId="77777777" w:rsidR="00B51790" w:rsidRPr="004A73C1" w:rsidRDefault="00BE55F8" w:rsidP="00B51790">
      <w:pPr>
        <w:spacing w:line="360" w:lineRule="auto"/>
        <w:jc w:val="both"/>
        <w:rPr>
          <w:rFonts w:ascii="Arial" w:hAnsi="Arial" w:cs="Arial"/>
        </w:rPr>
      </w:pPr>
      <w:r w:rsidRPr="004A73C1">
        <w:rPr>
          <w:rFonts w:ascii="Arial" w:hAnsi="Arial" w:cs="Arial"/>
        </w:rPr>
        <w:t xml:space="preserve">The research provides a comprehensive analysis of the impact of Foreign Direct Investment (FDI) on the UK's economy and local community. It discusses the fluctuations in the GDP growth rate, employment rate, and FDI projects from 2014 to 2023, highlighting the significant role of FDI in fostering innovation and creating employment opportunities. </w:t>
      </w:r>
      <w:bookmarkStart w:id="172" w:name="_Toc175056502"/>
      <w:r w:rsidR="00B51790" w:rsidRPr="004A73C1">
        <w:rPr>
          <w:rFonts w:ascii="Arial" w:hAnsi="Arial" w:cs="Arial"/>
        </w:rPr>
        <w:t>Based on the analysis of Foreign Direct Investment (FDI) trends and impacts in the UK, several recommendations can be made to further enhance the FDI environment and its contribution to the UK economy:</w:t>
      </w:r>
    </w:p>
    <w:p w14:paraId="25A4D73A" w14:textId="77777777" w:rsidR="00B51790" w:rsidRPr="004A73C1" w:rsidRDefault="00B51790" w:rsidP="00B51790">
      <w:pPr>
        <w:spacing w:line="360" w:lineRule="auto"/>
        <w:jc w:val="both"/>
        <w:rPr>
          <w:rFonts w:ascii="Arial" w:hAnsi="Arial" w:cs="Arial"/>
        </w:rPr>
      </w:pPr>
      <w:r w:rsidRPr="004A73C1">
        <w:rPr>
          <w:rFonts w:ascii="Arial" w:hAnsi="Arial" w:cs="Arial"/>
        </w:rPr>
        <w:t>1. Strengthening Investment Promotion: The UK should continue to strengthen its investment promotion efforts to attract FDI across various sectors. This may involve targeted marketing campaigns, showcasing success stories of FDI projects, and proactively engaging with potential investors to highlight the advantages of investing in the UK.</w:t>
      </w:r>
    </w:p>
    <w:p w14:paraId="4C004BD6" w14:textId="77777777" w:rsidR="00B51790" w:rsidRPr="004A73C1" w:rsidRDefault="00B51790" w:rsidP="00B51790">
      <w:pPr>
        <w:spacing w:line="360" w:lineRule="auto"/>
        <w:jc w:val="both"/>
        <w:rPr>
          <w:rFonts w:ascii="Arial" w:hAnsi="Arial" w:cs="Arial"/>
        </w:rPr>
      </w:pPr>
      <w:r w:rsidRPr="004A73C1">
        <w:rPr>
          <w:rFonts w:ascii="Arial" w:hAnsi="Arial" w:cs="Arial"/>
        </w:rPr>
        <w:t>2. Sector-Specific Incentives: Identifying and offering sector-specific incentives can help attract FDI in areas that align with the UK's economic development goals. Tailored incentives for industries such as technology, renewable energy, financial services, advanced manufacturing, and innovation can be particularly effective in attracting FDI.</w:t>
      </w:r>
    </w:p>
    <w:p w14:paraId="7FE4914B" w14:textId="77777777" w:rsidR="00B51790" w:rsidRPr="004A73C1" w:rsidRDefault="00B51790" w:rsidP="00B51790">
      <w:pPr>
        <w:spacing w:line="360" w:lineRule="auto"/>
        <w:jc w:val="both"/>
        <w:rPr>
          <w:rFonts w:ascii="Arial" w:hAnsi="Arial" w:cs="Arial"/>
        </w:rPr>
      </w:pPr>
      <w:r w:rsidRPr="004A73C1">
        <w:rPr>
          <w:rFonts w:ascii="Arial" w:hAnsi="Arial" w:cs="Arial"/>
        </w:rPr>
        <w:t>3. Infrastructure Development: Continued investment in infrastructure development, including transportation, digital connectivity, and energy networks, is crucial to create an environment conducive to FDI. Upgrading and expanding infrastructure can enhance the attractiveness of the UK as an investment destination.</w:t>
      </w:r>
    </w:p>
    <w:p w14:paraId="6631FBDD" w14:textId="77777777" w:rsidR="00B51790" w:rsidRPr="004A73C1" w:rsidRDefault="00B51790" w:rsidP="00B51790">
      <w:pPr>
        <w:spacing w:line="360" w:lineRule="auto"/>
        <w:jc w:val="both"/>
        <w:rPr>
          <w:rFonts w:ascii="Arial" w:hAnsi="Arial" w:cs="Arial"/>
        </w:rPr>
      </w:pPr>
      <w:r w:rsidRPr="004A73C1">
        <w:rPr>
          <w:rFonts w:ascii="Arial" w:hAnsi="Arial" w:cs="Arial"/>
        </w:rPr>
        <w:t>4. Regulatory Clarity: Providing clear and transparent regulatory frameworks for FDI can instill confidence in investors. Ensuring consistency and predictability in regulations, particularly in environmental standards, tax policies, and trade agreements, can provide a stable foundation for FDI projects.</w:t>
      </w:r>
    </w:p>
    <w:p w14:paraId="3AFB906E" w14:textId="77777777" w:rsidR="00B51790" w:rsidRPr="004A73C1" w:rsidRDefault="00B51790" w:rsidP="00B51790">
      <w:pPr>
        <w:spacing w:line="360" w:lineRule="auto"/>
        <w:jc w:val="both"/>
        <w:rPr>
          <w:rFonts w:ascii="Arial" w:hAnsi="Arial" w:cs="Arial"/>
        </w:rPr>
      </w:pPr>
      <w:r w:rsidRPr="004A73C1">
        <w:rPr>
          <w:rFonts w:ascii="Arial" w:hAnsi="Arial" w:cs="Arial"/>
        </w:rPr>
        <w:t>5. Skills Development and Education: Investing in skills development and education tailored to the needs of emerging industries can make the UK workforce more attractive to potential investors. This can involve collaboration between industry, educational institutions, and government to ensure a pipeline of skilled talent.</w:t>
      </w:r>
    </w:p>
    <w:p w14:paraId="45DE56D2" w14:textId="77777777" w:rsidR="00B51790" w:rsidRPr="004A73C1" w:rsidRDefault="00B51790" w:rsidP="00B51790">
      <w:pPr>
        <w:spacing w:line="360" w:lineRule="auto"/>
        <w:jc w:val="both"/>
        <w:rPr>
          <w:rFonts w:ascii="Arial" w:hAnsi="Arial" w:cs="Arial"/>
        </w:rPr>
      </w:pPr>
      <w:r w:rsidRPr="004A73C1">
        <w:rPr>
          <w:rFonts w:ascii="Arial" w:hAnsi="Arial" w:cs="Arial"/>
        </w:rPr>
        <w:t>6. Sustainable Development Initiatives: Encouraging and facilitating FDI in sustainable and green projects can further enhance the UK's environmental and economic objectives. Attracting FDI in areas such as renewable energy, green technology, and sustainable infrastructure can contribute to both economic growth and environmental sustainability.</w:t>
      </w:r>
    </w:p>
    <w:p w14:paraId="39449536" w14:textId="77777777" w:rsidR="00B51790" w:rsidRPr="004A73C1" w:rsidRDefault="00B51790" w:rsidP="00B51790">
      <w:pPr>
        <w:spacing w:line="360" w:lineRule="auto"/>
        <w:jc w:val="both"/>
        <w:rPr>
          <w:rFonts w:ascii="Arial" w:hAnsi="Arial" w:cs="Arial"/>
        </w:rPr>
      </w:pPr>
      <w:r w:rsidRPr="004A73C1">
        <w:rPr>
          <w:rFonts w:ascii="Arial" w:hAnsi="Arial" w:cs="Arial"/>
        </w:rPr>
        <w:t>7. Fostering Innovation Ecosystems: Creating and nurturing vibrant innovation ecosystems through partnerships between universities, research institutions, and businesses can attract FDI in knowledge-intensive industries. Supporting research and development activities can position the UK as a hub for innovation-driven FDI.</w:t>
      </w:r>
    </w:p>
    <w:p w14:paraId="52F7D18D" w14:textId="77777777" w:rsidR="00B51790" w:rsidRPr="004A73C1" w:rsidRDefault="00B51790" w:rsidP="00B51790">
      <w:pPr>
        <w:spacing w:line="360" w:lineRule="auto"/>
        <w:jc w:val="both"/>
        <w:rPr>
          <w:rFonts w:ascii="Arial" w:hAnsi="Arial" w:cs="Arial"/>
        </w:rPr>
      </w:pPr>
      <w:r w:rsidRPr="004A73C1">
        <w:rPr>
          <w:rFonts w:ascii="Arial" w:hAnsi="Arial" w:cs="Arial"/>
        </w:rPr>
        <w:lastRenderedPageBreak/>
        <w:t>8. Monitoring and Evaluation: Continuously monitoring FDI trends, evaluating the impacts of FDI on various aspects of the economy and local communities, and adapting strategies based on these findings are essential for effective FDI management.</w:t>
      </w:r>
    </w:p>
    <w:p w14:paraId="4C96A2B1" w14:textId="77777777" w:rsidR="00B51790" w:rsidRPr="004A73C1" w:rsidRDefault="00B51790" w:rsidP="00B51790">
      <w:pPr>
        <w:spacing w:line="360" w:lineRule="auto"/>
        <w:jc w:val="both"/>
        <w:rPr>
          <w:rFonts w:ascii="Arial" w:hAnsi="Arial" w:cs="Arial"/>
        </w:rPr>
      </w:pPr>
      <w:r w:rsidRPr="004A73C1">
        <w:rPr>
          <w:rFonts w:ascii="Arial" w:hAnsi="Arial" w:cs="Arial"/>
        </w:rPr>
        <w:t>These recommendations can contribute to creating an environment that is conducive to attracting and maximizing the positive impacts of Foreign Direct Investment in the UK.</w:t>
      </w:r>
    </w:p>
    <w:p w14:paraId="629C5F79" w14:textId="06D3D74C" w:rsidR="001F5E63" w:rsidRPr="004A73C1" w:rsidRDefault="00CA52E6" w:rsidP="00B51790">
      <w:pPr>
        <w:pStyle w:val="Heading2"/>
        <w:rPr>
          <w:rFonts w:ascii="Arial" w:hAnsi="Arial" w:cs="Arial"/>
          <w:color w:val="auto"/>
        </w:rPr>
      </w:pPr>
      <w:bookmarkStart w:id="173" w:name="_Toc175675394"/>
      <w:r w:rsidRPr="004A73C1">
        <w:rPr>
          <w:rFonts w:ascii="Arial" w:hAnsi="Arial" w:cs="Arial"/>
          <w:color w:val="auto"/>
        </w:rPr>
        <w:t>5.</w:t>
      </w:r>
      <w:r w:rsidR="000E3D3E">
        <w:rPr>
          <w:rFonts w:ascii="Arial" w:hAnsi="Arial" w:cs="Arial"/>
          <w:color w:val="auto"/>
        </w:rPr>
        <w:t>4</w:t>
      </w:r>
      <w:r w:rsidR="00B51790" w:rsidRPr="004A73C1">
        <w:rPr>
          <w:rFonts w:ascii="Arial" w:hAnsi="Arial" w:cs="Arial"/>
          <w:color w:val="auto"/>
        </w:rPr>
        <w:tab/>
      </w:r>
      <w:r w:rsidR="001F5E63" w:rsidRPr="004A73C1">
        <w:rPr>
          <w:rFonts w:ascii="Arial" w:hAnsi="Arial" w:cs="Arial"/>
          <w:color w:val="auto"/>
        </w:rPr>
        <w:t>Future Research</w:t>
      </w:r>
      <w:bookmarkEnd w:id="172"/>
      <w:bookmarkEnd w:id="173"/>
      <w:r w:rsidR="001F5E63" w:rsidRPr="004A73C1">
        <w:rPr>
          <w:rFonts w:ascii="Arial" w:hAnsi="Arial" w:cs="Arial"/>
          <w:color w:val="auto"/>
        </w:rPr>
        <w:t xml:space="preserve"> </w:t>
      </w:r>
    </w:p>
    <w:p w14:paraId="24078A69" w14:textId="77777777" w:rsidR="001F5E63" w:rsidRPr="004A73C1" w:rsidRDefault="001F5E63" w:rsidP="00EF2E34">
      <w:pPr>
        <w:spacing w:line="360" w:lineRule="auto"/>
        <w:jc w:val="both"/>
        <w:rPr>
          <w:rFonts w:ascii="Arial" w:eastAsia="Arial Unicode MS" w:hAnsi="Arial" w:cs="Arial"/>
        </w:rPr>
      </w:pPr>
      <w:r w:rsidRPr="004A73C1">
        <w:rPr>
          <w:rFonts w:ascii="Arial" w:eastAsia="Arial Unicode MS" w:hAnsi="Arial" w:cs="Arial"/>
        </w:rPr>
        <w:t>Here are some of the prominent areas within the field of foreign direct investment (FDI) that present opportunities for further research and exploration:</w:t>
      </w:r>
    </w:p>
    <w:p w14:paraId="5055B5BC" w14:textId="77777777" w:rsidR="001F5E63" w:rsidRPr="004A73C1" w:rsidRDefault="001F5E63" w:rsidP="00EF2E34">
      <w:pPr>
        <w:spacing w:line="360" w:lineRule="auto"/>
        <w:jc w:val="both"/>
        <w:rPr>
          <w:rFonts w:ascii="Arial" w:eastAsia="Arial Unicode MS" w:hAnsi="Arial" w:cs="Arial"/>
        </w:rPr>
      </w:pPr>
      <w:r w:rsidRPr="004A73C1">
        <w:rPr>
          <w:rFonts w:ascii="Arial" w:eastAsia="Arial Unicode MS" w:hAnsi="Arial" w:cs="Arial"/>
        </w:rPr>
        <w:t xml:space="preserve">1. </w:t>
      </w:r>
      <w:r w:rsidRPr="004A73C1">
        <w:rPr>
          <w:rFonts w:ascii="Arial" w:eastAsia="Arial Unicode MS" w:hAnsi="Arial" w:cs="Arial"/>
        </w:rPr>
        <w:tab/>
        <w:t>Impact of Political Instability: Comprehensive studies that delve into the intricate relationship between political instability in host countries and the inflow of FDI are needed. Understanding how political unrest influences the decisions of multinational corporations and the subsequent impact on FDI can provide valuable insights for policymakers, businesses, and academics.</w:t>
      </w:r>
    </w:p>
    <w:p w14:paraId="0329D41A" w14:textId="77777777" w:rsidR="001F5E63" w:rsidRPr="004A73C1" w:rsidRDefault="001F5E63" w:rsidP="00EF2E34">
      <w:pPr>
        <w:spacing w:line="360" w:lineRule="auto"/>
        <w:jc w:val="both"/>
        <w:rPr>
          <w:rFonts w:ascii="Arial" w:eastAsia="Arial Unicode MS" w:hAnsi="Arial" w:cs="Arial"/>
        </w:rPr>
      </w:pPr>
      <w:r w:rsidRPr="004A73C1">
        <w:rPr>
          <w:rFonts w:ascii="Arial" w:eastAsia="Arial Unicode MS" w:hAnsi="Arial" w:cs="Arial"/>
        </w:rPr>
        <w:t xml:space="preserve">2. </w:t>
      </w:r>
      <w:r w:rsidRPr="004A73C1">
        <w:rPr>
          <w:rFonts w:ascii="Arial" w:eastAsia="Arial Unicode MS" w:hAnsi="Arial" w:cs="Arial"/>
        </w:rPr>
        <w:tab/>
        <w:t>Role of Technology Transfer: Further research on the mechanisms and effectiveness of technology transfer facilitated by FDI is essential. Exploring how FDI contributes to the dissemination of technology, innovation, and knowledge in host countries and its potential long-term implications for economic growth and development is a critical area for exploration.</w:t>
      </w:r>
    </w:p>
    <w:p w14:paraId="76BAA503" w14:textId="77777777" w:rsidR="001F5E63" w:rsidRPr="004A73C1" w:rsidRDefault="001F5E63" w:rsidP="00EF2E34">
      <w:pPr>
        <w:spacing w:line="360" w:lineRule="auto"/>
        <w:jc w:val="both"/>
        <w:rPr>
          <w:rFonts w:ascii="Arial" w:eastAsia="Arial Unicode MS" w:hAnsi="Arial" w:cs="Arial"/>
        </w:rPr>
      </w:pPr>
      <w:r w:rsidRPr="004A73C1">
        <w:rPr>
          <w:rFonts w:ascii="Arial" w:eastAsia="Arial Unicode MS" w:hAnsi="Arial" w:cs="Arial"/>
        </w:rPr>
        <w:t xml:space="preserve">3. </w:t>
      </w:r>
      <w:r w:rsidRPr="004A73C1">
        <w:rPr>
          <w:rFonts w:ascii="Arial" w:eastAsia="Arial Unicode MS" w:hAnsi="Arial" w:cs="Arial"/>
        </w:rPr>
        <w:tab/>
        <w:t>Environmental Sustainability: Given the growing emphasis on sustainability, there is a pressing need to investigate the impact of FDI on environmental sustainability and adopting environmentally conscious practices in host countries. Understanding how FDI influences environmental standards, conservation efforts, and sustainable business practices can have far-reaching implications for global economic and environmental policy.</w:t>
      </w:r>
    </w:p>
    <w:p w14:paraId="71594D70" w14:textId="77777777" w:rsidR="001F5E63" w:rsidRPr="004A73C1" w:rsidRDefault="001F5E63" w:rsidP="00EF2E34">
      <w:pPr>
        <w:spacing w:line="360" w:lineRule="auto"/>
        <w:jc w:val="both"/>
        <w:rPr>
          <w:rFonts w:ascii="Arial" w:eastAsia="Arial Unicode MS" w:hAnsi="Arial" w:cs="Arial"/>
        </w:rPr>
      </w:pPr>
      <w:r w:rsidRPr="004A73C1">
        <w:rPr>
          <w:rFonts w:ascii="Arial" w:eastAsia="Arial Unicode MS" w:hAnsi="Arial" w:cs="Arial"/>
        </w:rPr>
        <w:t>4. Small and Medium Enterprises (SMEs) and FDI: Exploring how small and medium-sized enterprises engage with and benefit from FDI can provide insights into these businesses' unique challenges and opportunities. Research in this area can shed light on how FDI can be leveraged to support the growth and development of SMEs and the potential barriers they face in attracting and effectively utilising foreign investment.</w:t>
      </w:r>
    </w:p>
    <w:p w14:paraId="09FCC172" w14:textId="77777777" w:rsidR="001F5E63" w:rsidRPr="004A73C1" w:rsidRDefault="001F5E63" w:rsidP="00EF2E34">
      <w:pPr>
        <w:spacing w:line="360" w:lineRule="auto"/>
        <w:jc w:val="both"/>
        <w:rPr>
          <w:rFonts w:ascii="Arial" w:eastAsia="Arial Unicode MS" w:hAnsi="Arial" w:cs="Arial"/>
        </w:rPr>
      </w:pPr>
      <w:r w:rsidRPr="004A73C1">
        <w:rPr>
          <w:rFonts w:ascii="Arial" w:eastAsia="Arial Unicode MS" w:hAnsi="Arial" w:cs="Arial"/>
        </w:rPr>
        <w:t>5. Regional Disparities: Investigating the regional distribution of FDI within countries and its implications for local development is a crucial area for further exploration. Understanding how FDI is allocated across different regions, the implications for regional economic disparities, and the opportunities for more balanced and inclusive growth can provide valuable insights for policymakers and stakeholders.</w:t>
      </w:r>
    </w:p>
    <w:p w14:paraId="1F5A347D" w14:textId="07F7347D" w:rsidR="001F5E63" w:rsidRPr="004A73C1" w:rsidRDefault="001F5E63" w:rsidP="000E3D3E">
      <w:pPr>
        <w:spacing w:line="360" w:lineRule="auto"/>
        <w:jc w:val="both"/>
        <w:rPr>
          <w:rFonts w:ascii="Arial" w:hAnsi="Arial" w:cs="Arial"/>
          <w:color w:val="000000"/>
          <w:shd w:val="clear" w:color="auto" w:fill="FFFFFF"/>
        </w:rPr>
      </w:pPr>
      <w:r w:rsidRPr="004A73C1">
        <w:rPr>
          <w:rFonts w:ascii="Arial" w:eastAsia="Arial Unicode MS" w:hAnsi="Arial" w:cs="Arial"/>
        </w:rPr>
        <w:t>Addressing these research gaps can enrich our understanding of the multifaceted dynamics of FDI and contribute to more informed decision-making in the global economic landscape.</w:t>
      </w:r>
      <w:r w:rsidRPr="004A73C1">
        <w:rPr>
          <w:rFonts w:ascii="Arial" w:hAnsi="Arial" w:cs="Arial"/>
          <w:color w:val="000000"/>
          <w:shd w:val="clear" w:color="auto" w:fill="FFFFFF"/>
        </w:rPr>
        <w:br w:type="page"/>
      </w:r>
    </w:p>
    <w:p w14:paraId="396B3D38" w14:textId="2D84BACB" w:rsidR="0059145A" w:rsidRPr="004A73C1" w:rsidRDefault="00FF2777" w:rsidP="00EF2E34">
      <w:pPr>
        <w:pStyle w:val="Heading1"/>
        <w:spacing w:line="360" w:lineRule="auto"/>
        <w:rPr>
          <w:rFonts w:ascii="Arial" w:hAnsi="Arial" w:cs="Arial"/>
          <w:b/>
          <w:bCs/>
          <w:color w:val="auto"/>
        </w:rPr>
      </w:pPr>
      <w:bookmarkStart w:id="174" w:name="_Toc175056503"/>
      <w:bookmarkStart w:id="175" w:name="_Toc175675395"/>
      <w:r w:rsidRPr="004A73C1">
        <w:rPr>
          <w:rFonts w:ascii="Arial" w:hAnsi="Arial" w:cs="Arial"/>
          <w:b/>
          <w:bCs/>
          <w:color w:val="auto"/>
        </w:rPr>
        <w:lastRenderedPageBreak/>
        <w:t>References</w:t>
      </w:r>
      <w:bookmarkEnd w:id="174"/>
      <w:bookmarkEnd w:id="175"/>
      <w:r w:rsidRPr="004A73C1">
        <w:rPr>
          <w:rFonts w:ascii="Arial" w:hAnsi="Arial" w:cs="Arial"/>
          <w:b/>
          <w:bCs/>
          <w:color w:val="auto"/>
        </w:rPr>
        <w:t xml:space="preserve"> </w:t>
      </w:r>
    </w:p>
    <w:p w14:paraId="6A76BCEC"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Alesina, A. &amp; Rodrik, D. (1994). Distributive politics and economic growth. The Quarterly Journal of Economics,  109, 465-490.</w:t>
      </w:r>
    </w:p>
    <w:p w14:paraId="683AA79D"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Alesina, A. &amp; Rodrik, D. (1994). Distributive politics and economic growth. The Quarterly Journal of Economics,  109, 465-490.</w:t>
      </w:r>
    </w:p>
    <w:p w14:paraId="2D3D11DF"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Baier, S. L. and J. H. Bergstrand (2007) ‘Do Free Trade Agreements Actually Increase Members’ International Trade?’ Journal of International Economics 71: 72-95.</w:t>
      </w:r>
    </w:p>
    <w:p w14:paraId="1AE357B4"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Barrell, R., &amp; Pain, N. (1997). FOREIGN DIRECT INVESTMENT, TECHNOLOGICAL CHANGE, AND ECONOMIC GROWTH WITHIN EUROPE*. The Economic Journal, 107(445), 1770-1786. https://doi.org/10.1111/j.1468-0297.1997.tb00081.x</w:t>
      </w:r>
    </w:p>
    <w:p w14:paraId="1EA85701"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Barrell, R., &amp; Pain, N. (1997). FOREIGN DIRECT INVESTMENT, TECHNOLOGICAL CHANGE, AND ECONOMIC GROWTH WITHIN EUROPE*. The Economic Journal, 107(445), 1770-1786. https://doi.org/10.1111/j.1468-0297.1997.tb00081.x</w:t>
      </w:r>
    </w:p>
    <w:p w14:paraId="3B1E8732"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Barrett, A. et al., 2015, Scoping the Possible Economic Implications of Brexit on Ireland, The Economic and Social Research Institute (ESRI), Research Series, No. 48, Dublin</w:t>
      </w:r>
    </w:p>
    <w:p w14:paraId="1D356E18"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Bhattarai, K., 2016. FDI and Growth. Advances in Management &amp; Applied Economics, 6(2), pp.1-23.</w:t>
      </w:r>
    </w:p>
    <w:p w14:paraId="25CD5BE6"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Blomstrom, M. and Kokko, A., 1997. Regional integration and foreign direct investment.</w:t>
      </w:r>
    </w:p>
    <w:p w14:paraId="524B3D7A" w14:textId="77777777" w:rsidR="00E46EA3" w:rsidRPr="00976200" w:rsidRDefault="00E46EA3" w:rsidP="00E46EA3">
      <w:pPr>
        <w:pStyle w:val="ListParagraph"/>
        <w:numPr>
          <w:ilvl w:val="0"/>
          <w:numId w:val="55"/>
        </w:numPr>
        <w:spacing w:line="360" w:lineRule="auto"/>
        <w:ind w:left="0" w:firstLine="0"/>
        <w:jc w:val="both"/>
        <w:rPr>
          <w:rFonts w:ascii="Arial" w:hAnsi="Arial" w:cs="Arial"/>
          <w:shd w:val="clear" w:color="auto" w:fill="FFFFFF"/>
        </w:rPr>
      </w:pPr>
      <w:r w:rsidRPr="00976200">
        <w:rPr>
          <w:rFonts w:ascii="Arial" w:hAnsi="Arial" w:cs="Arial"/>
          <w:shd w:val="clear" w:color="auto" w:fill="FFFFFF"/>
        </w:rPr>
        <w:t>Borensztein, E., De Gregorio, J., &amp; Lee, J. W. (1998). "How does foreign direct investment affect economic growth?"</w:t>
      </w:r>
    </w:p>
    <w:p w14:paraId="2B8250A1"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Bruno, R., Campos, N., Estrin, S. and Tian, M. (2016) Gravitating towards Europe: an econometric analysis of the FDI effects of EU membership. Technical Paper Brexit Analysis No. 3. Centre for Economic Policy, London.</w:t>
      </w:r>
    </w:p>
    <w:p w14:paraId="415C0C20"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Bruno, R., N. Campos, S. Estrin, and M. Tian (2016). “Gravitating Towards Europe: An Econometric Analysis of the FDI Effects of EU Membership,” Cep discussion papers, Centre for Economic Performance, LSE.</w:t>
      </w:r>
    </w:p>
    <w:p w14:paraId="034A0716"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lang w:val="it-IT"/>
        </w:rPr>
        <w:t xml:space="preserve">Bruno, R.L., Campos, N.F., Estrin, S., Tian, M. (2017). </w:t>
      </w:r>
      <w:r w:rsidRPr="00976200">
        <w:rPr>
          <w:rFonts w:ascii="Arial" w:hAnsi="Arial" w:cs="Arial"/>
        </w:rPr>
        <w:t>Foreign Direct Investment and the Relationship Between the United Kingdom and the European Union. In: Campos, N., Coricelli, F. (eds) The Economics of UK-EU Relations. Palgrave Macmillan, Cham. https://doi.org/10.1007/978-3-319-55495-2_6</w:t>
      </w:r>
    </w:p>
    <w:p w14:paraId="49FE9A34"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Campos, N., and F. Coricelli (2015). “Some Unpleasant Brexit Econometrics,” Voxeu. Campos, N., F. Coricelli, and L. Moretti (2015): “Norwegian Rhapsody? The Political Economy Benefits of Regional Integration,” CEPR Discussion Paper 10653.</w:t>
      </w:r>
    </w:p>
    <w:p w14:paraId="476E941C" w14:textId="77777777" w:rsidR="00E46EA3" w:rsidRPr="00976200" w:rsidRDefault="00E46EA3" w:rsidP="00E46EA3">
      <w:pPr>
        <w:pStyle w:val="ListParagraph"/>
        <w:numPr>
          <w:ilvl w:val="0"/>
          <w:numId w:val="55"/>
        </w:numPr>
        <w:spacing w:line="360" w:lineRule="auto"/>
        <w:ind w:left="0" w:firstLine="0"/>
        <w:jc w:val="both"/>
        <w:rPr>
          <w:rFonts w:ascii="Arial" w:hAnsi="Arial" w:cs="Arial"/>
          <w:shd w:val="clear" w:color="auto" w:fill="FFFFFF"/>
        </w:rPr>
      </w:pPr>
      <w:r w:rsidRPr="00976200">
        <w:rPr>
          <w:rFonts w:ascii="Arial" w:hAnsi="Arial" w:cs="Arial"/>
          <w:shd w:val="clear" w:color="auto" w:fill="FFFFFF"/>
        </w:rPr>
        <w:t>Carkovic, M., &amp; Levine, R. (2005). "Does foreign direct investment accelerate economic growth?"</w:t>
      </w:r>
    </w:p>
    <w:p w14:paraId="7834D122"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Chen, C. H. 1996.Regional Determinants Of Foreign Direct Investment In Mainland China. Journal Of Economic Studies, 23, 18–30.</w:t>
      </w:r>
    </w:p>
    <w:p w14:paraId="1D47F2D3"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lastRenderedPageBreak/>
        <w:t>Chete, L., et al. (2013). Infrastructure development and foreign direct investment: Evidence from the UK. Journal of Economic Development, 45(2), 167-184.</w:t>
      </w:r>
    </w:p>
    <w:p w14:paraId="6C3B4AA9"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Dhingra, S., G. Ottaviano, T. Sampson and J. Van Reenen (2016) ‘The Consequences of Brexit for UK Trade and Living Standards’, CEP Brexit Analysis No. 2 (</w:t>
      </w:r>
      <w:hyperlink r:id="rId58" w:history="1">
        <w:r w:rsidRPr="00976200">
          <w:rPr>
            <w:rStyle w:val="Hyperlink"/>
            <w:rFonts w:ascii="Arial" w:hAnsi="Arial" w:cs="Arial"/>
            <w:color w:val="auto"/>
          </w:rPr>
          <w:t>http://cep.lse.ac.uk/pubs/download/brexit02.pdf</w:t>
        </w:r>
      </w:hyperlink>
      <w:r w:rsidRPr="00976200">
        <w:rPr>
          <w:rFonts w:ascii="Arial" w:hAnsi="Arial" w:cs="Arial"/>
        </w:rPr>
        <w:t>).</w:t>
      </w:r>
    </w:p>
    <w:p w14:paraId="39AC3692"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Dhingra, S., G. Ottaviano, T. Sampson and J. Van Reenen (2016) ‘The Consequences of Brexit for UK Trade and Living Standards’, CEP Brexit Analysis No. 2 (http://cep.lse.ac.uk/pubs/download/brexit02.pdf).</w:t>
      </w:r>
    </w:p>
    <w:p w14:paraId="1EB65E93"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lang w:val="it-IT"/>
        </w:rPr>
        <w:t xml:space="preserve">Dhingra, S., Huang, H., Ottaviano, G., Paulo Pessoa, J., Sampson, T., &amp; Van Reenen, J. (2017). </w:t>
      </w:r>
      <w:r w:rsidRPr="00976200">
        <w:rPr>
          <w:rFonts w:ascii="Arial" w:hAnsi="Arial" w:cs="Arial"/>
        </w:rPr>
        <w:t>The costs and benefits of leaving the EU: Trade effects. Economic Policy, 32(92), 651-705. https://doi.org/10.1093/epolic/eix015</w:t>
      </w:r>
    </w:p>
    <w:p w14:paraId="5556F795"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lang w:val="it-IT"/>
        </w:rPr>
        <w:t xml:space="preserve">Dhingra, S., Ottaviano, G., Sampson, T., &amp; Van Reenen, J. (2016). </w:t>
      </w:r>
      <w:r w:rsidRPr="00976200">
        <w:rPr>
          <w:rFonts w:ascii="Arial" w:hAnsi="Arial" w:cs="Arial"/>
        </w:rPr>
        <w:t>The impact of Brexit on foreign investment in the UK. BREXIT 2016, 24(2), 1-10.</w:t>
      </w:r>
    </w:p>
    <w:p w14:paraId="0464E23A"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Djankov, S. (2017). The city of London after Brexit. Peterson Institute for International Economics Policy Brief, 17-19.</w:t>
      </w:r>
    </w:p>
    <w:p w14:paraId="2D478F68"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Driffield, N., &amp; Karoglou, M. (2019). Brexit and foreign investment in the UK. Journal of the Royal Statistical Society: Series A (Statistics in Society), 182(2), 559-582. https://doi.org/10.1111/rssa.12417</w:t>
      </w:r>
    </w:p>
    <w:p w14:paraId="2D55556F"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Dunning, J. and Narula, R. (2003) Foreign direct investment and governments: catalysts for economic restructuring. [online] Routledge.</w:t>
      </w:r>
    </w:p>
    <w:p w14:paraId="3DBB5632"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Ebell, M., &amp; Warren, J. (2016). The long-term economic impact of leaving the EU. National Institute Economic Review, 236(1), 121-138</w:t>
      </w:r>
    </w:p>
    <w:p w14:paraId="56E691F5"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Financial Times - https://www.ft.com/content/78c9eab7-f7d4-4d00-ae80-49ace1b41078</w:t>
      </w:r>
    </w:p>
    <w:p w14:paraId="667A3D04"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https://assets.publishing.service.gov.uk/media/5a7df04940f0b62305b7fbcc/infrastructure_pitchbook_28072014.pdf</w:t>
      </w:r>
    </w:p>
    <w:p w14:paraId="7A83BA8F"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https://assets.publishing.service.gov.uk/media/65a662c1867cd800135ae90b/offshore-wind-champion-independent-report.pdf</w:t>
      </w:r>
    </w:p>
    <w:p w14:paraId="2A9906AC"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https://data.worldbank.org/indicator/BX.KLT.DINV.WD.GD.ZS?locations=GB-XN&amp;_gl=1*1x9ve3q*_gcl_au*MTUzMjE0NjQ4Ny4xNzIzMzgyMTIy</w:t>
      </w:r>
    </w:p>
    <w:p w14:paraId="4BA1BEBD"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https://data.worldbank.org/indicator/BX.KLT.DINV.WD.GD.ZS?locations=GB-XN&amp;_gl=1*1x9ve3q*_gcl_au*MTUzMjE0NjQ4Ny4xNzIzMzgyMTIy</w:t>
      </w:r>
    </w:p>
    <w:p w14:paraId="171F32BA"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https://data.worldbank.org/indicator/NY.GDP.MKTP.CD?_gl=1%2Aefxiw9%2A_gcl_au%2AMTUzMjE0NjQ4Ny4xNzIzMzgyMTIy&amp;end=2023&amp;locations=GB&amp;start=2015</w:t>
      </w:r>
    </w:p>
    <w:p w14:paraId="22E9C9C9"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https://data.worldbank.org/indicator/NY.GDP.MKTP.CD?_gl=1%2Aefxiw9%2A_gcl_au%2AMTUzMjE0NjQ4Ny4xNzIzMzgyMTIy&amp;end=2023&amp;locations=GB&amp;start=2015</w:t>
      </w:r>
    </w:p>
    <w:p w14:paraId="7DEEF10B"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https://datahelpdesk.worldbank.org/knowledgebase/articles/114954-what-is-the-difference-between-foreign-direct-inve?_gl=1*1n4n5oe*_gcl_au*MTUzMjE0NjQ4Ny4xNzIzMzgyMTIy</w:t>
      </w:r>
    </w:p>
    <w:p w14:paraId="52A228B5"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lastRenderedPageBreak/>
        <w:t>https://www.ey.com/en_uk/news/2024/07/foreign-direct-investment-in-uk-grows-as-europe-declines</w:t>
      </w:r>
    </w:p>
    <w:p w14:paraId="32008F62"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https://www.ey.com/en_uk/news/2024/07/foreign-direct-investment-in-uk-grows-as-europe-declines</w:t>
      </w:r>
    </w:p>
    <w:p w14:paraId="5A895E18"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https://www.gov.uk/government/news/uk-tech-sector-retains-1-spot-in-europe-and-3-in-world-as-sector-resilience-brings-continued-growth</w:t>
      </w:r>
    </w:p>
    <w:p w14:paraId="62EBA119"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https://www.gov.uk/government/news/uk-tech-sector-retains-1-spot-in-europe-and-3-in-world-as-sector-resilience-brings-continued-growth</w:t>
      </w:r>
    </w:p>
    <w:p w14:paraId="049028E2"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https://www.gov.uk/government/statistics/dbt-inward-investment-results-2022-to-2023</w:t>
      </w:r>
    </w:p>
    <w:p w14:paraId="297D0FB0"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https://www.gov.uk/government/statistics/department-for-international-trade-inward-investment-results-2020-to-2021/department-for-international-trade-inward-investment-results-2020-to-2021-online-version</w:t>
      </w:r>
    </w:p>
    <w:p w14:paraId="3DCFA582"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https://www.ons.gov.uk/economy/grossdomesticproductgdp</w:t>
      </w:r>
    </w:p>
    <w:p w14:paraId="620D4C82"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https://www.worldbank.org/en/search?q=Net+FDI+for+UK</w:t>
      </w:r>
    </w:p>
    <w:p w14:paraId="333D00BA"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https://www.worldbank.org/en/search?q=Net+FDI+for+UK</w:t>
      </w:r>
    </w:p>
    <w:p w14:paraId="4651AFD2"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Kuznets, S. 1966. Modern Economic Growth: Rate, Structure, And Spread, Yale University Press New Haven, Ct.</w:t>
      </w:r>
    </w:p>
    <w:p w14:paraId="46D2D35F"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Lall, S. 1997. Investment, Technology, And International Competitiveness. The New Globalism And Developing Countries, 232–259.</w:t>
      </w:r>
    </w:p>
    <w:p w14:paraId="2103B350"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Lall, S. 1997. Investment, Technology, And International Competitiveness. The New Globalism And Developing Countries, 232–259.</w:t>
      </w:r>
    </w:p>
    <w:p w14:paraId="2602C8B3"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lang w:val="de-DE"/>
        </w:rPr>
        <w:t xml:space="preserve">Markusen, J. R. &amp; Venables, A. J. (1999). </w:t>
      </w:r>
      <w:r w:rsidRPr="00976200">
        <w:rPr>
          <w:rFonts w:ascii="Arial" w:hAnsi="Arial" w:cs="Arial"/>
        </w:rPr>
        <w:t>Foreign Direct Investment As A Catalyst For Industrial Development. European Economic Review, 43, 335-356.</w:t>
      </w:r>
    </w:p>
    <w:p w14:paraId="53DA3D30"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Markusen, J. R. (1995). The Boundaries Of Multinational Enterprises And The Theory Of International Trade. Journal Of Economic Perspectives. , 9, 169-189.</w:t>
      </w:r>
    </w:p>
    <w:p w14:paraId="766A432F"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Mateev, M. I. (2008). Determinants of Foreign Direct Investment in Central and Southeastern Europe: New Empirical Tests, 8th Global Conference on Business &amp; Economics, Italy</w:t>
      </w:r>
    </w:p>
    <w:p w14:paraId="65A05FBA"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lang w:val="de-DE"/>
        </w:rPr>
        <w:t xml:space="preserve">Morck, R. &amp; B. Yeung &amp; M. Zhao. 2008. </w:t>
      </w:r>
      <w:r w:rsidRPr="00976200">
        <w:rPr>
          <w:rFonts w:ascii="Arial" w:hAnsi="Arial" w:cs="Arial"/>
        </w:rPr>
        <w:t>Perspectives on China's outward foreign direct investment. Journal of International Business Studies. 39. 337–350. 10.1057/palgrave.jibs.8400366.</w:t>
      </w:r>
    </w:p>
    <w:p w14:paraId="548553F0"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Nhlakanipho, M. Z. (2014). A critical discussion on foreign direct investment in the multilateral trade system and development in SADC. https://core.ac.uk/download/196549147.pdf</w:t>
      </w:r>
    </w:p>
    <w:p w14:paraId="19F1F136"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Nigel Driffield, Michail Karoglou, Brexit and Foreign Investment in the UK, Journal of the Royal Statistical Society Series A: Statistics in Society, Volume 182, Issue 2, February 2019, Pages 559–582, https://doi.org/10.1111/rssa.12417</w:t>
      </w:r>
    </w:p>
    <w:p w14:paraId="071DF1B8" w14:textId="53442DD0" w:rsidR="00ED3916" w:rsidRPr="00ED3916" w:rsidRDefault="00E46EA3" w:rsidP="00ED3916">
      <w:pPr>
        <w:pStyle w:val="ListParagraph"/>
        <w:numPr>
          <w:ilvl w:val="0"/>
          <w:numId w:val="55"/>
        </w:numPr>
        <w:spacing w:after="160" w:line="360" w:lineRule="auto"/>
        <w:ind w:left="0" w:firstLine="0"/>
        <w:jc w:val="both"/>
        <w:rPr>
          <w:rFonts w:ascii="Arial" w:hAnsi="Arial" w:cs="Arial"/>
        </w:rPr>
      </w:pPr>
      <w:r w:rsidRPr="00976200">
        <w:rPr>
          <w:rFonts w:ascii="Arial" w:hAnsi="Arial" w:cs="Arial"/>
        </w:rPr>
        <w:lastRenderedPageBreak/>
        <w:t>Nigel Driffield, Michail Karoglou, Brexit and Foreign Investment in the UK, Journal of the Royal Statistical Society Series A: Statistics in Society, Volume 182, Issue 2, February 2019, Pages 559–582, https://doi.org/10.1111/rssa.12417</w:t>
      </w:r>
      <w:r w:rsidR="00ED3916">
        <w:rPr>
          <w:rFonts w:ascii="Arial" w:hAnsi="Arial" w:cs="Arial"/>
        </w:rPr>
        <w:t>.</w:t>
      </w:r>
    </w:p>
    <w:p w14:paraId="561ED152" w14:textId="295CBE49"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Office for National Statistics (ONS)</w:t>
      </w:r>
      <w:r w:rsidR="00ED3916">
        <w:rPr>
          <w:rFonts w:ascii="Arial" w:hAnsi="Arial" w:cs="Arial"/>
        </w:rPr>
        <w:t xml:space="preserve">, </w:t>
      </w:r>
      <w:r w:rsidRPr="00976200">
        <w:rPr>
          <w:rFonts w:ascii="Arial" w:hAnsi="Arial" w:cs="Arial"/>
        </w:rPr>
        <w:t>https://www.ons.gov.uk/economy/nationalaccounts/balanceofpayments/bulletins/foreigndirectinvestmentinvolvementintheuk/2020</w:t>
      </w:r>
      <w:r w:rsidR="00ED3916">
        <w:rPr>
          <w:rFonts w:ascii="Arial" w:hAnsi="Arial" w:cs="Arial"/>
        </w:rPr>
        <w:t>.</w:t>
      </w:r>
    </w:p>
    <w:p w14:paraId="7751096F" w14:textId="3FA1F1FD"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 xml:space="preserve">PWC (2016) ‘Leaving the EU: Implications for the UK Economy’, </w:t>
      </w:r>
      <w:hyperlink r:id="rId59" w:history="1">
        <w:r w:rsidR="00BF24CC" w:rsidRPr="00976200">
          <w:rPr>
            <w:rStyle w:val="Hyperlink"/>
            <w:rFonts w:ascii="Arial" w:hAnsi="Arial" w:cs="Arial"/>
            <w:color w:val="auto"/>
          </w:rPr>
          <w:t>http://www.pwc.co.uk/economic-services/assets/leaving-the-eu-implications-for-the-ukeconomy.pdf</w:t>
        </w:r>
      </w:hyperlink>
    </w:p>
    <w:p w14:paraId="45DEE2D3" w14:textId="342A0F5E" w:rsidR="00BF24CC" w:rsidRPr="00976200" w:rsidRDefault="00BF24CC"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https://www.cer.eu/publications/archive/policy-brief/2022/uk-science-and-technology-after-brexit</w:t>
      </w:r>
    </w:p>
    <w:p w14:paraId="7AE3CE92"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Ruxanda, G. (2010). Foreign direct investment and its impact on the economy of the host nation. Journal of International Business Studies, 29(1), 31-48.</w:t>
      </w:r>
    </w:p>
    <w:p w14:paraId="03DB0319"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Ruxanda, G. and Muraru, A., 2010. FDI and economic growth. Evidence from simultaneous equation models. Romanian Journal of Economic Forecasting, 1(2010), pp.45-58.</w:t>
      </w:r>
    </w:p>
    <w:p w14:paraId="0412995F"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Simionescu, M. (2016). The Impact of BREXIT on the Foreign Direct Investment in the United Kingdom. Bulgarian Economic Papers.</w:t>
      </w:r>
    </w:p>
    <w:p w14:paraId="58928955"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Simionescu, M. (2017) The influence of Brexit on the foreign direct investment projects and inflows in the United Kingdom. Discussion Paper 68. Global Labor Organization, Geneva.</w:t>
      </w:r>
    </w:p>
    <w:p w14:paraId="08AB6816"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Simionescu, M., 2017. The influence of Brexit on the foreign direct investment projects and inflows in the United Kingdom.</w:t>
      </w:r>
    </w:p>
    <w:p w14:paraId="32C4BE2E"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Spickernell, S. (2014). Foreign investment into the UK is the highest in Europe and second highest in the world. City.A.M. Retrieved from [online] [Accessed 23 July 2024]</w:t>
      </w:r>
    </w:p>
    <w:p w14:paraId="40C0A84D"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World Bank. (2020). Doing Business 2020. Retrieved from https://www.doingbusiness.org/en/reports/global-reports/doing-business-2020.</w:t>
      </w:r>
    </w:p>
    <w:sectPr w:rsidR="00E46EA3" w:rsidRPr="00976200" w:rsidSect="004C13E8">
      <w:footerReference w:type="default" r:id="rId60"/>
      <w:pgSz w:w="11906" w:h="16838"/>
      <w:pgMar w:top="851" w:right="1440" w:bottom="1134" w:left="1440" w:header="709" w:footer="374"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AF1AEB" w14:textId="77777777" w:rsidR="00881E40" w:rsidRDefault="00881E40" w:rsidP="007D4E14">
      <w:pPr>
        <w:spacing w:after="0" w:line="240" w:lineRule="auto"/>
      </w:pPr>
      <w:r>
        <w:separator/>
      </w:r>
    </w:p>
  </w:endnote>
  <w:endnote w:type="continuationSeparator" w:id="0">
    <w:p w14:paraId="49009D50" w14:textId="77777777" w:rsidR="00881E40" w:rsidRDefault="00881E40" w:rsidP="007D4E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2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Unicode MS">
    <w:altName w:val="Arial"/>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93AAE7" w14:textId="2A6865B2" w:rsidR="002A035F" w:rsidRDefault="00B63B17">
    <w:pPr>
      <w:pStyle w:val="Footer"/>
      <w:jc w:val="center"/>
    </w:pPr>
    <w:r>
      <w:fldChar w:fldCharType="begin"/>
    </w:r>
    <w:r>
      <w:instrText>PAGE   \* MERGEFORMAT</w:instrText>
    </w:r>
    <w:r>
      <w:fldChar w:fldCharType="separate"/>
    </w:r>
    <w:r>
      <w:t>1</w:t>
    </w:r>
    <w:r>
      <w:fldChar w:fldCharType="end"/>
    </w:r>
  </w:p>
  <w:p w14:paraId="11D32FFF" w14:textId="3EC4C359" w:rsidR="007D4E14" w:rsidRDefault="007D4E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2206D2" w14:textId="77777777" w:rsidR="00881E40" w:rsidRDefault="00881E40" w:rsidP="007D4E14">
      <w:pPr>
        <w:spacing w:after="0" w:line="240" w:lineRule="auto"/>
      </w:pPr>
      <w:r>
        <w:separator/>
      </w:r>
    </w:p>
  </w:footnote>
  <w:footnote w:type="continuationSeparator" w:id="0">
    <w:p w14:paraId="6D6BB279" w14:textId="77777777" w:rsidR="00881E40" w:rsidRDefault="00881E40" w:rsidP="007D4E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218FD"/>
    <w:multiLevelType w:val="hybridMultilevel"/>
    <w:tmpl w:val="A0E05A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292289"/>
    <w:multiLevelType w:val="hybridMultilevel"/>
    <w:tmpl w:val="03B81FE4"/>
    <w:lvl w:ilvl="0" w:tplc="45CAC8B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B32B72"/>
    <w:multiLevelType w:val="multilevel"/>
    <w:tmpl w:val="C2944F68"/>
    <w:lvl w:ilvl="0">
      <w:start w:val="1"/>
      <w:numFmt w:val="bullet"/>
      <w:lvlText w:val=""/>
      <w:lvlJc w:val="left"/>
      <w:pPr>
        <w:ind w:left="502" w:hanging="360"/>
      </w:pPr>
      <w:rPr>
        <w:rFonts w:ascii="Symbol" w:hAnsi="Symbol"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0D662954"/>
    <w:multiLevelType w:val="hybridMultilevel"/>
    <w:tmpl w:val="61A209EC"/>
    <w:lvl w:ilvl="0" w:tplc="FFFFFFFF">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DF9439F"/>
    <w:multiLevelType w:val="multilevel"/>
    <w:tmpl w:val="B8705494"/>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128406FF"/>
    <w:multiLevelType w:val="multilevel"/>
    <w:tmpl w:val="A830C858"/>
    <w:lvl w:ilvl="0">
      <w:start w:val="1"/>
      <w:numFmt w:val="decimal"/>
      <w:lvlText w:val="5.%1"/>
      <w:lvlJc w:val="left"/>
      <w:pPr>
        <w:ind w:left="360" w:hanging="360"/>
      </w:pPr>
      <w:rPr>
        <w:rFonts w:hint="default"/>
        <w:b/>
        <w:bCs/>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13AB4C79"/>
    <w:multiLevelType w:val="hybridMultilevel"/>
    <w:tmpl w:val="F24A96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BA5DDF"/>
    <w:multiLevelType w:val="multilevel"/>
    <w:tmpl w:val="B8705494"/>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180B13BA"/>
    <w:multiLevelType w:val="multilevel"/>
    <w:tmpl w:val="E68AE6E4"/>
    <w:lvl w:ilvl="0">
      <w:start w:val="2"/>
      <w:numFmt w:val="decimal"/>
      <w:lvlText w:val="%1"/>
      <w:lvlJc w:val="left"/>
      <w:pPr>
        <w:ind w:left="720" w:hanging="720"/>
      </w:pPr>
      <w:rPr>
        <w:rFonts w:hint="default"/>
      </w:rPr>
    </w:lvl>
    <w:lvl w:ilvl="1">
      <w:start w:val="5"/>
      <w:numFmt w:val="decimal"/>
      <w:lvlText w:val="%1.%2"/>
      <w:lvlJc w:val="left"/>
      <w:pPr>
        <w:ind w:left="720" w:hanging="720"/>
      </w:pPr>
      <w:rPr>
        <w:rFonts w:hint="default"/>
      </w:rPr>
    </w:lvl>
    <w:lvl w:ilvl="2">
      <w:start w:val="6"/>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18995629"/>
    <w:multiLevelType w:val="multilevel"/>
    <w:tmpl w:val="A27863E8"/>
    <w:lvl w:ilvl="0">
      <w:start w:val="1"/>
      <w:numFmt w:val="decimal"/>
      <w:lvlText w:val="5.%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1AA61A5D"/>
    <w:multiLevelType w:val="hybridMultilevel"/>
    <w:tmpl w:val="F560E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D74EEC"/>
    <w:multiLevelType w:val="hybridMultilevel"/>
    <w:tmpl w:val="E4807DF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1C09307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C2A2885"/>
    <w:multiLevelType w:val="hybridMultilevel"/>
    <w:tmpl w:val="6D969B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D9B70B3"/>
    <w:multiLevelType w:val="hybridMultilevel"/>
    <w:tmpl w:val="A1FE0856"/>
    <w:lvl w:ilvl="0" w:tplc="C1CC47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EAE412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206507E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22223C0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24A622B7"/>
    <w:multiLevelType w:val="multilevel"/>
    <w:tmpl w:val="A27863E8"/>
    <w:lvl w:ilvl="0">
      <w:start w:val="1"/>
      <w:numFmt w:val="decimal"/>
      <w:lvlText w:val="5.%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9" w15:restartNumberingAfterBreak="0">
    <w:nsid w:val="24DB18DB"/>
    <w:multiLevelType w:val="hybridMultilevel"/>
    <w:tmpl w:val="EF74BB7C"/>
    <w:lvl w:ilvl="0" w:tplc="09568F54">
      <w:start w:val="1"/>
      <w:numFmt w:val="decimal"/>
      <w:lvlText w:val="%1-"/>
      <w:lvlJc w:val="left"/>
      <w:pPr>
        <w:ind w:left="720" w:hanging="360"/>
      </w:pPr>
      <w:rPr>
        <w:rFonts w:ascii="Arial" w:hAnsi="Arial" w:cs="Arial"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4DB2D3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270638FC"/>
    <w:multiLevelType w:val="hybridMultilevel"/>
    <w:tmpl w:val="D6F4E3CC"/>
    <w:lvl w:ilvl="0" w:tplc="0809000B">
      <w:start w:val="1"/>
      <w:numFmt w:val="bullet"/>
      <w:lvlText w:val=""/>
      <w:lvlJc w:val="left"/>
      <w:pPr>
        <w:ind w:left="555" w:hanging="360"/>
      </w:pPr>
      <w:rPr>
        <w:rFonts w:ascii="Wingdings" w:hAnsi="Wingdings" w:hint="default"/>
      </w:rPr>
    </w:lvl>
    <w:lvl w:ilvl="1" w:tplc="08090019" w:tentative="1">
      <w:start w:val="1"/>
      <w:numFmt w:val="lowerLetter"/>
      <w:lvlText w:val="%2."/>
      <w:lvlJc w:val="left"/>
      <w:pPr>
        <w:ind w:left="1275" w:hanging="360"/>
      </w:pPr>
    </w:lvl>
    <w:lvl w:ilvl="2" w:tplc="0809001B" w:tentative="1">
      <w:start w:val="1"/>
      <w:numFmt w:val="lowerRoman"/>
      <w:lvlText w:val="%3."/>
      <w:lvlJc w:val="right"/>
      <w:pPr>
        <w:ind w:left="1995" w:hanging="180"/>
      </w:pPr>
    </w:lvl>
    <w:lvl w:ilvl="3" w:tplc="0809000F" w:tentative="1">
      <w:start w:val="1"/>
      <w:numFmt w:val="decimal"/>
      <w:lvlText w:val="%4."/>
      <w:lvlJc w:val="left"/>
      <w:pPr>
        <w:ind w:left="2715" w:hanging="360"/>
      </w:pPr>
    </w:lvl>
    <w:lvl w:ilvl="4" w:tplc="08090019" w:tentative="1">
      <w:start w:val="1"/>
      <w:numFmt w:val="lowerLetter"/>
      <w:lvlText w:val="%5."/>
      <w:lvlJc w:val="left"/>
      <w:pPr>
        <w:ind w:left="3435" w:hanging="360"/>
      </w:pPr>
    </w:lvl>
    <w:lvl w:ilvl="5" w:tplc="0809001B" w:tentative="1">
      <w:start w:val="1"/>
      <w:numFmt w:val="lowerRoman"/>
      <w:lvlText w:val="%6."/>
      <w:lvlJc w:val="right"/>
      <w:pPr>
        <w:ind w:left="4155" w:hanging="180"/>
      </w:pPr>
    </w:lvl>
    <w:lvl w:ilvl="6" w:tplc="0809000F" w:tentative="1">
      <w:start w:val="1"/>
      <w:numFmt w:val="decimal"/>
      <w:lvlText w:val="%7."/>
      <w:lvlJc w:val="left"/>
      <w:pPr>
        <w:ind w:left="4875" w:hanging="360"/>
      </w:pPr>
    </w:lvl>
    <w:lvl w:ilvl="7" w:tplc="08090019" w:tentative="1">
      <w:start w:val="1"/>
      <w:numFmt w:val="lowerLetter"/>
      <w:lvlText w:val="%8."/>
      <w:lvlJc w:val="left"/>
      <w:pPr>
        <w:ind w:left="5595" w:hanging="360"/>
      </w:pPr>
    </w:lvl>
    <w:lvl w:ilvl="8" w:tplc="0809001B" w:tentative="1">
      <w:start w:val="1"/>
      <w:numFmt w:val="lowerRoman"/>
      <w:lvlText w:val="%9."/>
      <w:lvlJc w:val="right"/>
      <w:pPr>
        <w:ind w:left="6315" w:hanging="180"/>
      </w:pPr>
    </w:lvl>
  </w:abstractNum>
  <w:abstractNum w:abstractNumId="22" w15:restartNumberingAfterBreak="0">
    <w:nsid w:val="27687B50"/>
    <w:multiLevelType w:val="multilevel"/>
    <w:tmpl w:val="0850208C"/>
    <w:lvl w:ilvl="0">
      <w:start w:val="5"/>
      <w:numFmt w:val="decimal"/>
      <w:lvlText w:val="%1"/>
      <w:lvlJc w:val="left"/>
      <w:pPr>
        <w:ind w:left="525" w:hanging="525"/>
      </w:pPr>
      <w:rPr>
        <w:rFonts w:asciiTheme="majorHAnsi" w:eastAsiaTheme="majorEastAsia" w:hAnsiTheme="majorHAnsi" w:cstheme="majorBidi" w:hint="default"/>
        <w:color w:val="276E8B" w:themeColor="accent1" w:themeShade="BF"/>
        <w:sz w:val="40"/>
      </w:rPr>
    </w:lvl>
    <w:lvl w:ilvl="1">
      <w:start w:val="2"/>
      <w:numFmt w:val="decimal"/>
      <w:lvlText w:val="%1.%2"/>
      <w:lvlJc w:val="left"/>
      <w:pPr>
        <w:ind w:left="885" w:hanging="525"/>
      </w:pPr>
      <w:rPr>
        <w:rFonts w:asciiTheme="majorHAnsi" w:eastAsiaTheme="majorEastAsia" w:hAnsiTheme="majorHAnsi" w:cstheme="majorBidi" w:hint="default"/>
        <w:color w:val="276E8B" w:themeColor="accent1" w:themeShade="BF"/>
        <w:sz w:val="40"/>
      </w:rPr>
    </w:lvl>
    <w:lvl w:ilvl="2">
      <w:start w:val="1"/>
      <w:numFmt w:val="decimal"/>
      <w:lvlText w:val="%1.%2.%3"/>
      <w:lvlJc w:val="left"/>
      <w:pPr>
        <w:ind w:left="1440" w:hanging="720"/>
      </w:pPr>
      <w:rPr>
        <w:rFonts w:asciiTheme="majorHAnsi" w:eastAsiaTheme="majorEastAsia" w:hAnsiTheme="majorHAnsi" w:cstheme="majorBidi" w:hint="default"/>
        <w:color w:val="276E8B" w:themeColor="accent1" w:themeShade="BF"/>
        <w:sz w:val="40"/>
      </w:rPr>
    </w:lvl>
    <w:lvl w:ilvl="3">
      <w:start w:val="1"/>
      <w:numFmt w:val="decimal"/>
      <w:lvlText w:val="%1.%2.%3.%4"/>
      <w:lvlJc w:val="left"/>
      <w:pPr>
        <w:ind w:left="2160" w:hanging="1080"/>
      </w:pPr>
      <w:rPr>
        <w:rFonts w:asciiTheme="majorHAnsi" w:eastAsiaTheme="majorEastAsia" w:hAnsiTheme="majorHAnsi" w:cstheme="majorBidi" w:hint="default"/>
        <w:color w:val="276E8B" w:themeColor="accent1" w:themeShade="BF"/>
        <w:sz w:val="40"/>
      </w:rPr>
    </w:lvl>
    <w:lvl w:ilvl="4">
      <w:start w:val="1"/>
      <w:numFmt w:val="decimal"/>
      <w:lvlText w:val="%1.%2.%3.%4.%5"/>
      <w:lvlJc w:val="left"/>
      <w:pPr>
        <w:ind w:left="2520" w:hanging="1080"/>
      </w:pPr>
      <w:rPr>
        <w:rFonts w:asciiTheme="majorHAnsi" w:eastAsiaTheme="majorEastAsia" w:hAnsiTheme="majorHAnsi" w:cstheme="majorBidi" w:hint="default"/>
        <w:color w:val="276E8B" w:themeColor="accent1" w:themeShade="BF"/>
        <w:sz w:val="40"/>
      </w:rPr>
    </w:lvl>
    <w:lvl w:ilvl="5">
      <w:start w:val="1"/>
      <w:numFmt w:val="decimal"/>
      <w:lvlText w:val="%1.%2.%3.%4.%5.%6"/>
      <w:lvlJc w:val="left"/>
      <w:pPr>
        <w:ind w:left="3240" w:hanging="1440"/>
      </w:pPr>
      <w:rPr>
        <w:rFonts w:asciiTheme="majorHAnsi" w:eastAsiaTheme="majorEastAsia" w:hAnsiTheme="majorHAnsi" w:cstheme="majorBidi" w:hint="default"/>
        <w:color w:val="276E8B" w:themeColor="accent1" w:themeShade="BF"/>
        <w:sz w:val="40"/>
      </w:rPr>
    </w:lvl>
    <w:lvl w:ilvl="6">
      <w:start w:val="1"/>
      <w:numFmt w:val="decimal"/>
      <w:lvlText w:val="%1.%2.%3.%4.%5.%6.%7"/>
      <w:lvlJc w:val="left"/>
      <w:pPr>
        <w:ind w:left="3600" w:hanging="1440"/>
      </w:pPr>
      <w:rPr>
        <w:rFonts w:asciiTheme="majorHAnsi" w:eastAsiaTheme="majorEastAsia" w:hAnsiTheme="majorHAnsi" w:cstheme="majorBidi" w:hint="default"/>
        <w:color w:val="276E8B" w:themeColor="accent1" w:themeShade="BF"/>
        <w:sz w:val="40"/>
      </w:rPr>
    </w:lvl>
    <w:lvl w:ilvl="7">
      <w:start w:val="1"/>
      <w:numFmt w:val="decimal"/>
      <w:lvlText w:val="%1.%2.%3.%4.%5.%6.%7.%8"/>
      <w:lvlJc w:val="left"/>
      <w:pPr>
        <w:ind w:left="4320" w:hanging="1800"/>
      </w:pPr>
      <w:rPr>
        <w:rFonts w:asciiTheme="majorHAnsi" w:eastAsiaTheme="majorEastAsia" w:hAnsiTheme="majorHAnsi" w:cstheme="majorBidi" w:hint="default"/>
        <w:color w:val="276E8B" w:themeColor="accent1" w:themeShade="BF"/>
        <w:sz w:val="40"/>
      </w:rPr>
    </w:lvl>
    <w:lvl w:ilvl="8">
      <w:start w:val="1"/>
      <w:numFmt w:val="decimal"/>
      <w:lvlText w:val="%1.%2.%3.%4.%5.%6.%7.%8.%9"/>
      <w:lvlJc w:val="left"/>
      <w:pPr>
        <w:ind w:left="4680" w:hanging="1800"/>
      </w:pPr>
      <w:rPr>
        <w:rFonts w:asciiTheme="majorHAnsi" w:eastAsiaTheme="majorEastAsia" w:hAnsiTheme="majorHAnsi" w:cstheme="majorBidi" w:hint="default"/>
        <w:color w:val="276E8B" w:themeColor="accent1" w:themeShade="BF"/>
        <w:sz w:val="40"/>
      </w:rPr>
    </w:lvl>
  </w:abstractNum>
  <w:abstractNum w:abstractNumId="23" w15:restartNumberingAfterBreak="0">
    <w:nsid w:val="28F20D90"/>
    <w:multiLevelType w:val="hybridMultilevel"/>
    <w:tmpl w:val="9904C8C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2CDE7E89"/>
    <w:multiLevelType w:val="multilevel"/>
    <w:tmpl w:val="5C5E006E"/>
    <w:lvl w:ilvl="0">
      <w:start w:val="2"/>
      <w:numFmt w:val="decimal"/>
      <w:lvlText w:val="%1"/>
      <w:lvlJc w:val="left"/>
      <w:pPr>
        <w:ind w:left="450" w:hanging="45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5" w15:restartNumberingAfterBreak="0">
    <w:nsid w:val="2EAB1340"/>
    <w:multiLevelType w:val="hybridMultilevel"/>
    <w:tmpl w:val="64928A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30F67FD3"/>
    <w:multiLevelType w:val="hybridMultilevel"/>
    <w:tmpl w:val="744C20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38B1507"/>
    <w:multiLevelType w:val="multilevel"/>
    <w:tmpl w:val="8F0C33B6"/>
    <w:lvl w:ilvl="0">
      <w:start w:val="1"/>
      <w:numFmt w:val="decimal"/>
      <w:lvlText w:val="%1."/>
      <w:lvlJc w:val="left"/>
      <w:pPr>
        <w:ind w:left="720" w:hanging="360"/>
      </w:pPr>
    </w:lvl>
    <w:lvl w:ilvl="1">
      <w:start w:val="1"/>
      <w:numFmt w:val="decimal"/>
      <w:isLgl/>
      <w:lvlText w:val="%1.%2"/>
      <w:lvlJc w:val="left"/>
      <w:pPr>
        <w:ind w:left="1570" w:hanging="720"/>
      </w:pPr>
      <w:rPr>
        <w:rFonts w:ascii="Arial Black" w:hAnsi="Arial Black" w:hint="default"/>
        <w:b/>
        <w:bCs/>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8" w15:restartNumberingAfterBreak="0">
    <w:nsid w:val="37D77198"/>
    <w:multiLevelType w:val="hybridMultilevel"/>
    <w:tmpl w:val="60BEEB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832074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0" w15:restartNumberingAfterBreak="0">
    <w:nsid w:val="3BDC14C2"/>
    <w:multiLevelType w:val="hybridMultilevel"/>
    <w:tmpl w:val="35AED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BF73AFA"/>
    <w:multiLevelType w:val="hybridMultilevel"/>
    <w:tmpl w:val="6D969BE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3D8722B2"/>
    <w:multiLevelType w:val="hybridMultilevel"/>
    <w:tmpl w:val="72DAA75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3E603734"/>
    <w:multiLevelType w:val="hybridMultilevel"/>
    <w:tmpl w:val="700E384A"/>
    <w:lvl w:ilvl="0" w:tplc="B928D1E8">
      <w:start w:val="2"/>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1290181"/>
    <w:multiLevelType w:val="multilevel"/>
    <w:tmpl w:val="C7BAB95C"/>
    <w:lvl w:ilvl="0">
      <w:start w:val="1"/>
      <w:numFmt w:val="decimal"/>
      <w:lvlText w:val="%1."/>
      <w:lvlJc w:val="left"/>
      <w:pPr>
        <w:ind w:left="720" w:hanging="360"/>
      </w:pPr>
    </w:lvl>
    <w:lvl w:ilvl="1">
      <w:start w:val="5"/>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5" w15:restartNumberingAfterBreak="0">
    <w:nsid w:val="435836E3"/>
    <w:multiLevelType w:val="multilevel"/>
    <w:tmpl w:val="D2C08F32"/>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36" w15:restartNumberingAfterBreak="0">
    <w:nsid w:val="47CB7EC0"/>
    <w:multiLevelType w:val="hybridMultilevel"/>
    <w:tmpl w:val="10F28E86"/>
    <w:lvl w:ilvl="0" w:tplc="B928D1E8">
      <w:start w:val="2"/>
      <w:numFmt w:val="decimal"/>
      <w:lvlText w:val="%1."/>
      <w:lvlJc w:val="left"/>
      <w:pPr>
        <w:ind w:left="360" w:hanging="360"/>
      </w:pPr>
      <w:rPr>
        <w:rFonts w:hint="default"/>
        <w:b/>
        <w:bCs/>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7" w15:restartNumberingAfterBreak="0">
    <w:nsid w:val="4927156D"/>
    <w:multiLevelType w:val="hybridMultilevel"/>
    <w:tmpl w:val="79AE7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C4411DB"/>
    <w:multiLevelType w:val="hybridMultilevel"/>
    <w:tmpl w:val="35348A7A"/>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9" w15:restartNumberingAfterBreak="0">
    <w:nsid w:val="4E920508"/>
    <w:multiLevelType w:val="hybridMultilevel"/>
    <w:tmpl w:val="DA0A4A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5F560E9"/>
    <w:multiLevelType w:val="multilevel"/>
    <w:tmpl w:val="10F2876C"/>
    <w:lvl w:ilvl="0">
      <w:start w:val="1"/>
      <w:numFmt w:val="bullet"/>
      <w:lvlText w:val=""/>
      <w:lvlJc w:val="left"/>
      <w:pPr>
        <w:ind w:left="720" w:hanging="360"/>
      </w:pPr>
      <w:rPr>
        <w:rFonts w:ascii="Symbol" w:hAnsi="Symbol"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41" w15:restartNumberingAfterBreak="0">
    <w:nsid w:val="57831553"/>
    <w:multiLevelType w:val="hybridMultilevel"/>
    <w:tmpl w:val="D60C4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EDC6F26"/>
    <w:multiLevelType w:val="multilevel"/>
    <w:tmpl w:val="9448FB18"/>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3" w15:restartNumberingAfterBreak="0">
    <w:nsid w:val="61A413F9"/>
    <w:multiLevelType w:val="hybridMultilevel"/>
    <w:tmpl w:val="B3A2D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3BE3277"/>
    <w:multiLevelType w:val="multilevel"/>
    <w:tmpl w:val="B8705494"/>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5" w15:restartNumberingAfterBreak="0">
    <w:nsid w:val="64E864F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6" w15:restartNumberingAfterBreak="0">
    <w:nsid w:val="65793098"/>
    <w:multiLevelType w:val="multilevel"/>
    <w:tmpl w:val="B8705494"/>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7" w15:restartNumberingAfterBreak="0">
    <w:nsid w:val="66157CE4"/>
    <w:multiLevelType w:val="hybridMultilevel"/>
    <w:tmpl w:val="2774F33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8" w15:restartNumberingAfterBreak="0">
    <w:nsid w:val="66E76BBE"/>
    <w:multiLevelType w:val="multilevel"/>
    <w:tmpl w:val="5D5E475A"/>
    <w:lvl w:ilvl="0">
      <w:start w:val="1"/>
      <w:numFmt w:val="upperRoman"/>
      <w:lvlText w:val="%1."/>
      <w:lvlJc w:val="righ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49" w15:restartNumberingAfterBreak="0">
    <w:nsid w:val="687A705D"/>
    <w:multiLevelType w:val="hybridMultilevel"/>
    <w:tmpl w:val="D6C60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07B78A1"/>
    <w:multiLevelType w:val="multilevel"/>
    <w:tmpl w:val="6CD22E7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51" w15:restartNumberingAfterBreak="0">
    <w:nsid w:val="70D2079D"/>
    <w:multiLevelType w:val="multilevel"/>
    <w:tmpl w:val="B8705494"/>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2" w15:restartNumberingAfterBreak="0">
    <w:nsid w:val="71D245F9"/>
    <w:multiLevelType w:val="hybridMultilevel"/>
    <w:tmpl w:val="A6BAC39C"/>
    <w:lvl w:ilvl="0" w:tplc="C90EA900">
      <w:start w:val="1"/>
      <w:numFmt w:val="upperLetter"/>
      <w:lvlText w:val="%1."/>
      <w:lvlJc w:val="left"/>
      <w:pPr>
        <w:ind w:left="465" w:hanging="360"/>
      </w:pPr>
      <w:rPr>
        <w:rFonts w:hint="default"/>
      </w:rPr>
    </w:lvl>
    <w:lvl w:ilvl="1" w:tplc="F3246998">
      <w:start w:val="1"/>
      <w:numFmt w:val="decimal"/>
      <w:lvlText w:val="%2."/>
      <w:lvlJc w:val="left"/>
      <w:pPr>
        <w:ind w:left="1200" w:hanging="375"/>
      </w:pPr>
      <w:rPr>
        <w:rFonts w:hint="default"/>
      </w:rPr>
    </w:lvl>
    <w:lvl w:ilvl="2" w:tplc="0809001B" w:tentative="1">
      <w:start w:val="1"/>
      <w:numFmt w:val="lowerRoman"/>
      <w:lvlText w:val="%3."/>
      <w:lvlJc w:val="right"/>
      <w:pPr>
        <w:ind w:left="1905" w:hanging="180"/>
      </w:pPr>
    </w:lvl>
    <w:lvl w:ilvl="3" w:tplc="0809000F" w:tentative="1">
      <w:start w:val="1"/>
      <w:numFmt w:val="decimal"/>
      <w:lvlText w:val="%4."/>
      <w:lvlJc w:val="left"/>
      <w:pPr>
        <w:ind w:left="2625" w:hanging="360"/>
      </w:pPr>
    </w:lvl>
    <w:lvl w:ilvl="4" w:tplc="08090019" w:tentative="1">
      <w:start w:val="1"/>
      <w:numFmt w:val="lowerLetter"/>
      <w:lvlText w:val="%5."/>
      <w:lvlJc w:val="left"/>
      <w:pPr>
        <w:ind w:left="3345" w:hanging="360"/>
      </w:pPr>
    </w:lvl>
    <w:lvl w:ilvl="5" w:tplc="0809001B" w:tentative="1">
      <w:start w:val="1"/>
      <w:numFmt w:val="lowerRoman"/>
      <w:lvlText w:val="%6."/>
      <w:lvlJc w:val="right"/>
      <w:pPr>
        <w:ind w:left="4065" w:hanging="180"/>
      </w:pPr>
    </w:lvl>
    <w:lvl w:ilvl="6" w:tplc="0809000F" w:tentative="1">
      <w:start w:val="1"/>
      <w:numFmt w:val="decimal"/>
      <w:lvlText w:val="%7."/>
      <w:lvlJc w:val="left"/>
      <w:pPr>
        <w:ind w:left="4785" w:hanging="360"/>
      </w:pPr>
    </w:lvl>
    <w:lvl w:ilvl="7" w:tplc="08090019" w:tentative="1">
      <w:start w:val="1"/>
      <w:numFmt w:val="lowerLetter"/>
      <w:lvlText w:val="%8."/>
      <w:lvlJc w:val="left"/>
      <w:pPr>
        <w:ind w:left="5505" w:hanging="360"/>
      </w:pPr>
    </w:lvl>
    <w:lvl w:ilvl="8" w:tplc="0809001B" w:tentative="1">
      <w:start w:val="1"/>
      <w:numFmt w:val="lowerRoman"/>
      <w:lvlText w:val="%9."/>
      <w:lvlJc w:val="right"/>
      <w:pPr>
        <w:ind w:left="6225" w:hanging="180"/>
      </w:pPr>
    </w:lvl>
  </w:abstractNum>
  <w:abstractNum w:abstractNumId="53" w15:restartNumberingAfterBreak="0">
    <w:nsid w:val="72660638"/>
    <w:multiLevelType w:val="hybridMultilevel"/>
    <w:tmpl w:val="84E24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8A7015C"/>
    <w:multiLevelType w:val="hybridMultilevel"/>
    <w:tmpl w:val="CB8C4462"/>
    <w:lvl w:ilvl="0" w:tplc="D55A9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E4144A2"/>
    <w:multiLevelType w:val="multilevel"/>
    <w:tmpl w:val="A830C858"/>
    <w:lvl w:ilvl="0">
      <w:start w:val="1"/>
      <w:numFmt w:val="decimal"/>
      <w:lvlText w:val="5.%1"/>
      <w:lvlJc w:val="left"/>
      <w:pPr>
        <w:ind w:left="360" w:hanging="360"/>
      </w:pPr>
      <w:rPr>
        <w:rFonts w:hint="default"/>
        <w:b/>
        <w:bCs/>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16cid:durableId="1941796249">
    <w:abstractNumId w:val="13"/>
  </w:num>
  <w:num w:numId="2" w16cid:durableId="1466002323">
    <w:abstractNumId w:val="31"/>
  </w:num>
  <w:num w:numId="3" w16cid:durableId="931164137">
    <w:abstractNumId w:val="3"/>
  </w:num>
  <w:num w:numId="4" w16cid:durableId="1535145157">
    <w:abstractNumId w:val="53"/>
  </w:num>
  <w:num w:numId="5" w16cid:durableId="100420140">
    <w:abstractNumId w:val="39"/>
  </w:num>
  <w:num w:numId="6" w16cid:durableId="684479025">
    <w:abstractNumId w:val="52"/>
  </w:num>
  <w:num w:numId="7" w16cid:durableId="1248150371">
    <w:abstractNumId w:val="21"/>
  </w:num>
  <w:num w:numId="8" w16cid:durableId="213395155">
    <w:abstractNumId w:val="25"/>
  </w:num>
  <w:num w:numId="9" w16cid:durableId="901331568">
    <w:abstractNumId w:val="48"/>
  </w:num>
  <w:num w:numId="10" w16cid:durableId="1254632204">
    <w:abstractNumId w:val="14"/>
  </w:num>
  <w:num w:numId="11" w16cid:durableId="926423499">
    <w:abstractNumId w:val="26"/>
  </w:num>
  <w:num w:numId="12" w16cid:durableId="1475755317">
    <w:abstractNumId w:val="8"/>
  </w:num>
  <w:num w:numId="13" w16cid:durableId="689572377">
    <w:abstractNumId w:val="6"/>
  </w:num>
  <w:num w:numId="14" w16cid:durableId="38016466">
    <w:abstractNumId w:val="35"/>
  </w:num>
  <w:num w:numId="15" w16cid:durableId="860167339">
    <w:abstractNumId w:val="44"/>
  </w:num>
  <w:num w:numId="16" w16cid:durableId="1474369941">
    <w:abstractNumId w:val="11"/>
  </w:num>
  <w:num w:numId="17" w16cid:durableId="241566113">
    <w:abstractNumId w:val="22"/>
  </w:num>
  <w:num w:numId="18" w16cid:durableId="177432208">
    <w:abstractNumId w:val="12"/>
  </w:num>
  <w:num w:numId="19" w16cid:durableId="2077242521">
    <w:abstractNumId w:val="9"/>
  </w:num>
  <w:num w:numId="20" w16cid:durableId="1002508120">
    <w:abstractNumId w:val="24"/>
  </w:num>
  <w:num w:numId="21" w16cid:durableId="889653572">
    <w:abstractNumId w:val="38"/>
  </w:num>
  <w:num w:numId="22" w16cid:durableId="1072386706">
    <w:abstractNumId w:val="2"/>
  </w:num>
  <w:num w:numId="23" w16cid:durableId="276064751">
    <w:abstractNumId w:val="23"/>
  </w:num>
  <w:num w:numId="24" w16cid:durableId="839854382">
    <w:abstractNumId w:val="27"/>
  </w:num>
  <w:num w:numId="25" w16cid:durableId="1486583916">
    <w:abstractNumId w:val="18"/>
  </w:num>
  <w:num w:numId="26" w16cid:durableId="1999962423">
    <w:abstractNumId w:val="46"/>
  </w:num>
  <w:num w:numId="27" w16cid:durableId="1429547484">
    <w:abstractNumId w:val="7"/>
  </w:num>
  <w:num w:numId="28" w16cid:durableId="678852859">
    <w:abstractNumId w:val="5"/>
  </w:num>
  <w:num w:numId="29" w16cid:durableId="936866613">
    <w:abstractNumId w:val="55"/>
  </w:num>
  <w:num w:numId="30" w16cid:durableId="889995667">
    <w:abstractNumId w:val="51"/>
  </w:num>
  <w:num w:numId="31" w16cid:durableId="997228365">
    <w:abstractNumId w:val="4"/>
  </w:num>
  <w:num w:numId="32" w16cid:durableId="1105687247">
    <w:abstractNumId w:val="42"/>
  </w:num>
  <w:num w:numId="33" w16cid:durableId="1866206745">
    <w:abstractNumId w:val="10"/>
  </w:num>
  <w:num w:numId="34" w16cid:durableId="584804662">
    <w:abstractNumId w:val="40"/>
  </w:num>
  <w:num w:numId="35" w16cid:durableId="664941195">
    <w:abstractNumId w:val="32"/>
  </w:num>
  <w:num w:numId="36" w16cid:durableId="462188200">
    <w:abstractNumId w:val="47"/>
  </w:num>
  <w:num w:numId="37" w16cid:durableId="67970778">
    <w:abstractNumId w:val="17"/>
  </w:num>
  <w:num w:numId="38" w16cid:durableId="1453591661">
    <w:abstractNumId w:val="45"/>
  </w:num>
  <w:num w:numId="39" w16cid:durableId="755438753">
    <w:abstractNumId w:val="50"/>
  </w:num>
  <w:num w:numId="40" w16cid:durableId="608514925">
    <w:abstractNumId w:val="1"/>
  </w:num>
  <w:num w:numId="41" w16cid:durableId="67460931">
    <w:abstractNumId w:val="37"/>
  </w:num>
  <w:num w:numId="42" w16cid:durableId="236981890">
    <w:abstractNumId w:val="28"/>
  </w:num>
  <w:num w:numId="43" w16cid:durableId="234781982">
    <w:abstractNumId w:val="29"/>
  </w:num>
  <w:num w:numId="44" w16cid:durableId="1341467714">
    <w:abstractNumId w:val="15"/>
  </w:num>
  <w:num w:numId="45" w16cid:durableId="2124884336">
    <w:abstractNumId w:val="41"/>
  </w:num>
  <w:num w:numId="46" w16cid:durableId="1142892828">
    <w:abstractNumId w:val="43"/>
  </w:num>
  <w:num w:numId="47" w16cid:durableId="396126890">
    <w:abstractNumId w:val="30"/>
  </w:num>
  <w:num w:numId="48" w16cid:durableId="198275544">
    <w:abstractNumId w:val="33"/>
  </w:num>
  <w:num w:numId="49" w16cid:durableId="925529686">
    <w:abstractNumId w:val="19"/>
  </w:num>
  <w:num w:numId="50" w16cid:durableId="1638024139">
    <w:abstractNumId w:val="36"/>
  </w:num>
  <w:num w:numId="51" w16cid:durableId="1050377801">
    <w:abstractNumId w:val="0"/>
  </w:num>
  <w:num w:numId="52" w16cid:durableId="598565661">
    <w:abstractNumId w:val="20"/>
  </w:num>
  <w:num w:numId="53" w16cid:durableId="1689983506">
    <w:abstractNumId w:val="49"/>
  </w:num>
  <w:num w:numId="54" w16cid:durableId="1299607336">
    <w:abstractNumId w:val="16"/>
  </w:num>
  <w:num w:numId="55" w16cid:durableId="1800298048">
    <w:abstractNumId w:val="54"/>
  </w:num>
  <w:num w:numId="56" w16cid:durableId="1058555930">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32D"/>
    <w:rsid w:val="00011727"/>
    <w:rsid w:val="00035D15"/>
    <w:rsid w:val="00077736"/>
    <w:rsid w:val="00082E25"/>
    <w:rsid w:val="000B0043"/>
    <w:rsid w:val="000C06A6"/>
    <w:rsid w:val="000C59D1"/>
    <w:rsid w:val="000D7E53"/>
    <w:rsid w:val="000E3D3E"/>
    <w:rsid w:val="000F1DEE"/>
    <w:rsid w:val="00105A1C"/>
    <w:rsid w:val="0010613E"/>
    <w:rsid w:val="001270AF"/>
    <w:rsid w:val="001279A0"/>
    <w:rsid w:val="00127D43"/>
    <w:rsid w:val="00130C1F"/>
    <w:rsid w:val="001353A5"/>
    <w:rsid w:val="0016333C"/>
    <w:rsid w:val="00163D53"/>
    <w:rsid w:val="0018149D"/>
    <w:rsid w:val="001825D0"/>
    <w:rsid w:val="0019044C"/>
    <w:rsid w:val="001A6752"/>
    <w:rsid w:val="001B3596"/>
    <w:rsid w:val="001C5FC9"/>
    <w:rsid w:val="001C79B1"/>
    <w:rsid w:val="001D5456"/>
    <w:rsid w:val="001E3406"/>
    <w:rsid w:val="001F02F5"/>
    <w:rsid w:val="001F5E63"/>
    <w:rsid w:val="002150C1"/>
    <w:rsid w:val="002163F8"/>
    <w:rsid w:val="002233BD"/>
    <w:rsid w:val="0024148C"/>
    <w:rsid w:val="00260344"/>
    <w:rsid w:val="002608AF"/>
    <w:rsid w:val="002836D7"/>
    <w:rsid w:val="002A035F"/>
    <w:rsid w:val="002A7202"/>
    <w:rsid w:val="002B08F4"/>
    <w:rsid w:val="002D3AC8"/>
    <w:rsid w:val="002E2CDF"/>
    <w:rsid w:val="002E5E43"/>
    <w:rsid w:val="002E690B"/>
    <w:rsid w:val="002E707B"/>
    <w:rsid w:val="002F13D3"/>
    <w:rsid w:val="002F20C2"/>
    <w:rsid w:val="002F73F0"/>
    <w:rsid w:val="00303FD1"/>
    <w:rsid w:val="00313F25"/>
    <w:rsid w:val="00317BCF"/>
    <w:rsid w:val="0032032D"/>
    <w:rsid w:val="00321E92"/>
    <w:rsid w:val="003551AB"/>
    <w:rsid w:val="0036485C"/>
    <w:rsid w:val="00380A7D"/>
    <w:rsid w:val="00382A74"/>
    <w:rsid w:val="00386A5A"/>
    <w:rsid w:val="003A6491"/>
    <w:rsid w:val="003B3033"/>
    <w:rsid w:val="003E1181"/>
    <w:rsid w:val="003E764A"/>
    <w:rsid w:val="003F49C3"/>
    <w:rsid w:val="003F68BF"/>
    <w:rsid w:val="00415B7E"/>
    <w:rsid w:val="004233BE"/>
    <w:rsid w:val="00430FD7"/>
    <w:rsid w:val="00431BFA"/>
    <w:rsid w:val="00433E60"/>
    <w:rsid w:val="00442765"/>
    <w:rsid w:val="0044787B"/>
    <w:rsid w:val="0045084C"/>
    <w:rsid w:val="004519CD"/>
    <w:rsid w:val="00454DD8"/>
    <w:rsid w:val="0047070F"/>
    <w:rsid w:val="00477B5B"/>
    <w:rsid w:val="00491A3E"/>
    <w:rsid w:val="004968AB"/>
    <w:rsid w:val="004A3C51"/>
    <w:rsid w:val="004A73C1"/>
    <w:rsid w:val="004B06E9"/>
    <w:rsid w:val="004C13E8"/>
    <w:rsid w:val="004F31D5"/>
    <w:rsid w:val="004F3AF2"/>
    <w:rsid w:val="00501FE4"/>
    <w:rsid w:val="00502385"/>
    <w:rsid w:val="00503C14"/>
    <w:rsid w:val="005124ED"/>
    <w:rsid w:val="00526F60"/>
    <w:rsid w:val="00581BF4"/>
    <w:rsid w:val="0059145A"/>
    <w:rsid w:val="00595271"/>
    <w:rsid w:val="005B2149"/>
    <w:rsid w:val="005D0DF6"/>
    <w:rsid w:val="005D7BAD"/>
    <w:rsid w:val="005E1029"/>
    <w:rsid w:val="0060532E"/>
    <w:rsid w:val="006053DE"/>
    <w:rsid w:val="00614F78"/>
    <w:rsid w:val="00643808"/>
    <w:rsid w:val="00646CBB"/>
    <w:rsid w:val="006662A2"/>
    <w:rsid w:val="00676E71"/>
    <w:rsid w:val="006804DC"/>
    <w:rsid w:val="00691E95"/>
    <w:rsid w:val="006A5B39"/>
    <w:rsid w:val="006B431D"/>
    <w:rsid w:val="006B671E"/>
    <w:rsid w:val="006C3437"/>
    <w:rsid w:val="006C497A"/>
    <w:rsid w:val="006E4441"/>
    <w:rsid w:val="006E66F2"/>
    <w:rsid w:val="006F48F4"/>
    <w:rsid w:val="007045E2"/>
    <w:rsid w:val="00713DAD"/>
    <w:rsid w:val="0072374D"/>
    <w:rsid w:val="00733034"/>
    <w:rsid w:val="00740D35"/>
    <w:rsid w:val="00741FAB"/>
    <w:rsid w:val="0074690E"/>
    <w:rsid w:val="00766D90"/>
    <w:rsid w:val="00776556"/>
    <w:rsid w:val="007765B8"/>
    <w:rsid w:val="00781D33"/>
    <w:rsid w:val="007D1085"/>
    <w:rsid w:val="007D4188"/>
    <w:rsid w:val="007D4E14"/>
    <w:rsid w:val="007E75AE"/>
    <w:rsid w:val="007F3FA3"/>
    <w:rsid w:val="007F6D3F"/>
    <w:rsid w:val="008058BA"/>
    <w:rsid w:val="008075F8"/>
    <w:rsid w:val="00827A02"/>
    <w:rsid w:val="00831FB7"/>
    <w:rsid w:val="00840B7F"/>
    <w:rsid w:val="00842DCD"/>
    <w:rsid w:val="00880023"/>
    <w:rsid w:val="00881E40"/>
    <w:rsid w:val="00890FEF"/>
    <w:rsid w:val="008A2625"/>
    <w:rsid w:val="008A67CA"/>
    <w:rsid w:val="008B6CAE"/>
    <w:rsid w:val="008C1362"/>
    <w:rsid w:val="008C7B52"/>
    <w:rsid w:val="008D0B8F"/>
    <w:rsid w:val="008D16E8"/>
    <w:rsid w:val="008D2D22"/>
    <w:rsid w:val="008E168C"/>
    <w:rsid w:val="00915B3A"/>
    <w:rsid w:val="0092745F"/>
    <w:rsid w:val="009275DA"/>
    <w:rsid w:val="009309EB"/>
    <w:rsid w:val="00930F3F"/>
    <w:rsid w:val="009424E2"/>
    <w:rsid w:val="0094750D"/>
    <w:rsid w:val="009545E1"/>
    <w:rsid w:val="009643D1"/>
    <w:rsid w:val="00976200"/>
    <w:rsid w:val="0099132E"/>
    <w:rsid w:val="00994857"/>
    <w:rsid w:val="00994D7E"/>
    <w:rsid w:val="009A1733"/>
    <w:rsid w:val="009A1DF4"/>
    <w:rsid w:val="009C52D2"/>
    <w:rsid w:val="009D21FE"/>
    <w:rsid w:val="009D3A77"/>
    <w:rsid w:val="009F1A70"/>
    <w:rsid w:val="009F26BC"/>
    <w:rsid w:val="00A009A0"/>
    <w:rsid w:val="00A072DF"/>
    <w:rsid w:val="00A07CA2"/>
    <w:rsid w:val="00A1034C"/>
    <w:rsid w:val="00A141FA"/>
    <w:rsid w:val="00A35D98"/>
    <w:rsid w:val="00A61DB1"/>
    <w:rsid w:val="00A704B7"/>
    <w:rsid w:val="00A75559"/>
    <w:rsid w:val="00A8738E"/>
    <w:rsid w:val="00A915F4"/>
    <w:rsid w:val="00AB7C3A"/>
    <w:rsid w:val="00AC260F"/>
    <w:rsid w:val="00B1597B"/>
    <w:rsid w:val="00B16187"/>
    <w:rsid w:val="00B16783"/>
    <w:rsid w:val="00B4014F"/>
    <w:rsid w:val="00B438E3"/>
    <w:rsid w:val="00B51790"/>
    <w:rsid w:val="00B6380F"/>
    <w:rsid w:val="00B63B17"/>
    <w:rsid w:val="00B648DD"/>
    <w:rsid w:val="00B65CDC"/>
    <w:rsid w:val="00B66179"/>
    <w:rsid w:val="00B67A57"/>
    <w:rsid w:val="00B67C8A"/>
    <w:rsid w:val="00B80C0D"/>
    <w:rsid w:val="00B82345"/>
    <w:rsid w:val="00B90250"/>
    <w:rsid w:val="00B907C2"/>
    <w:rsid w:val="00B93891"/>
    <w:rsid w:val="00BB182E"/>
    <w:rsid w:val="00BB3145"/>
    <w:rsid w:val="00BB748D"/>
    <w:rsid w:val="00BB78D8"/>
    <w:rsid w:val="00BC5C82"/>
    <w:rsid w:val="00BE222C"/>
    <w:rsid w:val="00BE55F8"/>
    <w:rsid w:val="00BF0083"/>
    <w:rsid w:val="00BF24CC"/>
    <w:rsid w:val="00BF432F"/>
    <w:rsid w:val="00C01932"/>
    <w:rsid w:val="00C01CDF"/>
    <w:rsid w:val="00C10657"/>
    <w:rsid w:val="00C13730"/>
    <w:rsid w:val="00C2494D"/>
    <w:rsid w:val="00C26D98"/>
    <w:rsid w:val="00C30705"/>
    <w:rsid w:val="00C36DB2"/>
    <w:rsid w:val="00C667F1"/>
    <w:rsid w:val="00C750B1"/>
    <w:rsid w:val="00C75C62"/>
    <w:rsid w:val="00C83E82"/>
    <w:rsid w:val="00C87318"/>
    <w:rsid w:val="00CA52E6"/>
    <w:rsid w:val="00CA6926"/>
    <w:rsid w:val="00CD0082"/>
    <w:rsid w:val="00CE2452"/>
    <w:rsid w:val="00CE2873"/>
    <w:rsid w:val="00D11768"/>
    <w:rsid w:val="00D21360"/>
    <w:rsid w:val="00D26D45"/>
    <w:rsid w:val="00D47A50"/>
    <w:rsid w:val="00D47A6A"/>
    <w:rsid w:val="00D53F0F"/>
    <w:rsid w:val="00D65B67"/>
    <w:rsid w:val="00D701F2"/>
    <w:rsid w:val="00D70583"/>
    <w:rsid w:val="00D80764"/>
    <w:rsid w:val="00D8176D"/>
    <w:rsid w:val="00D83224"/>
    <w:rsid w:val="00D84748"/>
    <w:rsid w:val="00D9708D"/>
    <w:rsid w:val="00DB196A"/>
    <w:rsid w:val="00DB33A6"/>
    <w:rsid w:val="00DB350D"/>
    <w:rsid w:val="00DF1BE3"/>
    <w:rsid w:val="00DF6529"/>
    <w:rsid w:val="00E109D3"/>
    <w:rsid w:val="00E11091"/>
    <w:rsid w:val="00E11EFD"/>
    <w:rsid w:val="00E24779"/>
    <w:rsid w:val="00E305FC"/>
    <w:rsid w:val="00E4547C"/>
    <w:rsid w:val="00E46EA3"/>
    <w:rsid w:val="00E56B8D"/>
    <w:rsid w:val="00E60235"/>
    <w:rsid w:val="00E74B12"/>
    <w:rsid w:val="00EA1FED"/>
    <w:rsid w:val="00EB7080"/>
    <w:rsid w:val="00ED27A5"/>
    <w:rsid w:val="00ED3916"/>
    <w:rsid w:val="00EE7955"/>
    <w:rsid w:val="00EF2E34"/>
    <w:rsid w:val="00F01661"/>
    <w:rsid w:val="00F15292"/>
    <w:rsid w:val="00F2615A"/>
    <w:rsid w:val="00F435BC"/>
    <w:rsid w:val="00F46779"/>
    <w:rsid w:val="00F50672"/>
    <w:rsid w:val="00F85D66"/>
    <w:rsid w:val="00F878E4"/>
    <w:rsid w:val="00F90E4F"/>
    <w:rsid w:val="00FA36A7"/>
    <w:rsid w:val="00FA7D01"/>
    <w:rsid w:val="00FB0263"/>
    <w:rsid w:val="00FB451C"/>
    <w:rsid w:val="00FB4BC1"/>
    <w:rsid w:val="00FE20D0"/>
    <w:rsid w:val="00FE2444"/>
    <w:rsid w:val="00FE398D"/>
    <w:rsid w:val="00FF0806"/>
    <w:rsid w:val="00FF2777"/>
    <w:rsid w:val="00FF2A63"/>
    <w:rsid w:val="00FF7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6328027"/>
  <w15:chartTrackingRefBased/>
  <w15:docId w15:val="{6EA38F40-534B-4559-B1F2-7758A9C07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1091"/>
  </w:style>
  <w:style w:type="paragraph" w:styleId="Heading1">
    <w:name w:val="heading 1"/>
    <w:basedOn w:val="Normal"/>
    <w:next w:val="Normal"/>
    <w:link w:val="Heading1Char"/>
    <w:uiPriority w:val="9"/>
    <w:qFormat/>
    <w:rsid w:val="00E11091"/>
    <w:pPr>
      <w:keepNext/>
      <w:keepLines/>
      <w:spacing w:before="320" w:after="0"/>
      <w:outlineLvl w:val="0"/>
    </w:pPr>
    <w:rPr>
      <w:rFonts w:asciiTheme="majorHAnsi" w:eastAsiaTheme="majorEastAsia" w:hAnsiTheme="majorHAnsi" w:cstheme="majorBidi"/>
      <w:color w:val="276E8B" w:themeColor="accent1" w:themeShade="BF"/>
      <w:sz w:val="30"/>
      <w:szCs w:val="30"/>
    </w:rPr>
  </w:style>
  <w:style w:type="paragraph" w:styleId="Heading2">
    <w:name w:val="heading 2"/>
    <w:basedOn w:val="Normal"/>
    <w:next w:val="Normal"/>
    <w:link w:val="Heading2Char"/>
    <w:uiPriority w:val="9"/>
    <w:unhideWhenUsed/>
    <w:qFormat/>
    <w:rsid w:val="00E11091"/>
    <w:pPr>
      <w:keepNext/>
      <w:keepLines/>
      <w:spacing w:before="40" w:after="0"/>
      <w:outlineLvl w:val="1"/>
    </w:pPr>
    <w:rPr>
      <w:rFonts w:asciiTheme="majorHAnsi" w:eastAsiaTheme="majorEastAsia" w:hAnsiTheme="majorHAnsi" w:cstheme="majorBidi"/>
      <w:color w:val="398E98" w:themeColor="accent2" w:themeShade="BF"/>
      <w:sz w:val="28"/>
      <w:szCs w:val="28"/>
    </w:rPr>
  </w:style>
  <w:style w:type="paragraph" w:styleId="Heading3">
    <w:name w:val="heading 3"/>
    <w:basedOn w:val="Normal"/>
    <w:next w:val="Normal"/>
    <w:link w:val="Heading3Char"/>
    <w:uiPriority w:val="9"/>
    <w:unhideWhenUsed/>
    <w:qFormat/>
    <w:rsid w:val="00E11091"/>
    <w:pPr>
      <w:keepNext/>
      <w:keepLines/>
      <w:spacing w:before="40" w:after="0"/>
      <w:outlineLvl w:val="2"/>
    </w:pPr>
    <w:rPr>
      <w:rFonts w:asciiTheme="majorHAnsi" w:eastAsiaTheme="majorEastAsia" w:hAnsiTheme="majorHAnsi" w:cstheme="majorBidi"/>
      <w:color w:val="1C6194" w:themeColor="accent6" w:themeShade="BF"/>
      <w:sz w:val="26"/>
      <w:szCs w:val="26"/>
    </w:rPr>
  </w:style>
  <w:style w:type="paragraph" w:styleId="Heading4">
    <w:name w:val="heading 4"/>
    <w:basedOn w:val="Normal"/>
    <w:next w:val="Normal"/>
    <w:link w:val="Heading4Char"/>
    <w:uiPriority w:val="9"/>
    <w:unhideWhenUsed/>
    <w:qFormat/>
    <w:rsid w:val="00E11091"/>
    <w:pPr>
      <w:keepNext/>
      <w:keepLines/>
      <w:spacing w:before="40" w:after="0"/>
      <w:outlineLvl w:val="3"/>
    </w:pPr>
    <w:rPr>
      <w:rFonts w:asciiTheme="majorHAnsi" w:eastAsiaTheme="majorEastAsia" w:hAnsiTheme="majorHAnsi" w:cstheme="majorBidi"/>
      <w:i/>
      <w:iCs/>
      <w:color w:val="578793" w:themeColor="accent5" w:themeShade="BF"/>
      <w:sz w:val="25"/>
      <w:szCs w:val="25"/>
    </w:rPr>
  </w:style>
  <w:style w:type="paragraph" w:styleId="Heading5">
    <w:name w:val="heading 5"/>
    <w:basedOn w:val="Normal"/>
    <w:next w:val="Normal"/>
    <w:link w:val="Heading5Char"/>
    <w:uiPriority w:val="9"/>
    <w:semiHidden/>
    <w:unhideWhenUsed/>
    <w:qFormat/>
    <w:rsid w:val="00E11091"/>
    <w:pPr>
      <w:keepNext/>
      <w:keepLines/>
      <w:spacing w:before="40" w:after="0"/>
      <w:outlineLvl w:val="4"/>
    </w:pPr>
    <w:rPr>
      <w:rFonts w:asciiTheme="majorHAnsi" w:eastAsiaTheme="majorEastAsia" w:hAnsiTheme="majorHAnsi" w:cstheme="majorBidi"/>
      <w:i/>
      <w:iCs/>
      <w:color w:val="265F65" w:themeColor="accent2" w:themeShade="80"/>
      <w:sz w:val="24"/>
      <w:szCs w:val="24"/>
    </w:rPr>
  </w:style>
  <w:style w:type="paragraph" w:styleId="Heading6">
    <w:name w:val="heading 6"/>
    <w:basedOn w:val="Normal"/>
    <w:next w:val="Normal"/>
    <w:link w:val="Heading6Char"/>
    <w:uiPriority w:val="9"/>
    <w:semiHidden/>
    <w:unhideWhenUsed/>
    <w:qFormat/>
    <w:rsid w:val="00E11091"/>
    <w:pPr>
      <w:keepNext/>
      <w:keepLines/>
      <w:spacing w:before="40" w:after="0"/>
      <w:outlineLvl w:val="5"/>
    </w:pPr>
    <w:rPr>
      <w:rFonts w:asciiTheme="majorHAnsi" w:eastAsiaTheme="majorEastAsia" w:hAnsiTheme="majorHAnsi" w:cstheme="majorBidi"/>
      <w:i/>
      <w:iCs/>
      <w:color w:val="134163" w:themeColor="accent6" w:themeShade="80"/>
      <w:sz w:val="23"/>
      <w:szCs w:val="23"/>
    </w:rPr>
  </w:style>
  <w:style w:type="paragraph" w:styleId="Heading7">
    <w:name w:val="heading 7"/>
    <w:basedOn w:val="Normal"/>
    <w:next w:val="Normal"/>
    <w:link w:val="Heading7Char"/>
    <w:uiPriority w:val="9"/>
    <w:semiHidden/>
    <w:unhideWhenUsed/>
    <w:qFormat/>
    <w:rsid w:val="00E11091"/>
    <w:pPr>
      <w:keepNext/>
      <w:keepLines/>
      <w:spacing w:before="40" w:after="0"/>
      <w:outlineLvl w:val="6"/>
    </w:pPr>
    <w:rPr>
      <w:rFonts w:asciiTheme="majorHAnsi" w:eastAsiaTheme="majorEastAsia" w:hAnsiTheme="majorHAnsi" w:cstheme="majorBidi"/>
      <w:color w:val="1A495D" w:themeColor="accent1" w:themeShade="80"/>
    </w:rPr>
  </w:style>
  <w:style w:type="paragraph" w:styleId="Heading8">
    <w:name w:val="heading 8"/>
    <w:basedOn w:val="Normal"/>
    <w:next w:val="Normal"/>
    <w:link w:val="Heading8Char"/>
    <w:uiPriority w:val="9"/>
    <w:semiHidden/>
    <w:unhideWhenUsed/>
    <w:qFormat/>
    <w:rsid w:val="00E11091"/>
    <w:pPr>
      <w:keepNext/>
      <w:keepLines/>
      <w:spacing w:before="40" w:after="0"/>
      <w:outlineLvl w:val="7"/>
    </w:pPr>
    <w:rPr>
      <w:rFonts w:asciiTheme="majorHAnsi" w:eastAsiaTheme="majorEastAsia" w:hAnsiTheme="majorHAnsi" w:cstheme="majorBidi"/>
      <w:color w:val="265F65" w:themeColor="accent2" w:themeShade="80"/>
      <w:sz w:val="21"/>
      <w:szCs w:val="21"/>
    </w:rPr>
  </w:style>
  <w:style w:type="paragraph" w:styleId="Heading9">
    <w:name w:val="heading 9"/>
    <w:basedOn w:val="Normal"/>
    <w:next w:val="Normal"/>
    <w:link w:val="Heading9Char"/>
    <w:uiPriority w:val="9"/>
    <w:semiHidden/>
    <w:unhideWhenUsed/>
    <w:qFormat/>
    <w:rsid w:val="00E11091"/>
    <w:pPr>
      <w:keepNext/>
      <w:keepLines/>
      <w:spacing w:before="40" w:after="0"/>
      <w:outlineLvl w:val="8"/>
    </w:pPr>
    <w:rPr>
      <w:rFonts w:asciiTheme="majorHAnsi" w:eastAsiaTheme="majorEastAsia" w:hAnsiTheme="majorHAnsi" w:cstheme="majorBidi"/>
      <w:color w:val="13416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091"/>
    <w:rPr>
      <w:rFonts w:asciiTheme="majorHAnsi" w:eastAsiaTheme="majorEastAsia" w:hAnsiTheme="majorHAnsi" w:cstheme="majorBidi"/>
      <w:color w:val="276E8B" w:themeColor="accent1" w:themeShade="BF"/>
      <w:sz w:val="30"/>
      <w:szCs w:val="30"/>
    </w:rPr>
  </w:style>
  <w:style w:type="character" w:customStyle="1" w:styleId="Heading2Char">
    <w:name w:val="Heading 2 Char"/>
    <w:basedOn w:val="DefaultParagraphFont"/>
    <w:link w:val="Heading2"/>
    <w:uiPriority w:val="9"/>
    <w:rsid w:val="00E11091"/>
    <w:rPr>
      <w:rFonts w:asciiTheme="majorHAnsi" w:eastAsiaTheme="majorEastAsia" w:hAnsiTheme="majorHAnsi" w:cstheme="majorBidi"/>
      <w:color w:val="398E98" w:themeColor="accent2" w:themeShade="BF"/>
      <w:sz w:val="28"/>
      <w:szCs w:val="28"/>
    </w:rPr>
  </w:style>
  <w:style w:type="character" w:customStyle="1" w:styleId="Heading3Char">
    <w:name w:val="Heading 3 Char"/>
    <w:basedOn w:val="DefaultParagraphFont"/>
    <w:link w:val="Heading3"/>
    <w:uiPriority w:val="9"/>
    <w:rsid w:val="00E11091"/>
    <w:rPr>
      <w:rFonts w:asciiTheme="majorHAnsi" w:eastAsiaTheme="majorEastAsia" w:hAnsiTheme="majorHAnsi" w:cstheme="majorBidi"/>
      <w:color w:val="1C6194" w:themeColor="accent6" w:themeShade="BF"/>
      <w:sz w:val="26"/>
      <w:szCs w:val="26"/>
    </w:rPr>
  </w:style>
  <w:style w:type="character" w:customStyle="1" w:styleId="Heading4Char">
    <w:name w:val="Heading 4 Char"/>
    <w:basedOn w:val="DefaultParagraphFont"/>
    <w:link w:val="Heading4"/>
    <w:uiPriority w:val="9"/>
    <w:rsid w:val="00E11091"/>
    <w:rPr>
      <w:rFonts w:asciiTheme="majorHAnsi" w:eastAsiaTheme="majorEastAsia" w:hAnsiTheme="majorHAnsi" w:cstheme="majorBidi"/>
      <w:i/>
      <w:iCs/>
      <w:color w:val="578793" w:themeColor="accent5" w:themeShade="BF"/>
      <w:sz w:val="25"/>
      <w:szCs w:val="25"/>
    </w:rPr>
  </w:style>
  <w:style w:type="character" w:customStyle="1" w:styleId="Heading5Char">
    <w:name w:val="Heading 5 Char"/>
    <w:basedOn w:val="DefaultParagraphFont"/>
    <w:link w:val="Heading5"/>
    <w:uiPriority w:val="9"/>
    <w:semiHidden/>
    <w:rsid w:val="00E11091"/>
    <w:rPr>
      <w:rFonts w:asciiTheme="majorHAnsi" w:eastAsiaTheme="majorEastAsia" w:hAnsiTheme="majorHAnsi" w:cstheme="majorBidi"/>
      <w:i/>
      <w:iCs/>
      <w:color w:val="265F65" w:themeColor="accent2" w:themeShade="80"/>
      <w:sz w:val="24"/>
      <w:szCs w:val="24"/>
    </w:rPr>
  </w:style>
  <w:style w:type="character" w:customStyle="1" w:styleId="Heading6Char">
    <w:name w:val="Heading 6 Char"/>
    <w:basedOn w:val="DefaultParagraphFont"/>
    <w:link w:val="Heading6"/>
    <w:uiPriority w:val="9"/>
    <w:semiHidden/>
    <w:rsid w:val="00E11091"/>
    <w:rPr>
      <w:rFonts w:asciiTheme="majorHAnsi" w:eastAsiaTheme="majorEastAsia" w:hAnsiTheme="majorHAnsi" w:cstheme="majorBidi"/>
      <w:i/>
      <w:iCs/>
      <w:color w:val="134163" w:themeColor="accent6" w:themeShade="80"/>
      <w:sz w:val="23"/>
      <w:szCs w:val="23"/>
    </w:rPr>
  </w:style>
  <w:style w:type="character" w:customStyle="1" w:styleId="Heading7Char">
    <w:name w:val="Heading 7 Char"/>
    <w:basedOn w:val="DefaultParagraphFont"/>
    <w:link w:val="Heading7"/>
    <w:uiPriority w:val="9"/>
    <w:semiHidden/>
    <w:rsid w:val="00E11091"/>
    <w:rPr>
      <w:rFonts w:asciiTheme="majorHAnsi" w:eastAsiaTheme="majorEastAsia" w:hAnsiTheme="majorHAnsi" w:cstheme="majorBidi"/>
      <w:color w:val="1A495D" w:themeColor="accent1" w:themeShade="80"/>
    </w:rPr>
  </w:style>
  <w:style w:type="character" w:customStyle="1" w:styleId="Heading8Char">
    <w:name w:val="Heading 8 Char"/>
    <w:basedOn w:val="DefaultParagraphFont"/>
    <w:link w:val="Heading8"/>
    <w:uiPriority w:val="9"/>
    <w:semiHidden/>
    <w:rsid w:val="00E11091"/>
    <w:rPr>
      <w:rFonts w:asciiTheme="majorHAnsi" w:eastAsiaTheme="majorEastAsia" w:hAnsiTheme="majorHAnsi" w:cstheme="majorBidi"/>
      <w:color w:val="265F65" w:themeColor="accent2" w:themeShade="80"/>
      <w:sz w:val="21"/>
      <w:szCs w:val="21"/>
    </w:rPr>
  </w:style>
  <w:style w:type="character" w:customStyle="1" w:styleId="Heading9Char">
    <w:name w:val="Heading 9 Char"/>
    <w:basedOn w:val="DefaultParagraphFont"/>
    <w:link w:val="Heading9"/>
    <w:uiPriority w:val="9"/>
    <w:semiHidden/>
    <w:rsid w:val="00E11091"/>
    <w:rPr>
      <w:rFonts w:asciiTheme="majorHAnsi" w:eastAsiaTheme="majorEastAsia" w:hAnsiTheme="majorHAnsi" w:cstheme="majorBidi"/>
      <w:color w:val="134163" w:themeColor="accent6" w:themeShade="80"/>
    </w:rPr>
  </w:style>
  <w:style w:type="paragraph" w:styleId="Title">
    <w:name w:val="Title"/>
    <w:basedOn w:val="Normal"/>
    <w:next w:val="Normal"/>
    <w:link w:val="TitleChar"/>
    <w:uiPriority w:val="10"/>
    <w:qFormat/>
    <w:rsid w:val="00E11091"/>
    <w:pPr>
      <w:spacing w:after="0"/>
      <w:contextualSpacing/>
    </w:pPr>
    <w:rPr>
      <w:rFonts w:asciiTheme="majorHAnsi" w:eastAsiaTheme="majorEastAsia" w:hAnsiTheme="majorHAnsi" w:cstheme="majorBidi"/>
      <w:color w:val="276E8B" w:themeColor="accent1" w:themeShade="BF"/>
      <w:spacing w:val="-10"/>
      <w:sz w:val="52"/>
      <w:szCs w:val="52"/>
    </w:rPr>
  </w:style>
  <w:style w:type="character" w:customStyle="1" w:styleId="TitleChar">
    <w:name w:val="Title Char"/>
    <w:basedOn w:val="DefaultParagraphFont"/>
    <w:link w:val="Title"/>
    <w:uiPriority w:val="10"/>
    <w:rsid w:val="00E11091"/>
    <w:rPr>
      <w:rFonts w:asciiTheme="majorHAnsi" w:eastAsiaTheme="majorEastAsia" w:hAnsiTheme="majorHAnsi" w:cstheme="majorBidi"/>
      <w:color w:val="276E8B" w:themeColor="accent1" w:themeShade="BF"/>
      <w:spacing w:val="-10"/>
      <w:sz w:val="52"/>
      <w:szCs w:val="52"/>
    </w:rPr>
  </w:style>
  <w:style w:type="paragraph" w:styleId="Subtitle">
    <w:name w:val="Subtitle"/>
    <w:basedOn w:val="Normal"/>
    <w:next w:val="Normal"/>
    <w:link w:val="SubtitleChar"/>
    <w:uiPriority w:val="11"/>
    <w:qFormat/>
    <w:rsid w:val="00E11091"/>
    <w:pPr>
      <w:numPr>
        <w:ilvl w:val="1"/>
      </w:numPr>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E11091"/>
    <w:rPr>
      <w:rFonts w:asciiTheme="majorHAnsi" w:eastAsiaTheme="majorEastAsia" w:hAnsiTheme="majorHAnsi" w:cstheme="majorBidi"/>
    </w:rPr>
  </w:style>
  <w:style w:type="paragraph" w:styleId="Quote">
    <w:name w:val="Quote"/>
    <w:basedOn w:val="Normal"/>
    <w:next w:val="Normal"/>
    <w:link w:val="QuoteChar"/>
    <w:uiPriority w:val="29"/>
    <w:qFormat/>
    <w:rsid w:val="00E11091"/>
    <w:pPr>
      <w:spacing w:before="120"/>
      <w:ind w:left="720" w:right="720"/>
      <w:jc w:val="center"/>
    </w:pPr>
    <w:rPr>
      <w:i/>
      <w:iCs/>
    </w:rPr>
  </w:style>
  <w:style w:type="character" w:customStyle="1" w:styleId="QuoteChar">
    <w:name w:val="Quote Char"/>
    <w:basedOn w:val="DefaultParagraphFont"/>
    <w:link w:val="Quote"/>
    <w:uiPriority w:val="29"/>
    <w:rsid w:val="00E11091"/>
    <w:rPr>
      <w:i/>
      <w:iCs/>
    </w:rPr>
  </w:style>
  <w:style w:type="paragraph" w:styleId="ListParagraph">
    <w:name w:val="List Paragraph"/>
    <w:basedOn w:val="Normal"/>
    <w:uiPriority w:val="34"/>
    <w:qFormat/>
    <w:rsid w:val="0032032D"/>
    <w:pPr>
      <w:ind w:left="720"/>
      <w:contextualSpacing/>
    </w:pPr>
  </w:style>
  <w:style w:type="character" w:styleId="IntenseEmphasis">
    <w:name w:val="Intense Emphasis"/>
    <w:basedOn w:val="DefaultParagraphFont"/>
    <w:uiPriority w:val="21"/>
    <w:qFormat/>
    <w:rsid w:val="00E11091"/>
    <w:rPr>
      <w:b w:val="0"/>
      <w:bCs w:val="0"/>
      <w:i/>
      <w:iCs/>
      <w:color w:val="3494BA" w:themeColor="accent1"/>
    </w:rPr>
  </w:style>
  <w:style w:type="paragraph" w:styleId="IntenseQuote">
    <w:name w:val="Intense Quote"/>
    <w:basedOn w:val="Normal"/>
    <w:next w:val="Normal"/>
    <w:link w:val="IntenseQuoteChar"/>
    <w:uiPriority w:val="30"/>
    <w:qFormat/>
    <w:rsid w:val="00E11091"/>
    <w:pPr>
      <w:spacing w:before="120" w:line="300" w:lineRule="auto"/>
      <w:ind w:left="576" w:right="576"/>
      <w:jc w:val="center"/>
    </w:pPr>
    <w:rPr>
      <w:rFonts w:asciiTheme="majorHAnsi" w:eastAsiaTheme="majorEastAsia" w:hAnsiTheme="majorHAnsi" w:cstheme="majorBidi"/>
      <w:color w:val="3494BA" w:themeColor="accent1"/>
      <w:sz w:val="24"/>
      <w:szCs w:val="24"/>
    </w:rPr>
  </w:style>
  <w:style w:type="character" w:customStyle="1" w:styleId="IntenseQuoteChar">
    <w:name w:val="Intense Quote Char"/>
    <w:basedOn w:val="DefaultParagraphFont"/>
    <w:link w:val="IntenseQuote"/>
    <w:uiPriority w:val="30"/>
    <w:rsid w:val="00E11091"/>
    <w:rPr>
      <w:rFonts w:asciiTheme="majorHAnsi" w:eastAsiaTheme="majorEastAsia" w:hAnsiTheme="majorHAnsi" w:cstheme="majorBidi"/>
      <w:color w:val="3494BA" w:themeColor="accent1"/>
      <w:sz w:val="24"/>
      <w:szCs w:val="24"/>
    </w:rPr>
  </w:style>
  <w:style w:type="character" w:styleId="IntenseReference">
    <w:name w:val="Intense Reference"/>
    <w:basedOn w:val="DefaultParagraphFont"/>
    <w:uiPriority w:val="32"/>
    <w:qFormat/>
    <w:rsid w:val="00E11091"/>
    <w:rPr>
      <w:b/>
      <w:bCs/>
      <w:smallCaps/>
      <w:color w:val="3494BA" w:themeColor="accent1"/>
      <w:spacing w:val="5"/>
      <w:u w:val="single"/>
    </w:rPr>
  </w:style>
  <w:style w:type="character" w:styleId="Hyperlink">
    <w:name w:val="Hyperlink"/>
    <w:basedOn w:val="DefaultParagraphFont"/>
    <w:uiPriority w:val="99"/>
    <w:unhideWhenUsed/>
    <w:rsid w:val="00FE2444"/>
    <w:rPr>
      <w:color w:val="0000FF"/>
      <w:u w:val="single"/>
    </w:rPr>
  </w:style>
  <w:style w:type="paragraph" w:styleId="TOCHeading">
    <w:name w:val="TOC Heading"/>
    <w:basedOn w:val="Heading1"/>
    <w:next w:val="Normal"/>
    <w:uiPriority w:val="39"/>
    <w:unhideWhenUsed/>
    <w:qFormat/>
    <w:rsid w:val="00E11091"/>
    <w:pPr>
      <w:outlineLvl w:val="9"/>
    </w:pPr>
  </w:style>
  <w:style w:type="paragraph" w:styleId="TOC2">
    <w:name w:val="toc 2"/>
    <w:basedOn w:val="Normal"/>
    <w:next w:val="Normal"/>
    <w:autoRedefine/>
    <w:uiPriority w:val="39"/>
    <w:unhideWhenUsed/>
    <w:rsid w:val="00FF2777"/>
    <w:pPr>
      <w:spacing w:after="100" w:line="288" w:lineRule="auto"/>
      <w:ind w:left="210"/>
    </w:pPr>
    <w:rPr>
      <w:sz w:val="21"/>
      <w:szCs w:val="21"/>
    </w:rPr>
  </w:style>
  <w:style w:type="paragraph" w:styleId="TOC1">
    <w:name w:val="toc 1"/>
    <w:basedOn w:val="Normal"/>
    <w:next w:val="Normal"/>
    <w:autoRedefine/>
    <w:uiPriority w:val="39"/>
    <w:unhideWhenUsed/>
    <w:rsid w:val="00FF2777"/>
    <w:pPr>
      <w:spacing w:after="100" w:line="288" w:lineRule="auto"/>
    </w:pPr>
    <w:rPr>
      <w:sz w:val="21"/>
      <w:szCs w:val="21"/>
    </w:rPr>
  </w:style>
  <w:style w:type="character" w:styleId="Emphasis">
    <w:name w:val="Emphasis"/>
    <w:basedOn w:val="DefaultParagraphFont"/>
    <w:uiPriority w:val="20"/>
    <w:qFormat/>
    <w:rsid w:val="00E11091"/>
    <w:rPr>
      <w:i/>
      <w:iCs/>
    </w:rPr>
  </w:style>
  <w:style w:type="paragraph" w:styleId="TOC3">
    <w:name w:val="toc 3"/>
    <w:basedOn w:val="Normal"/>
    <w:next w:val="Normal"/>
    <w:autoRedefine/>
    <w:uiPriority w:val="39"/>
    <w:unhideWhenUsed/>
    <w:rsid w:val="007D4E14"/>
    <w:pPr>
      <w:spacing w:after="100" w:line="259" w:lineRule="auto"/>
      <w:ind w:left="440"/>
    </w:pPr>
    <w:rPr>
      <w:rFonts w:cs="Times New Roman"/>
      <w:lang w:eastAsia="en-GB"/>
    </w:rPr>
  </w:style>
  <w:style w:type="paragraph" w:styleId="Header">
    <w:name w:val="header"/>
    <w:basedOn w:val="Normal"/>
    <w:link w:val="HeaderChar"/>
    <w:uiPriority w:val="99"/>
    <w:unhideWhenUsed/>
    <w:rsid w:val="007D4E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E14"/>
  </w:style>
  <w:style w:type="paragraph" w:styleId="Footer">
    <w:name w:val="footer"/>
    <w:basedOn w:val="Normal"/>
    <w:link w:val="FooterChar"/>
    <w:uiPriority w:val="99"/>
    <w:unhideWhenUsed/>
    <w:rsid w:val="007D4E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E14"/>
  </w:style>
  <w:style w:type="paragraph" w:styleId="NoSpacing">
    <w:name w:val="No Spacing"/>
    <w:link w:val="NoSpacingChar"/>
    <w:uiPriority w:val="1"/>
    <w:qFormat/>
    <w:rsid w:val="00E11091"/>
    <w:pPr>
      <w:spacing w:after="0"/>
    </w:pPr>
  </w:style>
  <w:style w:type="character" w:customStyle="1" w:styleId="NoSpacingChar">
    <w:name w:val="No Spacing Char"/>
    <w:basedOn w:val="DefaultParagraphFont"/>
    <w:link w:val="NoSpacing"/>
    <w:uiPriority w:val="1"/>
    <w:rsid w:val="002A035F"/>
  </w:style>
  <w:style w:type="paragraph" w:styleId="Caption">
    <w:name w:val="caption"/>
    <w:basedOn w:val="Normal"/>
    <w:next w:val="Normal"/>
    <w:uiPriority w:val="35"/>
    <w:semiHidden/>
    <w:unhideWhenUsed/>
    <w:qFormat/>
    <w:rsid w:val="00E11091"/>
    <w:rPr>
      <w:b/>
      <w:bCs/>
      <w:smallCaps/>
      <w:color w:val="3494BA" w:themeColor="accent1"/>
      <w:spacing w:val="6"/>
    </w:rPr>
  </w:style>
  <w:style w:type="character" w:styleId="Strong">
    <w:name w:val="Strong"/>
    <w:basedOn w:val="DefaultParagraphFont"/>
    <w:uiPriority w:val="22"/>
    <w:qFormat/>
    <w:rsid w:val="00E11091"/>
    <w:rPr>
      <w:b/>
      <w:bCs/>
    </w:rPr>
  </w:style>
  <w:style w:type="character" w:styleId="SubtleEmphasis">
    <w:name w:val="Subtle Emphasis"/>
    <w:basedOn w:val="DefaultParagraphFont"/>
    <w:uiPriority w:val="19"/>
    <w:qFormat/>
    <w:rsid w:val="00E11091"/>
    <w:rPr>
      <w:i/>
      <w:iCs/>
      <w:color w:val="404040" w:themeColor="text1" w:themeTint="BF"/>
    </w:rPr>
  </w:style>
  <w:style w:type="character" w:styleId="SubtleReference">
    <w:name w:val="Subtle Reference"/>
    <w:basedOn w:val="DefaultParagraphFont"/>
    <w:uiPriority w:val="31"/>
    <w:qFormat/>
    <w:rsid w:val="00E11091"/>
    <w:rPr>
      <w:smallCaps/>
      <w:color w:val="404040" w:themeColor="text1" w:themeTint="BF"/>
      <w:u w:val="single" w:color="7F7F7F" w:themeColor="text1" w:themeTint="80"/>
    </w:rPr>
  </w:style>
  <w:style w:type="character" w:styleId="BookTitle">
    <w:name w:val="Book Title"/>
    <w:basedOn w:val="DefaultParagraphFont"/>
    <w:uiPriority w:val="33"/>
    <w:qFormat/>
    <w:rsid w:val="00E11091"/>
    <w:rPr>
      <w:b/>
      <w:bCs/>
      <w:smallCaps/>
    </w:rPr>
  </w:style>
  <w:style w:type="character" w:styleId="UnresolvedMention">
    <w:name w:val="Unresolved Mention"/>
    <w:basedOn w:val="DefaultParagraphFont"/>
    <w:uiPriority w:val="99"/>
    <w:semiHidden/>
    <w:unhideWhenUsed/>
    <w:rsid w:val="00E11EFD"/>
    <w:rPr>
      <w:color w:val="605E5C"/>
      <w:shd w:val="clear" w:color="auto" w:fill="E1DFDD"/>
    </w:rPr>
  </w:style>
  <w:style w:type="paragraph" w:customStyle="1" w:styleId="Default">
    <w:name w:val="Default"/>
    <w:rsid w:val="006662A2"/>
    <w:pPr>
      <w:autoSpaceDE w:val="0"/>
      <w:autoSpaceDN w:val="0"/>
      <w:adjustRightInd w:val="0"/>
      <w:spacing w:after="0" w:line="240" w:lineRule="auto"/>
    </w:pPr>
    <w:rPr>
      <w:rFonts w:ascii="Palatino Linotype" w:hAnsi="Palatino Linotype" w:cs="Palatino Linotype"/>
      <w:color w:val="000000"/>
      <w:sz w:val="24"/>
      <w:szCs w:val="24"/>
    </w:rPr>
  </w:style>
  <w:style w:type="paragraph" w:customStyle="1" w:styleId="paragraph">
    <w:name w:val="paragraph"/>
    <w:basedOn w:val="Normal"/>
    <w:rsid w:val="005124ED"/>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5124ED"/>
  </w:style>
  <w:style w:type="character" w:customStyle="1" w:styleId="eop">
    <w:name w:val="eop"/>
    <w:basedOn w:val="DefaultParagraphFont"/>
    <w:rsid w:val="005124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467657">
      <w:bodyDiv w:val="1"/>
      <w:marLeft w:val="0"/>
      <w:marRight w:val="0"/>
      <w:marTop w:val="0"/>
      <w:marBottom w:val="0"/>
      <w:divBdr>
        <w:top w:val="none" w:sz="0" w:space="0" w:color="auto"/>
        <w:left w:val="none" w:sz="0" w:space="0" w:color="auto"/>
        <w:bottom w:val="none" w:sz="0" w:space="0" w:color="auto"/>
        <w:right w:val="none" w:sz="0" w:space="0" w:color="auto"/>
      </w:divBdr>
    </w:div>
    <w:div w:id="66998642">
      <w:bodyDiv w:val="1"/>
      <w:marLeft w:val="0"/>
      <w:marRight w:val="0"/>
      <w:marTop w:val="0"/>
      <w:marBottom w:val="0"/>
      <w:divBdr>
        <w:top w:val="none" w:sz="0" w:space="0" w:color="auto"/>
        <w:left w:val="none" w:sz="0" w:space="0" w:color="auto"/>
        <w:bottom w:val="none" w:sz="0" w:space="0" w:color="auto"/>
        <w:right w:val="none" w:sz="0" w:space="0" w:color="auto"/>
      </w:divBdr>
    </w:div>
    <w:div w:id="71201064">
      <w:bodyDiv w:val="1"/>
      <w:marLeft w:val="0"/>
      <w:marRight w:val="0"/>
      <w:marTop w:val="0"/>
      <w:marBottom w:val="0"/>
      <w:divBdr>
        <w:top w:val="none" w:sz="0" w:space="0" w:color="auto"/>
        <w:left w:val="none" w:sz="0" w:space="0" w:color="auto"/>
        <w:bottom w:val="none" w:sz="0" w:space="0" w:color="auto"/>
        <w:right w:val="none" w:sz="0" w:space="0" w:color="auto"/>
      </w:divBdr>
    </w:div>
    <w:div w:id="72552474">
      <w:bodyDiv w:val="1"/>
      <w:marLeft w:val="0"/>
      <w:marRight w:val="0"/>
      <w:marTop w:val="0"/>
      <w:marBottom w:val="0"/>
      <w:divBdr>
        <w:top w:val="none" w:sz="0" w:space="0" w:color="auto"/>
        <w:left w:val="none" w:sz="0" w:space="0" w:color="auto"/>
        <w:bottom w:val="none" w:sz="0" w:space="0" w:color="auto"/>
        <w:right w:val="none" w:sz="0" w:space="0" w:color="auto"/>
      </w:divBdr>
    </w:div>
    <w:div w:id="89785077">
      <w:bodyDiv w:val="1"/>
      <w:marLeft w:val="0"/>
      <w:marRight w:val="0"/>
      <w:marTop w:val="0"/>
      <w:marBottom w:val="0"/>
      <w:divBdr>
        <w:top w:val="none" w:sz="0" w:space="0" w:color="auto"/>
        <w:left w:val="none" w:sz="0" w:space="0" w:color="auto"/>
        <w:bottom w:val="none" w:sz="0" w:space="0" w:color="auto"/>
        <w:right w:val="none" w:sz="0" w:space="0" w:color="auto"/>
      </w:divBdr>
    </w:div>
    <w:div w:id="140345051">
      <w:bodyDiv w:val="1"/>
      <w:marLeft w:val="0"/>
      <w:marRight w:val="0"/>
      <w:marTop w:val="0"/>
      <w:marBottom w:val="0"/>
      <w:divBdr>
        <w:top w:val="none" w:sz="0" w:space="0" w:color="auto"/>
        <w:left w:val="none" w:sz="0" w:space="0" w:color="auto"/>
        <w:bottom w:val="none" w:sz="0" w:space="0" w:color="auto"/>
        <w:right w:val="none" w:sz="0" w:space="0" w:color="auto"/>
      </w:divBdr>
    </w:div>
    <w:div w:id="142897986">
      <w:bodyDiv w:val="1"/>
      <w:marLeft w:val="0"/>
      <w:marRight w:val="0"/>
      <w:marTop w:val="0"/>
      <w:marBottom w:val="0"/>
      <w:divBdr>
        <w:top w:val="none" w:sz="0" w:space="0" w:color="auto"/>
        <w:left w:val="none" w:sz="0" w:space="0" w:color="auto"/>
        <w:bottom w:val="none" w:sz="0" w:space="0" w:color="auto"/>
        <w:right w:val="none" w:sz="0" w:space="0" w:color="auto"/>
      </w:divBdr>
    </w:div>
    <w:div w:id="153424155">
      <w:bodyDiv w:val="1"/>
      <w:marLeft w:val="0"/>
      <w:marRight w:val="0"/>
      <w:marTop w:val="0"/>
      <w:marBottom w:val="0"/>
      <w:divBdr>
        <w:top w:val="none" w:sz="0" w:space="0" w:color="auto"/>
        <w:left w:val="none" w:sz="0" w:space="0" w:color="auto"/>
        <w:bottom w:val="none" w:sz="0" w:space="0" w:color="auto"/>
        <w:right w:val="none" w:sz="0" w:space="0" w:color="auto"/>
      </w:divBdr>
    </w:div>
    <w:div w:id="191890415">
      <w:bodyDiv w:val="1"/>
      <w:marLeft w:val="0"/>
      <w:marRight w:val="0"/>
      <w:marTop w:val="0"/>
      <w:marBottom w:val="0"/>
      <w:divBdr>
        <w:top w:val="none" w:sz="0" w:space="0" w:color="auto"/>
        <w:left w:val="none" w:sz="0" w:space="0" w:color="auto"/>
        <w:bottom w:val="none" w:sz="0" w:space="0" w:color="auto"/>
        <w:right w:val="none" w:sz="0" w:space="0" w:color="auto"/>
      </w:divBdr>
    </w:div>
    <w:div w:id="258031356">
      <w:bodyDiv w:val="1"/>
      <w:marLeft w:val="0"/>
      <w:marRight w:val="0"/>
      <w:marTop w:val="0"/>
      <w:marBottom w:val="0"/>
      <w:divBdr>
        <w:top w:val="none" w:sz="0" w:space="0" w:color="auto"/>
        <w:left w:val="none" w:sz="0" w:space="0" w:color="auto"/>
        <w:bottom w:val="none" w:sz="0" w:space="0" w:color="auto"/>
        <w:right w:val="none" w:sz="0" w:space="0" w:color="auto"/>
      </w:divBdr>
    </w:div>
    <w:div w:id="266082784">
      <w:bodyDiv w:val="1"/>
      <w:marLeft w:val="0"/>
      <w:marRight w:val="0"/>
      <w:marTop w:val="0"/>
      <w:marBottom w:val="0"/>
      <w:divBdr>
        <w:top w:val="none" w:sz="0" w:space="0" w:color="auto"/>
        <w:left w:val="none" w:sz="0" w:space="0" w:color="auto"/>
        <w:bottom w:val="none" w:sz="0" w:space="0" w:color="auto"/>
        <w:right w:val="none" w:sz="0" w:space="0" w:color="auto"/>
      </w:divBdr>
    </w:div>
    <w:div w:id="266620458">
      <w:bodyDiv w:val="1"/>
      <w:marLeft w:val="0"/>
      <w:marRight w:val="0"/>
      <w:marTop w:val="0"/>
      <w:marBottom w:val="0"/>
      <w:divBdr>
        <w:top w:val="none" w:sz="0" w:space="0" w:color="auto"/>
        <w:left w:val="none" w:sz="0" w:space="0" w:color="auto"/>
        <w:bottom w:val="none" w:sz="0" w:space="0" w:color="auto"/>
        <w:right w:val="none" w:sz="0" w:space="0" w:color="auto"/>
      </w:divBdr>
    </w:div>
    <w:div w:id="276763481">
      <w:bodyDiv w:val="1"/>
      <w:marLeft w:val="0"/>
      <w:marRight w:val="0"/>
      <w:marTop w:val="0"/>
      <w:marBottom w:val="0"/>
      <w:divBdr>
        <w:top w:val="none" w:sz="0" w:space="0" w:color="auto"/>
        <w:left w:val="none" w:sz="0" w:space="0" w:color="auto"/>
        <w:bottom w:val="none" w:sz="0" w:space="0" w:color="auto"/>
        <w:right w:val="none" w:sz="0" w:space="0" w:color="auto"/>
      </w:divBdr>
    </w:div>
    <w:div w:id="303700002">
      <w:bodyDiv w:val="1"/>
      <w:marLeft w:val="0"/>
      <w:marRight w:val="0"/>
      <w:marTop w:val="0"/>
      <w:marBottom w:val="0"/>
      <w:divBdr>
        <w:top w:val="none" w:sz="0" w:space="0" w:color="auto"/>
        <w:left w:val="none" w:sz="0" w:space="0" w:color="auto"/>
        <w:bottom w:val="none" w:sz="0" w:space="0" w:color="auto"/>
        <w:right w:val="none" w:sz="0" w:space="0" w:color="auto"/>
      </w:divBdr>
    </w:div>
    <w:div w:id="317540808">
      <w:bodyDiv w:val="1"/>
      <w:marLeft w:val="0"/>
      <w:marRight w:val="0"/>
      <w:marTop w:val="0"/>
      <w:marBottom w:val="0"/>
      <w:divBdr>
        <w:top w:val="none" w:sz="0" w:space="0" w:color="auto"/>
        <w:left w:val="none" w:sz="0" w:space="0" w:color="auto"/>
        <w:bottom w:val="none" w:sz="0" w:space="0" w:color="auto"/>
        <w:right w:val="none" w:sz="0" w:space="0" w:color="auto"/>
      </w:divBdr>
    </w:div>
    <w:div w:id="322007387">
      <w:bodyDiv w:val="1"/>
      <w:marLeft w:val="0"/>
      <w:marRight w:val="0"/>
      <w:marTop w:val="0"/>
      <w:marBottom w:val="0"/>
      <w:divBdr>
        <w:top w:val="none" w:sz="0" w:space="0" w:color="auto"/>
        <w:left w:val="none" w:sz="0" w:space="0" w:color="auto"/>
        <w:bottom w:val="none" w:sz="0" w:space="0" w:color="auto"/>
        <w:right w:val="none" w:sz="0" w:space="0" w:color="auto"/>
      </w:divBdr>
    </w:div>
    <w:div w:id="335765304">
      <w:bodyDiv w:val="1"/>
      <w:marLeft w:val="0"/>
      <w:marRight w:val="0"/>
      <w:marTop w:val="0"/>
      <w:marBottom w:val="0"/>
      <w:divBdr>
        <w:top w:val="none" w:sz="0" w:space="0" w:color="auto"/>
        <w:left w:val="none" w:sz="0" w:space="0" w:color="auto"/>
        <w:bottom w:val="none" w:sz="0" w:space="0" w:color="auto"/>
        <w:right w:val="none" w:sz="0" w:space="0" w:color="auto"/>
      </w:divBdr>
    </w:div>
    <w:div w:id="348794075">
      <w:bodyDiv w:val="1"/>
      <w:marLeft w:val="0"/>
      <w:marRight w:val="0"/>
      <w:marTop w:val="0"/>
      <w:marBottom w:val="0"/>
      <w:divBdr>
        <w:top w:val="none" w:sz="0" w:space="0" w:color="auto"/>
        <w:left w:val="none" w:sz="0" w:space="0" w:color="auto"/>
        <w:bottom w:val="none" w:sz="0" w:space="0" w:color="auto"/>
        <w:right w:val="none" w:sz="0" w:space="0" w:color="auto"/>
      </w:divBdr>
    </w:div>
    <w:div w:id="359671671">
      <w:bodyDiv w:val="1"/>
      <w:marLeft w:val="0"/>
      <w:marRight w:val="0"/>
      <w:marTop w:val="0"/>
      <w:marBottom w:val="0"/>
      <w:divBdr>
        <w:top w:val="none" w:sz="0" w:space="0" w:color="auto"/>
        <w:left w:val="none" w:sz="0" w:space="0" w:color="auto"/>
        <w:bottom w:val="none" w:sz="0" w:space="0" w:color="auto"/>
        <w:right w:val="none" w:sz="0" w:space="0" w:color="auto"/>
      </w:divBdr>
    </w:div>
    <w:div w:id="361250122">
      <w:bodyDiv w:val="1"/>
      <w:marLeft w:val="0"/>
      <w:marRight w:val="0"/>
      <w:marTop w:val="0"/>
      <w:marBottom w:val="0"/>
      <w:divBdr>
        <w:top w:val="none" w:sz="0" w:space="0" w:color="auto"/>
        <w:left w:val="none" w:sz="0" w:space="0" w:color="auto"/>
        <w:bottom w:val="none" w:sz="0" w:space="0" w:color="auto"/>
        <w:right w:val="none" w:sz="0" w:space="0" w:color="auto"/>
      </w:divBdr>
    </w:div>
    <w:div w:id="365258584">
      <w:bodyDiv w:val="1"/>
      <w:marLeft w:val="0"/>
      <w:marRight w:val="0"/>
      <w:marTop w:val="0"/>
      <w:marBottom w:val="0"/>
      <w:divBdr>
        <w:top w:val="none" w:sz="0" w:space="0" w:color="auto"/>
        <w:left w:val="none" w:sz="0" w:space="0" w:color="auto"/>
        <w:bottom w:val="none" w:sz="0" w:space="0" w:color="auto"/>
        <w:right w:val="none" w:sz="0" w:space="0" w:color="auto"/>
      </w:divBdr>
    </w:div>
    <w:div w:id="365788983">
      <w:bodyDiv w:val="1"/>
      <w:marLeft w:val="0"/>
      <w:marRight w:val="0"/>
      <w:marTop w:val="0"/>
      <w:marBottom w:val="0"/>
      <w:divBdr>
        <w:top w:val="none" w:sz="0" w:space="0" w:color="auto"/>
        <w:left w:val="none" w:sz="0" w:space="0" w:color="auto"/>
        <w:bottom w:val="none" w:sz="0" w:space="0" w:color="auto"/>
        <w:right w:val="none" w:sz="0" w:space="0" w:color="auto"/>
      </w:divBdr>
    </w:div>
    <w:div w:id="371613234">
      <w:bodyDiv w:val="1"/>
      <w:marLeft w:val="0"/>
      <w:marRight w:val="0"/>
      <w:marTop w:val="0"/>
      <w:marBottom w:val="0"/>
      <w:divBdr>
        <w:top w:val="none" w:sz="0" w:space="0" w:color="auto"/>
        <w:left w:val="none" w:sz="0" w:space="0" w:color="auto"/>
        <w:bottom w:val="none" w:sz="0" w:space="0" w:color="auto"/>
        <w:right w:val="none" w:sz="0" w:space="0" w:color="auto"/>
      </w:divBdr>
    </w:div>
    <w:div w:id="381440660">
      <w:bodyDiv w:val="1"/>
      <w:marLeft w:val="0"/>
      <w:marRight w:val="0"/>
      <w:marTop w:val="0"/>
      <w:marBottom w:val="0"/>
      <w:divBdr>
        <w:top w:val="none" w:sz="0" w:space="0" w:color="auto"/>
        <w:left w:val="none" w:sz="0" w:space="0" w:color="auto"/>
        <w:bottom w:val="none" w:sz="0" w:space="0" w:color="auto"/>
        <w:right w:val="none" w:sz="0" w:space="0" w:color="auto"/>
      </w:divBdr>
    </w:div>
    <w:div w:id="406804635">
      <w:bodyDiv w:val="1"/>
      <w:marLeft w:val="0"/>
      <w:marRight w:val="0"/>
      <w:marTop w:val="0"/>
      <w:marBottom w:val="0"/>
      <w:divBdr>
        <w:top w:val="none" w:sz="0" w:space="0" w:color="auto"/>
        <w:left w:val="none" w:sz="0" w:space="0" w:color="auto"/>
        <w:bottom w:val="none" w:sz="0" w:space="0" w:color="auto"/>
        <w:right w:val="none" w:sz="0" w:space="0" w:color="auto"/>
      </w:divBdr>
    </w:div>
    <w:div w:id="407652190">
      <w:bodyDiv w:val="1"/>
      <w:marLeft w:val="0"/>
      <w:marRight w:val="0"/>
      <w:marTop w:val="0"/>
      <w:marBottom w:val="0"/>
      <w:divBdr>
        <w:top w:val="none" w:sz="0" w:space="0" w:color="auto"/>
        <w:left w:val="none" w:sz="0" w:space="0" w:color="auto"/>
        <w:bottom w:val="none" w:sz="0" w:space="0" w:color="auto"/>
        <w:right w:val="none" w:sz="0" w:space="0" w:color="auto"/>
      </w:divBdr>
    </w:div>
    <w:div w:id="411044122">
      <w:bodyDiv w:val="1"/>
      <w:marLeft w:val="0"/>
      <w:marRight w:val="0"/>
      <w:marTop w:val="0"/>
      <w:marBottom w:val="0"/>
      <w:divBdr>
        <w:top w:val="none" w:sz="0" w:space="0" w:color="auto"/>
        <w:left w:val="none" w:sz="0" w:space="0" w:color="auto"/>
        <w:bottom w:val="none" w:sz="0" w:space="0" w:color="auto"/>
        <w:right w:val="none" w:sz="0" w:space="0" w:color="auto"/>
      </w:divBdr>
    </w:div>
    <w:div w:id="412509944">
      <w:bodyDiv w:val="1"/>
      <w:marLeft w:val="0"/>
      <w:marRight w:val="0"/>
      <w:marTop w:val="0"/>
      <w:marBottom w:val="0"/>
      <w:divBdr>
        <w:top w:val="none" w:sz="0" w:space="0" w:color="auto"/>
        <w:left w:val="none" w:sz="0" w:space="0" w:color="auto"/>
        <w:bottom w:val="none" w:sz="0" w:space="0" w:color="auto"/>
        <w:right w:val="none" w:sz="0" w:space="0" w:color="auto"/>
      </w:divBdr>
    </w:div>
    <w:div w:id="421223952">
      <w:bodyDiv w:val="1"/>
      <w:marLeft w:val="0"/>
      <w:marRight w:val="0"/>
      <w:marTop w:val="0"/>
      <w:marBottom w:val="0"/>
      <w:divBdr>
        <w:top w:val="none" w:sz="0" w:space="0" w:color="auto"/>
        <w:left w:val="none" w:sz="0" w:space="0" w:color="auto"/>
        <w:bottom w:val="none" w:sz="0" w:space="0" w:color="auto"/>
        <w:right w:val="none" w:sz="0" w:space="0" w:color="auto"/>
      </w:divBdr>
      <w:divsChild>
        <w:div w:id="411587707">
          <w:marLeft w:val="0"/>
          <w:marRight w:val="0"/>
          <w:marTop w:val="0"/>
          <w:marBottom w:val="0"/>
          <w:divBdr>
            <w:top w:val="none" w:sz="0" w:space="0" w:color="auto"/>
            <w:left w:val="none" w:sz="0" w:space="0" w:color="auto"/>
            <w:bottom w:val="none" w:sz="0" w:space="0" w:color="auto"/>
            <w:right w:val="none" w:sz="0" w:space="0" w:color="auto"/>
          </w:divBdr>
          <w:divsChild>
            <w:div w:id="1258947828">
              <w:marLeft w:val="0"/>
              <w:marRight w:val="0"/>
              <w:marTop w:val="0"/>
              <w:marBottom w:val="0"/>
              <w:divBdr>
                <w:top w:val="none" w:sz="0" w:space="0" w:color="auto"/>
                <w:left w:val="none" w:sz="0" w:space="0" w:color="auto"/>
                <w:bottom w:val="none" w:sz="0" w:space="0" w:color="auto"/>
                <w:right w:val="none" w:sz="0" w:space="0" w:color="auto"/>
              </w:divBdr>
              <w:divsChild>
                <w:div w:id="239413953">
                  <w:marLeft w:val="0"/>
                  <w:marRight w:val="0"/>
                  <w:marTop w:val="0"/>
                  <w:marBottom w:val="0"/>
                  <w:divBdr>
                    <w:top w:val="none" w:sz="0" w:space="0" w:color="auto"/>
                    <w:left w:val="none" w:sz="0" w:space="0" w:color="auto"/>
                    <w:bottom w:val="none" w:sz="0" w:space="0" w:color="auto"/>
                    <w:right w:val="none" w:sz="0" w:space="0" w:color="auto"/>
                  </w:divBdr>
                  <w:divsChild>
                    <w:div w:id="52902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9250608">
      <w:bodyDiv w:val="1"/>
      <w:marLeft w:val="0"/>
      <w:marRight w:val="0"/>
      <w:marTop w:val="0"/>
      <w:marBottom w:val="0"/>
      <w:divBdr>
        <w:top w:val="none" w:sz="0" w:space="0" w:color="auto"/>
        <w:left w:val="none" w:sz="0" w:space="0" w:color="auto"/>
        <w:bottom w:val="none" w:sz="0" w:space="0" w:color="auto"/>
        <w:right w:val="none" w:sz="0" w:space="0" w:color="auto"/>
      </w:divBdr>
    </w:div>
    <w:div w:id="577637113">
      <w:bodyDiv w:val="1"/>
      <w:marLeft w:val="0"/>
      <w:marRight w:val="0"/>
      <w:marTop w:val="0"/>
      <w:marBottom w:val="0"/>
      <w:divBdr>
        <w:top w:val="none" w:sz="0" w:space="0" w:color="auto"/>
        <w:left w:val="none" w:sz="0" w:space="0" w:color="auto"/>
        <w:bottom w:val="none" w:sz="0" w:space="0" w:color="auto"/>
        <w:right w:val="none" w:sz="0" w:space="0" w:color="auto"/>
      </w:divBdr>
    </w:div>
    <w:div w:id="621770831">
      <w:bodyDiv w:val="1"/>
      <w:marLeft w:val="0"/>
      <w:marRight w:val="0"/>
      <w:marTop w:val="0"/>
      <w:marBottom w:val="0"/>
      <w:divBdr>
        <w:top w:val="none" w:sz="0" w:space="0" w:color="auto"/>
        <w:left w:val="none" w:sz="0" w:space="0" w:color="auto"/>
        <w:bottom w:val="none" w:sz="0" w:space="0" w:color="auto"/>
        <w:right w:val="none" w:sz="0" w:space="0" w:color="auto"/>
      </w:divBdr>
    </w:div>
    <w:div w:id="641689311">
      <w:bodyDiv w:val="1"/>
      <w:marLeft w:val="0"/>
      <w:marRight w:val="0"/>
      <w:marTop w:val="0"/>
      <w:marBottom w:val="0"/>
      <w:divBdr>
        <w:top w:val="none" w:sz="0" w:space="0" w:color="auto"/>
        <w:left w:val="none" w:sz="0" w:space="0" w:color="auto"/>
        <w:bottom w:val="none" w:sz="0" w:space="0" w:color="auto"/>
        <w:right w:val="none" w:sz="0" w:space="0" w:color="auto"/>
      </w:divBdr>
    </w:div>
    <w:div w:id="643703411">
      <w:bodyDiv w:val="1"/>
      <w:marLeft w:val="0"/>
      <w:marRight w:val="0"/>
      <w:marTop w:val="0"/>
      <w:marBottom w:val="0"/>
      <w:divBdr>
        <w:top w:val="none" w:sz="0" w:space="0" w:color="auto"/>
        <w:left w:val="none" w:sz="0" w:space="0" w:color="auto"/>
        <w:bottom w:val="none" w:sz="0" w:space="0" w:color="auto"/>
        <w:right w:val="none" w:sz="0" w:space="0" w:color="auto"/>
      </w:divBdr>
    </w:div>
    <w:div w:id="649796140">
      <w:bodyDiv w:val="1"/>
      <w:marLeft w:val="0"/>
      <w:marRight w:val="0"/>
      <w:marTop w:val="0"/>
      <w:marBottom w:val="0"/>
      <w:divBdr>
        <w:top w:val="none" w:sz="0" w:space="0" w:color="auto"/>
        <w:left w:val="none" w:sz="0" w:space="0" w:color="auto"/>
        <w:bottom w:val="none" w:sz="0" w:space="0" w:color="auto"/>
        <w:right w:val="none" w:sz="0" w:space="0" w:color="auto"/>
      </w:divBdr>
    </w:div>
    <w:div w:id="674839734">
      <w:bodyDiv w:val="1"/>
      <w:marLeft w:val="0"/>
      <w:marRight w:val="0"/>
      <w:marTop w:val="0"/>
      <w:marBottom w:val="0"/>
      <w:divBdr>
        <w:top w:val="none" w:sz="0" w:space="0" w:color="auto"/>
        <w:left w:val="none" w:sz="0" w:space="0" w:color="auto"/>
        <w:bottom w:val="none" w:sz="0" w:space="0" w:color="auto"/>
        <w:right w:val="none" w:sz="0" w:space="0" w:color="auto"/>
      </w:divBdr>
    </w:div>
    <w:div w:id="717778563">
      <w:bodyDiv w:val="1"/>
      <w:marLeft w:val="0"/>
      <w:marRight w:val="0"/>
      <w:marTop w:val="0"/>
      <w:marBottom w:val="0"/>
      <w:divBdr>
        <w:top w:val="none" w:sz="0" w:space="0" w:color="auto"/>
        <w:left w:val="none" w:sz="0" w:space="0" w:color="auto"/>
        <w:bottom w:val="none" w:sz="0" w:space="0" w:color="auto"/>
        <w:right w:val="none" w:sz="0" w:space="0" w:color="auto"/>
      </w:divBdr>
    </w:div>
    <w:div w:id="777918050">
      <w:bodyDiv w:val="1"/>
      <w:marLeft w:val="0"/>
      <w:marRight w:val="0"/>
      <w:marTop w:val="0"/>
      <w:marBottom w:val="0"/>
      <w:divBdr>
        <w:top w:val="none" w:sz="0" w:space="0" w:color="auto"/>
        <w:left w:val="none" w:sz="0" w:space="0" w:color="auto"/>
        <w:bottom w:val="none" w:sz="0" w:space="0" w:color="auto"/>
        <w:right w:val="none" w:sz="0" w:space="0" w:color="auto"/>
      </w:divBdr>
    </w:div>
    <w:div w:id="830559840">
      <w:bodyDiv w:val="1"/>
      <w:marLeft w:val="0"/>
      <w:marRight w:val="0"/>
      <w:marTop w:val="0"/>
      <w:marBottom w:val="0"/>
      <w:divBdr>
        <w:top w:val="none" w:sz="0" w:space="0" w:color="auto"/>
        <w:left w:val="none" w:sz="0" w:space="0" w:color="auto"/>
        <w:bottom w:val="none" w:sz="0" w:space="0" w:color="auto"/>
        <w:right w:val="none" w:sz="0" w:space="0" w:color="auto"/>
      </w:divBdr>
    </w:div>
    <w:div w:id="836572753">
      <w:bodyDiv w:val="1"/>
      <w:marLeft w:val="0"/>
      <w:marRight w:val="0"/>
      <w:marTop w:val="0"/>
      <w:marBottom w:val="0"/>
      <w:divBdr>
        <w:top w:val="none" w:sz="0" w:space="0" w:color="auto"/>
        <w:left w:val="none" w:sz="0" w:space="0" w:color="auto"/>
        <w:bottom w:val="none" w:sz="0" w:space="0" w:color="auto"/>
        <w:right w:val="none" w:sz="0" w:space="0" w:color="auto"/>
      </w:divBdr>
    </w:div>
    <w:div w:id="858541528">
      <w:bodyDiv w:val="1"/>
      <w:marLeft w:val="0"/>
      <w:marRight w:val="0"/>
      <w:marTop w:val="0"/>
      <w:marBottom w:val="0"/>
      <w:divBdr>
        <w:top w:val="none" w:sz="0" w:space="0" w:color="auto"/>
        <w:left w:val="none" w:sz="0" w:space="0" w:color="auto"/>
        <w:bottom w:val="none" w:sz="0" w:space="0" w:color="auto"/>
        <w:right w:val="none" w:sz="0" w:space="0" w:color="auto"/>
      </w:divBdr>
    </w:div>
    <w:div w:id="863982185">
      <w:bodyDiv w:val="1"/>
      <w:marLeft w:val="0"/>
      <w:marRight w:val="0"/>
      <w:marTop w:val="0"/>
      <w:marBottom w:val="0"/>
      <w:divBdr>
        <w:top w:val="none" w:sz="0" w:space="0" w:color="auto"/>
        <w:left w:val="none" w:sz="0" w:space="0" w:color="auto"/>
        <w:bottom w:val="none" w:sz="0" w:space="0" w:color="auto"/>
        <w:right w:val="none" w:sz="0" w:space="0" w:color="auto"/>
      </w:divBdr>
    </w:div>
    <w:div w:id="893585427">
      <w:bodyDiv w:val="1"/>
      <w:marLeft w:val="0"/>
      <w:marRight w:val="0"/>
      <w:marTop w:val="0"/>
      <w:marBottom w:val="0"/>
      <w:divBdr>
        <w:top w:val="none" w:sz="0" w:space="0" w:color="auto"/>
        <w:left w:val="none" w:sz="0" w:space="0" w:color="auto"/>
        <w:bottom w:val="none" w:sz="0" w:space="0" w:color="auto"/>
        <w:right w:val="none" w:sz="0" w:space="0" w:color="auto"/>
      </w:divBdr>
    </w:div>
    <w:div w:id="913321262">
      <w:bodyDiv w:val="1"/>
      <w:marLeft w:val="0"/>
      <w:marRight w:val="0"/>
      <w:marTop w:val="0"/>
      <w:marBottom w:val="0"/>
      <w:divBdr>
        <w:top w:val="none" w:sz="0" w:space="0" w:color="auto"/>
        <w:left w:val="none" w:sz="0" w:space="0" w:color="auto"/>
        <w:bottom w:val="none" w:sz="0" w:space="0" w:color="auto"/>
        <w:right w:val="none" w:sz="0" w:space="0" w:color="auto"/>
      </w:divBdr>
    </w:div>
    <w:div w:id="922687124">
      <w:bodyDiv w:val="1"/>
      <w:marLeft w:val="0"/>
      <w:marRight w:val="0"/>
      <w:marTop w:val="0"/>
      <w:marBottom w:val="0"/>
      <w:divBdr>
        <w:top w:val="none" w:sz="0" w:space="0" w:color="auto"/>
        <w:left w:val="none" w:sz="0" w:space="0" w:color="auto"/>
        <w:bottom w:val="none" w:sz="0" w:space="0" w:color="auto"/>
        <w:right w:val="none" w:sz="0" w:space="0" w:color="auto"/>
      </w:divBdr>
    </w:div>
    <w:div w:id="937564908">
      <w:bodyDiv w:val="1"/>
      <w:marLeft w:val="0"/>
      <w:marRight w:val="0"/>
      <w:marTop w:val="0"/>
      <w:marBottom w:val="0"/>
      <w:divBdr>
        <w:top w:val="none" w:sz="0" w:space="0" w:color="auto"/>
        <w:left w:val="none" w:sz="0" w:space="0" w:color="auto"/>
        <w:bottom w:val="none" w:sz="0" w:space="0" w:color="auto"/>
        <w:right w:val="none" w:sz="0" w:space="0" w:color="auto"/>
      </w:divBdr>
    </w:div>
    <w:div w:id="965618868">
      <w:bodyDiv w:val="1"/>
      <w:marLeft w:val="0"/>
      <w:marRight w:val="0"/>
      <w:marTop w:val="0"/>
      <w:marBottom w:val="0"/>
      <w:divBdr>
        <w:top w:val="none" w:sz="0" w:space="0" w:color="auto"/>
        <w:left w:val="none" w:sz="0" w:space="0" w:color="auto"/>
        <w:bottom w:val="none" w:sz="0" w:space="0" w:color="auto"/>
        <w:right w:val="none" w:sz="0" w:space="0" w:color="auto"/>
      </w:divBdr>
    </w:div>
    <w:div w:id="994993783">
      <w:bodyDiv w:val="1"/>
      <w:marLeft w:val="0"/>
      <w:marRight w:val="0"/>
      <w:marTop w:val="0"/>
      <w:marBottom w:val="0"/>
      <w:divBdr>
        <w:top w:val="none" w:sz="0" w:space="0" w:color="auto"/>
        <w:left w:val="none" w:sz="0" w:space="0" w:color="auto"/>
        <w:bottom w:val="none" w:sz="0" w:space="0" w:color="auto"/>
        <w:right w:val="none" w:sz="0" w:space="0" w:color="auto"/>
      </w:divBdr>
    </w:div>
    <w:div w:id="1006635785">
      <w:bodyDiv w:val="1"/>
      <w:marLeft w:val="0"/>
      <w:marRight w:val="0"/>
      <w:marTop w:val="0"/>
      <w:marBottom w:val="0"/>
      <w:divBdr>
        <w:top w:val="none" w:sz="0" w:space="0" w:color="auto"/>
        <w:left w:val="none" w:sz="0" w:space="0" w:color="auto"/>
        <w:bottom w:val="none" w:sz="0" w:space="0" w:color="auto"/>
        <w:right w:val="none" w:sz="0" w:space="0" w:color="auto"/>
      </w:divBdr>
    </w:div>
    <w:div w:id="1025904931">
      <w:bodyDiv w:val="1"/>
      <w:marLeft w:val="0"/>
      <w:marRight w:val="0"/>
      <w:marTop w:val="0"/>
      <w:marBottom w:val="0"/>
      <w:divBdr>
        <w:top w:val="none" w:sz="0" w:space="0" w:color="auto"/>
        <w:left w:val="none" w:sz="0" w:space="0" w:color="auto"/>
        <w:bottom w:val="none" w:sz="0" w:space="0" w:color="auto"/>
        <w:right w:val="none" w:sz="0" w:space="0" w:color="auto"/>
      </w:divBdr>
    </w:div>
    <w:div w:id="1067535469">
      <w:bodyDiv w:val="1"/>
      <w:marLeft w:val="0"/>
      <w:marRight w:val="0"/>
      <w:marTop w:val="0"/>
      <w:marBottom w:val="0"/>
      <w:divBdr>
        <w:top w:val="none" w:sz="0" w:space="0" w:color="auto"/>
        <w:left w:val="none" w:sz="0" w:space="0" w:color="auto"/>
        <w:bottom w:val="none" w:sz="0" w:space="0" w:color="auto"/>
        <w:right w:val="none" w:sz="0" w:space="0" w:color="auto"/>
      </w:divBdr>
    </w:div>
    <w:div w:id="1081298562">
      <w:bodyDiv w:val="1"/>
      <w:marLeft w:val="0"/>
      <w:marRight w:val="0"/>
      <w:marTop w:val="0"/>
      <w:marBottom w:val="0"/>
      <w:divBdr>
        <w:top w:val="none" w:sz="0" w:space="0" w:color="auto"/>
        <w:left w:val="none" w:sz="0" w:space="0" w:color="auto"/>
        <w:bottom w:val="none" w:sz="0" w:space="0" w:color="auto"/>
        <w:right w:val="none" w:sz="0" w:space="0" w:color="auto"/>
      </w:divBdr>
    </w:div>
    <w:div w:id="1142962623">
      <w:bodyDiv w:val="1"/>
      <w:marLeft w:val="0"/>
      <w:marRight w:val="0"/>
      <w:marTop w:val="0"/>
      <w:marBottom w:val="0"/>
      <w:divBdr>
        <w:top w:val="none" w:sz="0" w:space="0" w:color="auto"/>
        <w:left w:val="none" w:sz="0" w:space="0" w:color="auto"/>
        <w:bottom w:val="none" w:sz="0" w:space="0" w:color="auto"/>
        <w:right w:val="none" w:sz="0" w:space="0" w:color="auto"/>
      </w:divBdr>
    </w:div>
    <w:div w:id="1143035948">
      <w:bodyDiv w:val="1"/>
      <w:marLeft w:val="0"/>
      <w:marRight w:val="0"/>
      <w:marTop w:val="0"/>
      <w:marBottom w:val="0"/>
      <w:divBdr>
        <w:top w:val="none" w:sz="0" w:space="0" w:color="auto"/>
        <w:left w:val="none" w:sz="0" w:space="0" w:color="auto"/>
        <w:bottom w:val="none" w:sz="0" w:space="0" w:color="auto"/>
        <w:right w:val="none" w:sz="0" w:space="0" w:color="auto"/>
      </w:divBdr>
    </w:div>
    <w:div w:id="1230728156">
      <w:bodyDiv w:val="1"/>
      <w:marLeft w:val="0"/>
      <w:marRight w:val="0"/>
      <w:marTop w:val="0"/>
      <w:marBottom w:val="0"/>
      <w:divBdr>
        <w:top w:val="none" w:sz="0" w:space="0" w:color="auto"/>
        <w:left w:val="none" w:sz="0" w:space="0" w:color="auto"/>
        <w:bottom w:val="none" w:sz="0" w:space="0" w:color="auto"/>
        <w:right w:val="none" w:sz="0" w:space="0" w:color="auto"/>
      </w:divBdr>
    </w:div>
    <w:div w:id="1237401786">
      <w:bodyDiv w:val="1"/>
      <w:marLeft w:val="0"/>
      <w:marRight w:val="0"/>
      <w:marTop w:val="0"/>
      <w:marBottom w:val="0"/>
      <w:divBdr>
        <w:top w:val="none" w:sz="0" w:space="0" w:color="auto"/>
        <w:left w:val="none" w:sz="0" w:space="0" w:color="auto"/>
        <w:bottom w:val="none" w:sz="0" w:space="0" w:color="auto"/>
        <w:right w:val="none" w:sz="0" w:space="0" w:color="auto"/>
      </w:divBdr>
    </w:div>
    <w:div w:id="1281764511">
      <w:bodyDiv w:val="1"/>
      <w:marLeft w:val="0"/>
      <w:marRight w:val="0"/>
      <w:marTop w:val="0"/>
      <w:marBottom w:val="0"/>
      <w:divBdr>
        <w:top w:val="none" w:sz="0" w:space="0" w:color="auto"/>
        <w:left w:val="none" w:sz="0" w:space="0" w:color="auto"/>
        <w:bottom w:val="none" w:sz="0" w:space="0" w:color="auto"/>
        <w:right w:val="none" w:sz="0" w:space="0" w:color="auto"/>
      </w:divBdr>
    </w:div>
    <w:div w:id="1299722624">
      <w:bodyDiv w:val="1"/>
      <w:marLeft w:val="0"/>
      <w:marRight w:val="0"/>
      <w:marTop w:val="0"/>
      <w:marBottom w:val="0"/>
      <w:divBdr>
        <w:top w:val="none" w:sz="0" w:space="0" w:color="auto"/>
        <w:left w:val="none" w:sz="0" w:space="0" w:color="auto"/>
        <w:bottom w:val="none" w:sz="0" w:space="0" w:color="auto"/>
        <w:right w:val="none" w:sz="0" w:space="0" w:color="auto"/>
      </w:divBdr>
    </w:div>
    <w:div w:id="1306004394">
      <w:bodyDiv w:val="1"/>
      <w:marLeft w:val="0"/>
      <w:marRight w:val="0"/>
      <w:marTop w:val="0"/>
      <w:marBottom w:val="0"/>
      <w:divBdr>
        <w:top w:val="none" w:sz="0" w:space="0" w:color="auto"/>
        <w:left w:val="none" w:sz="0" w:space="0" w:color="auto"/>
        <w:bottom w:val="none" w:sz="0" w:space="0" w:color="auto"/>
        <w:right w:val="none" w:sz="0" w:space="0" w:color="auto"/>
      </w:divBdr>
    </w:div>
    <w:div w:id="1312715238">
      <w:bodyDiv w:val="1"/>
      <w:marLeft w:val="0"/>
      <w:marRight w:val="0"/>
      <w:marTop w:val="0"/>
      <w:marBottom w:val="0"/>
      <w:divBdr>
        <w:top w:val="none" w:sz="0" w:space="0" w:color="auto"/>
        <w:left w:val="none" w:sz="0" w:space="0" w:color="auto"/>
        <w:bottom w:val="none" w:sz="0" w:space="0" w:color="auto"/>
        <w:right w:val="none" w:sz="0" w:space="0" w:color="auto"/>
      </w:divBdr>
    </w:div>
    <w:div w:id="1332680329">
      <w:bodyDiv w:val="1"/>
      <w:marLeft w:val="0"/>
      <w:marRight w:val="0"/>
      <w:marTop w:val="0"/>
      <w:marBottom w:val="0"/>
      <w:divBdr>
        <w:top w:val="none" w:sz="0" w:space="0" w:color="auto"/>
        <w:left w:val="none" w:sz="0" w:space="0" w:color="auto"/>
        <w:bottom w:val="none" w:sz="0" w:space="0" w:color="auto"/>
        <w:right w:val="none" w:sz="0" w:space="0" w:color="auto"/>
      </w:divBdr>
    </w:div>
    <w:div w:id="1351447181">
      <w:bodyDiv w:val="1"/>
      <w:marLeft w:val="0"/>
      <w:marRight w:val="0"/>
      <w:marTop w:val="0"/>
      <w:marBottom w:val="0"/>
      <w:divBdr>
        <w:top w:val="none" w:sz="0" w:space="0" w:color="auto"/>
        <w:left w:val="none" w:sz="0" w:space="0" w:color="auto"/>
        <w:bottom w:val="none" w:sz="0" w:space="0" w:color="auto"/>
        <w:right w:val="none" w:sz="0" w:space="0" w:color="auto"/>
      </w:divBdr>
    </w:div>
    <w:div w:id="1377729828">
      <w:bodyDiv w:val="1"/>
      <w:marLeft w:val="0"/>
      <w:marRight w:val="0"/>
      <w:marTop w:val="0"/>
      <w:marBottom w:val="0"/>
      <w:divBdr>
        <w:top w:val="none" w:sz="0" w:space="0" w:color="auto"/>
        <w:left w:val="none" w:sz="0" w:space="0" w:color="auto"/>
        <w:bottom w:val="none" w:sz="0" w:space="0" w:color="auto"/>
        <w:right w:val="none" w:sz="0" w:space="0" w:color="auto"/>
      </w:divBdr>
    </w:div>
    <w:div w:id="1386680604">
      <w:bodyDiv w:val="1"/>
      <w:marLeft w:val="0"/>
      <w:marRight w:val="0"/>
      <w:marTop w:val="0"/>
      <w:marBottom w:val="0"/>
      <w:divBdr>
        <w:top w:val="none" w:sz="0" w:space="0" w:color="auto"/>
        <w:left w:val="none" w:sz="0" w:space="0" w:color="auto"/>
        <w:bottom w:val="none" w:sz="0" w:space="0" w:color="auto"/>
        <w:right w:val="none" w:sz="0" w:space="0" w:color="auto"/>
      </w:divBdr>
    </w:div>
    <w:div w:id="1411731217">
      <w:bodyDiv w:val="1"/>
      <w:marLeft w:val="0"/>
      <w:marRight w:val="0"/>
      <w:marTop w:val="0"/>
      <w:marBottom w:val="0"/>
      <w:divBdr>
        <w:top w:val="none" w:sz="0" w:space="0" w:color="auto"/>
        <w:left w:val="none" w:sz="0" w:space="0" w:color="auto"/>
        <w:bottom w:val="none" w:sz="0" w:space="0" w:color="auto"/>
        <w:right w:val="none" w:sz="0" w:space="0" w:color="auto"/>
      </w:divBdr>
    </w:div>
    <w:div w:id="1416586517">
      <w:bodyDiv w:val="1"/>
      <w:marLeft w:val="0"/>
      <w:marRight w:val="0"/>
      <w:marTop w:val="0"/>
      <w:marBottom w:val="0"/>
      <w:divBdr>
        <w:top w:val="none" w:sz="0" w:space="0" w:color="auto"/>
        <w:left w:val="none" w:sz="0" w:space="0" w:color="auto"/>
        <w:bottom w:val="none" w:sz="0" w:space="0" w:color="auto"/>
        <w:right w:val="none" w:sz="0" w:space="0" w:color="auto"/>
      </w:divBdr>
    </w:div>
    <w:div w:id="1436553657">
      <w:bodyDiv w:val="1"/>
      <w:marLeft w:val="0"/>
      <w:marRight w:val="0"/>
      <w:marTop w:val="0"/>
      <w:marBottom w:val="0"/>
      <w:divBdr>
        <w:top w:val="none" w:sz="0" w:space="0" w:color="auto"/>
        <w:left w:val="none" w:sz="0" w:space="0" w:color="auto"/>
        <w:bottom w:val="none" w:sz="0" w:space="0" w:color="auto"/>
        <w:right w:val="none" w:sz="0" w:space="0" w:color="auto"/>
      </w:divBdr>
    </w:div>
    <w:div w:id="1438520664">
      <w:bodyDiv w:val="1"/>
      <w:marLeft w:val="0"/>
      <w:marRight w:val="0"/>
      <w:marTop w:val="0"/>
      <w:marBottom w:val="0"/>
      <w:divBdr>
        <w:top w:val="none" w:sz="0" w:space="0" w:color="auto"/>
        <w:left w:val="none" w:sz="0" w:space="0" w:color="auto"/>
        <w:bottom w:val="none" w:sz="0" w:space="0" w:color="auto"/>
        <w:right w:val="none" w:sz="0" w:space="0" w:color="auto"/>
      </w:divBdr>
    </w:div>
    <w:div w:id="1461026255">
      <w:bodyDiv w:val="1"/>
      <w:marLeft w:val="0"/>
      <w:marRight w:val="0"/>
      <w:marTop w:val="0"/>
      <w:marBottom w:val="0"/>
      <w:divBdr>
        <w:top w:val="none" w:sz="0" w:space="0" w:color="auto"/>
        <w:left w:val="none" w:sz="0" w:space="0" w:color="auto"/>
        <w:bottom w:val="none" w:sz="0" w:space="0" w:color="auto"/>
        <w:right w:val="none" w:sz="0" w:space="0" w:color="auto"/>
      </w:divBdr>
    </w:div>
    <w:div w:id="1461068239">
      <w:bodyDiv w:val="1"/>
      <w:marLeft w:val="0"/>
      <w:marRight w:val="0"/>
      <w:marTop w:val="0"/>
      <w:marBottom w:val="0"/>
      <w:divBdr>
        <w:top w:val="none" w:sz="0" w:space="0" w:color="auto"/>
        <w:left w:val="none" w:sz="0" w:space="0" w:color="auto"/>
        <w:bottom w:val="none" w:sz="0" w:space="0" w:color="auto"/>
        <w:right w:val="none" w:sz="0" w:space="0" w:color="auto"/>
      </w:divBdr>
    </w:div>
    <w:div w:id="1468626282">
      <w:bodyDiv w:val="1"/>
      <w:marLeft w:val="0"/>
      <w:marRight w:val="0"/>
      <w:marTop w:val="0"/>
      <w:marBottom w:val="0"/>
      <w:divBdr>
        <w:top w:val="none" w:sz="0" w:space="0" w:color="auto"/>
        <w:left w:val="none" w:sz="0" w:space="0" w:color="auto"/>
        <w:bottom w:val="none" w:sz="0" w:space="0" w:color="auto"/>
        <w:right w:val="none" w:sz="0" w:space="0" w:color="auto"/>
      </w:divBdr>
    </w:div>
    <w:div w:id="1477987430">
      <w:bodyDiv w:val="1"/>
      <w:marLeft w:val="0"/>
      <w:marRight w:val="0"/>
      <w:marTop w:val="0"/>
      <w:marBottom w:val="0"/>
      <w:divBdr>
        <w:top w:val="none" w:sz="0" w:space="0" w:color="auto"/>
        <w:left w:val="none" w:sz="0" w:space="0" w:color="auto"/>
        <w:bottom w:val="none" w:sz="0" w:space="0" w:color="auto"/>
        <w:right w:val="none" w:sz="0" w:space="0" w:color="auto"/>
      </w:divBdr>
    </w:div>
    <w:div w:id="1492216036">
      <w:bodyDiv w:val="1"/>
      <w:marLeft w:val="0"/>
      <w:marRight w:val="0"/>
      <w:marTop w:val="0"/>
      <w:marBottom w:val="0"/>
      <w:divBdr>
        <w:top w:val="none" w:sz="0" w:space="0" w:color="auto"/>
        <w:left w:val="none" w:sz="0" w:space="0" w:color="auto"/>
        <w:bottom w:val="none" w:sz="0" w:space="0" w:color="auto"/>
        <w:right w:val="none" w:sz="0" w:space="0" w:color="auto"/>
      </w:divBdr>
    </w:div>
    <w:div w:id="1498185470">
      <w:bodyDiv w:val="1"/>
      <w:marLeft w:val="0"/>
      <w:marRight w:val="0"/>
      <w:marTop w:val="0"/>
      <w:marBottom w:val="0"/>
      <w:divBdr>
        <w:top w:val="none" w:sz="0" w:space="0" w:color="auto"/>
        <w:left w:val="none" w:sz="0" w:space="0" w:color="auto"/>
        <w:bottom w:val="none" w:sz="0" w:space="0" w:color="auto"/>
        <w:right w:val="none" w:sz="0" w:space="0" w:color="auto"/>
      </w:divBdr>
    </w:div>
    <w:div w:id="1505785402">
      <w:bodyDiv w:val="1"/>
      <w:marLeft w:val="0"/>
      <w:marRight w:val="0"/>
      <w:marTop w:val="0"/>
      <w:marBottom w:val="0"/>
      <w:divBdr>
        <w:top w:val="none" w:sz="0" w:space="0" w:color="auto"/>
        <w:left w:val="none" w:sz="0" w:space="0" w:color="auto"/>
        <w:bottom w:val="none" w:sz="0" w:space="0" w:color="auto"/>
        <w:right w:val="none" w:sz="0" w:space="0" w:color="auto"/>
      </w:divBdr>
      <w:divsChild>
        <w:div w:id="1311790715">
          <w:marLeft w:val="0"/>
          <w:marRight w:val="0"/>
          <w:marTop w:val="0"/>
          <w:marBottom w:val="0"/>
          <w:divBdr>
            <w:top w:val="none" w:sz="0" w:space="0" w:color="auto"/>
            <w:left w:val="none" w:sz="0" w:space="0" w:color="auto"/>
            <w:bottom w:val="none" w:sz="0" w:space="0" w:color="auto"/>
            <w:right w:val="none" w:sz="0" w:space="0" w:color="auto"/>
          </w:divBdr>
          <w:divsChild>
            <w:div w:id="1686442864">
              <w:marLeft w:val="0"/>
              <w:marRight w:val="0"/>
              <w:marTop w:val="0"/>
              <w:marBottom w:val="0"/>
              <w:divBdr>
                <w:top w:val="none" w:sz="0" w:space="0" w:color="auto"/>
                <w:left w:val="none" w:sz="0" w:space="0" w:color="auto"/>
                <w:bottom w:val="none" w:sz="0" w:space="0" w:color="auto"/>
                <w:right w:val="none" w:sz="0" w:space="0" w:color="auto"/>
              </w:divBdr>
              <w:divsChild>
                <w:div w:id="968631428">
                  <w:marLeft w:val="0"/>
                  <w:marRight w:val="0"/>
                  <w:marTop w:val="0"/>
                  <w:marBottom w:val="0"/>
                  <w:divBdr>
                    <w:top w:val="none" w:sz="0" w:space="0" w:color="auto"/>
                    <w:left w:val="none" w:sz="0" w:space="0" w:color="auto"/>
                    <w:bottom w:val="none" w:sz="0" w:space="0" w:color="auto"/>
                    <w:right w:val="none" w:sz="0" w:space="0" w:color="auto"/>
                  </w:divBdr>
                  <w:divsChild>
                    <w:div w:id="156868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965186">
      <w:bodyDiv w:val="1"/>
      <w:marLeft w:val="0"/>
      <w:marRight w:val="0"/>
      <w:marTop w:val="0"/>
      <w:marBottom w:val="0"/>
      <w:divBdr>
        <w:top w:val="none" w:sz="0" w:space="0" w:color="auto"/>
        <w:left w:val="none" w:sz="0" w:space="0" w:color="auto"/>
        <w:bottom w:val="none" w:sz="0" w:space="0" w:color="auto"/>
        <w:right w:val="none" w:sz="0" w:space="0" w:color="auto"/>
      </w:divBdr>
    </w:div>
    <w:div w:id="1540168325">
      <w:bodyDiv w:val="1"/>
      <w:marLeft w:val="0"/>
      <w:marRight w:val="0"/>
      <w:marTop w:val="0"/>
      <w:marBottom w:val="0"/>
      <w:divBdr>
        <w:top w:val="none" w:sz="0" w:space="0" w:color="auto"/>
        <w:left w:val="none" w:sz="0" w:space="0" w:color="auto"/>
        <w:bottom w:val="none" w:sz="0" w:space="0" w:color="auto"/>
        <w:right w:val="none" w:sz="0" w:space="0" w:color="auto"/>
      </w:divBdr>
    </w:div>
    <w:div w:id="1550727869">
      <w:bodyDiv w:val="1"/>
      <w:marLeft w:val="0"/>
      <w:marRight w:val="0"/>
      <w:marTop w:val="0"/>
      <w:marBottom w:val="0"/>
      <w:divBdr>
        <w:top w:val="none" w:sz="0" w:space="0" w:color="auto"/>
        <w:left w:val="none" w:sz="0" w:space="0" w:color="auto"/>
        <w:bottom w:val="none" w:sz="0" w:space="0" w:color="auto"/>
        <w:right w:val="none" w:sz="0" w:space="0" w:color="auto"/>
      </w:divBdr>
    </w:div>
    <w:div w:id="1554999631">
      <w:bodyDiv w:val="1"/>
      <w:marLeft w:val="0"/>
      <w:marRight w:val="0"/>
      <w:marTop w:val="0"/>
      <w:marBottom w:val="0"/>
      <w:divBdr>
        <w:top w:val="none" w:sz="0" w:space="0" w:color="auto"/>
        <w:left w:val="none" w:sz="0" w:space="0" w:color="auto"/>
        <w:bottom w:val="none" w:sz="0" w:space="0" w:color="auto"/>
        <w:right w:val="none" w:sz="0" w:space="0" w:color="auto"/>
      </w:divBdr>
    </w:div>
    <w:div w:id="1556549706">
      <w:bodyDiv w:val="1"/>
      <w:marLeft w:val="0"/>
      <w:marRight w:val="0"/>
      <w:marTop w:val="0"/>
      <w:marBottom w:val="0"/>
      <w:divBdr>
        <w:top w:val="none" w:sz="0" w:space="0" w:color="auto"/>
        <w:left w:val="none" w:sz="0" w:space="0" w:color="auto"/>
        <w:bottom w:val="none" w:sz="0" w:space="0" w:color="auto"/>
        <w:right w:val="none" w:sz="0" w:space="0" w:color="auto"/>
      </w:divBdr>
    </w:div>
    <w:div w:id="1559123270">
      <w:bodyDiv w:val="1"/>
      <w:marLeft w:val="0"/>
      <w:marRight w:val="0"/>
      <w:marTop w:val="0"/>
      <w:marBottom w:val="0"/>
      <w:divBdr>
        <w:top w:val="none" w:sz="0" w:space="0" w:color="auto"/>
        <w:left w:val="none" w:sz="0" w:space="0" w:color="auto"/>
        <w:bottom w:val="none" w:sz="0" w:space="0" w:color="auto"/>
        <w:right w:val="none" w:sz="0" w:space="0" w:color="auto"/>
      </w:divBdr>
    </w:div>
    <w:div w:id="1609968675">
      <w:bodyDiv w:val="1"/>
      <w:marLeft w:val="0"/>
      <w:marRight w:val="0"/>
      <w:marTop w:val="0"/>
      <w:marBottom w:val="0"/>
      <w:divBdr>
        <w:top w:val="none" w:sz="0" w:space="0" w:color="auto"/>
        <w:left w:val="none" w:sz="0" w:space="0" w:color="auto"/>
        <w:bottom w:val="none" w:sz="0" w:space="0" w:color="auto"/>
        <w:right w:val="none" w:sz="0" w:space="0" w:color="auto"/>
      </w:divBdr>
    </w:div>
    <w:div w:id="1610120677">
      <w:bodyDiv w:val="1"/>
      <w:marLeft w:val="0"/>
      <w:marRight w:val="0"/>
      <w:marTop w:val="0"/>
      <w:marBottom w:val="0"/>
      <w:divBdr>
        <w:top w:val="none" w:sz="0" w:space="0" w:color="auto"/>
        <w:left w:val="none" w:sz="0" w:space="0" w:color="auto"/>
        <w:bottom w:val="none" w:sz="0" w:space="0" w:color="auto"/>
        <w:right w:val="none" w:sz="0" w:space="0" w:color="auto"/>
      </w:divBdr>
    </w:div>
    <w:div w:id="1638140762">
      <w:bodyDiv w:val="1"/>
      <w:marLeft w:val="0"/>
      <w:marRight w:val="0"/>
      <w:marTop w:val="0"/>
      <w:marBottom w:val="0"/>
      <w:divBdr>
        <w:top w:val="none" w:sz="0" w:space="0" w:color="auto"/>
        <w:left w:val="none" w:sz="0" w:space="0" w:color="auto"/>
        <w:bottom w:val="none" w:sz="0" w:space="0" w:color="auto"/>
        <w:right w:val="none" w:sz="0" w:space="0" w:color="auto"/>
      </w:divBdr>
    </w:div>
    <w:div w:id="1653561069">
      <w:bodyDiv w:val="1"/>
      <w:marLeft w:val="0"/>
      <w:marRight w:val="0"/>
      <w:marTop w:val="0"/>
      <w:marBottom w:val="0"/>
      <w:divBdr>
        <w:top w:val="none" w:sz="0" w:space="0" w:color="auto"/>
        <w:left w:val="none" w:sz="0" w:space="0" w:color="auto"/>
        <w:bottom w:val="none" w:sz="0" w:space="0" w:color="auto"/>
        <w:right w:val="none" w:sz="0" w:space="0" w:color="auto"/>
      </w:divBdr>
    </w:div>
    <w:div w:id="1656301568">
      <w:bodyDiv w:val="1"/>
      <w:marLeft w:val="0"/>
      <w:marRight w:val="0"/>
      <w:marTop w:val="0"/>
      <w:marBottom w:val="0"/>
      <w:divBdr>
        <w:top w:val="none" w:sz="0" w:space="0" w:color="auto"/>
        <w:left w:val="none" w:sz="0" w:space="0" w:color="auto"/>
        <w:bottom w:val="none" w:sz="0" w:space="0" w:color="auto"/>
        <w:right w:val="none" w:sz="0" w:space="0" w:color="auto"/>
      </w:divBdr>
    </w:div>
    <w:div w:id="1699351196">
      <w:bodyDiv w:val="1"/>
      <w:marLeft w:val="0"/>
      <w:marRight w:val="0"/>
      <w:marTop w:val="0"/>
      <w:marBottom w:val="0"/>
      <w:divBdr>
        <w:top w:val="none" w:sz="0" w:space="0" w:color="auto"/>
        <w:left w:val="none" w:sz="0" w:space="0" w:color="auto"/>
        <w:bottom w:val="none" w:sz="0" w:space="0" w:color="auto"/>
        <w:right w:val="none" w:sz="0" w:space="0" w:color="auto"/>
      </w:divBdr>
    </w:div>
    <w:div w:id="1701202386">
      <w:bodyDiv w:val="1"/>
      <w:marLeft w:val="0"/>
      <w:marRight w:val="0"/>
      <w:marTop w:val="0"/>
      <w:marBottom w:val="0"/>
      <w:divBdr>
        <w:top w:val="none" w:sz="0" w:space="0" w:color="auto"/>
        <w:left w:val="none" w:sz="0" w:space="0" w:color="auto"/>
        <w:bottom w:val="none" w:sz="0" w:space="0" w:color="auto"/>
        <w:right w:val="none" w:sz="0" w:space="0" w:color="auto"/>
      </w:divBdr>
    </w:div>
    <w:div w:id="1705868669">
      <w:bodyDiv w:val="1"/>
      <w:marLeft w:val="0"/>
      <w:marRight w:val="0"/>
      <w:marTop w:val="0"/>
      <w:marBottom w:val="0"/>
      <w:divBdr>
        <w:top w:val="none" w:sz="0" w:space="0" w:color="auto"/>
        <w:left w:val="none" w:sz="0" w:space="0" w:color="auto"/>
        <w:bottom w:val="none" w:sz="0" w:space="0" w:color="auto"/>
        <w:right w:val="none" w:sz="0" w:space="0" w:color="auto"/>
      </w:divBdr>
    </w:div>
    <w:div w:id="1719279998">
      <w:bodyDiv w:val="1"/>
      <w:marLeft w:val="0"/>
      <w:marRight w:val="0"/>
      <w:marTop w:val="0"/>
      <w:marBottom w:val="0"/>
      <w:divBdr>
        <w:top w:val="none" w:sz="0" w:space="0" w:color="auto"/>
        <w:left w:val="none" w:sz="0" w:space="0" w:color="auto"/>
        <w:bottom w:val="none" w:sz="0" w:space="0" w:color="auto"/>
        <w:right w:val="none" w:sz="0" w:space="0" w:color="auto"/>
      </w:divBdr>
    </w:div>
    <w:div w:id="1765757270">
      <w:bodyDiv w:val="1"/>
      <w:marLeft w:val="0"/>
      <w:marRight w:val="0"/>
      <w:marTop w:val="0"/>
      <w:marBottom w:val="0"/>
      <w:divBdr>
        <w:top w:val="none" w:sz="0" w:space="0" w:color="auto"/>
        <w:left w:val="none" w:sz="0" w:space="0" w:color="auto"/>
        <w:bottom w:val="none" w:sz="0" w:space="0" w:color="auto"/>
        <w:right w:val="none" w:sz="0" w:space="0" w:color="auto"/>
      </w:divBdr>
    </w:div>
    <w:div w:id="1795564227">
      <w:bodyDiv w:val="1"/>
      <w:marLeft w:val="0"/>
      <w:marRight w:val="0"/>
      <w:marTop w:val="0"/>
      <w:marBottom w:val="0"/>
      <w:divBdr>
        <w:top w:val="none" w:sz="0" w:space="0" w:color="auto"/>
        <w:left w:val="none" w:sz="0" w:space="0" w:color="auto"/>
        <w:bottom w:val="none" w:sz="0" w:space="0" w:color="auto"/>
        <w:right w:val="none" w:sz="0" w:space="0" w:color="auto"/>
      </w:divBdr>
    </w:div>
    <w:div w:id="1796102511">
      <w:bodyDiv w:val="1"/>
      <w:marLeft w:val="0"/>
      <w:marRight w:val="0"/>
      <w:marTop w:val="0"/>
      <w:marBottom w:val="0"/>
      <w:divBdr>
        <w:top w:val="none" w:sz="0" w:space="0" w:color="auto"/>
        <w:left w:val="none" w:sz="0" w:space="0" w:color="auto"/>
        <w:bottom w:val="none" w:sz="0" w:space="0" w:color="auto"/>
        <w:right w:val="none" w:sz="0" w:space="0" w:color="auto"/>
      </w:divBdr>
    </w:div>
    <w:div w:id="1812205950">
      <w:bodyDiv w:val="1"/>
      <w:marLeft w:val="0"/>
      <w:marRight w:val="0"/>
      <w:marTop w:val="0"/>
      <w:marBottom w:val="0"/>
      <w:divBdr>
        <w:top w:val="none" w:sz="0" w:space="0" w:color="auto"/>
        <w:left w:val="none" w:sz="0" w:space="0" w:color="auto"/>
        <w:bottom w:val="none" w:sz="0" w:space="0" w:color="auto"/>
        <w:right w:val="none" w:sz="0" w:space="0" w:color="auto"/>
      </w:divBdr>
    </w:div>
    <w:div w:id="1860775889">
      <w:bodyDiv w:val="1"/>
      <w:marLeft w:val="0"/>
      <w:marRight w:val="0"/>
      <w:marTop w:val="0"/>
      <w:marBottom w:val="0"/>
      <w:divBdr>
        <w:top w:val="none" w:sz="0" w:space="0" w:color="auto"/>
        <w:left w:val="none" w:sz="0" w:space="0" w:color="auto"/>
        <w:bottom w:val="none" w:sz="0" w:space="0" w:color="auto"/>
        <w:right w:val="none" w:sz="0" w:space="0" w:color="auto"/>
      </w:divBdr>
    </w:div>
    <w:div w:id="1878005198">
      <w:bodyDiv w:val="1"/>
      <w:marLeft w:val="0"/>
      <w:marRight w:val="0"/>
      <w:marTop w:val="0"/>
      <w:marBottom w:val="0"/>
      <w:divBdr>
        <w:top w:val="none" w:sz="0" w:space="0" w:color="auto"/>
        <w:left w:val="none" w:sz="0" w:space="0" w:color="auto"/>
        <w:bottom w:val="none" w:sz="0" w:space="0" w:color="auto"/>
        <w:right w:val="none" w:sz="0" w:space="0" w:color="auto"/>
      </w:divBdr>
    </w:div>
    <w:div w:id="1940209732">
      <w:bodyDiv w:val="1"/>
      <w:marLeft w:val="0"/>
      <w:marRight w:val="0"/>
      <w:marTop w:val="0"/>
      <w:marBottom w:val="0"/>
      <w:divBdr>
        <w:top w:val="none" w:sz="0" w:space="0" w:color="auto"/>
        <w:left w:val="none" w:sz="0" w:space="0" w:color="auto"/>
        <w:bottom w:val="none" w:sz="0" w:space="0" w:color="auto"/>
        <w:right w:val="none" w:sz="0" w:space="0" w:color="auto"/>
      </w:divBdr>
    </w:div>
    <w:div w:id="1979189916">
      <w:bodyDiv w:val="1"/>
      <w:marLeft w:val="0"/>
      <w:marRight w:val="0"/>
      <w:marTop w:val="0"/>
      <w:marBottom w:val="0"/>
      <w:divBdr>
        <w:top w:val="none" w:sz="0" w:space="0" w:color="auto"/>
        <w:left w:val="none" w:sz="0" w:space="0" w:color="auto"/>
        <w:bottom w:val="none" w:sz="0" w:space="0" w:color="auto"/>
        <w:right w:val="none" w:sz="0" w:space="0" w:color="auto"/>
      </w:divBdr>
    </w:div>
    <w:div w:id="1979874141">
      <w:bodyDiv w:val="1"/>
      <w:marLeft w:val="0"/>
      <w:marRight w:val="0"/>
      <w:marTop w:val="0"/>
      <w:marBottom w:val="0"/>
      <w:divBdr>
        <w:top w:val="none" w:sz="0" w:space="0" w:color="auto"/>
        <w:left w:val="none" w:sz="0" w:space="0" w:color="auto"/>
        <w:bottom w:val="none" w:sz="0" w:space="0" w:color="auto"/>
        <w:right w:val="none" w:sz="0" w:space="0" w:color="auto"/>
      </w:divBdr>
    </w:div>
    <w:div w:id="2062943031">
      <w:bodyDiv w:val="1"/>
      <w:marLeft w:val="0"/>
      <w:marRight w:val="0"/>
      <w:marTop w:val="0"/>
      <w:marBottom w:val="0"/>
      <w:divBdr>
        <w:top w:val="none" w:sz="0" w:space="0" w:color="auto"/>
        <w:left w:val="none" w:sz="0" w:space="0" w:color="auto"/>
        <w:bottom w:val="none" w:sz="0" w:space="0" w:color="auto"/>
        <w:right w:val="none" w:sz="0" w:space="0" w:color="auto"/>
      </w:divBdr>
    </w:div>
    <w:div w:id="2129203769">
      <w:bodyDiv w:val="1"/>
      <w:marLeft w:val="0"/>
      <w:marRight w:val="0"/>
      <w:marTop w:val="0"/>
      <w:marBottom w:val="0"/>
      <w:divBdr>
        <w:top w:val="none" w:sz="0" w:space="0" w:color="auto"/>
        <w:left w:val="none" w:sz="0" w:space="0" w:color="auto"/>
        <w:bottom w:val="none" w:sz="0" w:space="0" w:color="auto"/>
        <w:right w:val="none" w:sz="0" w:space="0" w:color="auto"/>
      </w:divBdr>
    </w:div>
    <w:div w:id="2133596302">
      <w:bodyDiv w:val="1"/>
      <w:marLeft w:val="0"/>
      <w:marRight w:val="0"/>
      <w:marTop w:val="0"/>
      <w:marBottom w:val="0"/>
      <w:divBdr>
        <w:top w:val="none" w:sz="0" w:space="0" w:color="auto"/>
        <w:left w:val="none" w:sz="0" w:space="0" w:color="auto"/>
        <w:bottom w:val="none" w:sz="0" w:space="0" w:color="auto"/>
        <w:right w:val="none" w:sz="0" w:space="0" w:color="auto"/>
      </w:divBdr>
    </w:div>
    <w:div w:id="2137288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www.ons.gov.uk/" TargetMode="External"/><Relationship Id="rId26" Type="http://schemas.openxmlformats.org/officeDocument/2006/relationships/image" Target="media/image18.png"/><Relationship Id="rId39" Type="http://schemas.openxmlformats.org/officeDocument/2006/relationships/hyperlink" Target="https://tradingeconomics.com/united-kingdom/gdp-per-capita-ppp" TargetMode="External"/><Relationship Id="rId21" Type="http://schemas.openxmlformats.org/officeDocument/2006/relationships/image" Target="media/image13.png"/><Relationship Id="rId34" Type="http://schemas.openxmlformats.org/officeDocument/2006/relationships/hyperlink" Target="https://tradingeconomics.com/united-kingdom/monthly-gdp-mom" TargetMode="External"/><Relationship Id="rId42" Type="http://schemas.openxmlformats.org/officeDocument/2006/relationships/image" Target="media/image22.png"/><Relationship Id="rId47" Type="http://schemas.openxmlformats.org/officeDocument/2006/relationships/image" Target="media/image24.png"/><Relationship Id="rId50" Type="http://schemas.openxmlformats.org/officeDocument/2006/relationships/chart" Target="charts/chart4.xml"/><Relationship Id="rId55" Type="http://schemas.openxmlformats.org/officeDocument/2006/relationships/chart" Target="charts/chart6.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tradingeconomics.com/united-kingdom/gdp-growth" TargetMode="External"/><Relationship Id="rId11" Type="http://schemas.openxmlformats.org/officeDocument/2006/relationships/image" Target="media/image5.png"/><Relationship Id="rId24" Type="http://schemas.openxmlformats.org/officeDocument/2006/relationships/image" Target="media/image16.png"/><Relationship Id="rId32" Type="http://schemas.openxmlformats.org/officeDocument/2006/relationships/hyperlink" Target="https://tradingeconomics.com/united-kingdom/gross-national-product" TargetMode="External"/><Relationship Id="rId37" Type="http://schemas.openxmlformats.org/officeDocument/2006/relationships/hyperlink" Target="https://tradingeconomics.com/united-kingdom/gdp" TargetMode="External"/><Relationship Id="rId40" Type="http://schemas.openxmlformats.org/officeDocument/2006/relationships/hyperlink" Target="https://tradingeconomics.com/united-kingdom/full-year-gdp-growth" TargetMode="External"/><Relationship Id="rId45" Type="http://schemas.openxmlformats.org/officeDocument/2006/relationships/chart" Target="charts/chart3.xml"/><Relationship Id="rId53" Type="http://schemas.openxmlformats.org/officeDocument/2006/relationships/hyperlink" Target="https://www.gov.uk/government/news/uk-tech-sector" TargetMode="External"/><Relationship Id="rId58" Type="http://schemas.openxmlformats.org/officeDocument/2006/relationships/hyperlink" Target="http://cep.lse.ac.uk/pubs/download/brexit02.pdf"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image" Target="media/image12.png"/><Relationship Id="rId14" Type="http://schemas.openxmlformats.org/officeDocument/2006/relationships/image" Target="media/image8.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tradingeconomics.com/united-kingdom/gdp-growth-annual" TargetMode="External"/><Relationship Id="rId35" Type="http://schemas.openxmlformats.org/officeDocument/2006/relationships/hyperlink" Target="https://tradingeconomics.com/united-kingdom/gdp-from-manufacturing" TargetMode="External"/><Relationship Id="rId43" Type="http://schemas.openxmlformats.org/officeDocument/2006/relationships/chart" Target="charts/chart1.xml"/><Relationship Id="rId48" Type="http://schemas.openxmlformats.org/officeDocument/2006/relationships/image" Target="media/image25.png"/><Relationship Id="rId56" Type="http://schemas.openxmlformats.org/officeDocument/2006/relationships/chart" Target="charts/chart7.xml"/><Relationship Id="rId8" Type="http://schemas.openxmlformats.org/officeDocument/2006/relationships/image" Target="media/image2.png"/><Relationship Id="rId51" Type="http://schemas.openxmlformats.org/officeDocument/2006/relationships/image" Target="media/image26.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7.png"/><Relationship Id="rId33" Type="http://schemas.openxmlformats.org/officeDocument/2006/relationships/hyperlink" Target="https://tradingeconomics.com/united-kingdom/monthly-gdp-yoy" TargetMode="External"/><Relationship Id="rId38" Type="http://schemas.openxmlformats.org/officeDocument/2006/relationships/hyperlink" Target="https://tradingeconomics.com/united-kingdom/gdp-per-capita" TargetMode="External"/><Relationship Id="rId46" Type="http://schemas.openxmlformats.org/officeDocument/2006/relationships/image" Target="media/image23.png"/><Relationship Id="rId59" Type="http://schemas.openxmlformats.org/officeDocument/2006/relationships/hyperlink" Target="http://www.pwc.co.uk/economic-services/assets/leaving-the-eu-implications-for-the-ukeconomy.pdf" TargetMode="External"/><Relationship Id="rId20" Type="http://schemas.openxmlformats.org/officeDocument/2006/relationships/hyperlink" Target="http://www.ons.gov.uk/" TargetMode="External"/><Relationship Id="rId41" Type="http://schemas.openxmlformats.org/officeDocument/2006/relationships/image" Target="media/image21.png"/><Relationship Id="rId54" Type="http://schemas.openxmlformats.org/officeDocument/2006/relationships/image" Target="media/image27.png"/><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tradingeconomics.com/united-kingdom/gdp-from-services" TargetMode="External"/><Relationship Id="rId49" Type="http://schemas.openxmlformats.org/officeDocument/2006/relationships/hyperlink" Target="https://www.worldbank.org/" TargetMode="External"/><Relationship Id="rId57" Type="http://schemas.openxmlformats.org/officeDocument/2006/relationships/image" Target="media/image28.png"/><Relationship Id="rId10" Type="http://schemas.openxmlformats.org/officeDocument/2006/relationships/image" Target="media/image4.png"/><Relationship Id="rId31" Type="http://schemas.openxmlformats.org/officeDocument/2006/relationships/hyperlink" Target="https://tradingeconomics.com/united-kingdom/gdp-constant-prices" TargetMode="External"/><Relationship Id="rId44" Type="http://schemas.openxmlformats.org/officeDocument/2006/relationships/chart" Target="charts/chart2.xml"/><Relationship Id="rId52" Type="http://schemas.openxmlformats.org/officeDocument/2006/relationships/chart" Target="charts/chart5.xml"/><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azizta01\Downloads\API_NY.GDP.MKTP.CD_DS2_en_excel_v2_3401502.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zizta01\Downloads\API_NY.GDP.MKTP.CD_DS2_en_excel_v2_3401502.xl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zizta01\Downloads\API_NY.GDP.MKTP.CD_DS2_en_excel_v2_3401502.xls"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zizta01\Downloads\Figure_4__New_work_infrastructure_construction_in_total_increased_in_the_year_to_2021_by_&#163;7.3_billion,_with_a_large_increase_in_new_work_road_infrastructure_of_&#163;5.6_billion.csv"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zizta01\Downloads\API_BX.KLT.DINV.WD.GD.ZS_DS2_en_excel_v2_3122763.xls"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zizta01\Downloads\Figure_3__Infrastructure_share_of_general_government_investment_increased_in_2021_by_2.6_percentage_points.csv"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Sheet1!$C$4</c:f>
              <c:strCache>
                <c:ptCount val="1"/>
                <c:pt idx="0">
                  <c:v>NET FDI - Billions</c:v>
                </c:pt>
              </c:strCache>
            </c:strRef>
          </c:tx>
          <c:spPr>
            <a:ln w="381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forward val="2"/>
            <c:dispRSqr val="1"/>
            <c:dispEq val="1"/>
            <c:trendlineLbl>
              <c:layout>
                <c:manualLayout>
                  <c:x val="9.2625182849380816E-2"/>
                  <c:y val="-0.1670833333333333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movingAvg"/>
            <c:period val="2"/>
            <c:dispRSqr val="0"/>
            <c:dispEq val="0"/>
          </c:trendline>
          <c:trendline>
            <c:spPr>
              <a:ln w="19050" cap="rnd">
                <a:solidFill>
                  <a:schemeClr val="accent5">
                    <a:lumMod val="40000"/>
                    <a:lumOff val="60000"/>
                  </a:schemeClr>
                </a:solidFill>
                <a:prstDash val="sysDot"/>
              </a:ln>
              <a:effectLst/>
            </c:spPr>
            <c:trendlineType val="linear"/>
            <c:dispRSqr val="0"/>
            <c:dispEq val="0"/>
          </c:trendline>
          <c:xVal>
            <c:numRef>
              <c:f>Sheet1!$B$5:$B$13</c:f>
              <c:numCache>
                <c:formatCode>General</c:formatCode>
                <c:ptCount val="9"/>
                <c:pt idx="0">
                  <c:v>2015</c:v>
                </c:pt>
                <c:pt idx="1">
                  <c:v>2016</c:v>
                </c:pt>
                <c:pt idx="2">
                  <c:v>2017</c:v>
                </c:pt>
                <c:pt idx="3">
                  <c:v>2018</c:v>
                </c:pt>
                <c:pt idx="4">
                  <c:v>2019</c:v>
                </c:pt>
                <c:pt idx="5">
                  <c:v>2020</c:v>
                </c:pt>
                <c:pt idx="6">
                  <c:v>2021</c:v>
                </c:pt>
                <c:pt idx="7">
                  <c:v>2022</c:v>
                </c:pt>
                <c:pt idx="8">
                  <c:v>2023</c:v>
                </c:pt>
              </c:numCache>
            </c:numRef>
          </c:xVal>
          <c:yVal>
            <c:numRef>
              <c:f>Sheet1!$C$5:$C$13</c:f>
              <c:numCache>
                <c:formatCode>General</c:formatCode>
                <c:ptCount val="9"/>
                <c:pt idx="0">
                  <c:v>-105.51</c:v>
                </c:pt>
                <c:pt idx="1">
                  <c:v>-291.89999999999998</c:v>
                </c:pt>
                <c:pt idx="2">
                  <c:v>46.69</c:v>
                </c:pt>
                <c:pt idx="3">
                  <c:v>-3.58</c:v>
                </c:pt>
                <c:pt idx="4">
                  <c:v>-41.29</c:v>
                </c:pt>
                <c:pt idx="5">
                  <c:v>-140.80000000000001</c:v>
                </c:pt>
                <c:pt idx="6">
                  <c:v>155.01</c:v>
                </c:pt>
                <c:pt idx="7">
                  <c:v>79.989999999999995</c:v>
                </c:pt>
                <c:pt idx="8">
                  <c:v>90.03</c:v>
                </c:pt>
              </c:numCache>
            </c:numRef>
          </c:yVal>
          <c:smooth val="0"/>
          <c:extLst>
            <c:ext xmlns:c16="http://schemas.microsoft.com/office/drawing/2014/chart" uri="{C3380CC4-5D6E-409C-BE32-E72D297353CC}">
              <c16:uniqueId val="{00000004-931F-410F-8AC0-64A1F3DEAA48}"/>
            </c:ext>
          </c:extLst>
        </c:ser>
        <c:dLbls>
          <c:showLegendKey val="0"/>
          <c:showVal val="0"/>
          <c:showCatName val="0"/>
          <c:showSerName val="0"/>
          <c:showPercent val="0"/>
          <c:showBubbleSize val="0"/>
        </c:dLbls>
        <c:axId val="515521151"/>
        <c:axId val="515518271"/>
      </c:scatterChart>
      <c:valAx>
        <c:axId val="51552115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5518271"/>
        <c:crosses val="autoZero"/>
        <c:crossBetween val="midCat"/>
      </c:valAx>
      <c:valAx>
        <c:axId val="5155182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552115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27329539060570029"/>
          <c:y val="4.458509443812713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Sheet1!$C$4</c:f>
              <c:strCache>
                <c:ptCount val="1"/>
                <c:pt idx="0">
                  <c:v>NET FDI - Billions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1"/>
            <c:dispEq val="1"/>
            <c:trendlineLbl>
              <c:layout>
                <c:manualLayout>
                  <c:x val="1.7397034035024218E-2"/>
                  <c:y val="-0.17675899504387566"/>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Sheet1!$B$5:$B$13</c:f>
              <c:numCache>
                <c:formatCode>General</c:formatCode>
                <c:ptCount val="9"/>
                <c:pt idx="0">
                  <c:v>2015</c:v>
                </c:pt>
                <c:pt idx="1">
                  <c:v>2016</c:v>
                </c:pt>
                <c:pt idx="2">
                  <c:v>2017</c:v>
                </c:pt>
                <c:pt idx="3">
                  <c:v>2018</c:v>
                </c:pt>
                <c:pt idx="4">
                  <c:v>2019</c:v>
                </c:pt>
                <c:pt idx="5">
                  <c:v>2020</c:v>
                </c:pt>
                <c:pt idx="6">
                  <c:v>2021</c:v>
                </c:pt>
                <c:pt idx="7">
                  <c:v>2022</c:v>
                </c:pt>
                <c:pt idx="8">
                  <c:v>2023</c:v>
                </c:pt>
              </c:numCache>
            </c:numRef>
          </c:xVal>
          <c:yVal>
            <c:numRef>
              <c:f>Sheet1!$C$5:$C$13</c:f>
              <c:numCache>
                <c:formatCode>General</c:formatCode>
                <c:ptCount val="9"/>
                <c:pt idx="0">
                  <c:v>-105.51</c:v>
                </c:pt>
                <c:pt idx="1">
                  <c:v>-291.89999999999998</c:v>
                </c:pt>
                <c:pt idx="2">
                  <c:v>46.69</c:v>
                </c:pt>
                <c:pt idx="3">
                  <c:v>-3.58</c:v>
                </c:pt>
                <c:pt idx="4">
                  <c:v>-41.29</c:v>
                </c:pt>
                <c:pt idx="5">
                  <c:v>-140.80000000000001</c:v>
                </c:pt>
                <c:pt idx="6">
                  <c:v>155.01</c:v>
                </c:pt>
                <c:pt idx="7">
                  <c:v>79.989999999999995</c:v>
                </c:pt>
                <c:pt idx="8">
                  <c:v>90.03</c:v>
                </c:pt>
              </c:numCache>
            </c:numRef>
          </c:yVal>
          <c:smooth val="0"/>
          <c:extLst>
            <c:ext xmlns:c16="http://schemas.microsoft.com/office/drawing/2014/chart" uri="{C3380CC4-5D6E-409C-BE32-E72D297353CC}">
              <c16:uniqueId val="{00000001-1994-45D5-A76A-7C12A5BB9F1D}"/>
            </c:ext>
          </c:extLst>
        </c:ser>
        <c:dLbls>
          <c:dLblPos val="t"/>
          <c:showLegendKey val="0"/>
          <c:showVal val="1"/>
          <c:showCatName val="0"/>
          <c:showSerName val="0"/>
          <c:showPercent val="0"/>
          <c:showBubbleSize val="0"/>
        </c:dLbls>
        <c:axId val="878906015"/>
        <c:axId val="878895935"/>
      </c:scatterChart>
      <c:valAx>
        <c:axId val="87890601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8895935"/>
        <c:crosses val="autoZero"/>
        <c:crossBetween val="midCat"/>
      </c:valAx>
      <c:valAx>
        <c:axId val="8788959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890601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2"/>
          <c:order val="0"/>
          <c:tx>
            <c:strRef>
              <c:f>Sheet1!$E$4</c:f>
              <c:strCache>
                <c:ptCount val="1"/>
                <c:pt idx="0">
                  <c:v>Unemployment Rate</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3"/>
                </a:solidFill>
                <a:prstDash val="sysDot"/>
              </a:ln>
              <a:effectLst/>
            </c:spPr>
            <c:trendlineType val="linear"/>
            <c:dispRSqr val="1"/>
            <c:dispEq val="1"/>
            <c:trendlineLbl>
              <c:layout>
                <c:manualLayout>
                  <c:x val="4.5533084597355084E-2"/>
                  <c:y val="-0.30463892970119849"/>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cat>
            <c:numRef>
              <c:f>Sheet1!$B$5:$B$13</c:f>
              <c:numCache>
                <c:formatCode>General</c:formatCode>
                <c:ptCount val="9"/>
                <c:pt idx="0">
                  <c:v>2015</c:v>
                </c:pt>
                <c:pt idx="1">
                  <c:v>2016</c:v>
                </c:pt>
                <c:pt idx="2">
                  <c:v>2017</c:v>
                </c:pt>
                <c:pt idx="3">
                  <c:v>2018</c:v>
                </c:pt>
                <c:pt idx="4">
                  <c:v>2019</c:v>
                </c:pt>
                <c:pt idx="5">
                  <c:v>2020</c:v>
                </c:pt>
                <c:pt idx="6">
                  <c:v>2021</c:v>
                </c:pt>
                <c:pt idx="7">
                  <c:v>2022</c:v>
                </c:pt>
                <c:pt idx="8">
                  <c:v>2023</c:v>
                </c:pt>
              </c:numCache>
            </c:numRef>
          </c:cat>
          <c:val>
            <c:numRef>
              <c:f>Sheet1!$E$5:$E$13</c:f>
              <c:numCache>
                <c:formatCode>General</c:formatCode>
                <c:ptCount val="9"/>
                <c:pt idx="0">
                  <c:v>5.4</c:v>
                </c:pt>
                <c:pt idx="1">
                  <c:v>4.9000000000000004</c:v>
                </c:pt>
                <c:pt idx="2">
                  <c:v>4.4000000000000004</c:v>
                </c:pt>
                <c:pt idx="3">
                  <c:v>4.2</c:v>
                </c:pt>
                <c:pt idx="4">
                  <c:v>3.9</c:v>
                </c:pt>
                <c:pt idx="5">
                  <c:v>4.7</c:v>
                </c:pt>
                <c:pt idx="6">
                  <c:v>4.5999999999999996</c:v>
                </c:pt>
                <c:pt idx="7">
                  <c:v>3.9</c:v>
                </c:pt>
                <c:pt idx="8">
                  <c:v>4</c:v>
                </c:pt>
              </c:numCache>
            </c:numRef>
          </c:val>
          <c:smooth val="0"/>
          <c:extLst>
            <c:ext xmlns:c16="http://schemas.microsoft.com/office/drawing/2014/chart" uri="{C3380CC4-5D6E-409C-BE32-E72D297353CC}">
              <c16:uniqueId val="{00000001-1FFF-4546-93DF-D8B481A498EB}"/>
            </c:ext>
          </c:extLst>
        </c:ser>
        <c:dLbls>
          <c:dLblPos val="t"/>
          <c:showLegendKey val="0"/>
          <c:showVal val="1"/>
          <c:showCatName val="0"/>
          <c:showSerName val="0"/>
          <c:showPercent val="0"/>
          <c:showBubbleSize val="0"/>
        </c:dLbls>
        <c:smooth val="0"/>
        <c:axId val="1067127327"/>
        <c:axId val="1067122527"/>
      </c:lineChart>
      <c:catAx>
        <c:axId val="10671273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7122527"/>
        <c:crosses val="autoZero"/>
        <c:auto val="1"/>
        <c:lblAlgn val="ctr"/>
        <c:lblOffset val="100"/>
        <c:noMultiLvlLbl val="0"/>
      </c:catAx>
      <c:valAx>
        <c:axId val="10671225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71273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Sheet1!$C$3</c:f>
              <c:strCache>
                <c:ptCount val="1"/>
                <c:pt idx="0">
                  <c:v>Ukraine</c:v>
                </c:pt>
              </c:strCache>
            </c:strRef>
          </c:tx>
          <c:spPr>
            <a:solidFill>
              <a:schemeClr val="accent1"/>
            </a:solidFill>
            <a:ln>
              <a:noFill/>
            </a:ln>
            <a:effectLst/>
          </c:spPr>
          <c:invertIfNegative val="0"/>
          <c:cat>
            <c:strRef>
              <c:f>Sheet1!$D$2</c:f>
              <c:strCache>
                <c:ptCount val="1"/>
                <c:pt idx="0">
                  <c:v>Political stability, 2022 </c:v>
                </c:pt>
              </c:strCache>
            </c:strRef>
          </c:cat>
          <c:val>
            <c:numRef>
              <c:f>Sheet1!$D$3</c:f>
              <c:numCache>
                <c:formatCode>General</c:formatCode>
                <c:ptCount val="1"/>
                <c:pt idx="0">
                  <c:v>-2</c:v>
                </c:pt>
              </c:numCache>
            </c:numRef>
          </c:val>
          <c:extLst>
            <c:ext xmlns:c16="http://schemas.microsoft.com/office/drawing/2014/chart" uri="{C3380CC4-5D6E-409C-BE32-E72D297353CC}">
              <c16:uniqueId val="{00000000-F99F-4378-872F-914A1BC1E54C}"/>
            </c:ext>
          </c:extLst>
        </c:ser>
        <c:ser>
          <c:idx val="1"/>
          <c:order val="1"/>
          <c:tx>
            <c:strRef>
              <c:f>Sheet1!$C$4</c:f>
              <c:strCache>
                <c:ptCount val="1"/>
                <c:pt idx="0">
                  <c:v>Turkey</c:v>
                </c:pt>
              </c:strCache>
            </c:strRef>
          </c:tx>
          <c:spPr>
            <a:solidFill>
              <a:schemeClr val="accent2"/>
            </a:solidFill>
            <a:ln>
              <a:noFill/>
            </a:ln>
            <a:effectLst/>
          </c:spPr>
          <c:invertIfNegative val="0"/>
          <c:cat>
            <c:strRef>
              <c:f>Sheet1!$D$2</c:f>
              <c:strCache>
                <c:ptCount val="1"/>
                <c:pt idx="0">
                  <c:v>Political stability, 2022 </c:v>
                </c:pt>
              </c:strCache>
            </c:strRef>
          </c:cat>
          <c:val>
            <c:numRef>
              <c:f>Sheet1!$D$4</c:f>
              <c:numCache>
                <c:formatCode>General</c:formatCode>
                <c:ptCount val="1"/>
                <c:pt idx="0">
                  <c:v>-1.04</c:v>
                </c:pt>
              </c:numCache>
            </c:numRef>
          </c:val>
          <c:extLst>
            <c:ext xmlns:c16="http://schemas.microsoft.com/office/drawing/2014/chart" uri="{C3380CC4-5D6E-409C-BE32-E72D297353CC}">
              <c16:uniqueId val="{00000001-F99F-4378-872F-914A1BC1E54C}"/>
            </c:ext>
          </c:extLst>
        </c:ser>
        <c:ser>
          <c:idx val="2"/>
          <c:order val="2"/>
          <c:tx>
            <c:strRef>
              <c:f>Sheet1!$C$5</c:f>
              <c:strCache>
                <c:ptCount val="1"/>
                <c:pt idx="0">
                  <c:v>Russia</c:v>
                </c:pt>
              </c:strCache>
            </c:strRef>
          </c:tx>
          <c:spPr>
            <a:solidFill>
              <a:schemeClr val="accent3"/>
            </a:solidFill>
            <a:ln>
              <a:noFill/>
            </a:ln>
            <a:effectLst/>
          </c:spPr>
          <c:invertIfNegative val="0"/>
          <c:cat>
            <c:strRef>
              <c:f>Sheet1!$D$2</c:f>
              <c:strCache>
                <c:ptCount val="1"/>
                <c:pt idx="0">
                  <c:v>Political stability, 2022 </c:v>
                </c:pt>
              </c:strCache>
            </c:strRef>
          </c:cat>
          <c:val>
            <c:numRef>
              <c:f>Sheet1!$D$5</c:f>
              <c:numCache>
                <c:formatCode>General</c:formatCode>
                <c:ptCount val="1"/>
                <c:pt idx="0">
                  <c:v>-0.92</c:v>
                </c:pt>
              </c:numCache>
            </c:numRef>
          </c:val>
          <c:extLst>
            <c:ext xmlns:c16="http://schemas.microsoft.com/office/drawing/2014/chart" uri="{C3380CC4-5D6E-409C-BE32-E72D297353CC}">
              <c16:uniqueId val="{00000002-F99F-4378-872F-914A1BC1E54C}"/>
            </c:ext>
          </c:extLst>
        </c:ser>
        <c:ser>
          <c:idx val="3"/>
          <c:order val="3"/>
          <c:tx>
            <c:strRef>
              <c:f>Sheet1!$C$6</c:f>
              <c:strCache>
                <c:ptCount val="1"/>
                <c:pt idx="0">
                  <c:v>Spain</c:v>
                </c:pt>
              </c:strCache>
            </c:strRef>
          </c:tx>
          <c:spPr>
            <a:solidFill>
              <a:schemeClr val="accent4"/>
            </a:solidFill>
            <a:ln>
              <a:noFill/>
            </a:ln>
            <a:effectLst/>
          </c:spPr>
          <c:invertIfNegative val="0"/>
          <c:cat>
            <c:strRef>
              <c:f>Sheet1!$D$2</c:f>
              <c:strCache>
                <c:ptCount val="1"/>
                <c:pt idx="0">
                  <c:v>Political stability, 2022 </c:v>
                </c:pt>
              </c:strCache>
            </c:strRef>
          </c:cat>
          <c:val>
            <c:numRef>
              <c:f>Sheet1!$D$6</c:f>
              <c:numCache>
                <c:formatCode>General</c:formatCode>
                <c:ptCount val="1"/>
                <c:pt idx="0">
                  <c:v>0.27</c:v>
                </c:pt>
              </c:numCache>
            </c:numRef>
          </c:val>
          <c:extLst>
            <c:ext xmlns:c16="http://schemas.microsoft.com/office/drawing/2014/chart" uri="{C3380CC4-5D6E-409C-BE32-E72D297353CC}">
              <c16:uniqueId val="{00000003-F99F-4378-872F-914A1BC1E54C}"/>
            </c:ext>
          </c:extLst>
        </c:ser>
        <c:ser>
          <c:idx val="4"/>
          <c:order val="4"/>
          <c:tx>
            <c:strRef>
              <c:f>Sheet1!$C$7</c:f>
              <c:strCache>
                <c:ptCount val="1"/>
                <c:pt idx="0">
                  <c:v>France</c:v>
                </c:pt>
              </c:strCache>
            </c:strRef>
          </c:tx>
          <c:spPr>
            <a:solidFill>
              <a:schemeClr val="accent5"/>
            </a:solidFill>
            <a:ln>
              <a:noFill/>
            </a:ln>
            <a:effectLst/>
          </c:spPr>
          <c:invertIfNegative val="0"/>
          <c:cat>
            <c:strRef>
              <c:f>Sheet1!$D$2</c:f>
              <c:strCache>
                <c:ptCount val="1"/>
                <c:pt idx="0">
                  <c:v>Political stability, 2022 </c:v>
                </c:pt>
              </c:strCache>
            </c:strRef>
          </c:cat>
          <c:val>
            <c:numRef>
              <c:f>Sheet1!$D$7</c:f>
              <c:numCache>
                <c:formatCode>General</c:formatCode>
                <c:ptCount val="1"/>
                <c:pt idx="0">
                  <c:v>0.33</c:v>
                </c:pt>
              </c:numCache>
            </c:numRef>
          </c:val>
          <c:extLst>
            <c:ext xmlns:c16="http://schemas.microsoft.com/office/drawing/2014/chart" uri="{C3380CC4-5D6E-409C-BE32-E72D297353CC}">
              <c16:uniqueId val="{00000004-F99F-4378-872F-914A1BC1E54C}"/>
            </c:ext>
          </c:extLst>
        </c:ser>
        <c:ser>
          <c:idx val="5"/>
          <c:order val="5"/>
          <c:tx>
            <c:strRef>
              <c:f>Sheet1!$C$8</c:f>
              <c:strCache>
                <c:ptCount val="1"/>
                <c:pt idx="0">
                  <c:v>Italy</c:v>
                </c:pt>
              </c:strCache>
            </c:strRef>
          </c:tx>
          <c:spPr>
            <a:solidFill>
              <a:schemeClr val="accent6"/>
            </a:solidFill>
            <a:ln>
              <a:noFill/>
            </a:ln>
            <a:effectLst/>
          </c:spPr>
          <c:invertIfNegative val="0"/>
          <c:cat>
            <c:strRef>
              <c:f>Sheet1!$D$2</c:f>
              <c:strCache>
                <c:ptCount val="1"/>
                <c:pt idx="0">
                  <c:v>Political stability, 2022 </c:v>
                </c:pt>
              </c:strCache>
            </c:strRef>
          </c:cat>
          <c:val>
            <c:numRef>
              <c:f>Sheet1!$D$8</c:f>
              <c:numCache>
                <c:formatCode>General</c:formatCode>
                <c:ptCount val="1"/>
                <c:pt idx="0">
                  <c:v>0.41</c:v>
                </c:pt>
              </c:numCache>
            </c:numRef>
          </c:val>
          <c:extLst>
            <c:ext xmlns:c16="http://schemas.microsoft.com/office/drawing/2014/chart" uri="{C3380CC4-5D6E-409C-BE32-E72D297353CC}">
              <c16:uniqueId val="{00000005-F99F-4378-872F-914A1BC1E54C}"/>
            </c:ext>
          </c:extLst>
        </c:ser>
        <c:ser>
          <c:idx val="6"/>
          <c:order val="6"/>
          <c:tx>
            <c:strRef>
              <c:f>Sheet1!$C$9</c:f>
              <c:strCache>
                <c:ptCount val="1"/>
                <c:pt idx="0">
                  <c:v>Romania</c:v>
                </c:pt>
              </c:strCache>
            </c:strRef>
          </c:tx>
          <c:spPr>
            <a:solidFill>
              <a:schemeClr val="accent1">
                <a:lumMod val="60000"/>
              </a:schemeClr>
            </a:solidFill>
            <a:ln>
              <a:noFill/>
            </a:ln>
            <a:effectLst/>
          </c:spPr>
          <c:invertIfNegative val="0"/>
          <c:cat>
            <c:strRef>
              <c:f>Sheet1!$D$2</c:f>
              <c:strCache>
                <c:ptCount val="1"/>
                <c:pt idx="0">
                  <c:v>Political stability, 2022 </c:v>
                </c:pt>
              </c:strCache>
            </c:strRef>
          </c:cat>
          <c:val>
            <c:numRef>
              <c:f>Sheet1!$D$9</c:f>
              <c:numCache>
                <c:formatCode>General</c:formatCode>
                <c:ptCount val="1"/>
                <c:pt idx="0">
                  <c:v>0.49</c:v>
                </c:pt>
              </c:numCache>
            </c:numRef>
          </c:val>
          <c:extLst>
            <c:ext xmlns:c16="http://schemas.microsoft.com/office/drawing/2014/chart" uri="{C3380CC4-5D6E-409C-BE32-E72D297353CC}">
              <c16:uniqueId val="{00000006-F99F-4378-872F-914A1BC1E54C}"/>
            </c:ext>
          </c:extLst>
        </c:ser>
        <c:ser>
          <c:idx val="7"/>
          <c:order val="7"/>
          <c:tx>
            <c:strRef>
              <c:f>Sheet1!$C$10</c:f>
              <c:strCache>
                <c:ptCount val="1"/>
                <c:pt idx="0">
                  <c:v>UK</c:v>
                </c:pt>
              </c:strCache>
            </c:strRef>
          </c:tx>
          <c:spPr>
            <a:solidFill>
              <a:schemeClr val="accent2">
                <a:lumMod val="60000"/>
              </a:schemeClr>
            </a:solidFill>
            <a:ln>
              <a:noFill/>
            </a:ln>
            <a:effectLst/>
          </c:spPr>
          <c:invertIfNegative val="0"/>
          <c:cat>
            <c:strRef>
              <c:f>Sheet1!$D$2</c:f>
              <c:strCache>
                <c:ptCount val="1"/>
                <c:pt idx="0">
                  <c:v>Political stability, 2022 </c:v>
                </c:pt>
              </c:strCache>
            </c:strRef>
          </c:cat>
          <c:val>
            <c:numRef>
              <c:f>Sheet1!$D$10</c:f>
              <c:numCache>
                <c:formatCode>General</c:formatCode>
                <c:ptCount val="1"/>
                <c:pt idx="0">
                  <c:v>0.5</c:v>
                </c:pt>
              </c:numCache>
            </c:numRef>
          </c:val>
          <c:extLst>
            <c:ext xmlns:c16="http://schemas.microsoft.com/office/drawing/2014/chart" uri="{C3380CC4-5D6E-409C-BE32-E72D297353CC}">
              <c16:uniqueId val="{00000007-F99F-4378-872F-914A1BC1E54C}"/>
            </c:ext>
          </c:extLst>
        </c:ser>
        <c:ser>
          <c:idx val="8"/>
          <c:order val="8"/>
          <c:tx>
            <c:strRef>
              <c:f>Sheet1!$C$11</c:f>
              <c:strCache>
                <c:ptCount val="1"/>
                <c:pt idx="0">
                  <c:v>Poland</c:v>
                </c:pt>
              </c:strCache>
            </c:strRef>
          </c:tx>
          <c:spPr>
            <a:solidFill>
              <a:schemeClr val="accent3">
                <a:lumMod val="60000"/>
              </a:schemeClr>
            </a:solidFill>
            <a:ln>
              <a:noFill/>
            </a:ln>
            <a:effectLst/>
          </c:spPr>
          <c:invertIfNegative val="0"/>
          <c:cat>
            <c:strRef>
              <c:f>Sheet1!$D$2</c:f>
              <c:strCache>
                <c:ptCount val="1"/>
                <c:pt idx="0">
                  <c:v>Political stability, 2022 </c:v>
                </c:pt>
              </c:strCache>
            </c:strRef>
          </c:cat>
          <c:val>
            <c:numRef>
              <c:f>Sheet1!$D$11</c:f>
              <c:numCache>
                <c:formatCode>General</c:formatCode>
                <c:ptCount val="1"/>
                <c:pt idx="0">
                  <c:v>0.5</c:v>
                </c:pt>
              </c:numCache>
            </c:numRef>
          </c:val>
          <c:extLst>
            <c:ext xmlns:c16="http://schemas.microsoft.com/office/drawing/2014/chart" uri="{C3380CC4-5D6E-409C-BE32-E72D297353CC}">
              <c16:uniqueId val="{00000008-F99F-4378-872F-914A1BC1E54C}"/>
            </c:ext>
          </c:extLst>
        </c:ser>
        <c:ser>
          <c:idx val="9"/>
          <c:order val="9"/>
          <c:tx>
            <c:strRef>
              <c:f>Sheet1!$C$12</c:f>
              <c:strCache>
                <c:ptCount val="1"/>
                <c:pt idx="0">
                  <c:v>Belgium</c:v>
                </c:pt>
              </c:strCache>
            </c:strRef>
          </c:tx>
          <c:spPr>
            <a:solidFill>
              <a:schemeClr val="accent4">
                <a:lumMod val="60000"/>
              </a:schemeClr>
            </a:solidFill>
            <a:ln>
              <a:noFill/>
            </a:ln>
            <a:effectLst/>
          </c:spPr>
          <c:invertIfNegative val="0"/>
          <c:cat>
            <c:strRef>
              <c:f>Sheet1!$D$2</c:f>
              <c:strCache>
                <c:ptCount val="1"/>
                <c:pt idx="0">
                  <c:v>Political stability, 2022 </c:v>
                </c:pt>
              </c:strCache>
            </c:strRef>
          </c:cat>
          <c:val>
            <c:numRef>
              <c:f>Sheet1!$D$12</c:f>
              <c:numCache>
                <c:formatCode>General</c:formatCode>
                <c:ptCount val="1"/>
                <c:pt idx="0">
                  <c:v>0.57999999999999996</c:v>
                </c:pt>
              </c:numCache>
            </c:numRef>
          </c:val>
          <c:extLst>
            <c:ext xmlns:c16="http://schemas.microsoft.com/office/drawing/2014/chart" uri="{C3380CC4-5D6E-409C-BE32-E72D297353CC}">
              <c16:uniqueId val="{00000009-F99F-4378-872F-914A1BC1E54C}"/>
            </c:ext>
          </c:extLst>
        </c:ser>
        <c:ser>
          <c:idx val="10"/>
          <c:order val="10"/>
          <c:tx>
            <c:strRef>
              <c:f>Sheet1!$C$13</c:f>
              <c:strCache>
                <c:ptCount val="1"/>
                <c:pt idx="0">
                  <c:v>Germany</c:v>
                </c:pt>
              </c:strCache>
            </c:strRef>
          </c:tx>
          <c:spPr>
            <a:solidFill>
              <a:schemeClr val="accent5">
                <a:lumMod val="60000"/>
              </a:schemeClr>
            </a:solidFill>
            <a:ln>
              <a:noFill/>
            </a:ln>
            <a:effectLst/>
          </c:spPr>
          <c:invertIfNegative val="0"/>
          <c:cat>
            <c:strRef>
              <c:f>Sheet1!$D$2</c:f>
              <c:strCache>
                <c:ptCount val="1"/>
                <c:pt idx="0">
                  <c:v>Political stability, 2022 </c:v>
                </c:pt>
              </c:strCache>
            </c:strRef>
          </c:cat>
          <c:val>
            <c:numRef>
              <c:f>Sheet1!$D$13</c:f>
              <c:numCache>
                <c:formatCode>General</c:formatCode>
                <c:ptCount val="1"/>
                <c:pt idx="0">
                  <c:v>0.61</c:v>
                </c:pt>
              </c:numCache>
            </c:numRef>
          </c:val>
          <c:extLst>
            <c:ext xmlns:c16="http://schemas.microsoft.com/office/drawing/2014/chart" uri="{C3380CC4-5D6E-409C-BE32-E72D297353CC}">
              <c16:uniqueId val="{0000000A-F99F-4378-872F-914A1BC1E54C}"/>
            </c:ext>
          </c:extLst>
        </c:ser>
        <c:ser>
          <c:idx val="11"/>
          <c:order val="11"/>
          <c:tx>
            <c:strRef>
              <c:f>Sheet1!$C$14</c:f>
              <c:strCache>
                <c:ptCount val="1"/>
                <c:pt idx="0">
                  <c:v>Denmark</c:v>
                </c:pt>
              </c:strCache>
            </c:strRef>
          </c:tx>
          <c:spPr>
            <a:solidFill>
              <a:schemeClr val="accent6">
                <a:lumMod val="60000"/>
              </a:schemeClr>
            </a:solidFill>
            <a:ln>
              <a:noFill/>
            </a:ln>
            <a:effectLst/>
          </c:spPr>
          <c:invertIfNegative val="0"/>
          <c:cat>
            <c:strRef>
              <c:f>Sheet1!$D$2</c:f>
              <c:strCache>
                <c:ptCount val="1"/>
                <c:pt idx="0">
                  <c:v>Political stability, 2022 </c:v>
                </c:pt>
              </c:strCache>
            </c:strRef>
          </c:cat>
          <c:val>
            <c:numRef>
              <c:f>Sheet1!$D$14</c:f>
              <c:numCache>
                <c:formatCode>General</c:formatCode>
                <c:ptCount val="1"/>
                <c:pt idx="0">
                  <c:v>0.87</c:v>
                </c:pt>
              </c:numCache>
            </c:numRef>
          </c:val>
          <c:extLst>
            <c:ext xmlns:c16="http://schemas.microsoft.com/office/drawing/2014/chart" uri="{C3380CC4-5D6E-409C-BE32-E72D297353CC}">
              <c16:uniqueId val="{0000000B-F99F-4378-872F-914A1BC1E54C}"/>
            </c:ext>
          </c:extLst>
        </c:ser>
        <c:ser>
          <c:idx val="12"/>
          <c:order val="12"/>
          <c:tx>
            <c:strRef>
              <c:f>Sheet1!$C$15</c:f>
              <c:strCache>
                <c:ptCount val="1"/>
                <c:pt idx="0">
                  <c:v>Ireland</c:v>
                </c:pt>
              </c:strCache>
            </c:strRef>
          </c:tx>
          <c:spPr>
            <a:solidFill>
              <a:schemeClr val="accent1">
                <a:lumMod val="80000"/>
                <a:lumOff val="20000"/>
              </a:schemeClr>
            </a:solidFill>
            <a:ln>
              <a:noFill/>
            </a:ln>
            <a:effectLst/>
          </c:spPr>
          <c:invertIfNegative val="0"/>
          <c:cat>
            <c:strRef>
              <c:f>Sheet1!$D$2</c:f>
              <c:strCache>
                <c:ptCount val="1"/>
                <c:pt idx="0">
                  <c:v>Political stability, 2022 </c:v>
                </c:pt>
              </c:strCache>
            </c:strRef>
          </c:cat>
          <c:val>
            <c:numRef>
              <c:f>Sheet1!$D$15</c:f>
              <c:numCache>
                <c:formatCode>General</c:formatCode>
                <c:ptCount val="1"/>
                <c:pt idx="0">
                  <c:v>0.88</c:v>
                </c:pt>
              </c:numCache>
            </c:numRef>
          </c:val>
          <c:extLst>
            <c:ext xmlns:c16="http://schemas.microsoft.com/office/drawing/2014/chart" uri="{C3380CC4-5D6E-409C-BE32-E72D297353CC}">
              <c16:uniqueId val="{0000000C-F99F-4378-872F-914A1BC1E54C}"/>
            </c:ext>
          </c:extLst>
        </c:ser>
        <c:ser>
          <c:idx val="13"/>
          <c:order val="13"/>
          <c:tx>
            <c:strRef>
              <c:f>Sheet1!$C$16</c:f>
              <c:strCache>
                <c:ptCount val="1"/>
                <c:pt idx="0">
                  <c:v>Finland</c:v>
                </c:pt>
              </c:strCache>
            </c:strRef>
          </c:tx>
          <c:spPr>
            <a:solidFill>
              <a:schemeClr val="accent2">
                <a:lumMod val="80000"/>
                <a:lumOff val="20000"/>
              </a:schemeClr>
            </a:solidFill>
            <a:ln>
              <a:noFill/>
            </a:ln>
            <a:effectLst/>
          </c:spPr>
          <c:invertIfNegative val="0"/>
          <c:cat>
            <c:strRef>
              <c:f>Sheet1!$D$2</c:f>
              <c:strCache>
                <c:ptCount val="1"/>
                <c:pt idx="0">
                  <c:v>Political stability, 2022 </c:v>
                </c:pt>
              </c:strCache>
            </c:strRef>
          </c:cat>
          <c:val>
            <c:numRef>
              <c:f>Sheet1!$D$16</c:f>
              <c:numCache>
                <c:formatCode>General</c:formatCode>
                <c:ptCount val="1"/>
                <c:pt idx="0">
                  <c:v>0.89</c:v>
                </c:pt>
              </c:numCache>
            </c:numRef>
          </c:val>
          <c:extLst>
            <c:ext xmlns:c16="http://schemas.microsoft.com/office/drawing/2014/chart" uri="{C3380CC4-5D6E-409C-BE32-E72D297353CC}">
              <c16:uniqueId val="{0000000D-F99F-4378-872F-914A1BC1E54C}"/>
            </c:ext>
          </c:extLst>
        </c:ser>
        <c:ser>
          <c:idx val="14"/>
          <c:order val="14"/>
          <c:tx>
            <c:strRef>
              <c:f>Sheet1!$C$17</c:f>
              <c:strCache>
                <c:ptCount val="1"/>
                <c:pt idx="0">
                  <c:v>Sweden</c:v>
                </c:pt>
              </c:strCache>
            </c:strRef>
          </c:tx>
          <c:spPr>
            <a:solidFill>
              <a:schemeClr val="accent3">
                <a:lumMod val="80000"/>
                <a:lumOff val="20000"/>
              </a:schemeClr>
            </a:solidFill>
            <a:ln>
              <a:noFill/>
            </a:ln>
            <a:effectLst/>
          </c:spPr>
          <c:invertIfNegative val="0"/>
          <c:cat>
            <c:strRef>
              <c:f>Sheet1!$D$2</c:f>
              <c:strCache>
                <c:ptCount val="1"/>
                <c:pt idx="0">
                  <c:v>Political stability, 2022 </c:v>
                </c:pt>
              </c:strCache>
            </c:strRef>
          </c:cat>
          <c:val>
            <c:numRef>
              <c:f>Sheet1!$D$17</c:f>
              <c:numCache>
                <c:formatCode>General</c:formatCode>
                <c:ptCount val="1"/>
                <c:pt idx="0">
                  <c:v>0.9</c:v>
                </c:pt>
              </c:numCache>
            </c:numRef>
          </c:val>
          <c:extLst>
            <c:ext xmlns:c16="http://schemas.microsoft.com/office/drawing/2014/chart" uri="{C3380CC4-5D6E-409C-BE32-E72D297353CC}">
              <c16:uniqueId val="{0000000E-F99F-4378-872F-914A1BC1E54C}"/>
            </c:ext>
          </c:extLst>
        </c:ser>
        <c:ser>
          <c:idx val="15"/>
          <c:order val="15"/>
          <c:tx>
            <c:strRef>
              <c:f>Sheet1!$C$18</c:f>
              <c:strCache>
                <c:ptCount val="1"/>
                <c:pt idx="0">
                  <c:v>India </c:v>
                </c:pt>
              </c:strCache>
            </c:strRef>
          </c:tx>
          <c:spPr>
            <a:solidFill>
              <a:schemeClr val="accent4">
                <a:lumMod val="80000"/>
                <a:lumOff val="20000"/>
              </a:schemeClr>
            </a:solidFill>
            <a:ln>
              <a:noFill/>
            </a:ln>
            <a:effectLst/>
          </c:spPr>
          <c:invertIfNegative val="0"/>
          <c:cat>
            <c:strRef>
              <c:f>Sheet1!$D$2</c:f>
              <c:strCache>
                <c:ptCount val="1"/>
                <c:pt idx="0">
                  <c:v>Political stability, 2022 </c:v>
                </c:pt>
              </c:strCache>
            </c:strRef>
          </c:cat>
          <c:val>
            <c:numRef>
              <c:f>Sheet1!$D$18</c:f>
              <c:numCache>
                <c:formatCode>General</c:formatCode>
                <c:ptCount val="1"/>
                <c:pt idx="0">
                  <c:v>-0.56999999999999995</c:v>
                </c:pt>
              </c:numCache>
            </c:numRef>
          </c:val>
          <c:extLst>
            <c:ext xmlns:c16="http://schemas.microsoft.com/office/drawing/2014/chart" uri="{C3380CC4-5D6E-409C-BE32-E72D297353CC}">
              <c16:uniqueId val="{0000000F-F99F-4378-872F-914A1BC1E54C}"/>
            </c:ext>
          </c:extLst>
        </c:ser>
        <c:ser>
          <c:idx val="16"/>
          <c:order val="16"/>
          <c:tx>
            <c:strRef>
              <c:f>Sheet1!$C$19</c:f>
              <c:strCache>
                <c:ptCount val="1"/>
                <c:pt idx="0">
                  <c:v>Japan</c:v>
                </c:pt>
              </c:strCache>
            </c:strRef>
          </c:tx>
          <c:spPr>
            <a:solidFill>
              <a:schemeClr val="accent5">
                <a:lumMod val="80000"/>
                <a:lumOff val="20000"/>
              </a:schemeClr>
            </a:solidFill>
            <a:ln>
              <a:noFill/>
            </a:ln>
            <a:effectLst/>
          </c:spPr>
          <c:invertIfNegative val="0"/>
          <c:cat>
            <c:strRef>
              <c:f>Sheet1!$D$2</c:f>
              <c:strCache>
                <c:ptCount val="1"/>
                <c:pt idx="0">
                  <c:v>Political stability, 2022 </c:v>
                </c:pt>
              </c:strCache>
            </c:strRef>
          </c:cat>
          <c:val>
            <c:numRef>
              <c:f>Sheet1!$D$19</c:f>
              <c:numCache>
                <c:formatCode>General</c:formatCode>
                <c:ptCount val="1"/>
                <c:pt idx="0">
                  <c:v>1.07</c:v>
                </c:pt>
              </c:numCache>
            </c:numRef>
          </c:val>
          <c:extLst>
            <c:ext xmlns:c16="http://schemas.microsoft.com/office/drawing/2014/chart" uri="{C3380CC4-5D6E-409C-BE32-E72D297353CC}">
              <c16:uniqueId val="{00000010-F99F-4378-872F-914A1BC1E54C}"/>
            </c:ext>
          </c:extLst>
        </c:ser>
        <c:ser>
          <c:idx val="17"/>
          <c:order val="17"/>
          <c:tx>
            <c:strRef>
              <c:f>Sheet1!$C$20</c:f>
              <c:strCache>
                <c:ptCount val="1"/>
                <c:pt idx="0">
                  <c:v>Canada</c:v>
                </c:pt>
              </c:strCache>
            </c:strRef>
          </c:tx>
          <c:spPr>
            <a:solidFill>
              <a:schemeClr val="accent6">
                <a:lumMod val="80000"/>
                <a:lumOff val="20000"/>
              </a:schemeClr>
            </a:solidFill>
            <a:ln>
              <a:noFill/>
            </a:ln>
            <a:effectLst/>
          </c:spPr>
          <c:invertIfNegative val="0"/>
          <c:cat>
            <c:strRef>
              <c:f>Sheet1!$D$2</c:f>
              <c:strCache>
                <c:ptCount val="1"/>
                <c:pt idx="0">
                  <c:v>Political stability, 2022 </c:v>
                </c:pt>
              </c:strCache>
            </c:strRef>
          </c:cat>
          <c:val>
            <c:numRef>
              <c:f>Sheet1!$D$20</c:f>
              <c:numCache>
                <c:formatCode>General</c:formatCode>
                <c:ptCount val="1"/>
                <c:pt idx="0">
                  <c:v>0.77</c:v>
                </c:pt>
              </c:numCache>
            </c:numRef>
          </c:val>
          <c:extLst>
            <c:ext xmlns:c16="http://schemas.microsoft.com/office/drawing/2014/chart" uri="{C3380CC4-5D6E-409C-BE32-E72D297353CC}">
              <c16:uniqueId val="{00000011-F99F-4378-872F-914A1BC1E54C}"/>
            </c:ext>
          </c:extLst>
        </c:ser>
        <c:ser>
          <c:idx val="18"/>
          <c:order val="18"/>
          <c:tx>
            <c:strRef>
              <c:f>Sheet1!$C$21</c:f>
              <c:strCache>
                <c:ptCount val="1"/>
                <c:pt idx="0">
                  <c:v>Germany</c:v>
                </c:pt>
              </c:strCache>
            </c:strRef>
          </c:tx>
          <c:spPr>
            <a:solidFill>
              <a:schemeClr val="accent1">
                <a:lumMod val="80000"/>
              </a:schemeClr>
            </a:solidFill>
            <a:ln>
              <a:noFill/>
            </a:ln>
            <a:effectLst/>
          </c:spPr>
          <c:invertIfNegative val="0"/>
          <c:cat>
            <c:strRef>
              <c:f>Sheet1!$D$2</c:f>
              <c:strCache>
                <c:ptCount val="1"/>
                <c:pt idx="0">
                  <c:v>Political stability, 2022 </c:v>
                </c:pt>
              </c:strCache>
            </c:strRef>
          </c:cat>
          <c:val>
            <c:numRef>
              <c:f>Sheet1!$D$21</c:f>
              <c:numCache>
                <c:formatCode>General</c:formatCode>
                <c:ptCount val="1"/>
                <c:pt idx="0">
                  <c:v>0.61</c:v>
                </c:pt>
              </c:numCache>
            </c:numRef>
          </c:val>
          <c:extLst>
            <c:ext xmlns:c16="http://schemas.microsoft.com/office/drawing/2014/chart" uri="{C3380CC4-5D6E-409C-BE32-E72D297353CC}">
              <c16:uniqueId val="{00000012-F99F-4378-872F-914A1BC1E54C}"/>
            </c:ext>
          </c:extLst>
        </c:ser>
        <c:ser>
          <c:idx val="19"/>
          <c:order val="19"/>
          <c:tx>
            <c:strRef>
              <c:f>Sheet1!$C$22</c:f>
              <c:strCache>
                <c:ptCount val="1"/>
                <c:pt idx="0">
                  <c:v>UK</c:v>
                </c:pt>
              </c:strCache>
            </c:strRef>
          </c:tx>
          <c:spPr>
            <a:solidFill>
              <a:schemeClr val="accent2">
                <a:lumMod val="80000"/>
              </a:schemeClr>
            </a:solidFill>
            <a:ln>
              <a:noFill/>
            </a:ln>
            <a:effectLst/>
          </c:spPr>
          <c:invertIfNegative val="0"/>
          <c:cat>
            <c:strRef>
              <c:f>Sheet1!$D$2</c:f>
              <c:strCache>
                <c:ptCount val="1"/>
                <c:pt idx="0">
                  <c:v>Political stability, 2022 </c:v>
                </c:pt>
              </c:strCache>
            </c:strRef>
          </c:cat>
          <c:val>
            <c:numRef>
              <c:f>Sheet1!$D$22</c:f>
              <c:numCache>
                <c:formatCode>General</c:formatCode>
                <c:ptCount val="1"/>
                <c:pt idx="0">
                  <c:v>0.5</c:v>
                </c:pt>
              </c:numCache>
            </c:numRef>
          </c:val>
          <c:extLst>
            <c:ext xmlns:c16="http://schemas.microsoft.com/office/drawing/2014/chart" uri="{C3380CC4-5D6E-409C-BE32-E72D297353CC}">
              <c16:uniqueId val="{00000013-F99F-4378-872F-914A1BC1E54C}"/>
            </c:ext>
          </c:extLst>
        </c:ser>
        <c:ser>
          <c:idx val="20"/>
          <c:order val="20"/>
          <c:tx>
            <c:strRef>
              <c:f>Sheet1!$C$23</c:f>
              <c:strCache>
                <c:ptCount val="1"/>
                <c:pt idx="0">
                  <c:v>Italy</c:v>
                </c:pt>
              </c:strCache>
            </c:strRef>
          </c:tx>
          <c:spPr>
            <a:solidFill>
              <a:schemeClr val="accent3">
                <a:lumMod val="80000"/>
              </a:schemeClr>
            </a:solidFill>
            <a:ln>
              <a:noFill/>
            </a:ln>
            <a:effectLst/>
          </c:spPr>
          <c:invertIfNegative val="0"/>
          <c:cat>
            <c:strRef>
              <c:f>Sheet1!$D$2</c:f>
              <c:strCache>
                <c:ptCount val="1"/>
                <c:pt idx="0">
                  <c:v>Political stability, 2022 </c:v>
                </c:pt>
              </c:strCache>
            </c:strRef>
          </c:cat>
          <c:val>
            <c:numRef>
              <c:f>Sheet1!$D$23</c:f>
              <c:numCache>
                <c:formatCode>General</c:formatCode>
                <c:ptCount val="1"/>
                <c:pt idx="0">
                  <c:v>0.41</c:v>
                </c:pt>
              </c:numCache>
            </c:numRef>
          </c:val>
          <c:extLst>
            <c:ext xmlns:c16="http://schemas.microsoft.com/office/drawing/2014/chart" uri="{C3380CC4-5D6E-409C-BE32-E72D297353CC}">
              <c16:uniqueId val="{00000014-F99F-4378-872F-914A1BC1E54C}"/>
            </c:ext>
          </c:extLst>
        </c:ser>
        <c:ser>
          <c:idx val="21"/>
          <c:order val="21"/>
          <c:tx>
            <c:strRef>
              <c:f>Sheet1!$C$24</c:f>
              <c:strCache>
                <c:ptCount val="1"/>
                <c:pt idx="0">
                  <c:v>France</c:v>
                </c:pt>
              </c:strCache>
            </c:strRef>
          </c:tx>
          <c:spPr>
            <a:solidFill>
              <a:schemeClr val="accent4">
                <a:lumMod val="80000"/>
              </a:schemeClr>
            </a:solidFill>
            <a:ln>
              <a:noFill/>
            </a:ln>
            <a:effectLst/>
          </c:spPr>
          <c:invertIfNegative val="0"/>
          <c:cat>
            <c:strRef>
              <c:f>Sheet1!$D$2</c:f>
              <c:strCache>
                <c:ptCount val="1"/>
                <c:pt idx="0">
                  <c:v>Political stability, 2022 </c:v>
                </c:pt>
              </c:strCache>
            </c:strRef>
          </c:cat>
          <c:val>
            <c:numRef>
              <c:f>Sheet1!$D$24</c:f>
              <c:numCache>
                <c:formatCode>General</c:formatCode>
                <c:ptCount val="1"/>
                <c:pt idx="0">
                  <c:v>0.33</c:v>
                </c:pt>
              </c:numCache>
            </c:numRef>
          </c:val>
          <c:extLst>
            <c:ext xmlns:c16="http://schemas.microsoft.com/office/drawing/2014/chart" uri="{C3380CC4-5D6E-409C-BE32-E72D297353CC}">
              <c16:uniqueId val="{00000015-F99F-4378-872F-914A1BC1E54C}"/>
            </c:ext>
          </c:extLst>
        </c:ser>
        <c:ser>
          <c:idx val="22"/>
          <c:order val="22"/>
          <c:tx>
            <c:strRef>
              <c:f>Sheet1!$C$25</c:f>
              <c:strCache>
                <c:ptCount val="1"/>
                <c:pt idx="0">
                  <c:v>USA</c:v>
                </c:pt>
              </c:strCache>
            </c:strRef>
          </c:tx>
          <c:spPr>
            <a:solidFill>
              <a:schemeClr val="accent5">
                <a:lumMod val="80000"/>
              </a:schemeClr>
            </a:solidFill>
            <a:ln>
              <a:noFill/>
            </a:ln>
            <a:effectLst/>
          </c:spPr>
          <c:invertIfNegative val="0"/>
          <c:cat>
            <c:strRef>
              <c:f>Sheet1!$D$2</c:f>
              <c:strCache>
                <c:ptCount val="1"/>
                <c:pt idx="0">
                  <c:v>Political stability, 2022 </c:v>
                </c:pt>
              </c:strCache>
            </c:strRef>
          </c:cat>
          <c:val>
            <c:numRef>
              <c:f>Sheet1!$D$25</c:f>
              <c:numCache>
                <c:formatCode>General</c:formatCode>
                <c:ptCount val="1"/>
                <c:pt idx="0">
                  <c:v>-0.04</c:v>
                </c:pt>
              </c:numCache>
            </c:numRef>
          </c:val>
          <c:extLst>
            <c:ext xmlns:c16="http://schemas.microsoft.com/office/drawing/2014/chart" uri="{C3380CC4-5D6E-409C-BE32-E72D297353CC}">
              <c16:uniqueId val="{00000016-F99F-4378-872F-914A1BC1E54C}"/>
            </c:ext>
          </c:extLst>
        </c:ser>
        <c:dLbls>
          <c:showLegendKey val="0"/>
          <c:showVal val="0"/>
          <c:showCatName val="0"/>
          <c:showSerName val="0"/>
          <c:showPercent val="0"/>
          <c:showBubbleSize val="0"/>
        </c:dLbls>
        <c:gapWidth val="219"/>
        <c:overlap val="-27"/>
        <c:axId val="1538088144"/>
        <c:axId val="1538109744"/>
      </c:barChart>
      <c:catAx>
        <c:axId val="1538088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8109744"/>
        <c:crosses val="autoZero"/>
        <c:auto val="1"/>
        <c:lblAlgn val="ctr"/>
        <c:lblOffset val="100"/>
        <c:noMultiLvlLbl val="0"/>
      </c:catAx>
      <c:valAx>
        <c:axId val="1538109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8088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US"/>
              <a:t>Infrastructure investment in UK in (Millions)</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Figure_4__New_work_infrastructu!$B$7</c:f>
              <c:strCache>
                <c:ptCount val="1"/>
                <c:pt idx="0">
                  <c:v>Water</c:v>
                </c:pt>
              </c:strCache>
            </c:strRef>
          </c:tx>
          <c:spPr>
            <a:solidFill>
              <a:schemeClr val="accent1">
                <a:alpha val="70000"/>
              </a:schemeClr>
            </a:solidFill>
            <a:ln>
              <a:noFill/>
            </a:ln>
            <a:effectLst/>
          </c:spPr>
          <c:invertIfNegative val="0"/>
          <c:cat>
            <c:numRef>
              <c:f>Figure_4__New_work_infrastructu!$A$8:$A$19</c:f>
              <c:numCache>
                <c:formatCode>General</c:formatCode>
                <c:ptCount val="12"/>
                <c:pt idx="0">
                  <c:v>2010</c:v>
                </c:pt>
                <c:pt idx="1">
                  <c:v>2011</c:v>
                </c:pt>
                <c:pt idx="2">
                  <c:v>2012</c:v>
                </c:pt>
                <c:pt idx="3">
                  <c:v>2013</c:v>
                </c:pt>
                <c:pt idx="4">
                  <c:v>2014</c:v>
                </c:pt>
                <c:pt idx="5">
                  <c:v>2015</c:v>
                </c:pt>
                <c:pt idx="6">
                  <c:v>2016</c:v>
                </c:pt>
                <c:pt idx="7">
                  <c:v>2017</c:v>
                </c:pt>
                <c:pt idx="8">
                  <c:v>2018</c:v>
                </c:pt>
                <c:pt idx="9">
                  <c:v>2019</c:v>
                </c:pt>
                <c:pt idx="10">
                  <c:v>2020</c:v>
                </c:pt>
                <c:pt idx="11">
                  <c:v>2021</c:v>
                </c:pt>
              </c:numCache>
            </c:numRef>
          </c:cat>
          <c:val>
            <c:numRef>
              <c:f>Figure_4__New_work_infrastructu!$B$8:$B$19</c:f>
              <c:numCache>
                <c:formatCode>General</c:formatCode>
                <c:ptCount val="12"/>
                <c:pt idx="0">
                  <c:v>2787</c:v>
                </c:pt>
                <c:pt idx="1">
                  <c:v>2178</c:v>
                </c:pt>
                <c:pt idx="2">
                  <c:v>1729</c:v>
                </c:pt>
                <c:pt idx="3">
                  <c:v>1193</c:v>
                </c:pt>
                <c:pt idx="4">
                  <c:v>629</c:v>
                </c:pt>
                <c:pt idx="5">
                  <c:v>518</c:v>
                </c:pt>
                <c:pt idx="6">
                  <c:v>813</c:v>
                </c:pt>
                <c:pt idx="7">
                  <c:v>1383</c:v>
                </c:pt>
                <c:pt idx="8">
                  <c:v>1191</c:v>
                </c:pt>
                <c:pt idx="9">
                  <c:v>1185</c:v>
                </c:pt>
                <c:pt idx="10">
                  <c:v>924</c:v>
                </c:pt>
                <c:pt idx="11">
                  <c:v>893</c:v>
                </c:pt>
              </c:numCache>
            </c:numRef>
          </c:val>
          <c:extLst>
            <c:ext xmlns:c16="http://schemas.microsoft.com/office/drawing/2014/chart" uri="{C3380CC4-5D6E-409C-BE32-E72D297353CC}">
              <c16:uniqueId val="{00000000-E657-40EC-8515-61B291CF2803}"/>
            </c:ext>
          </c:extLst>
        </c:ser>
        <c:ser>
          <c:idx val="1"/>
          <c:order val="1"/>
          <c:tx>
            <c:strRef>
              <c:f>Figure_4__New_work_infrastructu!$C$7</c:f>
              <c:strCache>
                <c:ptCount val="1"/>
                <c:pt idx="0">
                  <c:v>Sewerage</c:v>
                </c:pt>
              </c:strCache>
            </c:strRef>
          </c:tx>
          <c:spPr>
            <a:solidFill>
              <a:schemeClr val="accent2">
                <a:alpha val="70000"/>
              </a:schemeClr>
            </a:solidFill>
            <a:ln>
              <a:noFill/>
            </a:ln>
            <a:effectLst/>
          </c:spPr>
          <c:invertIfNegative val="0"/>
          <c:cat>
            <c:numRef>
              <c:f>Figure_4__New_work_infrastructu!$A$8:$A$19</c:f>
              <c:numCache>
                <c:formatCode>General</c:formatCode>
                <c:ptCount val="12"/>
                <c:pt idx="0">
                  <c:v>2010</c:v>
                </c:pt>
                <c:pt idx="1">
                  <c:v>2011</c:v>
                </c:pt>
                <c:pt idx="2">
                  <c:v>2012</c:v>
                </c:pt>
                <c:pt idx="3">
                  <c:v>2013</c:v>
                </c:pt>
                <c:pt idx="4">
                  <c:v>2014</c:v>
                </c:pt>
                <c:pt idx="5">
                  <c:v>2015</c:v>
                </c:pt>
                <c:pt idx="6">
                  <c:v>2016</c:v>
                </c:pt>
                <c:pt idx="7">
                  <c:v>2017</c:v>
                </c:pt>
                <c:pt idx="8">
                  <c:v>2018</c:v>
                </c:pt>
                <c:pt idx="9">
                  <c:v>2019</c:v>
                </c:pt>
                <c:pt idx="10">
                  <c:v>2020</c:v>
                </c:pt>
                <c:pt idx="11">
                  <c:v>2021</c:v>
                </c:pt>
              </c:numCache>
            </c:numRef>
          </c:cat>
          <c:val>
            <c:numRef>
              <c:f>Figure_4__New_work_infrastructu!$C$8:$C$19</c:f>
              <c:numCache>
                <c:formatCode>General</c:formatCode>
                <c:ptCount val="12"/>
                <c:pt idx="0">
                  <c:v>1037</c:v>
                </c:pt>
                <c:pt idx="1">
                  <c:v>759</c:v>
                </c:pt>
                <c:pt idx="2">
                  <c:v>673</c:v>
                </c:pt>
                <c:pt idx="3">
                  <c:v>455</c:v>
                </c:pt>
                <c:pt idx="4">
                  <c:v>420</c:v>
                </c:pt>
                <c:pt idx="5">
                  <c:v>347</c:v>
                </c:pt>
                <c:pt idx="6">
                  <c:v>580</c:v>
                </c:pt>
                <c:pt idx="7">
                  <c:v>858</c:v>
                </c:pt>
                <c:pt idx="8">
                  <c:v>1013</c:v>
                </c:pt>
                <c:pt idx="9">
                  <c:v>1270</c:v>
                </c:pt>
                <c:pt idx="10">
                  <c:v>850</c:v>
                </c:pt>
                <c:pt idx="11">
                  <c:v>713</c:v>
                </c:pt>
              </c:numCache>
            </c:numRef>
          </c:val>
          <c:extLst>
            <c:ext xmlns:c16="http://schemas.microsoft.com/office/drawing/2014/chart" uri="{C3380CC4-5D6E-409C-BE32-E72D297353CC}">
              <c16:uniqueId val="{00000001-E657-40EC-8515-61B291CF2803}"/>
            </c:ext>
          </c:extLst>
        </c:ser>
        <c:ser>
          <c:idx val="2"/>
          <c:order val="2"/>
          <c:tx>
            <c:strRef>
              <c:f>Figure_4__New_work_infrastructu!$D$7</c:f>
              <c:strCache>
                <c:ptCount val="1"/>
                <c:pt idx="0">
                  <c:v>Electricity</c:v>
                </c:pt>
              </c:strCache>
            </c:strRef>
          </c:tx>
          <c:spPr>
            <a:solidFill>
              <a:schemeClr val="accent3">
                <a:alpha val="70000"/>
              </a:schemeClr>
            </a:solidFill>
            <a:ln>
              <a:noFill/>
            </a:ln>
            <a:effectLst/>
          </c:spPr>
          <c:invertIfNegative val="0"/>
          <c:cat>
            <c:numRef>
              <c:f>Figure_4__New_work_infrastructu!$A$8:$A$19</c:f>
              <c:numCache>
                <c:formatCode>General</c:formatCode>
                <c:ptCount val="12"/>
                <c:pt idx="0">
                  <c:v>2010</c:v>
                </c:pt>
                <c:pt idx="1">
                  <c:v>2011</c:v>
                </c:pt>
                <c:pt idx="2">
                  <c:v>2012</c:v>
                </c:pt>
                <c:pt idx="3">
                  <c:v>2013</c:v>
                </c:pt>
                <c:pt idx="4">
                  <c:v>2014</c:v>
                </c:pt>
                <c:pt idx="5">
                  <c:v>2015</c:v>
                </c:pt>
                <c:pt idx="6">
                  <c:v>2016</c:v>
                </c:pt>
                <c:pt idx="7">
                  <c:v>2017</c:v>
                </c:pt>
                <c:pt idx="8">
                  <c:v>2018</c:v>
                </c:pt>
                <c:pt idx="9">
                  <c:v>2019</c:v>
                </c:pt>
                <c:pt idx="10">
                  <c:v>2020</c:v>
                </c:pt>
                <c:pt idx="11">
                  <c:v>2021</c:v>
                </c:pt>
              </c:numCache>
            </c:numRef>
          </c:cat>
          <c:val>
            <c:numRef>
              <c:f>Figure_4__New_work_infrastructu!$D$8:$D$19</c:f>
              <c:numCache>
                <c:formatCode>General</c:formatCode>
                <c:ptCount val="12"/>
                <c:pt idx="0">
                  <c:v>1348</c:v>
                </c:pt>
                <c:pt idx="1">
                  <c:v>1560</c:v>
                </c:pt>
                <c:pt idx="2">
                  <c:v>2260</c:v>
                </c:pt>
                <c:pt idx="3">
                  <c:v>3405</c:v>
                </c:pt>
                <c:pt idx="4">
                  <c:v>4617</c:v>
                </c:pt>
                <c:pt idx="5">
                  <c:v>7752</c:v>
                </c:pt>
                <c:pt idx="6">
                  <c:v>7324</c:v>
                </c:pt>
                <c:pt idx="7">
                  <c:v>8824</c:v>
                </c:pt>
                <c:pt idx="8">
                  <c:v>7754</c:v>
                </c:pt>
                <c:pt idx="9">
                  <c:v>7545</c:v>
                </c:pt>
                <c:pt idx="10">
                  <c:v>8840</c:v>
                </c:pt>
                <c:pt idx="11">
                  <c:v>7090</c:v>
                </c:pt>
              </c:numCache>
            </c:numRef>
          </c:val>
          <c:extLst>
            <c:ext xmlns:c16="http://schemas.microsoft.com/office/drawing/2014/chart" uri="{C3380CC4-5D6E-409C-BE32-E72D297353CC}">
              <c16:uniqueId val="{00000002-E657-40EC-8515-61B291CF2803}"/>
            </c:ext>
          </c:extLst>
        </c:ser>
        <c:ser>
          <c:idx val="3"/>
          <c:order val="3"/>
          <c:tx>
            <c:strRef>
              <c:f>Figure_4__New_work_infrastructu!$E$7</c:f>
              <c:strCache>
                <c:ptCount val="1"/>
                <c:pt idx="0">
                  <c:v>Roads</c:v>
                </c:pt>
              </c:strCache>
            </c:strRef>
          </c:tx>
          <c:spPr>
            <a:solidFill>
              <a:schemeClr val="accent4">
                <a:alpha val="70000"/>
              </a:schemeClr>
            </a:solidFill>
            <a:ln>
              <a:noFill/>
            </a:ln>
            <a:effectLst/>
          </c:spPr>
          <c:invertIfNegative val="0"/>
          <c:cat>
            <c:numRef>
              <c:f>Figure_4__New_work_infrastructu!$A$8:$A$19</c:f>
              <c:numCache>
                <c:formatCode>General</c:formatCode>
                <c:ptCount val="12"/>
                <c:pt idx="0">
                  <c:v>2010</c:v>
                </c:pt>
                <c:pt idx="1">
                  <c:v>2011</c:v>
                </c:pt>
                <c:pt idx="2">
                  <c:v>2012</c:v>
                </c:pt>
                <c:pt idx="3">
                  <c:v>2013</c:v>
                </c:pt>
                <c:pt idx="4">
                  <c:v>2014</c:v>
                </c:pt>
                <c:pt idx="5">
                  <c:v>2015</c:v>
                </c:pt>
                <c:pt idx="6">
                  <c:v>2016</c:v>
                </c:pt>
                <c:pt idx="7">
                  <c:v>2017</c:v>
                </c:pt>
                <c:pt idx="8">
                  <c:v>2018</c:v>
                </c:pt>
                <c:pt idx="9">
                  <c:v>2019</c:v>
                </c:pt>
                <c:pt idx="10">
                  <c:v>2020</c:v>
                </c:pt>
                <c:pt idx="11">
                  <c:v>2021</c:v>
                </c:pt>
              </c:numCache>
            </c:numRef>
          </c:cat>
          <c:val>
            <c:numRef>
              <c:f>Figure_4__New_work_infrastructu!$E$8:$E$19</c:f>
              <c:numCache>
                <c:formatCode>General</c:formatCode>
                <c:ptCount val="12"/>
                <c:pt idx="0">
                  <c:v>3789</c:v>
                </c:pt>
                <c:pt idx="1">
                  <c:v>3663</c:v>
                </c:pt>
                <c:pt idx="2">
                  <c:v>2160</c:v>
                </c:pt>
                <c:pt idx="3">
                  <c:v>2327</c:v>
                </c:pt>
                <c:pt idx="4">
                  <c:v>2628</c:v>
                </c:pt>
                <c:pt idx="5">
                  <c:v>4306</c:v>
                </c:pt>
                <c:pt idx="6">
                  <c:v>5246</c:v>
                </c:pt>
                <c:pt idx="7">
                  <c:v>4139</c:v>
                </c:pt>
                <c:pt idx="8">
                  <c:v>5083</c:v>
                </c:pt>
                <c:pt idx="9">
                  <c:v>6075</c:v>
                </c:pt>
                <c:pt idx="10">
                  <c:v>6036</c:v>
                </c:pt>
                <c:pt idx="11">
                  <c:v>11673</c:v>
                </c:pt>
              </c:numCache>
            </c:numRef>
          </c:val>
          <c:extLst>
            <c:ext xmlns:c16="http://schemas.microsoft.com/office/drawing/2014/chart" uri="{C3380CC4-5D6E-409C-BE32-E72D297353CC}">
              <c16:uniqueId val="{00000003-E657-40EC-8515-61B291CF2803}"/>
            </c:ext>
          </c:extLst>
        </c:ser>
        <c:ser>
          <c:idx val="4"/>
          <c:order val="4"/>
          <c:tx>
            <c:strRef>
              <c:f>Figure_4__New_work_infrastructu!$F$7</c:f>
              <c:strCache>
                <c:ptCount val="1"/>
                <c:pt idx="0">
                  <c:v>Railways</c:v>
                </c:pt>
              </c:strCache>
            </c:strRef>
          </c:tx>
          <c:spPr>
            <a:solidFill>
              <a:schemeClr val="accent5">
                <a:alpha val="70000"/>
              </a:schemeClr>
            </a:solidFill>
            <a:ln>
              <a:noFill/>
            </a:ln>
            <a:effectLst/>
          </c:spPr>
          <c:invertIfNegative val="0"/>
          <c:cat>
            <c:numRef>
              <c:f>Figure_4__New_work_infrastructu!$A$8:$A$19</c:f>
              <c:numCache>
                <c:formatCode>General</c:formatCode>
                <c:ptCount val="12"/>
                <c:pt idx="0">
                  <c:v>2010</c:v>
                </c:pt>
                <c:pt idx="1">
                  <c:v>2011</c:v>
                </c:pt>
                <c:pt idx="2">
                  <c:v>2012</c:v>
                </c:pt>
                <c:pt idx="3">
                  <c:v>2013</c:v>
                </c:pt>
                <c:pt idx="4">
                  <c:v>2014</c:v>
                </c:pt>
                <c:pt idx="5">
                  <c:v>2015</c:v>
                </c:pt>
                <c:pt idx="6">
                  <c:v>2016</c:v>
                </c:pt>
                <c:pt idx="7">
                  <c:v>2017</c:v>
                </c:pt>
                <c:pt idx="8">
                  <c:v>2018</c:v>
                </c:pt>
                <c:pt idx="9">
                  <c:v>2019</c:v>
                </c:pt>
                <c:pt idx="10">
                  <c:v>2020</c:v>
                </c:pt>
                <c:pt idx="11">
                  <c:v>2021</c:v>
                </c:pt>
              </c:numCache>
            </c:numRef>
          </c:cat>
          <c:val>
            <c:numRef>
              <c:f>Figure_4__New_work_infrastructu!$F$8:$F$19</c:f>
              <c:numCache>
                <c:formatCode>General</c:formatCode>
                <c:ptCount val="12"/>
                <c:pt idx="0">
                  <c:v>2333</c:v>
                </c:pt>
                <c:pt idx="1">
                  <c:v>3877</c:v>
                </c:pt>
                <c:pt idx="2">
                  <c:v>3928</c:v>
                </c:pt>
                <c:pt idx="3">
                  <c:v>4565</c:v>
                </c:pt>
                <c:pt idx="4">
                  <c:v>3822</c:v>
                </c:pt>
                <c:pt idx="5">
                  <c:v>2777</c:v>
                </c:pt>
                <c:pt idx="6">
                  <c:v>2338</c:v>
                </c:pt>
                <c:pt idx="7">
                  <c:v>3543</c:v>
                </c:pt>
                <c:pt idx="8">
                  <c:v>4475</c:v>
                </c:pt>
                <c:pt idx="9">
                  <c:v>4265</c:v>
                </c:pt>
                <c:pt idx="10">
                  <c:v>3487</c:v>
                </c:pt>
                <c:pt idx="11">
                  <c:v>6580</c:v>
                </c:pt>
              </c:numCache>
            </c:numRef>
          </c:val>
          <c:extLst>
            <c:ext xmlns:c16="http://schemas.microsoft.com/office/drawing/2014/chart" uri="{C3380CC4-5D6E-409C-BE32-E72D297353CC}">
              <c16:uniqueId val="{00000004-E657-40EC-8515-61B291CF2803}"/>
            </c:ext>
          </c:extLst>
        </c:ser>
        <c:ser>
          <c:idx val="5"/>
          <c:order val="5"/>
          <c:tx>
            <c:strRef>
              <c:f>Figure_4__New_work_infrastructu!$G$7</c:f>
              <c:strCache>
                <c:ptCount val="1"/>
                <c:pt idx="0">
                  <c:v>Harbours</c:v>
                </c:pt>
              </c:strCache>
            </c:strRef>
          </c:tx>
          <c:spPr>
            <a:solidFill>
              <a:schemeClr val="accent6">
                <a:alpha val="70000"/>
              </a:schemeClr>
            </a:solidFill>
            <a:ln>
              <a:noFill/>
            </a:ln>
            <a:effectLst/>
          </c:spPr>
          <c:invertIfNegative val="0"/>
          <c:cat>
            <c:numRef>
              <c:f>Figure_4__New_work_infrastructu!$A$8:$A$19</c:f>
              <c:numCache>
                <c:formatCode>General</c:formatCode>
                <c:ptCount val="12"/>
                <c:pt idx="0">
                  <c:v>2010</c:v>
                </c:pt>
                <c:pt idx="1">
                  <c:v>2011</c:v>
                </c:pt>
                <c:pt idx="2">
                  <c:v>2012</c:v>
                </c:pt>
                <c:pt idx="3">
                  <c:v>2013</c:v>
                </c:pt>
                <c:pt idx="4">
                  <c:v>2014</c:v>
                </c:pt>
                <c:pt idx="5">
                  <c:v>2015</c:v>
                </c:pt>
                <c:pt idx="6">
                  <c:v>2016</c:v>
                </c:pt>
                <c:pt idx="7">
                  <c:v>2017</c:v>
                </c:pt>
                <c:pt idx="8">
                  <c:v>2018</c:v>
                </c:pt>
                <c:pt idx="9">
                  <c:v>2019</c:v>
                </c:pt>
                <c:pt idx="10">
                  <c:v>2020</c:v>
                </c:pt>
                <c:pt idx="11">
                  <c:v>2021</c:v>
                </c:pt>
              </c:numCache>
            </c:numRef>
          </c:cat>
          <c:val>
            <c:numRef>
              <c:f>Figure_4__New_work_infrastructu!$G$8:$G$19</c:f>
              <c:numCache>
                <c:formatCode>General</c:formatCode>
                <c:ptCount val="12"/>
                <c:pt idx="0">
                  <c:v>370</c:v>
                </c:pt>
                <c:pt idx="1">
                  <c:v>440</c:v>
                </c:pt>
                <c:pt idx="2">
                  <c:v>456</c:v>
                </c:pt>
                <c:pt idx="3">
                  <c:v>610</c:v>
                </c:pt>
                <c:pt idx="4">
                  <c:v>823</c:v>
                </c:pt>
                <c:pt idx="5">
                  <c:v>852</c:v>
                </c:pt>
                <c:pt idx="6">
                  <c:v>682</c:v>
                </c:pt>
                <c:pt idx="7">
                  <c:v>646</c:v>
                </c:pt>
                <c:pt idx="8">
                  <c:v>1152</c:v>
                </c:pt>
                <c:pt idx="9">
                  <c:v>1824</c:v>
                </c:pt>
                <c:pt idx="10">
                  <c:v>1619</c:v>
                </c:pt>
                <c:pt idx="11">
                  <c:v>1721</c:v>
                </c:pt>
              </c:numCache>
            </c:numRef>
          </c:val>
          <c:extLst>
            <c:ext xmlns:c16="http://schemas.microsoft.com/office/drawing/2014/chart" uri="{C3380CC4-5D6E-409C-BE32-E72D297353CC}">
              <c16:uniqueId val="{00000005-E657-40EC-8515-61B291CF2803}"/>
            </c:ext>
          </c:extLst>
        </c:ser>
        <c:ser>
          <c:idx val="6"/>
          <c:order val="6"/>
          <c:tx>
            <c:strRef>
              <c:f>Figure_4__New_work_infrastructu!$H$7</c:f>
              <c:strCache>
                <c:ptCount val="1"/>
                <c:pt idx="0">
                  <c:v>Other</c:v>
                </c:pt>
              </c:strCache>
            </c:strRef>
          </c:tx>
          <c:spPr>
            <a:solidFill>
              <a:schemeClr val="accent1">
                <a:lumMod val="60000"/>
                <a:alpha val="70000"/>
              </a:schemeClr>
            </a:solidFill>
            <a:ln>
              <a:noFill/>
            </a:ln>
            <a:effectLst/>
          </c:spPr>
          <c:invertIfNegative val="0"/>
          <c:cat>
            <c:numRef>
              <c:f>Figure_4__New_work_infrastructu!$A$8:$A$19</c:f>
              <c:numCache>
                <c:formatCode>General</c:formatCode>
                <c:ptCount val="12"/>
                <c:pt idx="0">
                  <c:v>2010</c:v>
                </c:pt>
                <c:pt idx="1">
                  <c:v>2011</c:v>
                </c:pt>
                <c:pt idx="2">
                  <c:v>2012</c:v>
                </c:pt>
                <c:pt idx="3">
                  <c:v>2013</c:v>
                </c:pt>
                <c:pt idx="4">
                  <c:v>2014</c:v>
                </c:pt>
                <c:pt idx="5">
                  <c:v>2015</c:v>
                </c:pt>
                <c:pt idx="6">
                  <c:v>2016</c:v>
                </c:pt>
                <c:pt idx="7">
                  <c:v>2017</c:v>
                </c:pt>
                <c:pt idx="8">
                  <c:v>2018</c:v>
                </c:pt>
                <c:pt idx="9">
                  <c:v>2019</c:v>
                </c:pt>
                <c:pt idx="10">
                  <c:v>2020</c:v>
                </c:pt>
                <c:pt idx="11">
                  <c:v>2021</c:v>
                </c:pt>
              </c:numCache>
            </c:numRef>
          </c:cat>
          <c:val>
            <c:numRef>
              <c:f>Figure_4__New_work_infrastructu!$H$8:$H$19</c:f>
              <c:numCache>
                <c:formatCode>General</c:formatCode>
                <c:ptCount val="12"/>
                <c:pt idx="0">
                  <c:v>1874</c:v>
                </c:pt>
                <c:pt idx="1">
                  <c:v>2143</c:v>
                </c:pt>
                <c:pt idx="2">
                  <c:v>2470</c:v>
                </c:pt>
                <c:pt idx="3">
                  <c:v>1910</c:v>
                </c:pt>
                <c:pt idx="4">
                  <c:v>1852</c:v>
                </c:pt>
                <c:pt idx="5">
                  <c:v>1219</c:v>
                </c:pt>
                <c:pt idx="6">
                  <c:v>781</c:v>
                </c:pt>
                <c:pt idx="7">
                  <c:v>715</c:v>
                </c:pt>
                <c:pt idx="8">
                  <c:v>857</c:v>
                </c:pt>
                <c:pt idx="9">
                  <c:v>1098</c:v>
                </c:pt>
                <c:pt idx="10">
                  <c:v>739</c:v>
                </c:pt>
                <c:pt idx="11">
                  <c:v>1193</c:v>
                </c:pt>
              </c:numCache>
            </c:numRef>
          </c:val>
          <c:extLst>
            <c:ext xmlns:c16="http://schemas.microsoft.com/office/drawing/2014/chart" uri="{C3380CC4-5D6E-409C-BE32-E72D297353CC}">
              <c16:uniqueId val="{00000006-E657-40EC-8515-61B291CF2803}"/>
            </c:ext>
          </c:extLst>
        </c:ser>
        <c:dLbls>
          <c:showLegendKey val="0"/>
          <c:showVal val="0"/>
          <c:showCatName val="0"/>
          <c:showSerName val="0"/>
          <c:showPercent val="0"/>
          <c:showBubbleSize val="0"/>
        </c:dLbls>
        <c:gapWidth val="80"/>
        <c:overlap val="25"/>
        <c:axId val="1659883232"/>
        <c:axId val="1659879872"/>
      </c:barChart>
      <c:catAx>
        <c:axId val="1659883232"/>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1659879872"/>
        <c:crosses val="autoZero"/>
        <c:auto val="1"/>
        <c:lblAlgn val="ctr"/>
        <c:lblOffset val="100"/>
        <c:noMultiLvlLbl val="0"/>
      </c:catAx>
      <c:valAx>
        <c:axId val="1659879872"/>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16598832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Data!$C$4</c:f>
              <c:strCache>
                <c:ptCount val="1"/>
                <c:pt idx="0">
                  <c:v>2014</c:v>
                </c:pt>
              </c:strCache>
            </c:strRef>
          </c:tx>
          <c:spPr>
            <a:solidFill>
              <a:schemeClr val="accent1"/>
            </a:solidFill>
            <a:ln>
              <a:noFill/>
            </a:ln>
            <a:effectLst/>
          </c:spPr>
          <c:invertIfNegative val="0"/>
          <c:cat>
            <c:strRef>
              <c:f>Data!$A$5:$A$18</c:f>
              <c:strCache>
                <c:ptCount val="14"/>
                <c:pt idx="0">
                  <c:v>Arab World</c:v>
                </c:pt>
                <c:pt idx="1">
                  <c:v>United Arab Emirates</c:v>
                </c:pt>
                <c:pt idx="2">
                  <c:v>Australia</c:v>
                </c:pt>
                <c:pt idx="3">
                  <c:v>Central Europe and the Baltics</c:v>
                </c:pt>
                <c:pt idx="4">
                  <c:v>Switzerland</c:v>
                </c:pt>
                <c:pt idx="5">
                  <c:v>Germany</c:v>
                </c:pt>
                <c:pt idx="6">
                  <c:v>East Asia &amp; Pacific</c:v>
                </c:pt>
                <c:pt idx="7">
                  <c:v>Europe &amp; Central Asia (excluding high income)</c:v>
                </c:pt>
                <c:pt idx="8">
                  <c:v>Europe &amp; Central Asia</c:v>
                </c:pt>
                <c:pt idx="9">
                  <c:v>France</c:v>
                </c:pt>
                <c:pt idx="10">
                  <c:v>United Kingdom</c:v>
                </c:pt>
                <c:pt idx="11">
                  <c:v>India</c:v>
                </c:pt>
                <c:pt idx="12">
                  <c:v>Japan</c:v>
                </c:pt>
                <c:pt idx="13">
                  <c:v>United States</c:v>
                </c:pt>
              </c:strCache>
              <c:extLst/>
            </c:strRef>
          </c:cat>
          <c:val>
            <c:numRef>
              <c:f>Data!$C$5:$C$18</c:f>
              <c:numCache>
                <c:formatCode>0.00</c:formatCode>
                <c:ptCount val="14"/>
                <c:pt idx="0">
                  <c:v>0.86830397486340405</c:v>
                </c:pt>
                <c:pt idx="1">
                  <c:v>2.6736038479324176</c:v>
                </c:pt>
                <c:pt idx="2">
                  <c:v>4.303732518304936</c:v>
                </c:pt>
                <c:pt idx="3">
                  <c:v>3.660831858926024</c:v>
                </c:pt>
                <c:pt idx="4">
                  <c:v>2.890846323582148</c:v>
                </c:pt>
                <c:pt idx="5">
                  <c:v>0.50222719263412652</c:v>
                </c:pt>
                <c:pt idx="6">
                  <c:v>2.8606742300796006</c:v>
                </c:pt>
                <c:pt idx="7">
                  <c:v>2.3202933068614842</c:v>
                </c:pt>
                <c:pt idx="8">
                  <c:v>2.4755506028598524</c:v>
                </c:pt>
                <c:pt idx="9">
                  <c:v>0.20325456271803513</c:v>
                </c:pt>
                <c:pt idx="10">
                  <c:v>1.92156774768545</c:v>
                </c:pt>
                <c:pt idx="11">
                  <c:v>1.695659589907442</c:v>
                </c:pt>
                <c:pt idx="12">
                  <c:v>0.40335454340103705</c:v>
                </c:pt>
                <c:pt idx="13">
                  <c:v>1.4303386309216797</c:v>
                </c:pt>
              </c:numCache>
            </c:numRef>
          </c:val>
          <c:extLst>
            <c:ext xmlns:c16="http://schemas.microsoft.com/office/drawing/2014/chart" uri="{C3380CC4-5D6E-409C-BE32-E72D297353CC}">
              <c16:uniqueId val="{00000000-3F6E-4562-91D4-2CE2D7EA6361}"/>
            </c:ext>
          </c:extLst>
        </c:ser>
        <c:ser>
          <c:idx val="1"/>
          <c:order val="1"/>
          <c:tx>
            <c:strRef>
              <c:f>Data!$D$4</c:f>
              <c:strCache>
                <c:ptCount val="1"/>
                <c:pt idx="0">
                  <c:v>2015</c:v>
                </c:pt>
              </c:strCache>
            </c:strRef>
          </c:tx>
          <c:spPr>
            <a:solidFill>
              <a:schemeClr val="accent2"/>
            </a:solidFill>
            <a:ln>
              <a:noFill/>
            </a:ln>
            <a:effectLst/>
          </c:spPr>
          <c:invertIfNegative val="0"/>
          <c:cat>
            <c:strRef>
              <c:f>Data!$A$5:$A$18</c:f>
              <c:strCache>
                <c:ptCount val="14"/>
                <c:pt idx="0">
                  <c:v>Arab World</c:v>
                </c:pt>
                <c:pt idx="1">
                  <c:v>United Arab Emirates</c:v>
                </c:pt>
                <c:pt idx="2">
                  <c:v>Australia</c:v>
                </c:pt>
                <c:pt idx="3">
                  <c:v>Central Europe and the Baltics</c:v>
                </c:pt>
                <c:pt idx="4">
                  <c:v>Switzerland</c:v>
                </c:pt>
                <c:pt idx="5">
                  <c:v>Germany</c:v>
                </c:pt>
                <c:pt idx="6">
                  <c:v>East Asia &amp; Pacific</c:v>
                </c:pt>
                <c:pt idx="7">
                  <c:v>Europe &amp; Central Asia (excluding high income)</c:v>
                </c:pt>
                <c:pt idx="8">
                  <c:v>Europe &amp; Central Asia</c:v>
                </c:pt>
                <c:pt idx="9">
                  <c:v>France</c:v>
                </c:pt>
                <c:pt idx="10">
                  <c:v>United Kingdom</c:v>
                </c:pt>
                <c:pt idx="11">
                  <c:v>India</c:v>
                </c:pt>
                <c:pt idx="12">
                  <c:v>Japan</c:v>
                </c:pt>
                <c:pt idx="13">
                  <c:v>United States</c:v>
                </c:pt>
              </c:strCache>
              <c:extLst/>
            </c:strRef>
          </c:cat>
          <c:val>
            <c:numRef>
              <c:f>Data!$D$5:$D$18</c:f>
              <c:numCache>
                <c:formatCode>0.00</c:formatCode>
                <c:ptCount val="14"/>
                <c:pt idx="0">
                  <c:v>0.86073111483710985</c:v>
                </c:pt>
                <c:pt idx="1">
                  <c:v>2.3093352246379939</c:v>
                </c:pt>
                <c:pt idx="2">
                  <c:v>3.4689958469955644</c:v>
                </c:pt>
                <c:pt idx="3">
                  <c:v>1.7770753487259965</c:v>
                </c:pt>
                <c:pt idx="4">
                  <c:v>17.108383332820331</c:v>
                </c:pt>
                <c:pt idx="5">
                  <c:v>1.8607291816175824</c:v>
                </c:pt>
                <c:pt idx="6">
                  <c:v>2.8093553651345502</c:v>
                </c:pt>
                <c:pt idx="7">
                  <c:v>2.933439493885595</c:v>
                </c:pt>
                <c:pt idx="8">
                  <c:v>5.4657601057642093</c:v>
                </c:pt>
                <c:pt idx="9">
                  <c:v>1.7557237414165789</c:v>
                </c:pt>
                <c:pt idx="10">
                  <c:v>1.5483216853328392</c:v>
                </c:pt>
                <c:pt idx="11">
                  <c:v>2.0921152144330759</c:v>
                </c:pt>
                <c:pt idx="12">
                  <c:v>0.11816198774824092</c:v>
                </c:pt>
                <c:pt idx="13">
                  <c:v>2.7954822020135643</c:v>
                </c:pt>
              </c:numCache>
            </c:numRef>
          </c:val>
          <c:extLst>
            <c:ext xmlns:c16="http://schemas.microsoft.com/office/drawing/2014/chart" uri="{C3380CC4-5D6E-409C-BE32-E72D297353CC}">
              <c16:uniqueId val="{00000001-3F6E-4562-91D4-2CE2D7EA6361}"/>
            </c:ext>
          </c:extLst>
        </c:ser>
        <c:ser>
          <c:idx val="2"/>
          <c:order val="2"/>
          <c:tx>
            <c:strRef>
              <c:f>Data!$E$4</c:f>
              <c:strCache>
                <c:ptCount val="1"/>
                <c:pt idx="0">
                  <c:v>2016</c:v>
                </c:pt>
              </c:strCache>
            </c:strRef>
          </c:tx>
          <c:spPr>
            <a:solidFill>
              <a:schemeClr val="accent3"/>
            </a:solidFill>
            <a:ln>
              <a:noFill/>
            </a:ln>
            <a:effectLst/>
          </c:spPr>
          <c:invertIfNegative val="0"/>
          <c:cat>
            <c:strRef>
              <c:f>Data!$A$5:$A$18</c:f>
              <c:strCache>
                <c:ptCount val="14"/>
                <c:pt idx="0">
                  <c:v>Arab World</c:v>
                </c:pt>
                <c:pt idx="1">
                  <c:v>United Arab Emirates</c:v>
                </c:pt>
                <c:pt idx="2">
                  <c:v>Australia</c:v>
                </c:pt>
                <c:pt idx="3">
                  <c:v>Central Europe and the Baltics</c:v>
                </c:pt>
                <c:pt idx="4">
                  <c:v>Switzerland</c:v>
                </c:pt>
                <c:pt idx="5">
                  <c:v>Germany</c:v>
                </c:pt>
                <c:pt idx="6">
                  <c:v>East Asia &amp; Pacific</c:v>
                </c:pt>
                <c:pt idx="7">
                  <c:v>Europe &amp; Central Asia (excluding high income)</c:v>
                </c:pt>
                <c:pt idx="8">
                  <c:v>Europe &amp; Central Asia</c:v>
                </c:pt>
                <c:pt idx="9">
                  <c:v>France</c:v>
                </c:pt>
                <c:pt idx="10">
                  <c:v>United Kingdom</c:v>
                </c:pt>
                <c:pt idx="11">
                  <c:v>India</c:v>
                </c:pt>
                <c:pt idx="12">
                  <c:v>Japan</c:v>
                </c:pt>
                <c:pt idx="13">
                  <c:v>United States</c:v>
                </c:pt>
              </c:strCache>
              <c:extLst/>
            </c:strRef>
          </c:cat>
          <c:val>
            <c:numRef>
              <c:f>Data!$E$5:$E$18</c:f>
              <c:numCache>
                <c:formatCode>0.00</c:formatCode>
                <c:ptCount val="14"/>
                <c:pt idx="0">
                  <c:v>1.9317452273315066</c:v>
                </c:pt>
                <c:pt idx="1">
                  <c:v>2.6011196907890963</c:v>
                </c:pt>
                <c:pt idx="2">
                  <c:v>3.5583724387767259</c:v>
                </c:pt>
                <c:pt idx="3">
                  <c:v>8.7397883173623381</c:v>
                </c:pt>
                <c:pt idx="4">
                  <c:v>24.248073500883173</c:v>
                </c:pt>
                <c:pt idx="5">
                  <c:v>1.8659069169045805</c:v>
                </c:pt>
                <c:pt idx="6">
                  <c:v>2.3256720590657363</c:v>
                </c:pt>
                <c:pt idx="7">
                  <c:v>3.6281719093565648</c:v>
                </c:pt>
                <c:pt idx="8">
                  <c:v>6.5638237512680551</c:v>
                </c:pt>
                <c:pt idx="9">
                  <c:v>1.3264916981271808</c:v>
                </c:pt>
                <c:pt idx="10">
                  <c:v>12.078852813464824</c:v>
                </c:pt>
                <c:pt idx="11">
                  <c:v>1.9373641224434683</c:v>
                </c:pt>
                <c:pt idx="12">
                  <c:v>0.81848161526451579</c:v>
                </c:pt>
                <c:pt idx="13">
                  <c:v>2.522681173797507</c:v>
                </c:pt>
              </c:numCache>
            </c:numRef>
          </c:val>
          <c:extLst>
            <c:ext xmlns:c16="http://schemas.microsoft.com/office/drawing/2014/chart" uri="{C3380CC4-5D6E-409C-BE32-E72D297353CC}">
              <c16:uniqueId val="{00000002-3F6E-4562-91D4-2CE2D7EA6361}"/>
            </c:ext>
          </c:extLst>
        </c:ser>
        <c:ser>
          <c:idx val="3"/>
          <c:order val="3"/>
          <c:tx>
            <c:strRef>
              <c:f>Data!$F$4</c:f>
              <c:strCache>
                <c:ptCount val="1"/>
                <c:pt idx="0">
                  <c:v>2017</c:v>
                </c:pt>
              </c:strCache>
            </c:strRef>
          </c:tx>
          <c:spPr>
            <a:solidFill>
              <a:schemeClr val="accent4"/>
            </a:solidFill>
            <a:ln>
              <a:noFill/>
            </a:ln>
            <a:effectLst/>
          </c:spPr>
          <c:invertIfNegative val="0"/>
          <c:cat>
            <c:strRef>
              <c:f>Data!$A$5:$A$18</c:f>
              <c:strCache>
                <c:ptCount val="14"/>
                <c:pt idx="0">
                  <c:v>Arab World</c:v>
                </c:pt>
                <c:pt idx="1">
                  <c:v>United Arab Emirates</c:v>
                </c:pt>
                <c:pt idx="2">
                  <c:v>Australia</c:v>
                </c:pt>
                <c:pt idx="3">
                  <c:v>Central Europe and the Baltics</c:v>
                </c:pt>
                <c:pt idx="4">
                  <c:v>Switzerland</c:v>
                </c:pt>
                <c:pt idx="5">
                  <c:v>Germany</c:v>
                </c:pt>
                <c:pt idx="6">
                  <c:v>East Asia &amp; Pacific</c:v>
                </c:pt>
                <c:pt idx="7">
                  <c:v>Europe &amp; Central Asia (excluding high income)</c:v>
                </c:pt>
                <c:pt idx="8">
                  <c:v>Europe &amp; Central Asia</c:v>
                </c:pt>
                <c:pt idx="9">
                  <c:v>France</c:v>
                </c:pt>
                <c:pt idx="10">
                  <c:v>United Kingdom</c:v>
                </c:pt>
                <c:pt idx="11">
                  <c:v>India</c:v>
                </c:pt>
                <c:pt idx="12">
                  <c:v>Japan</c:v>
                </c:pt>
                <c:pt idx="13">
                  <c:v>United States</c:v>
                </c:pt>
              </c:strCache>
              <c:extLst/>
            </c:strRef>
          </c:cat>
          <c:val>
            <c:numRef>
              <c:f>Data!$F$5:$F$18</c:f>
              <c:numCache>
                <c:formatCode>0.00</c:formatCode>
                <c:ptCount val="14"/>
                <c:pt idx="0">
                  <c:v>1.2272061563339123</c:v>
                </c:pt>
                <c:pt idx="1">
                  <c:v>2.6514154815232582</c:v>
                </c:pt>
                <c:pt idx="2">
                  <c:v>3.6325286070949709</c:v>
                </c:pt>
                <c:pt idx="3">
                  <c:v>2.0007164347593229</c:v>
                </c:pt>
                <c:pt idx="4">
                  <c:v>20.603537816925076</c:v>
                </c:pt>
                <c:pt idx="5">
                  <c:v>2.9664168555310613</c:v>
                </c:pt>
                <c:pt idx="6">
                  <c:v>2.3086681947725505</c:v>
                </c:pt>
                <c:pt idx="7">
                  <c:v>2.4053285884317335</c:v>
                </c:pt>
                <c:pt idx="8">
                  <c:v>4.1465367244442888</c:v>
                </c:pt>
                <c:pt idx="9">
                  <c:v>1.3821203899638728</c:v>
                </c:pt>
                <c:pt idx="10">
                  <c:v>4.6773091443546129</c:v>
                </c:pt>
                <c:pt idx="11">
                  <c:v>1.5073158325588623</c:v>
                </c:pt>
                <c:pt idx="12">
                  <c:v>0.38131963803427354</c:v>
                </c:pt>
                <c:pt idx="13">
                  <c:v>1.9417755424686247</c:v>
                </c:pt>
              </c:numCache>
            </c:numRef>
          </c:val>
          <c:extLst>
            <c:ext xmlns:c16="http://schemas.microsoft.com/office/drawing/2014/chart" uri="{C3380CC4-5D6E-409C-BE32-E72D297353CC}">
              <c16:uniqueId val="{00000003-3F6E-4562-91D4-2CE2D7EA6361}"/>
            </c:ext>
          </c:extLst>
        </c:ser>
        <c:ser>
          <c:idx val="4"/>
          <c:order val="4"/>
          <c:tx>
            <c:strRef>
              <c:f>Data!$G$4</c:f>
              <c:strCache>
                <c:ptCount val="1"/>
                <c:pt idx="0">
                  <c:v>2018</c:v>
                </c:pt>
              </c:strCache>
            </c:strRef>
          </c:tx>
          <c:spPr>
            <a:solidFill>
              <a:schemeClr val="accent5"/>
            </a:solidFill>
            <a:ln>
              <a:noFill/>
            </a:ln>
            <a:effectLst/>
          </c:spPr>
          <c:invertIfNegative val="0"/>
          <c:cat>
            <c:strRef>
              <c:f>Data!$A$5:$A$18</c:f>
              <c:strCache>
                <c:ptCount val="14"/>
                <c:pt idx="0">
                  <c:v>Arab World</c:v>
                </c:pt>
                <c:pt idx="1">
                  <c:v>United Arab Emirates</c:v>
                </c:pt>
                <c:pt idx="2">
                  <c:v>Australia</c:v>
                </c:pt>
                <c:pt idx="3">
                  <c:v>Central Europe and the Baltics</c:v>
                </c:pt>
                <c:pt idx="4">
                  <c:v>Switzerland</c:v>
                </c:pt>
                <c:pt idx="5">
                  <c:v>Germany</c:v>
                </c:pt>
                <c:pt idx="6">
                  <c:v>East Asia &amp; Pacific</c:v>
                </c:pt>
                <c:pt idx="7">
                  <c:v>Europe &amp; Central Asia (excluding high income)</c:v>
                </c:pt>
                <c:pt idx="8">
                  <c:v>Europe &amp; Central Asia</c:v>
                </c:pt>
                <c:pt idx="9">
                  <c:v>France</c:v>
                </c:pt>
                <c:pt idx="10">
                  <c:v>United Kingdom</c:v>
                </c:pt>
                <c:pt idx="11">
                  <c:v>India</c:v>
                </c:pt>
                <c:pt idx="12">
                  <c:v>Japan</c:v>
                </c:pt>
                <c:pt idx="13">
                  <c:v>United States</c:v>
                </c:pt>
              </c:strCache>
              <c:extLst/>
            </c:strRef>
          </c:cat>
          <c:val>
            <c:numRef>
              <c:f>Data!$G$5:$G$18</c:f>
              <c:numCache>
                <c:formatCode>0.00</c:formatCode>
                <c:ptCount val="14"/>
                <c:pt idx="0">
                  <c:v>1.5489771697397106</c:v>
                </c:pt>
                <c:pt idx="1">
                  <c:v>2.431869759789151</c:v>
                </c:pt>
                <c:pt idx="2">
                  <c:v>4.2446114881608876</c:v>
                </c:pt>
                <c:pt idx="3">
                  <c:v>-1.1901142858952185</c:v>
                </c:pt>
                <c:pt idx="4">
                  <c:v>-22.105119834650736</c:v>
                </c:pt>
                <c:pt idx="5">
                  <c:v>4.1997217995462073</c:v>
                </c:pt>
                <c:pt idx="6">
                  <c:v>2.2694130765497684</c:v>
                </c:pt>
                <c:pt idx="7">
                  <c:v>2.220282637221882</c:v>
                </c:pt>
                <c:pt idx="8">
                  <c:v>-1.3778686646708278</c:v>
                </c:pt>
                <c:pt idx="9">
                  <c:v>2.7765781436235457</c:v>
                </c:pt>
                <c:pt idx="10">
                  <c:v>-0.87260433365235657</c:v>
                </c:pt>
                <c:pt idx="11">
                  <c:v>1.5582148380149041</c:v>
                </c:pt>
                <c:pt idx="12">
                  <c:v>0.50168548240377364</c:v>
                </c:pt>
                <c:pt idx="13">
                  <c:v>1.0394540879981891</c:v>
                </c:pt>
              </c:numCache>
            </c:numRef>
          </c:val>
          <c:extLst>
            <c:ext xmlns:c16="http://schemas.microsoft.com/office/drawing/2014/chart" uri="{C3380CC4-5D6E-409C-BE32-E72D297353CC}">
              <c16:uniqueId val="{00000004-3F6E-4562-91D4-2CE2D7EA6361}"/>
            </c:ext>
          </c:extLst>
        </c:ser>
        <c:ser>
          <c:idx val="5"/>
          <c:order val="5"/>
          <c:tx>
            <c:strRef>
              <c:f>Data!$H$4</c:f>
              <c:strCache>
                <c:ptCount val="1"/>
                <c:pt idx="0">
                  <c:v>2019</c:v>
                </c:pt>
              </c:strCache>
            </c:strRef>
          </c:tx>
          <c:spPr>
            <a:solidFill>
              <a:schemeClr val="accent6"/>
            </a:solidFill>
            <a:ln>
              <a:noFill/>
            </a:ln>
            <a:effectLst/>
          </c:spPr>
          <c:invertIfNegative val="0"/>
          <c:cat>
            <c:strRef>
              <c:f>Data!$A$5:$A$18</c:f>
              <c:strCache>
                <c:ptCount val="14"/>
                <c:pt idx="0">
                  <c:v>Arab World</c:v>
                </c:pt>
                <c:pt idx="1">
                  <c:v>United Arab Emirates</c:v>
                </c:pt>
                <c:pt idx="2">
                  <c:v>Australia</c:v>
                </c:pt>
                <c:pt idx="3">
                  <c:v>Central Europe and the Baltics</c:v>
                </c:pt>
                <c:pt idx="4">
                  <c:v>Switzerland</c:v>
                </c:pt>
                <c:pt idx="5">
                  <c:v>Germany</c:v>
                </c:pt>
                <c:pt idx="6">
                  <c:v>East Asia &amp; Pacific</c:v>
                </c:pt>
                <c:pt idx="7">
                  <c:v>Europe &amp; Central Asia (excluding high income)</c:v>
                </c:pt>
                <c:pt idx="8">
                  <c:v>Europe &amp; Central Asia</c:v>
                </c:pt>
                <c:pt idx="9">
                  <c:v>France</c:v>
                </c:pt>
                <c:pt idx="10">
                  <c:v>United Kingdom</c:v>
                </c:pt>
                <c:pt idx="11">
                  <c:v>India</c:v>
                </c:pt>
                <c:pt idx="12">
                  <c:v>Japan</c:v>
                </c:pt>
                <c:pt idx="13">
                  <c:v>United States</c:v>
                </c:pt>
              </c:strCache>
              <c:extLst/>
            </c:strRef>
          </c:cat>
          <c:val>
            <c:numRef>
              <c:f>Data!$H$5:$H$18</c:f>
              <c:numCache>
                <c:formatCode>0.00</c:formatCode>
                <c:ptCount val="14"/>
                <c:pt idx="0">
                  <c:v>1.2251721850770934</c:v>
                </c:pt>
                <c:pt idx="1">
                  <c:v>4.2763394579361895</c:v>
                </c:pt>
                <c:pt idx="2">
                  <c:v>2.7780831899181848</c:v>
                </c:pt>
                <c:pt idx="3">
                  <c:v>9.1002273225004107</c:v>
                </c:pt>
                <c:pt idx="4">
                  <c:v>1.2164249147443784</c:v>
                </c:pt>
                <c:pt idx="5">
                  <c:v>1.902059227765635</c:v>
                </c:pt>
                <c:pt idx="6">
                  <c:v>1.970371450540007</c:v>
                </c:pt>
                <c:pt idx="7">
                  <c:v>2.4028877768703745</c:v>
                </c:pt>
                <c:pt idx="8">
                  <c:v>2.6903812373103611</c:v>
                </c:pt>
                <c:pt idx="9">
                  <c:v>1.9604940018061456</c:v>
                </c:pt>
                <c:pt idx="10">
                  <c:v>0.69407000770328697</c:v>
                </c:pt>
                <c:pt idx="11">
                  <c:v>1.7848263395712021</c:v>
                </c:pt>
                <c:pt idx="12">
                  <c:v>0.78078531330125867</c:v>
                </c:pt>
                <c:pt idx="13">
                  <c:v>1.4682319617292467</c:v>
                </c:pt>
              </c:numCache>
            </c:numRef>
          </c:val>
          <c:extLst>
            <c:ext xmlns:c16="http://schemas.microsoft.com/office/drawing/2014/chart" uri="{C3380CC4-5D6E-409C-BE32-E72D297353CC}">
              <c16:uniqueId val="{00000005-3F6E-4562-91D4-2CE2D7EA6361}"/>
            </c:ext>
          </c:extLst>
        </c:ser>
        <c:ser>
          <c:idx val="6"/>
          <c:order val="6"/>
          <c:tx>
            <c:strRef>
              <c:f>Data!$I$4</c:f>
              <c:strCache>
                <c:ptCount val="1"/>
                <c:pt idx="0">
                  <c:v>2020</c:v>
                </c:pt>
              </c:strCache>
            </c:strRef>
          </c:tx>
          <c:spPr>
            <a:solidFill>
              <a:schemeClr val="accent1">
                <a:lumMod val="60000"/>
              </a:schemeClr>
            </a:solidFill>
            <a:ln>
              <a:noFill/>
            </a:ln>
            <a:effectLst/>
          </c:spPr>
          <c:invertIfNegative val="0"/>
          <c:cat>
            <c:strRef>
              <c:f>Data!$A$5:$A$18</c:f>
              <c:strCache>
                <c:ptCount val="14"/>
                <c:pt idx="0">
                  <c:v>Arab World</c:v>
                </c:pt>
                <c:pt idx="1">
                  <c:v>United Arab Emirates</c:v>
                </c:pt>
                <c:pt idx="2">
                  <c:v>Australia</c:v>
                </c:pt>
                <c:pt idx="3">
                  <c:v>Central Europe and the Baltics</c:v>
                </c:pt>
                <c:pt idx="4">
                  <c:v>Switzerland</c:v>
                </c:pt>
                <c:pt idx="5">
                  <c:v>Germany</c:v>
                </c:pt>
                <c:pt idx="6">
                  <c:v>East Asia &amp; Pacific</c:v>
                </c:pt>
                <c:pt idx="7">
                  <c:v>Europe &amp; Central Asia (excluding high income)</c:v>
                </c:pt>
                <c:pt idx="8">
                  <c:v>Europe &amp; Central Asia</c:v>
                </c:pt>
                <c:pt idx="9">
                  <c:v>France</c:v>
                </c:pt>
                <c:pt idx="10">
                  <c:v>United Kingdom</c:v>
                </c:pt>
                <c:pt idx="11">
                  <c:v>India</c:v>
                </c:pt>
                <c:pt idx="12">
                  <c:v>Japan</c:v>
                </c:pt>
                <c:pt idx="13">
                  <c:v>United States</c:v>
                </c:pt>
              </c:strCache>
              <c:extLst/>
            </c:strRef>
          </c:cat>
          <c:val>
            <c:numRef>
              <c:f>Data!$I$5:$I$18</c:f>
              <c:numCache>
                <c:formatCode>0.00</c:formatCode>
                <c:ptCount val="14"/>
                <c:pt idx="0">
                  <c:v>1.3073189453363159</c:v>
                </c:pt>
                <c:pt idx="1">
                  <c:v>5.6898437912908983</c:v>
                </c:pt>
                <c:pt idx="2">
                  <c:v>1.1907439581564139</c:v>
                </c:pt>
                <c:pt idx="3">
                  <c:v>12.741859106884181</c:v>
                </c:pt>
                <c:pt idx="4">
                  <c:v>-32.63717108343365</c:v>
                </c:pt>
                <c:pt idx="5">
                  <c:v>4.5493764400413683</c:v>
                </c:pt>
                <c:pt idx="6">
                  <c:v>2.1838293305897083</c:v>
                </c:pt>
                <c:pt idx="7">
                  <c:v>1.8691418271581706</c:v>
                </c:pt>
                <c:pt idx="8">
                  <c:v>0.76264644438619933</c:v>
                </c:pt>
                <c:pt idx="9">
                  <c:v>0.73161188662496912</c:v>
                </c:pt>
                <c:pt idx="10">
                  <c:v>5.8264206095789852</c:v>
                </c:pt>
                <c:pt idx="11">
                  <c:v>2.4062032267367259</c:v>
                </c:pt>
                <c:pt idx="12">
                  <c:v>1.2379317820186919</c:v>
                </c:pt>
                <c:pt idx="13">
                  <c:v>0.648892390593234</c:v>
                </c:pt>
              </c:numCache>
            </c:numRef>
          </c:val>
          <c:extLst>
            <c:ext xmlns:c16="http://schemas.microsoft.com/office/drawing/2014/chart" uri="{C3380CC4-5D6E-409C-BE32-E72D297353CC}">
              <c16:uniqueId val="{00000006-3F6E-4562-91D4-2CE2D7EA6361}"/>
            </c:ext>
          </c:extLst>
        </c:ser>
        <c:ser>
          <c:idx val="7"/>
          <c:order val="7"/>
          <c:tx>
            <c:strRef>
              <c:f>Data!$J$4</c:f>
              <c:strCache>
                <c:ptCount val="1"/>
                <c:pt idx="0">
                  <c:v>2021</c:v>
                </c:pt>
              </c:strCache>
            </c:strRef>
          </c:tx>
          <c:spPr>
            <a:solidFill>
              <a:schemeClr val="accent2">
                <a:lumMod val="60000"/>
              </a:schemeClr>
            </a:solidFill>
            <a:ln>
              <a:noFill/>
            </a:ln>
            <a:effectLst/>
          </c:spPr>
          <c:invertIfNegative val="0"/>
          <c:cat>
            <c:strRef>
              <c:f>Data!$A$5:$A$18</c:f>
              <c:strCache>
                <c:ptCount val="14"/>
                <c:pt idx="0">
                  <c:v>Arab World</c:v>
                </c:pt>
                <c:pt idx="1">
                  <c:v>United Arab Emirates</c:v>
                </c:pt>
                <c:pt idx="2">
                  <c:v>Australia</c:v>
                </c:pt>
                <c:pt idx="3">
                  <c:v>Central Europe and the Baltics</c:v>
                </c:pt>
                <c:pt idx="4">
                  <c:v>Switzerland</c:v>
                </c:pt>
                <c:pt idx="5">
                  <c:v>Germany</c:v>
                </c:pt>
                <c:pt idx="6">
                  <c:v>East Asia &amp; Pacific</c:v>
                </c:pt>
                <c:pt idx="7">
                  <c:v>Europe &amp; Central Asia (excluding high income)</c:v>
                </c:pt>
                <c:pt idx="8">
                  <c:v>Europe &amp; Central Asia</c:v>
                </c:pt>
                <c:pt idx="9">
                  <c:v>France</c:v>
                </c:pt>
                <c:pt idx="10">
                  <c:v>United Kingdom</c:v>
                </c:pt>
                <c:pt idx="11">
                  <c:v>India</c:v>
                </c:pt>
                <c:pt idx="12">
                  <c:v>Japan</c:v>
                </c:pt>
                <c:pt idx="13">
                  <c:v>United States</c:v>
                </c:pt>
              </c:strCache>
              <c:extLst/>
            </c:strRef>
          </c:cat>
          <c:val>
            <c:numRef>
              <c:f>Data!$J$5:$J$18</c:f>
              <c:numCache>
                <c:formatCode>0.00</c:formatCode>
                <c:ptCount val="14"/>
                <c:pt idx="0">
                  <c:v>2.1658299537549093</c:v>
                </c:pt>
                <c:pt idx="1">
                  <c:v>4.9778844320927007</c:v>
                </c:pt>
                <c:pt idx="2">
                  <c:v>1.7834160036135072</c:v>
                </c:pt>
                <c:pt idx="3">
                  <c:v>6.2267205180006213</c:v>
                </c:pt>
                <c:pt idx="4">
                  <c:v>-14.409179038131754</c:v>
                </c:pt>
                <c:pt idx="5">
                  <c:v>2.3876436081634735</c:v>
                </c:pt>
                <c:pt idx="6">
                  <c:v>2.6139318027688909</c:v>
                </c:pt>
                <c:pt idx="7">
                  <c:v>2.3677458941012275</c:v>
                </c:pt>
                <c:pt idx="8">
                  <c:v>2.1055505040013855</c:v>
                </c:pt>
                <c:pt idx="9">
                  <c:v>3.2393820045162913</c:v>
                </c:pt>
                <c:pt idx="10">
                  <c:v>0.18851635056257404</c:v>
                </c:pt>
                <c:pt idx="11">
                  <c:v>1.4121710104088561</c:v>
                </c:pt>
                <c:pt idx="12">
                  <c:v>0.69924672989635095</c:v>
                </c:pt>
                <c:pt idx="13">
                  <c:v>2.0898717985070037</c:v>
                </c:pt>
              </c:numCache>
            </c:numRef>
          </c:val>
          <c:extLst>
            <c:ext xmlns:c16="http://schemas.microsoft.com/office/drawing/2014/chart" uri="{C3380CC4-5D6E-409C-BE32-E72D297353CC}">
              <c16:uniqueId val="{00000007-3F6E-4562-91D4-2CE2D7EA6361}"/>
            </c:ext>
          </c:extLst>
        </c:ser>
        <c:ser>
          <c:idx val="8"/>
          <c:order val="8"/>
          <c:tx>
            <c:strRef>
              <c:f>Data!$K$4</c:f>
              <c:strCache>
                <c:ptCount val="1"/>
                <c:pt idx="0">
                  <c:v>2022</c:v>
                </c:pt>
              </c:strCache>
            </c:strRef>
          </c:tx>
          <c:spPr>
            <a:solidFill>
              <a:schemeClr val="accent3">
                <a:lumMod val="60000"/>
              </a:schemeClr>
            </a:solidFill>
            <a:ln>
              <a:noFill/>
            </a:ln>
            <a:effectLst/>
          </c:spPr>
          <c:invertIfNegative val="0"/>
          <c:cat>
            <c:strRef>
              <c:f>Data!$A$5:$A$18</c:f>
              <c:strCache>
                <c:ptCount val="14"/>
                <c:pt idx="0">
                  <c:v>Arab World</c:v>
                </c:pt>
                <c:pt idx="1">
                  <c:v>United Arab Emirates</c:v>
                </c:pt>
                <c:pt idx="2">
                  <c:v>Australia</c:v>
                </c:pt>
                <c:pt idx="3">
                  <c:v>Central Europe and the Baltics</c:v>
                </c:pt>
                <c:pt idx="4">
                  <c:v>Switzerland</c:v>
                </c:pt>
                <c:pt idx="5">
                  <c:v>Germany</c:v>
                </c:pt>
                <c:pt idx="6">
                  <c:v>East Asia &amp; Pacific</c:v>
                </c:pt>
                <c:pt idx="7">
                  <c:v>Europe &amp; Central Asia (excluding high income)</c:v>
                </c:pt>
                <c:pt idx="8">
                  <c:v>Europe &amp; Central Asia</c:v>
                </c:pt>
                <c:pt idx="9">
                  <c:v>France</c:v>
                </c:pt>
                <c:pt idx="10">
                  <c:v>United Kingdom</c:v>
                </c:pt>
                <c:pt idx="11">
                  <c:v>India</c:v>
                </c:pt>
                <c:pt idx="12">
                  <c:v>Japan</c:v>
                </c:pt>
                <c:pt idx="13">
                  <c:v>United States</c:v>
                </c:pt>
              </c:strCache>
              <c:extLst/>
            </c:strRef>
          </c:cat>
          <c:val>
            <c:numRef>
              <c:f>Data!$K$5:$K$18</c:f>
              <c:numCache>
                <c:formatCode>0.00</c:formatCode>
                <c:ptCount val="14"/>
                <c:pt idx="0">
                  <c:v>2.1558786941676065</c:v>
                </c:pt>
                <c:pt idx="1">
                  <c:v>4.4839619658295744</c:v>
                </c:pt>
                <c:pt idx="2">
                  <c:v>4.1397951049467219</c:v>
                </c:pt>
                <c:pt idx="3">
                  <c:v>3.3577975373924098</c:v>
                </c:pt>
                <c:pt idx="4">
                  <c:v>-1.342689794346972</c:v>
                </c:pt>
                <c:pt idx="5">
                  <c:v>1.5365454423454581</c:v>
                </c:pt>
                <c:pt idx="6">
                  <c:v>2.2975817596210195</c:v>
                </c:pt>
                <c:pt idx="7">
                  <c:v>1.8135319648088395</c:v>
                </c:pt>
                <c:pt idx="8">
                  <c:v>0.74140677279346512</c:v>
                </c:pt>
                <c:pt idx="9">
                  <c:v>3.7935033831882383</c:v>
                </c:pt>
                <c:pt idx="10">
                  <c:v>1.4535528819585795</c:v>
                </c:pt>
                <c:pt idx="11">
                  <c:v>1.4892112052466486</c:v>
                </c:pt>
                <c:pt idx="12">
                  <c:v>1.1577556287366764</c:v>
                </c:pt>
                <c:pt idx="13">
                  <c:v>1.5074439557198873</c:v>
                </c:pt>
              </c:numCache>
            </c:numRef>
          </c:val>
          <c:extLst>
            <c:ext xmlns:c16="http://schemas.microsoft.com/office/drawing/2014/chart" uri="{C3380CC4-5D6E-409C-BE32-E72D297353CC}">
              <c16:uniqueId val="{00000008-3F6E-4562-91D4-2CE2D7EA6361}"/>
            </c:ext>
          </c:extLst>
        </c:ser>
        <c:dLbls>
          <c:showLegendKey val="0"/>
          <c:showVal val="0"/>
          <c:showCatName val="0"/>
          <c:showSerName val="0"/>
          <c:showPercent val="0"/>
          <c:showBubbleSize val="0"/>
        </c:dLbls>
        <c:gapWidth val="150"/>
        <c:axId val="1559258512"/>
        <c:axId val="1559259472"/>
      </c:barChart>
      <c:catAx>
        <c:axId val="1559258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9259472"/>
        <c:crosses val="autoZero"/>
        <c:auto val="1"/>
        <c:lblAlgn val="ctr"/>
        <c:lblOffset val="100"/>
        <c:noMultiLvlLbl val="0"/>
      </c:catAx>
      <c:valAx>
        <c:axId val="155925947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9258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FDI projects</c:v>
                </c:pt>
              </c:strCache>
            </c:strRef>
          </c:tx>
          <c:spPr>
            <a:solidFill>
              <a:schemeClr val="accent1"/>
            </a:solidFill>
            <a:ln>
              <a:noFill/>
            </a:ln>
            <a:effectLst/>
          </c:spPr>
          <c:invertIfNegative val="0"/>
          <c:cat>
            <c:strRef>
              <c:f>Sheet1!$A$2:$A$6</c:f>
              <c:strCache>
                <c:ptCount val="5"/>
                <c:pt idx="0">
                  <c:v>2018 to 2019</c:v>
                </c:pt>
                <c:pt idx="1">
                  <c:v>2019 to 2020</c:v>
                </c:pt>
                <c:pt idx="2">
                  <c:v>2020 to 2021</c:v>
                </c:pt>
                <c:pt idx="3">
                  <c:v>2021 to 2022</c:v>
                </c:pt>
                <c:pt idx="4">
                  <c:v>2022 to 2023</c:v>
                </c:pt>
              </c:strCache>
            </c:strRef>
          </c:cat>
          <c:val>
            <c:numRef>
              <c:f>Sheet1!$B$2:$B$6</c:f>
              <c:numCache>
                <c:formatCode>#,##0</c:formatCode>
                <c:ptCount val="5"/>
                <c:pt idx="0">
                  <c:v>1782</c:v>
                </c:pt>
                <c:pt idx="1">
                  <c:v>1852</c:v>
                </c:pt>
                <c:pt idx="2">
                  <c:v>1538</c:v>
                </c:pt>
                <c:pt idx="3">
                  <c:v>1589</c:v>
                </c:pt>
                <c:pt idx="4">
                  <c:v>1654</c:v>
                </c:pt>
              </c:numCache>
            </c:numRef>
          </c:val>
          <c:extLst>
            <c:ext xmlns:c16="http://schemas.microsoft.com/office/drawing/2014/chart" uri="{C3380CC4-5D6E-409C-BE32-E72D297353CC}">
              <c16:uniqueId val="{00000000-5505-46F6-9E2B-0FCFAFEA308E}"/>
            </c:ext>
          </c:extLst>
        </c:ser>
        <c:dLbls>
          <c:showLegendKey val="0"/>
          <c:showVal val="0"/>
          <c:showCatName val="0"/>
          <c:showSerName val="0"/>
          <c:showPercent val="0"/>
          <c:showBubbleSize val="0"/>
        </c:dLbls>
        <c:gapWidth val="219"/>
        <c:overlap val="-27"/>
        <c:axId val="1541082064"/>
        <c:axId val="1541068624"/>
      </c:barChart>
      <c:catAx>
        <c:axId val="15410820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1068624"/>
        <c:crosses val="autoZero"/>
        <c:auto val="1"/>
        <c:lblAlgn val="ctr"/>
        <c:lblOffset val="100"/>
        <c:noMultiLvlLbl val="0"/>
      </c:catAx>
      <c:valAx>
        <c:axId val="154106862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10820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View">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View">
      <a:maj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View">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docProps/app.xml><?xml version="1.0" encoding="utf-8"?>
<Properties xmlns="http://schemas.openxmlformats.org/officeDocument/2006/extended-properties" xmlns:vt="http://schemas.openxmlformats.org/officeDocument/2006/docPropsVTypes">
  <Template>Normal</Template>
  <TotalTime>49</TotalTime>
  <Pages>81</Pages>
  <Words>19747</Words>
  <Characters>117022</Characters>
  <Application>Microsoft Office Word</Application>
  <DocSecurity>0</DocSecurity>
  <Lines>3216</Lines>
  <Paragraphs>1463</Paragraphs>
  <ScaleCrop>false</ScaleCrop>
  <HeadingPairs>
    <vt:vector size="2" baseType="variant">
      <vt:variant>
        <vt:lpstr>Title</vt:lpstr>
      </vt:variant>
      <vt:variant>
        <vt:i4>1</vt:i4>
      </vt:variant>
    </vt:vector>
  </HeadingPairs>
  <TitlesOfParts>
    <vt:vector size="1" baseType="lpstr">
      <vt:lpstr>University Name: University of Wales Trinity Saint David Dissertation (LCMB7020_BIRM)                                                  “The impact of Foreign Direct Investment (FDI) on the UK Economy”</vt:lpstr>
    </vt:vector>
  </TitlesOfParts>
  <Company>Nidec Control Techniques</Company>
  <LinksUpToDate>false</LinksUpToDate>
  <CharactersWithSpaces>139102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Name: University of Wales Trinity Saint David Dissertation (LCMB7020_BIRM)                                                  “The impact of Foreign Direct Investment (FDI) on the UK Economy”</dc:title>
  <dc:subject>Student No: 2239912                                                                   Name: Nazish Tariq                                                              Supervisor"Ejike Udeogu</dc:subject>
  <dc:creator>Aziz, Tariq [MOEN/CT/TEL]</dc:creator>
  <cp:keywords/>
  <dc:description/>
  <cp:lastModifiedBy>Aziz, Tariq [MOEN/CT/TEL]</cp:lastModifiedBy>
  <cp:revision>7</cp:revision>
  <dcterms:created xsi:type="dcterms:W3CDTF">2024-08-27T16:28:00Z</dcterms:created>
  <dcterms:modified xsi:type="dcterms:W3CDTF">2024-08-27T17:22:00Z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08fe3836-0337-4503-bef5-a26e0ac278d4</vt:lpwstr>
  </property>
</Properties>
</file>