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EC5E5E" w14:textId="2E71A6C5" w:rsidR="0070666B" w:rsidRPr="00D5451E" w:rsidRDefault="0070666B">
      <w:pPr>
        <w:spacing w:after="160" w:line="259" w:lineRule="auto"/>
        <w:ind w:firstLine="0"/>
        <w:jc w:val="left"/>
      </w:pPr>
    </w:p>
    <w:p w14:paraId="32ED091A" w14:textId="77777777" w:rsidR="0070666B" w:rsidRPr="00D5451E" w:rsidRDefault="0070666B">
      <w:pPr>
        <w:spacing w:after="160" w:line="259" w:lineRule="auto"/>
        <w:ind w:firstLine="0"/>
        <w:jc w:val="left"/>
      </w:pPr>
    </w:p>
    <w:p w14:paraId="4A82F2D3" w14:textId="77777777" w:rsidR="0070666B" w:rsidRPr="00D5451E" w:rsidRDefault="0070666B">
      <w:pPr>
        <w:spacing w:after="160" w:line="259" w:lineRule="auto"/>
        <w:ind w:firstLine="0"/>
        <w:jc w:val="left"/>
      </w:pPr>
    </w:p>
    <w:p w14:paraId="1CAA7454" w14:textId="77777777" w:rsidR="0070666B" w:rsidRPr="00D5451E" w:rsidRDefault="0070666B">
      <w:pPr>
        <w:spacing w:after="160" w:line="259" w:lineRule="auto"/>
        <w:ind w:firstLine="0"/>
        <w:jc w:val="left"/>
      </w:pPr>
    </w:p>
    <w:p w14:paraId="523D6EAA" w14:textId="77777777" w:rsidR="0070666B" w:rsidRPr="00D5451E" w:rsidRDefault="0070666B">
      <w:pPr>
        <w:spacing w:after="160" w:line="259" w:lineRule="auto"/>
        <w:ind w:firstLine="0"/>
        <w:jc w:val="left"/>
      </w:pPr>
    </w:p>
    <w:p w14:paraId="19CB59C9" w14:textId="77777777" w:rsidR="0070666B" w:rsidRPr="00D5451E" w:rsidRDefault="0070666B">
      <w:pPr>
        <w:spacing w:after="160" w:line="259" w:lineRule="auto"/>
        <w:ind w:firstLine="0"/>
        <w:jc w:val="left"/>
      </w:pPr>
    </w:p>
    <w:p w14:paraId="29402852" w14:textId="77777777" w:rsidR="0070666B" w:rsidRPr="00D5451E" w:rsidRDefault="0070666B">
      <w:pPr>
        <w:spacing w:after="160" w:line="259" w:lineRule="auto"/>
        <w:ind w:firstLine="0"/>
        <w:jc w:val="left"/>
      </w:pPr>
    </w:p>
    <w:p w14:paraId="1D57A363" w14:textId="77777777" w:rsidR="0070666B" w:rsidRPr="00D5451E" w:rsidRDefault="0070666B">
      <w:pPr>
        <w:spacing w:after="160" w:line="259" w:lineRule="auto"/>
        <w:ind w:firstLine="0"/>
        <w:jc w:val="left"/>
      </w:pPr>
    </w:p>
    <w:p w14:paraId="4623DF63" w14:textId="77777777" w:rsidR="00624012" w:rsidRPr="00656EC1" w:rsidRDefault="00624012" w:rsidP="0070666B">
      <w:pPr>
        <w:spacing w:after="160" w:line="259" w:lineRule="auto"/>
        <w:ind w:firstLine="0"/>
        <w:jc w:val="center"/>
        <w:rPr>
          <w:sz w:val="36"/>
          <w:szCs w:val="36"/>
          <w:u w:val="single"/>
        </w:rPr>
      </w:pPr>
      <w:r w:rsidRPr="00656EC1">
        <w:rPr>
          <w:sz w:val="36"/>
          <w:szCs w:val="36"/>
          <w:u w:val="single"/>
        </w:rPr>
        <w:t xml:space="preserve">The ‘anti-hunt’ group will display more aggressive behaviours than the ‘pro-hunt’ group </w:t>
      </w:r>
    </w:p>
    <w:p w14:paraId="693DAB4F" w14:textId="18C71771" w:rsidR="00624012" w:rsidRPr="00D5451E" w:rsidRDefault="00624012" w:rsidP="0070666B">
      <w:pPr>
        <w:spacing w:after="160" w:line="259" w:lineRule="auto"/>
        <w:ind w:firstLine="0"/>
        <w:jc w:val="center"/>
      </w:pPr>
    </w:p>
    <w:p w14:paraId="7DE1E770" w14:textId="388F9B54" w:rsidR="00624012" w:rsidRPr="00D5451E" w:rsidRDefault="00624012" w:rsidP="00475E64">
      <w:pPr>
        <w:spacing w:after="160" w:line="259" w:lineRule="auto"/>
        <w:ind w:firstLine="0"/>
      </w:pPr>
    </w:p>
    <w:p w14:paraId="560D556C" w14:textId="376FE555" w:rsidR="008B48F2" w:rsidRPr="00656EC1" w:rsidRDefault="008B48F2" w:rsidP="00656EC1">
      <w:pPr>
        <w:spacing w:after="160" w:line="259" w:lineRule="auto"/>
        <w:ind w:firstLine="0"/>
        <w:rPr>
          <w:rFonts w:eastAsiaTheme="majorEastAsia" w:cstheme="majorBidi"/>
          <w:b/>
          <w:i/>
          <w:color w:val="44546A" w:themeColor="text2"/>
          <w:szCs w:val="32"/>
        </w:rPr>
      </w:pPr>
      <w:r w:rsidRPr="00D5451E">
        <w:t>Introduction</w:t>
      </w:r>
    </w:p>
    <w:p w14:paraId="5892E9D9" w14:textId="3953FC29" w:rsidR="009C4E16" w:rsidRPr="00D5451E" w:rsidRDefault="00D71081" w:rsidP="000A322D">
      <w:r w:rsidRPr="00D5451E">
        <w:t xml:space="preserve">One of the topics that has aroused the most interest in the literature on social movements in recent years is that of the tactics of collective </w:t>
      </w:r>
      <w:r w:rsidR="008B48F2" w:rsidRPr="00D5451E">
        <w:t>aggression</w:t>
      </w:r>
      <w:r w:rsidRPr="00D5451E">
        <w:t xml:space="preserve">. This </w:t>
      </w:r>
      <w:r w:rsidR="008B48F2" w:rsidRPr="00D5451E">
        <w:t xml:space="preserve">study </w:t>
      </w:r>
      <w:r w:rsidRPr="00D5451E">
        <w:t xml:space="preserve">explores the determinants </w:t>
      </w:r>
      <w:r w:rsidR="008B48F2" w:rsidRPr="00D5451E">
        <w:t>instances of aggression enacted by members of the anti-hunt group (protesters) and the pro-hunt group (horse riders and hunt supporters on foot). The rationale for selecting this topic is, w</w:t>
      </w:r>
      <w:r w:rsidRPr="00D5451E">
        <w:t>ithin social movement research</w:t>
      </w:r>
      <w:r w:rsidR="00ED24A8" w:rsidRPr="00D5451E">
        <w:t xml:space="preserve"> (</w:t>
      </w:r>
      <w:r w:rsidR="00ED24A8" w:rsidRPr="00D5451E">
        <w:rPr>
          <w:shd w:val="clear" w:color="auto" w:fill="FFFFFF"/>
        </w:rPr>
        <w:t>Cox, and Donovan, 2020)</w:t>
      </w:r>
      <w:r w:rsidRPr="00D5451E">
        <w:t xml:space="preserve">, studying </w:t>
      </w:r>
      <w:r w:rsidR="008711B3" w:rsidRPr="00D5451E">
        <w:t>aggression</w:t>
      </w:r>
      <w:r w:rsidRPr="00D5451E">
        <w:t xml:space="preserve"> is important for several reasons. </w:t>
      </w:r>
      <w:r w:rsidR="007E395C" w:rsidRPr="00D5451E">
        <w:t xml:space="preserve">There are different types of aggression, some are in the form of physical, where punches are thrown at each other. In addition, some are reported to be verbal, where abusive and strict language is used against each other during the protests. The provocation is also a significant factor that can be classified as an aggression, in which two opposing parties try to provoke each other to make mistakes. </w:t>
      </w:r>
    </w:p>
    <w:p w14:paraId="17220CF7" w14:textId="0089D192" w:rsidR="00D71081" w:rsidRPr="00D5451E" w:rsidRDefault="009158A6" w:rsidP="00281095">
      <w:r w:rsidRPr="00D5451E">
        <w:t>There isn't full arrangement in that frame of mind on the potential connections between fighting gatherings and the strategies they utilize. To a limited extent, the trouble originates from the way that gatherings don't be guaranteed to act firmly and under bound together initiative, so their activities are not totally unsurprising</w:t>
      </w:r>
      <w:r w:rsidR="00D71081" w:rsidRPr="00D5451E">
        <w:t xml:space="preserve">. Regarding the former, </w:t>
      </w:r>
      <w:r w:rsidR="001F471C" w:rsidRPr="00D5451E">
        <w:rPr>
          <w:shd w:val="clear" w:color="auto" w:fill="FFFFFF"/>
        </w:rPr>
        <w:t xml:space="preserve">Hardaker, (2020) </w:t>
      </w:r>
      <w:r w:rsidR="00D71081" w:rsidRPr="00D5451E">
        <w:t xml:space="preserve">argue that the </w:t>
      </w:r>
      <w:r w:rsidR="00426A49" w:rsidRPr="00D5451E">
        <w:t>protestors</w:t>
      </w:r>
      <w:r w:rsidR="00D71081" w:rsidRPr="00D5451E">
        <w:t xml:space="preserve"> that are constituted around </w:t>
      </w:r>
      <w:r w:rsidR="00426A49" w:rsidRPr="00D5451E">
        <w:t>welfare such as protesting against the hunting or in favour of animal rights</w:t>
      </w:r>
      <w:r w:rsidR="00D71081" w:rsidRPr="00D5451E">
        <w:t xml:space="preserve"> </w:t>
      </w:r>
      <w:r w:rsidR="00426A49" w:rsidRPr="00D5451E">
        <w:t>have the capacity to exercise negative inducers.</w:t>
      </w:r>
      <w:r w:rsidR="00D71081" w:rsidRPr="00D5451E">
        <w:t xml:space="preserve"> This means that they may </w:t>
      </w:r>
      <w:r w:rsidR="00D71081" w:rsidRPr="00D5451E">
        <w:lastRenderedPageBreak/>
        <w:t xml:space="preserve">occasionally choose to refrain from carrying out their daily productive functions in order to </w:t>
      </w:r>
      <w:r w:rsidR="00281095" w:rsidRPr="00D5451E">
        <w:t xml:space="preserve">record their protest </w:t>
      </w:r>
      <w:r w:rsidR="00D71081" w:rsidRPr="00D5451E">
        <w:t xml:space="preserve">and thus </w:t>
      </w:r>
      <w:r w:rsidR="00281095" w:rsidRPr="00D5451E">
        <w:t xml:space="preserve">put significant amount of </w:t>
      </w:r>
      <w:r w:rsidR="00D71081" w:rsidRPr="00D5451E">
        <w:t xml:space="preserve">pressure to obtain their demands. </w:t>
      </w:r>
    </w:p>
    <w:p w14:paraId="5AD8E62D" w14:textId="248F31CD" w:rsidR="009158A6" w:rsidRPr="00D5451E" w:rsidRDefault="009158A6" w:rsidP="009158A6">
      <w:r w:rsidRPr="00D5451E">
        <w:t xml:space="preserve">Furthermore, bunches like trackers have a ton to lose, which ought to make them opposed to fierce strategies. This, thusly, make them more inclined to regular or social strategies, which permit them to keep up with their great standing in the political framework and popular assessment and which, as a general rule, are not seen as compromising. Be that as it may, such gatherings would have less to lose and more to acquire, which could </w:t>
      </w:r>
      <w:proofErr w:type="spellStart"/>
      <w:r w:rsidRPr="00D5451E">
        <w:t>lean</w:t>
      </w:r>
      <w:proofErr w:type="spellEnd"/>
      <w:r w:rsidRPr="00D5451E">
        <w:t xml:space="preserve"> them to vicious strategies. Subsequently, this demonstrates that these connections are not programmed. For bunches with compromised morals like hunting in the useful construction to favor specific strategies over others, it is by and large essential for "outlining" cycles to work where such strategies are characterized as the most suitable and feasible</w:t>
      </w:r>
      <w:r w:rsidR="001F471C" w:rsidRPr="00D5451E">
        <w:t xml:space="preserve"> (</w:t>
      </w:r>
      <w:proofErr w:type="spellStart"/>
      <w:r w:rsidR="001F471C" w:rsidRPr="00D5451E">
        <w:rPr>
          <w:shd w:val="clear" w:color="auto" w:fill="FFFFFF"/>
        </w:rPr>
        <w:t>Kirchhelle</w:t>
      </w:r>
      <w:proofErr w:type="spellEnd"/>
      <w:r w:rsidR="001F471C" w:rsidRPr="00D5451E">
        <w:rPr>
          <w:shd w:val="clear" w:color="auto" w:fill="FFFFFF"/>
        </w:rPr>
        <w:t>, 2021)</w:t>
      </w:r>
      <w:r w:rsidRPr="00D5451E">
        <w:t>.</w:t>
      </w:r>
    </w:p>
    <w:p w14:paraId="1FAEB55D" w14:textId="5501B943" w:rsidR="001F3B7A" w:rsidRPr="00D5451E" w:rsidRDefault="009158A6" w:rsidP="009158A6">
      <w:r w:rsidRPr="00D5451E">
        <w:t xml:space="preserve">Something almost identical could be anticipated from the fights did by aunt chase protestors who can apply tension through troublesome strategies. Subsequently, simultaneously, this addition has permitted them to take on rough strategies since they are exorbitantly foundational and dangerous for their political capital. </w:t>
      </w:r>
      <w:r w:rsidR="00323B2B" w:rsidRPr="00D5451E">
        <w:t>Therefore, it can be articulated that as compared to the pro-hunters, aunty-hunters were reported to be extra aggressive in terms of verbal, physical, and gestural</w:t>
      </w:r>
      <w:r w:rsidR="001F471C" w:rsidRPr="00D5451E">
        <w:t xml:space="preserve"> (</w:t>
      </w:r>
      <w:proofErr w:type="spellStart"/>
      <w:r w:rsidR="001F471C" w:rsidRPr="00D5451E">
        <w:rPr>
          <w:shd w:val="clear" w:color="auto" w:fill="FFFFFF"/>
        </w:rPr>
        <w:t>Sellheim</w:t>
      </w:r>
      <w:proofErr w:type="spellEnd"/>
      <w:r w:rsidR="001F471C" w:rsidRPr="00D5451E">
        <w:rPr>
          <w:shd w:val="clear" w:color="auto" w:fill="FFFFFF"/>
        </w:rPr>
        <w:t>, and Fink, 2022)</w:t>
      </w:r>
      <w:r w:rsidR="00323B2B" w:rsidRPr="00D5451E">
        <w:t xml:space="preserve">. </w:t>
      </w:r>
    </w:p>
    <w:p w14:paraId="00BF095C" w14:textId="157E0536" w:rsidR="00687D87" w:rsidRPr="00D5451E" w:rsidRDefault="009A1EFA" w:rsidP="00687D87">
      <w:r w:rsidRPr="00D5451E">
        <w:t>During the protests, the</w:t>
      </w:r>
      <w:r w:rsidR="00D71081" w:rsidRPr="00D5451E">
        <w:t xml:space="preserve"> violent tactics have high costs today in </w:t>
      </w:r>
      <w:r w:rsidRPr="00D5451E">
        <w:t xml:space="preserve">the cities like the UK; therefore, </w:t>
      </w:r>
      <w:r w:rsidR="00D71081" w:rsidRPr="00D5451E">
        <w:t xml:space="preserve">they may only appear due to the combination of certain types of groups and certain radical demands, which reinforce each other. Therefore, it is possible that </w:t>
      </w:r>
      <w:r w:rsidR="00C92E5E" w:rsidRPr="00D5451E">
        <w:t xml:space="preserve">amongst the anti-hunt group, </w:t>
      </w:r>
      <w:r w:rsidR="00D71081" w:rsidRPr="00D5451E">
        <w:t>the presence of radical demands</w:t>
      </w:r>
      <w:r w:rsidR="00C92E5E" w:rsidRPr="00D5451E">
        <w:t xml:space="preserve"> might have increased</w:t>
      </w:r>
      <w:r w:rsidR="00D71081" w:rsidRPr="00D5451E">
        <w:t xml:space="preserve"> the incentives to adopt transgressive tactics, which entail</w:t>
      </w:r>
      <w:r w:rsidR="00C92E5E" w:rsidRPr="00D5451E">
        <w:t>ed</w:t>
      </w:r>
      <w:r w:rsidR="00D71081" w:rsidRPr="00D5451E">
        <w:t xml:space="preserve"> greater risks and costs for </w:t>
      </w:r>
      <w:r w:rsidR="00C92E5E" w:rsidRPr="00D5451E">
        <w:t xml:space="preserve">the </w:t>
      </w:r>
      <w:r w:rsidR="00D71081" w:rsidRPr="00D5451E">
        <w:t>protesters</w:t>
      </w:r>
      <w:r w:rsidR="00C92E5E" w:rsidRPr="00D5451E">
        <w:t xml:space="preserve"> as well. </w:t>
      </w:r>
      <w:r w:rsidR="00D71081" w:rsidRPr="00D5451E">
        <w:t>Second, the most radical demands are often linked to feelings of deprivation with respect to others</w:t>
      </w:r>
      <w:r w:rsidR="001F471C" w:rsidRPr="00D5451E">
        <w:t xml:space="preserve"> (</w:t>
      </w:r>
      <w:r w:rsidR="001F471C" w:rsidRPr="00D5451E">
        <w:rPr>
          <w:shd w:val="clear" w:color="auto" w:fill="FFFFFF"/>
        </w:rPr>
        <w:t>Safarov, 2019)</w:t>
      </w:r>
      <w:r w:rsidR="00687D87" w:rsidRPr="00D5451E">
        <w:t>. Consequently, on account of hostile to chase protestors, these hardships gave rich soil to the development of aggregate activity structures that give raise to serious pessimistic feelings, for example, outrage, ire or embarrassment and distinguished supportive of tracker bunch liable for such hardships. Offensive strategies troublesome or incidentally savage appear to be especially fitting to channel these feelings notwithstanding their more noteworthy individual expenses</w:t>
      </w:r>
      <w:r w:rsidR="001F471C" w:rsidRPr="00D5451E">
        <w:t xml:space="preserve"> (</w:t>
      </w:r>
      <w:r w:rsidR="001F471C" w:rsidRPr="00D5451E">
        <w:rPr>
          <w:shd w:val="clear" w:color="auto" w:fill="FFFFFF"/>
        </w:rPr>
        <w:t>Tyler, 2021)</w:t>
      </w:r>
      <w:r w:rsidR="00687D87" w:rsidRPr="00D5451E">
        <w:t>.</w:t>
      </w:r>
    </w:p>
    <w:p w14:paraId="0C70871B" w14:textId="6947E036" w:rsidR="00687D87" w:rsidRPr="00D5451E" w:rsidRDefault="00687D87" w:rsidP="00687D87">
      <w:r w:rsidRPr="00D5451E">
        <w:t xml:space="preserve">At last, on account of hostile to tracker protestors, the actual requests likewise designed a character and an approach to dissenting. For the entirety of the abovementioned, it appears to be </w:t>
      </w:r>
      <w:r w:rsidRPr="00D5451E">
        <w:lastRenderedPageBreak/>
        <w:t>crucial to investigate the collaboration between the sort of interest and the gatherings activated. In spite of the fact that it is entirely expected for relationship to exist between the two, a similar gathering might take on revolutionary and non-extremist requests in various settings</w:t>
      </w:r>
      <w:r w:rsidR="00CE7183" w:rsidRPr="00D5451E">
        <w:t xml:space="preserve"> (</w:t>
      </w:r>
      <w:r w:rsidR="00CE7183" w:rsidRPr="00D5451E">
        <w:rPr>
          <w:shd w:val="clear" w:color="auto" w:fill="FFFFFF"/>
        </w:rPr>
        <w:t>Goodall, 2019)</w:t>
      </w:r>
    </w:p>
    <w:p w14:paraId="53FBD3E0" w14:textId="5ABDC971" w:rsidR="003C47F3" w:rsidRPr="00D5451E" w:rsidRDefault="00D71081" w:rsidP="00656EC1">
      <w:pPr>
        <w:ind w:firstLine="0"/>
      </w:pPr>
      <w:r w:rsidRPr="00D5451E">
        <w:t xml:space="preserve"> For example, on certain occasions </w:t>
      </w:r>
      <w:r w:rsidR="006E7403" w:rsidRPr="00D5451E">
        <w:t xml:space="preserve">the pro-hunter group will also adopt aggressive nature, but they will only adopt that once they will be forced to face any sort of deprivation or humiliation. Since during the protest, they were allowed to progress with their hunt; therefore, they did not provoked by the gestures of anti-group hunters. Whereas anti-hunter group even during the event was comparatively </w:t>
      </w:r>
      <w:r w:rsidR="002B6603" w:rsidRPr="00D5451E">
        <w:t xml:space="preserve">familiar with this and most probably this one aspect made them more violent and forced them to be aggressive in front of them. </w:t>
      </w:r>
      <w:r w:rsidR="00687D87" w:rsidRPr="00D5451E">
        <w:t xml:space="preserve">This has likewise been upheld by, in which the scientists have explained that the place of individuals inside a cycle or wave of dissent debilitates the utilization of troublesome strategies and empowers their standardization. In a similar line, found that the systematization of coordinated hunting privileges developments in the nations like US made creature government assistance bunches </w:t>
      </w:r>
      <w:proofErr w:type="gramStart"/>
      <w:r w:rsidR="00687D87" w:rsidRPr="00D5451E">
        <w:t>more fierce</w:t>
      </w:r>
      <w:proofErr w:type="gramEnd"/>
      <w:r w:rsidR="00CE7183" w:rsidRPr="00D5451E">
        <w:t xml:space="preserve"> (</w:t>
      </w:r>
      <w:r w:rsidR="00CE7183" w:rsidRPr="00D5451E">
        <w:rPr>
          <w:shd w:val="clear" w:color="auto" w:fill="FFFFFF"/>
        </w:rPr>
        <w:t>Mitchell, 2018)</w:t>
      </w:r>
      <w:r w:rsidR="00687D87" w:rsidRPr="00D5451E">
        <w:t>.</w:t>
      </w:r>
    </w:p>
    <w:p w14:paraId="7EFC13A2" w14:textId="77777777" w:rsidR="00A316EC" w:rsidRPr="00D5451E" w:rsidRDefault="00A316EC" w:rsidP="00A316EC">
      <w:pPr>
        <w:ind w:firstLine="0"/>
      </w:pPr>
    </w:p>
    <w:p w14:paraId="278A3732" w14:textId="77777777" w:rsidR="00A316EC" w:rsidRPr="00D5451E" w:rsidRDefault="00A316EC" w:rsidP="00A316EC">
      <w:pPr>
        <w:pStyle w:val="Heading1"/>
      </w:pPr>
      <w:r w:rsidRPr="00D5451E">
        <w:t>Methods</w:t>
      </w:r>
    </w:p>
    <w:p w14:paraId="15566267" w14:textId="77777777" w:rsidR="001441AC" w:rsidRPr="00D5451E" w:rsidRDefault="001441AC" w:rsidP="001441AC">
      <w:pPr>
        <w:rPr>
          <w:lang w:val="en-GB"/>
        </w:rPr>
      </w:pPr>
      <w:r w:rsidRPr="00D5451E">
        <w:rPr>
          <w:lang w:val="en-GB"/>
        </w:rPr>
        <w:t xml:space="preserve">The study has done quantitative content analysis using video involving protestors against the hunting. The study has compared the numerical scores of each group and evaluated that which group has shown more aggression. </w:t>
      </w:r>
    </w:p>
    <w:p w14:paraId="2E09B481" w14:textId="77777777" w:rsidR="001441AC" w:rsidRPr="00D5451E" w:rsidRDefault="001441AC" w:rsidP="001441AC">
      <w:pPr>
        <w:pStyle w:val="Heading2"/>
      </w:pPr>
      <w:r w:rsidRPr="00D5451E">
        <w:t>Participants</w:t>
      </w:r>
    </w:p>
    <w:p w14:paraId="455E7D59" w14:textId="77777777" w:rsidR="001E3322" w:rsidRPr="00D5451E" w:rsidRDefault="001E3322" w:rsidP="001E3322">
      <w:pPr>
        <w:rPr>
          <w:lang w:val="en-GB"/>
        </w:rPr>
      </w:pPr>
      <w:r w:rsidRPr="00D5451E">
        <w:rPr>
          <w:lang w:val="en-GB"/>
        </w:rPr>
        <w:t xml:space="preserve">The videos contains mainly two groups one protestors protesting against the hunting and the second group was on horses also known as pro-hunter. These two groups have been used for the data collection process and the articulation of the results. In addition, police and other objects have not been incorporated for the data collection process. </w:t>
      </w:r>
      <w:r w:rsidR="00882F42" w:rsidRPr="00D5451E">
        <w:rPr>
          <w:lang w:val="en-GB"/>
        </w:rPr>
        <w:t>The study has incorporated six group members from the anti-hunting group and four members from the pro-hunting group. All in all, a total of 10 participants have been the part of the data collection process.</w:t>
      </w:r>
      <w:r w:rsidR="006A6AED" w:rsidRPr="00D5451E">
        <w:rPr>
          <w:lang w:val="en-GB"/>
        </w:rPr>
        <w:t xml:space="preserve"> However, all these participants are taken from the video, hence, no participants were employed in real.</w:t>
      </w:r>
    </w:p>
    <w:p w14:paraId="54FB99EB" w14:textId="77777777" w:rsidR="001441AC" w:rsidRPr="00D5451E" w:rsidRDefault="001441AC" w:rsidP="001441AC">
      <w:pPr>
        <w:pStyle w:val="Heading2"/>
      </w:pPr>
      <w:r w:rsidRPr="00D5451E">
        <w:t xml:space="preserve">Materials </w:t>
      </w:r>
    </w:p>
    <w:p w14:paraId="534CBD5D" w14:textId="77777777" w:rsidR="006A6AED" w:rsidRPr="00D5451E" w:rsidRDefault="00D70B70" w:rsidP="006A6AED">
      <w:pPr>
        <w:rPr>
          <w:lang w:val="en-GB"/>
        </w:rPr>
      </w:pPr>
      <w:r w:rsidRPr="00D5451E">
        <w:rPr>
          <w:lang w:val="en-GB"/>
        </w:rPr>
        <w:t xml:space="preserve">The used material is a video. The following scoring grid has been used to understand the types of aggression showed by the both groups of protestors. </w:t>
      </w:r>
    </w:p>
    <w:tbl>
      <w:tblPr>
        <w:tblStyle w:val="TableGrid"/>
        <w:tblW w:w="0" w:type="auto"/>
        <w:tblLook w:val="04A0" w:firstRow="1" w:lastRow="0" w:firstColumn="1" w:lastColumn="0" w:noHBand="0" w:noVBand="1"/>
      </w:tblPr>
      <w:tblGrid>
        <w:gridCol w:w="3005"/>
        <w:gridCol w:w="3005"/>
        <w:gridCol w:w="3006"/>
      </w:tblGrid>
      <w:tr w:rsidR="00B26D4E" w:rsidRPr="00D5451E" w14:paraId="6AABAFE0" w14:textId="77777777" w:rsidTr="0061040B">
        <w:tc>
          <w:tcPr>
            <w:tcW w:w="3005" w:type="dxa"/>
          </w:tcPr>
          <w:p w14:paraId="42096F54" w14:textId="77777777" w:rsidR="00B26D4E" w:rsidRPr="00D5451E" w:rsidRDefault="00B26D4E" w:rsidP="00B26D4E">
            <w:pPr>
              <w:spacing w:line="240" w:lineRule="auto"/>
            </w:pPr>
            <w:r w:rsidRPr="00D5451E">
              <w:lastRenderedPageBreak/>
              <w:t>Aggression type</w:t>
            </w:r>
          </w:p>
        </w:tc>
        <w:tc>
          <w:tcPr>
            <w:tcW w:w="3005" w:type="dxa"/>
          </w:tcPr>
          <w:p w14:paraId="7F00BB7C" w14:textId="77777777" w:rsidR="00B26D4E" w:rsidRPr="00D5451E" w:rsidRDefault="00B26D4E" w:rsidP="00B26D4E">
            <w:pPr>
              <w:spacing w:line="240" w:lineRule="auto"/>
            </w:pPr>
            <w:r w:rsidRPr="00D5451E">
              <w:t>Anti-hunt</w:t>
            </w:r>
          </w:p>
        </w:tc>
        <w:tc>
          <w:tcPr>
            <w:tcW w:w="3006" w:type="dxa"/>
          </w:tcPr>
          <w:p w14:paraId="5A25794F" w14:textId="77777777" w:rsidR="00B26D4E" w:rsidRPr="00D5451E" w:rsidRDefault="00B26D4E" w:rsidP="00B26D4E">
            <w:pPr>
              <w:spacing w:line="240" w:lineRule="auto"/>
            </w:pPr>
            <w:r w:rsidRPr="00D5451E">
              <w:t>Pro-hunt</w:t>
            </w:r>
          </w:p>
        </w:tc>
      </w:tr>
      <w:tr w:rsidR="00B26D4E" w:rsidRPr="00D5451E" w14:paraId="3F05136F" w14:textId="77777777" w:rsidTr="0061040B">
        <w:tc>
          <w:tcPr>
            <w:tcW w:w="3005" w:type="dxa"/>
          </w:tcPr>
          <w:p w14:paraId="57871EF5" w14:textId="77777777" w:rsidR="00B26D4E" w:rsidRPr="00D5451E" w:rsidRDefault="00B26D4E" w:rsidP="00B26D4E">
            <w:pPr>
              <w:spacing w:line="240" w:lineRule="auto"/>
            </w:pPr>
            <w:r w:rsidRPr="00D5451E">
              <w:t>Verbal</w:t>
            </w:r>
          </w:p>
        </w:tc>
        <w:tc>
          <w:tcPr>
            <w:tcW w:w="3005" w:type="dxa"/>
          </w:tcPr>
          <w:p w14:paraId="75BB7D22" w14:textId="77777777" w:rsidR="00B26D4E" w:rsidRPr="00D5451E" w:rsidRDefault="00B26D4E" w:rsidP="00523441">
            <w:pPr>
              <w:spacing w:line="240" w:lineRule="auto"/>
              <w:ind w:firstLine="0"/>
            </w:pPr>
            <w:r w:rsidRPr="00D5451E">
              <w:t xml:space="preserve">l </w:t>
            </w:r>
            <w:proofErr w:type="spellStart"/>
            <w:r w:rsidRPr="00D5451E">
              <w:t>l</w:t>
            </w:r>
            <w:proofErr w:type="spellEnd"/>
            <w:r w:rsidRPr="00D5451E">
              <w:t xml:space="preserve"> </w:t>
            </w:r>
            <w:proofErr w:type="spellStart"/>
            <w:r w:rsidRPr="00D5451E">
              <w:t>l</w:t>
            </w:r>
            <w:proofErr w:type="spellEnd"/>
            <w:r w:rsidRPr="00D5451E">
              <w:t xml:space="preserve"> </w:t>
            </w:r>
            <w:proofErr w:type="spellStart"/>
            <w:r w:rsidRPr="00D5451E">
              <w:t>l</w:t>
            </w:r>
            <w:proofErr w:type="spellEnd"/>
            <w:r w:rsidRPr="00D5451E">
              <w:t xml:space="preserve"> </w:t>
            </w:r>
            <w:proofErr w:type="spellStart"/>
            <w:r w:rsidR="00523441" w:rsidRPr="00D5451E">
              <w:t>l</w:t>
            </w:r>
            <w:proofErr w:type="spellEnd"/>
            <w:r w:rsidR="00523441" w:rsidRPr="00D5451E">
              <w:t xml:space="preserve"> </w:t>
            </w:r>
            <w:proofErr w:type="spellStart"/>
            <w:r w:rsidR="00523441" w:rsidRPr="00D5451E">
              <w:t>l</w:t>
            </w:r>
            <w:proofErr w:type="spellEnd"/>
            <w:r w:rsidRPr="00D5451E">
              <w:t xml:space="preserve"> </w:t>
            </w:r>
          </w:p>
        </w:tc>
        <w:tc>
          <w:tcPr>
            <w:tcW w:w="3006" w:type="dxa"/>
          </w:tcPr>
          <w:p w14:paraId="34BC8347" w14:textId="77777777" w:rsidR="00B26D4E" w:rsidRPr="00D5451E" w:rsidRDefault="00A04666" w:rsidP="00B26D4E">
            <w:pPr>
              <w:spacing w:line="240" w:lineRule="auto"/>
              <w:ind w:firstLine="0"/>
            </w:pPr>
            <w:r w:rsidRPr="00D5451E">
              <w:t xml:space="preserve">l </w:t>
            </w:r>
            <w:proofErr w:type="spellStart"/>
            <w:r w:rsidRPr="00D5451E">
              <w:t>l</w:t>
            </w:r>
            <w:proofErr w:type="spellEnd"/>
            <w:r w:rsidRPr="00D5451E">
              <w:t xml:space="preserve"> </w:t>
            </w:r>
          </w:p>
        </w:tc>
      </w:tr>
      <w:tr w:rsidR="00B26D4E" w:rsidRPr="00D5451E" w14:paraId="49F9DF0D" w14:textId="77777777" w:rsidTr="0061040B">
        <w:tc>
          <w:tcPr>
            <w:tcW w:w="3005" w:type="dxa"/>
          </w:tcPr>
          <w:p w14:paraId="40C75E98" w14:textId="77777777" w:rsidR="00B26D4E" w:rsidRPr="00D5451E" w:rsidRDefault="00B26D4E" w:rsidP="00B26D4E">
            <w:pPr>
              <w:spacing w:line="240" w:lineRule="auto"/>
            </w:pPr>
            <w:r w:rsidRPr="00D5451E">
              <w:t>Physical</w:t>
            </w:r>
          </w:p>
        </w:tc>
        <w:tc>
          <w:tcPr>
            <w:tcW w:w="3005" w:type="dxa"/>
          </w:tcPr>
          <w:p w14:paraId="3B84BBD2" w14:textId="77777777" w:rsidR="00B26D4E" w:rsidRPr="00D5451E" w:rsidRDefault="00B26D4E" w:rsidP="00B26D4E">
            <w:pPr>
              <w:spacing w:line="240" w:lineRule="auto"/>
              <w:ind w:firstLine="0"/>
            </w:pPr>
            <w:r w:rsidRPr="00D5451E">
              <w:t xml:space="preserve">l </w:t>
            </w:r>
            <w:proofErr w:type="spellStart"/>
            <w:r w:rsidRPr="00D5451E">
              <w:t>l</w:t>
            </w:r>
            <w:proofErr w:type="spellEnd"/>
            <w:r w:rsidRPr="00D5451E">
              <w:t xml:space="preserve"> l </w:t>
            </w:r>
            <w:proofErr w:type="spellStart"/>
            <w:r w:rsidRPr="00D5451E">
              <w:t>l</w:t>
            </w:r>
            <w:proofErr w:type="spellEnd"/>
          </w:p>
        </w:tc>
        <w:tc>
          <w:tcPr>
            <w:tcW w:w="3006" w:type="dxa"/>
          </w:tcPr>
          <w:p w14:paraId="6E262F84" w14:textId="77777777" w:rsidR="00B26D4E" w:rsidRPr="00D5451E" w:rsidRDefault="00B26D4E" w:rsidP="00B26D4E">
            <w:pPr>
              <w:spacing w:line="240" w:lineRule="auto"/>
              <w:ind w:firstLine="0"/>
            </w:pPr>
            <w:r w:rsidRPr="00D5451E">
              <w:t xml:space="preserve">l </w:t>
            </w:r>
            <w:proofErr w:type="spellStart"/>
            <w:r w:rsidRPr="00D5451E">
              <w:t>l</w:t>
            </w:r>
            <w:proofErr w:type="spellEnd"/>
            <w:r w:rsidRPr="00D5451E">
              <w:t xml:space="preserve"> </w:t>
            </w:r>
          </w:p>
        </w:tc>
      </w:tr>
      <w:tr w:rsidR="00B26D4E" w:rsidRPr="00D5451E" w14:paraId="217561BF" w14:textId="77777777" w:rsidTr="0061040B">
        <w:tc>
          <w:tcPr>
            <w:tcW w:w="3005" w:type="dxa"/>
          </w:tcPr>
          <w:p w14:paraId="11EED88E" w14:textId="77777777" w:rsidR="00B26D4E" w:rsidRPr="00D5451E" w:rsidRDefault="00B26D4E" w:rsidP="00B26D4E">
            <w:pPr>
              <w:spacing w:line="240" w:lineRule="auto"/>
            </w:pPr>
            <w:r w:rsidRPr="00D5451E">
              <w:t>Gestural</w:t>
            </w:r>
          </w:p>
        </w:tc>
        <w:tc>
          <w:tcPr>
            <w:tcW w:w="3005" w:type="dxa"/>
          </w:tcPr>
          <w:p w14:paraId="12F68978" w14:textId="77777777" w:rsidR="00B26D4E" w:rsidRPr="00D5451E" w:rsidRDefault="00B26D4E" w:rsidP="00B26D4E">
            <w:pPr>
              <w:spacing w:line="240" w:lineRule="auto"/>
              <w:ind w:firstLine="0"/>
            </w:pPr>
            <w:r w:rsidRPr="00D5451E">
              <w:t xml:space="preserve">l </w:t>
            </w:r>
            <w:proofErr w:type="spellStart"/>
            <w:r w:rsidRPr="00D5451E">
              <w:t>l</w:t>
            </w:r>
            <w:proofErr w:type="spellEnd"/>
            <w:r w:rsidRPr="00D5451E">
              <w:t xml:space="preserve"> l</w:t>
            </w:r>
            <w:r w:rsidR="00523441" w:rsidRPr="00D5451E">
              <w:t xml:space="preserve"> </w:t>
            </w:r>
            <w:proofErr w:type="spellStart"/>
            <w:r w:rsidR="00523441" w:rsidRPr="00D5451E">
              <w:t>l</w:t>
            </w:r>
            <w:proofErr w:type="spellEnd"/>
          </w:p>
        </w:tc>
        <w:tc>
          <w:tcPr>
            <w:tcW w:w="3006" w:type="dxa"/>
          </w:tcPr>
          <w:p w14:paraId="170477D2" w14:textId="77777777" w:rsidR="00B26D4E" w:rsidRPr="00D5451E" w:rsidRDefault="00A04666" w:rsidP="00B26D4E">
            <w:pPr>
              <w:spacing w:line="240" w:lineRule="auto"/>
              <w:ind w:firstLine="0"/>
            </w:pPr>
            <w:r w:rsidRPr="00D5451E">
              <w:t xml:space="preserve">l </w:t>
            </w:r>
          </w:p>
        </w:tc>
      </w:tr>
      <w:tr w:rsidR="00B26D4E" w:rsidRPr="00D5451E" w14:paraId="0BEDB312" w14:textId="77777777" w:rsidTr="0061040B">
        <w:tc>
          <w:tcPr>
            <w:tcW w:w="3005" w:type="dxa"/>
          </w:tcPr>
          <w:p w14:paraId="2F33A78B" w14:textId="77777777" w:rsidR="00B26D4E" w:rsidRPr="00D5451E" w:rsidRDefault="00B26D4E" w:rsidP="00B26D4E">
            <w:pPr>
              <w:spacing w:line="240" w:lineRule="auto"/>
            </w:pPr>
            <w:r w:rsidRPr="00D5451E">
              <w:t>Provocation</w:t>
            </w:r>
          </w:p>
        </w:tc>
        <w:tc>
          <w:tcPr>
            <w:tcW w:w="3005" w:type="dxa"/>
          </w:tcPr>
          <w:p w14:paraId="6BAF3A16" w14:textId="77777777" w:rsidR="00B26D4E" w:rsidRPr="00D5451E" w:rsidRDefault="00A04666" w:rsidP="00B26D4E">
            <w:pPr>
              <w:spacing w:line="240" w:lineRule="auto"/>
              <w:ind w:firstLine="0"/>
            </w:pPr>
            <w:r w:rsidRPr="00D5451E">
              <w:t xml:space="preserve">l </w:t>
            </w:r>
            <w:proofErr w:type="spellStart"/>
            <w:r w:rsidRPr="00D5451E">
              <w:t>l</w:t>
            </w:r>
            <w:proofErr w:type="spellEnd"/>
          </w:p>
        </w:tc>
        <w:tc>
          <w:tcPr>
            <w:tcW w:w="3006" w:type="dxa"/>
          </w:tcPr>
          <w:p w14:paraId="3C545FD8" w14:textId="77777777" w:rsidR="00B26D4E" w:rsidRPr="00D5451E" w:rsidRDefault="00B26D4E" w:rsidP="00B26D4E">
            <w:pPr>
              <w:spacing w:line="240" w:lineRule="auto"/>
              <w:ind w:firstLine="0"/>
            </w:pPr>
            <w:r w:rsidRPr="00D5451E">
              <w:t xml:space="preserve">l </w:t>
            </w:r>
            <w:proofErr w:type="spellStart"/>
            <w:r w:rsidRPr="00D5451E">
              <w:t>l</w:t>
            </w:r>
            <w:proofErr w:type="spellEnd"/>
            <w:r w:rsidRPr="00D5451E">
              <w:t xml:space="preserve"> l </w:t>
            </w:r>
            <w:proofErr w:type="spellStart"/>
            <w:r w:rsidRPr="00D5451E">
              <w:t>l</w:t>
            </w:r>
            <w:proofErr w:type="spellEnd"/>
            <w:r w:rsidRPr="00D5451E">
              <w:t xml:space="preserve"> </w:t>
            </w:r>
          </w:p>
        </w:tc>
      </w:tr>
    </w:tbl>
    <w:p w14:paraId="38FB6599" w14:textId="77777777" w:rsidR="00D70B70" w:rsidRPr="00D5451E" w:rsidRDefault="00D70B70" w:rsidP="00D70B70">
      <w:pPr>
        <w:jc w:val="center"/>
        <w:rPr>
          <w:lang w:val="en-GB"/>
        </w:rPr>
      </w:pPr>
    </w:p>
    <w:p w14:paraId="1F7570EE" w14:textId="77777777" w:rsidR="00941AFF" w:rsidRPr="00D5451E" w:rsidRDefault="006358DE" w:rsidP="00F77E4C">
      <w:pPr>
        <w:pStyle w:val="Heading2"/>
      </w:pPr>
      <w:r w:rsidRPr="00D5451E">
        <w:t>Procedure</w:t>
      </w:r>
    </w:p>
    <w:p w14:paraId="777A25D6" w14:textId="77777777" w:rsidR="00170BE4" w:rsidRPr="00D5451E" w:rsidRDefault="00691897" w:rsidP="00170BE4">
      <w:pPr>
        <w:rPr>
          <w:lang w:val="en-GB"/>
        </w:rPr>
      </w:pPr>
      <w:r w:rsidRPr="00D5451E">
        <w:rPr>
          <w:lang w:val="en-GB"/>
        </w:rPr>
        <w:t xml:space="preserve">I have watched this video around eight times. </w:t>
      </w:r>
      <w:r w:rsidR="00C01663" w:rsidRPr="00D5451E">
        <w:rPr>
          <w:lang w:val="en-GB"/>
        </w:rPr>
        <w:t xml:space="preserve">I have recorded the </w:t>
      </w:r>
      <w:r w:rsidR="00170BE4" w:rsidRPr="00D5451E">
        <w:rPr>
          <w:lang w:val="en-GB"/>
        </w:rPr>
        <w:t>aggression</w:t>
      </w:r>
      <w:r w:rsidR="00C01663" w:rsidRPr="00D5451E">
        <w:rPr>
          <w:lang w:val="en-GB"/>
        </w:rPr>
        <w:t xml:space="preserve"> of the group members accordingly. Since I wanted to eliminate the biasedness; therefore, </w:t>
      </w:r>
      <w:r w:rsidR="00755E9A" w:rsidRPr="00D5451E">
        <w:rPr>
          <w:lang w:val="en-GB"/>
        </w:rPr>
        <w:t xml:space="preserve">I scored the behaviours </w:t>
      </w:r>
      <w:r w:rsidR="00170BE4" w:rsidRPr="00D5451E">
        <w:rPr>
          <w:lang w:val="en-GB"/>
        </w:rPr>
        <w:t>independently</w:t>
      </w:r>
      <w:r w:rsidR="00755E9A" w:rsidRPr="00D5451E">
        <w:rPr>
          <w:lang w:val="en-GB"/>
        </w:rPr>
        <w:t xml:space="preserve">. </w:t>
      </w:r>
    </w:p>
    <w:p w14:paraId="240A789B" w14:textId="77777777" w:rsidR="00170BE4" w:rsidRPr="00D5451E" w:rsidRDefault="00170BE4" w:rsidP="00170BE4">
      <w:pPr>
        <w:rPr>
          <w:lang w:val="en-GB"/>
        </w:rPr>
      </w:pPr>
      <w:r w:rsidRPr="00D5451E">
        <w:rPr>
          <w:lang w:val="en-GB"/>
        </w:rPr>
        <w:br w:type="page"/>
      </w:r>
    </w:p>
    <w:p w14:paraId="40C1A182" w14:textId="77777777" w:rsidR="00F77E4C" w:rsidRPr="00D5451E" w:rsidRDefault="00170BE4" w:rsidP="00170BE4">
      <w:pPr>
        <w:pStyle w:val="Heading1"/>
        <w:rPr>
          <w:lang w:val="en-GB"/>
        </w:rPr>
      </w:pPr>
      <w:r w:rsidRPr="00D5451E">
        <w:rPr>
          <w:lang w:val="en-GB"/>
        </w:rPr>
        <w:lastRenderedPageBreak/>
        <w:t>Results and Discussion</w:t>
      </w:r>
    </w:p>
    <w:p w14:paraId="5F5DD1D7" w14:textId="77777777" w:rsidR="00DC344C" w:rsidRPr="00D5451E" w:rsidRDefault="00DC344C" w:rsidP="00DC344C">
      <w:pPr>
        <w:rPr>
          <w:lang w:val="en-GB"/>
        </w:rPr>
      </w:pPr>
      <w:r w:rsidRPr="00D5451E">
        <w:rPr>
          <w:lang w:val="en-GB"/>
        </w:rPr>
        <w:t xml:space="preserve">To articulate the aggression, the study has used four variables. Those are verbal, </w:t>
      </w:r>
      <w:r w:rsidR="008C07B9" w:rsidRPr="00D5451E">
        <w:rPr>
          <w:lang w:val="en-GB"/>
        </w:rPr>
        <w:t xml:space="preserve">physical, gestural, and provocation. </w:t>
      </w:r>
      <w:r w:rsidR="00B91CDD" w:rsidRPr="00D5451E">
        <w:rPr>
          <w:lang w:val="en-GB"/>
        </w:rPr>
        <w:t xml:space="preserve">The verbal is measured by chanting and abusing. The physical defines hitting someone or trying to hit someone. </w:t>
      </w:r>
      <w:r w:rsidR="00387A7A" w:rsidRPr="00D5451E">
        <w:rPr>
          <w:lang w:val="en-GB"/>
        </w:rPr>
        <w:t>The gestural is using hand movements to show anger and frustration, and provocation is blowing a h</w:t>
      </w:r>
      <w:r w:rsidR="005479AD" w:rsidRPr="00D5451E">
        <w:rPr>
          <w:lang w:val="en-GB"/>
        </w:rPr>
        <w:t>orn or waving in</w:t>
      </w:r>
      <w:r w:rsidR="00C540C3" w:rsidRPr="00D5451E">
        <w:rPr>
          <w:lang w:val="en-GB"/>
        </w:rPr>
        <w:t>appropriately.</w:t>
      </w:r>
    </w:p>
    <w:p w14:paraId="2D48083D" w14:textId="77777777" w:rsidR="00170BE4" w:rsidRPr="00D5451E" w:rsidRDefault="00170BE4" w:rsidP="00170BE4">
      <w:pPr>
        <w:pStyle w:val="Heading2"/>
      </w:pPr>
      <w:r w:rsidRPr="00D5451E">
        <w:t>Mean Comparison</w:t>
      </w:r>
    </w:p>
    <w:tbl>
      <w:tblPr>
        <w:tblW w:w="4960" w:type="dxa"/>
        <w:jc w:val="center"/>
        <w:tblLook w:val="04A0" w:firstRow="1" w:lastRow="0" w:firstColumn="1" w:lastColumn="0" w:noHBand="0" w:noVBand="1"/>
      </w:tblPr>
      <w:tblGrid>
        <w:gridCol w:w="1280"/>
        <w:gridCol w:w="1900"/>
        <w:gridCol w:w="1840"/>
      </w:tblGrid>
      <w:tr w:rsidR="00EE13A2" w:rsidRPr="00D5451E" w14:paraId="4CD72206" w14:textId="77777777" w:rsidTr="008475F2">
        <w:trPr>
          <w:trHeight w:val="300"/>
          <w:jc w:val="center"/>
        </w:trPr>
        <w:tc>
          <w:tcPr>
            <w:tcW w:w="12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F70CB8D" w14:textId="77777777" w:rsidR="00EE13A2" w:rsidRPr="00D5451E" w:rsidRDefault="00EE13A2" w:rsidP="00EE13A2">
            <w:pPr>
              <w:spacing w:line="240" w:lineRule="auto"/>
              <w:ind w:firstLine="0"/>
              <w:jc w:val="left"/>
              <w:rPr>
                <w:rFonts w:eastAsia="Times New Roman" w:cs="Times New Roman"/>
                <w:color w:val="000000"/>
                <w:sz w:val="22"/>
              </w:rPr>
            </w:pPr>
            <w:r w:rsidRPr="00D5451E">
              <w:rPr>
                <w:rFonts w:eastAsia="Times New Roman" w:cs="Times New Roman"/>
                <w:color w:val="000000"/>
                <w:sz w:val="22"/>
              </w:rPr>
              <w:t> </w:t>
            </w:r>
          </w:p>
        </w:tc>
        <w:tc>
          <w:tcPr>
            <w:tcW w:w="1900" w:type="dxa"/>
            <w:tcBorders>
              <w:top w:val="single" w:sz="4" w:space="0" w:color="auto"/>
              <w:left w:val="nil"/>
              <w:bottom w:val="single" w:sz="4" w:space="0" w:color="auto"/>
              <w:right w:val="single" w:sz="4" w:space="0" w:color="auto"/>
            </w:tcBorders>
            <w:shd w:val="clear" w:color="auto" w:fill="auto"/>
            <w:noWrap/>
            <w:vAlign w:val="bottom"/>
            <w:hideMark/>
          </w:tcPr>
          <w:p w14:paraId="653DAD52" w14:textId="77777777" w:rsidR="00EE13A2" w:rsidRPr="00D5451E" w:rsidRDefault="00EE13A2" w:rsidP="00EE13A2">
            <w:pPr>
              <w:spacing w:line="240" w:lineRule="auto"/>
              <w:ind w:firstLine="0"/>
              <w:jc w:val="left"/>
              <w:rPr>
                <w:rFonts w:eastAsia="Times New Roman" w:cs="Times New Roman"/>
                <w:color w:val="000000"/>
                <w:sz w:val="22"/>
              </w:rPr>
            </w:pPr>
            <w:r w:rsidRPr="00D5451E">
              <w:rPr>
                <w:rFonts w:eastAsia="Times New Roman" w:cs="Times New Roman"/>
                <w:color w:val="000000"/>
                <w:sz w:val="22"/>
              </w:rPr>
              <w:t>Mean for Anti Hunt</w:t>
            </w:r>
          </w:p>
        </w:tc>
        <w:tc>
          <w:tcPr>
            <w:tcW w:w="1840" w:type="dxa"/>
            <w:tcBorders>
              <w:top w:val="single" w:sz="4" w:space="0" w:color="auto"/>
              <w:left w:val="nil"/>
              <w:bottom w:val="single" w:sz="4" w:space="0" w:color="auto"/>
              <w:right w:val="single" w:sz="4" w:space="0" w:color="auto"/>
            </w:tcBorders>
            <w:shd w:val="clear" w:color="auto" w:fill="auto"/>
            <w:noWrap/>
            <w:vAlign w:val="bottom"/>
            <w:hideMark/>
          </w:tcPr>
          <w:p w14:paraId="0A2F1F79" w14:textId="77777777" w:rsidR="00EE13A2" w:rsidRPr="00D5451E" w:rsidRDefault="00EE13A2" w:rsidP="00EE13A2">
            <w:pPr>
              <w:spacing w:line="240" w:lineRule="auto"/>
              <w:ind w:firstLine="0"/>
              <w:jc w:val="left"/>
              <w:rPr>
                <w:rFonts w:eastAsia="Times New Roman" w:cs="Times New Roman"/>
                <w:color w:val="000000"/>
                <w:sz w:val="22"/>
              </w:rPr>
            </w:pPr>
            <w:r w:rsidRPr="00D5451E">
              <w:rPr>
                <w:rFonts w:eastAsia="Times New Roman" w:cs="Times New Roman"/>
                <w:color w:val="000000"/>
                <w:sz w:val="22"/>
              </w:rPr>
              <w:t>Mean for Pro Hunt</w:t>
            </w:r>
          </w:p>
        </w:tc>
      </w:tr>
      <w:tr w:rsidR="00EE13A2" w:rsidRPr="00D5451E" w14:paraId="6492796C" w14:textId="77777777" w:rsidTr="008475F2">
        <w:trPr>
          <w:trHeight w:val="300"/>
          <w:jc w:val="center"/>
        </w:trPr>
        <w:tc>
          <w:tcPr>
            <w:tcW w:w="1220" w:type="dxa"/>
            <w:tcBorders>
              <w:top w:val="nil"/>
              <w:left w:val="single" w:sz="4" w:space="0" w:color="auto"/>
              <w:bottom w:val="single" w:sz="4" w:space="0" w:color="auto"/>
              <w:right w:val="single" w:sz="4" w:space="0" w:color="auto"/>
            </w:tcBorders>
            <w:shd w:val="clear" w:color="auto" w:fill="auto"/>
            <w:noWrap/>
            <w:vAlign w:val="bottom"/>
            <w:hideMark/>
          </w:tcPr>
          <w:p w14:paraId="74411B71" w14:textId="77777777" w:rsidR="00EE13A2" w:rsidRPr="00D5451E" w:rsidRDefault="00EE13A2" w:rsidP="00EE13A2">
            <w:pPr>
              <w:spacing w:line="240" w:lineRule="auto"/>
              <w:ind w:firstLine="0"/>
              <w:jc w:val="left"/>
              <w:rPr>
                <w:rFonts w:eastAsia="Times New Roman" w:cs="Times New Roman"/>
                <w:color w:val="000000"/>
                <w:sz w:val="22"/>
              </w:rPr>
            </w:pPr>
            <w:r w:rsidRPr="00D5451E">
              <w:rPr>
                <w:rFonts w:eastAsia="Times New Roman" w:cs="Times New Roman"/>
                <w:color w:val="000000"/>
                <w:sz w:val="22"/>
              </w:rPr>
              <w:t>Verbal</w:t>
            </w:r>
          </w:p>
        </w:tc>
        <w:tc>
          <w:tcPr>
            <w:tcW w:w="1900" w:type="dxa"/>
            <w:tcBorders>
              <w:top w:val="nil"/>
              <w:left w:val="nil"/>
              <w:bottom w:val="single" w:sz="4" w:space="0" w:color="auto"/>
              <w:right w:val="single" w:sz="4" w:space="0" w:color="auto"/>
            </w:tcBorders>
            <w:shd w:val="clear" w:color="auto" w:fill="auto"/>
            <w:noWrap/>
            <w:vAlign w:val="bottom"/>
            <w:hideMark/>
          </w:tcPr>
          <w:p w14:paraId="00C6A109" w14:textId="77777777" w:rsidR="00EE13A2" w:rsidRPr="00D5451E" w:rsidRDefault="00EE13A2" w:rsidP="00EE13A2">
            <w:pPr>
              <w:spacing w:line="240" w:lineRule="auto"/>
              <w:ind w:firstLine="0"/>
              <w:jc w:val="right"/>
              <w:rPr>
                <w:rFonts w:eastAsia="Times New Roman" w:cs="Times New Roman"/>
                <w:color w:val="000000"/>
                <w:sz w:val="22"/>
              </w:rPr>
            </w:pPr>
            <w:r w:rsidRPr="00D5451E">
              <w:rPr>
                <w:rFonts w:eastAsia="Times New Roman" w:cs="Times New Roman"/>
                <w:color w:val="000000"/>
                <w:sz w:val="22"/>
              </w:rPr>
              <w:t>100%</w:t>
            </w:r>
          </w:p>
        </w:tc>
        <w:tc>
          <w:tcPr>
            <w:tcW w:w="1840" w:type="dxa"/>
            <w:tcBorders>
              <w:top w:val="nil"/>
              <w:left w:val="nil"/>
              <w:bottom w:val="single" w:sz="4" w:space="0" w:color="auto"/>
              <w:right w:val="single" w:sz="4" w:space="0" w:color="auto"/>
            </w:tcBorders>
            <w:shd w:val="clear" w:color="auto" w:fill="auto"/>
            <w:noWrap/>
            <w:vAlign w:val="bottom"/>
            <w:hideMark/>
          </w:tcPr>
          <w:p w14:paraId="5F1C87CC" w14:textId="77777777" w:rsidR="00EE13A2" w:rsidRPr="00D5451E" w:rsidRDefault="00EE13A2" w:rsidP="00EE13A2">
            <w:pPr>
              <w:spacing w:line="240" w:lineRule="auto"/>
              <w:ind w:firstLine="0"/>
              <w:jc w:val="right"/>
              <w:rPr>
                <w:rFonts w:eastAsia="Times New Roman" w:cs="Times New Roman"/>
                <w:color w:val="000000"/>
                <w:sz w:val="22"/>
              </w:rPr>
            </w:pPr>
            <w:r w:rsidRPr="00D5451E">
              <w:rPr>
                <w:rFonts w:eastAsia="Times New Roman" w:cs="Times New Roman"/>
                <w:color w:val="000000"/>
                <w:sz w:val="22"/>
              </w:rPr>
              <w:t>50%</w:t>
            </w:r>
          </w:p>
        </w:tc>
      </w:tr>
      <w:tr w:rsidR="00EE13A2" w:rsidRPr="00D5451E" w14:paraId="1CFAE24A" w14:textId="77777777" w:rsidTr="008475F2">
        <w:trPr>
          <w:trHeight w:val="300"/>
          <w:jc w:val="center"/>
        </w:trPr>
        <w:tc>
          <w:tcPr>
            <w:tcW w:w="1220" w:type="dxa"/>
            <w:tcBorders>
              <w:top w:val="nil"/>
              <w:left w:val="single" w:sz="4" w:space="0" w:color="auto"/>
              <w:bottom w:val="single" w:sz="4" w:space="0" w:color="auto"/>
              <w:right w:val="single" w:sz="4" w:space="0" w:color="auto"/>
            </w:tcBorders>
            <w:shd w:val="clear" w:color="auto" w:fill="auto"/>
            <w:noWrap/>
            <w:vAlign w:val="bottom"/>
            <w:hideMark/>
          </w:tcPr>
          <w:p w14:paraId="62490125" w14:textId="77777777" w:rsidR="00EE13A2" w:rsidRPr="00D5451E" w:rsidRDefault="00EE13A2" w:rsidP="00EE13A2">
            <w:pPr>
              <w:spacing w:line="240" w:lineRule="auto"/>
              <w:ind w:firstLine="0"/>
              <w:jc w:val="left"/>
              <w:rPr>
                <w:rFonts w:eastAsia="Times New Roman" w:cs="Times New Roman"/>
                <w:color w:val="000000"/>
                <w:sz w:val="22"/>
              </w:rPr>
            </w:pPr>
            <w:r w:rsidRPr="00D5451E">
              <w:rPr>
                <w:rFonts w:eastAsia="Times New Roman" w:cs="Times New Roman"/>
                <w:color w:val="000000"/>
                <w:sz w:val="22"/>
              </w:rPr>
              <w:t>Physical</w:t>
            </w:r>
          </w:p>
        </w:tc>
        <w:tc>
          <w:tcPr>
            <w:tcW w:w="1900" w:type="dxa"/>
            <w:tcBorders>
              <w:top w:val="nil"/>
              <w:left w:val="nil"/>
              <w:bottom w:val="single" w:sz="4" w:space="0" w:color="auto"/>
              <w:right w:val="single" w:sz="4" w:space="0" w:color="auto"/>
            </w:tcBorders>
            <w:shd w:val="clear" w:color="auto" w:fill="auto"/>
            <w:noWrap/>
            <w:vAlign w:val="bottom"/>
            <w:hideMark/>
          </w:tcPr>
          <w:p w14:paraId="25BDCB46" w14:textId="77777777" w:rsidR="00EE13A2" w:rsidRPr="00D5451E" w:rsidRDefault="00EE13A2" w:rsidP="00EE13A2">
            <w:pPr>
              <w:spacing w:line="240" w:lineRule="auto"/>
              <w:ind w:firstLine="0"/>
              <w:jc w:val="right"/>
              <w:rPr>
                <w:rFonts w:eastAsia="Times New Roman" w:cs="Times New Roman"/>
                <w:color w:val="000000"/>
                <w:sz w:val="22"/>
              </w:rPr>
            </w:pPr>
            <w:r w:rsidRPr="00D5451E">
              <w:rPr>
                <w:rFonts w:eastAsia="Times New Roman" w:cs="Times New Roman"/>
                <w:color w:val="000000"/>
                <w:sz w:val="22"/>
              </w:rPr>
              <w:t>67%</w:t>
            </w:r>
          </w:p>
        </w:tc>
        <w:tc>
          <w:tcPr>
            <w:tcW w:w="1840" w:type="dxa"/>
            <w:tcBorders>
              <w:top w:val="nil"/>
              <w:left w:val="nil"/>
              <w:bottom w:val="single" w:sz="4" w:space="0" w:color="auto"/>
              <w:right w:val="single" w:sz="4" w:space="0" w:color="auto"/>
            </w:tcBorders>
            <w:shd w:val="clear" w:color="auto" w:fill="auto"/>
            <w:noWrap/>
            <w:vAlign w:val="bottom"/>
            <w:hideMark/>
          </w:tcPr>
          <w:p w14:paraId="7D2C064E" w14:textId="77777777" w:rsidR="00EE13A2" w:rsidRPr="00D5451E" w:rsidRDefault="00EE13A2" w:rsidP="00EE13A2">
            <w:pPr>
              <w:spacing w:line="240" w:lineRule="auto"/>
              <w:ind w:firstLine="0"/>
              <w:jc w:val="right"/>
              <w:rPr>
                <w:rFonts w:eastAsia="Times New Roman" w:cs="Times New Roman"/>
                <w:color w:val="000000"/>
                <w:sz w:val="22"/>
              </w:rPr>
            </w:pPr>
            <w:r w:rsidRPr="00D5451E">
              <w:rPr>
                <w:rFonts w:eastAsia="Times New Roman" w:cs="Times New Roman"/>
                <w:color w:val="000000"/>
                <w:sz w:val="22"/>
              </w:rPr>
              <w:t>50%</w:t>
            </w:r>
          </w:p>
        </w:tc>
      </w:tr>
      <w:tr w:rsidR="00EE13A2" w:rsidRPr="00D5451E" w14:paraId="0DA3E405" w14:textId="77777777" w:rsidTr="008475F2">
        <w:trPr>
          <w:trHeight w:val="300"/>
          <w:jc w:val="center"/>
        </w:trPr>
        <w:tc>
          <w:tcPr>
            <w:tcW w:w="1220" w:type="dxa"/>
            <w:tcBorders>
              <w:top w:val="nil"/>
              <w:left w:val="single" w:sz="4" w:space="0" w:color="auto"/>
              <w:bottom w:val="single" w:sz="4" w:space="0" w:color="auto"/>
              <w:right w:val="single" w:sz="4" w:space="0" w:color="auto"/>
            </w:tcBorders>
            <w:shd w:val="clear" w:color="auto" w:fill="auto"/>
            <w:noWrap/>
            <w:vAlign w:val="bottom"/>
            <w:hideMark/>
          </w:tcPr>
          <w:p w14:paraId="5FC7DF69" w14:textId="77777777" w:rsidR="00EE13A2" w:rsidRPr="00D5451E" w:rsidRDefault="00EE13A2" w:rsidP="00EE13A2">
            <w:pPr>
              <w:spacing w:line="240" w:lineRule="auto"/>
              <w:ind w:firstLine="0"/>
              <w:jc w:val="left"/>
              <w:rPr>
                <w:rFonts w:eastAsia="Times New Roman" w:cs="Times New Roman"/>
                <w:color w:val="000000"/>
                <w:sz w:val="22"/>
              </w:rPr>
            </w:pPr>
            <w:r w:rsidRPr="00D5451E">
              <w:rPr>
                <w:rFonts w:eastAsia="Times New Roman" w:cs="Times New Roman"/>
                <w:color w:val="000000"/>
                <w:sz w:val="22"/>
              </w:rPr>
              <w:t>Gestural</w:t>
            </w:r>
          </w:p>
        </w:tc>
        <w:tc>
          <w:tcPr>
            <w:tcW w:w="1900" w:type="dxa"/>
            <w:tcBorders>
              <w:top w:val="nil"/>
              <w:left w:val="nil"/>
              <w:bottom w:val="single" w:sz="4" w:space="0" w:color="auto"/>
              <w:right w:val="single" w:sz="4" w:space="0" w:color="auto"/>
            </w:tcBorders>
            <w:shd w:val="clear" w:color="auto" w:fill="auto"/>
            <w:noWrap/>
            <w:vAlign w:val="bottom"/>
            <w:hideMark/>
          </w:tcPr>
          <w:p w14:paraId="11D2B7A2" w14:textId="77777777" w:rsidR="00EE13A2" w:rsidRPr="00D5451E" w:rsidRDefault="00EE13A2" w:rsidP="00EE13A2">
            <w:pPr>
              <w:spacing w:line="240" w:lineRule="auto"/>
              <w:ind w:firstLine="0"/>
              <w:jc w:val="right"/>
              <w:rPr>
                <w:rFonts w:eastAsia="Times New Roman" w:cs="Times New Roman"/>
                <w:color w:val="000000"/>
                <w:sz w:val="22"/>
              </w:rPr>
            </w:pPr>
            <w:r w:rsidRPr="00D5451E">
              <w:rPr>
                <w:rFonts w:eastAsia="Times New Roman" w:cs="Times New Roman"/>
                <w:color w:val="000000"/>
                <w:sz w:val="22"/>
              </w:rPr>
              <w:t>67%</w:t>
            </w:r>
          </w:p>
        </w:tc>
        <w:tc>
          <w:tcPr>
            <w:tcW w:w="1840" w:type="dxa"/>
            <w:tcBorders>
              <w:top w:val="nil"/>
              <w:left w:val="nil"/>
              <w:bottom w:val="single" w:sz="4" w:space="0" w:color="auto"/>
              <w:right w:val="single" w:sz="4" w:space="0" w:color="auto"/>
            </w:tcBorders>
            <w:shd w:val="clear" w:color="auto" w:fill="auto"/>
            <w:noWrap/>
            <w:vAlign w:val="bottom"/>
            <w:hideMark/>
          </w:tcPr>
          <w:p w14:paraId="5BDB7853" w14:textId="77777777" w:rsidR="00EE13A2" w:rsidRPr="00D5451E" w:rsidRDefault="00EE13A2" w:rsidP="00EE13A2">
            <w:pPr>
              <w:spacing w:line="240" w:lineRule="auto"/>
              <w:ind w:firstLine="0"/>
              <w:jc w:val="right"/>
              <w:rPr>
                <w:rFonts w:eastAsia="Times New Roman" w:cs="Times New Roman"/>
                <w:color w:val="000000"/>
                <w:sz w:val="22"/>
              </w:rPr>
            </w:pPr>
            <w:r w:rsidRPr="00D5451E">
              <w:rPr>
                <w:rFonts w:eastAsia="Times New Roman" w:cs="Times New Roman"/>
                <w:color w:val="000000"/>
                <w:sz w:val="22"/>
              </w:rPr>
              <w:t>25%</w:t>
            </w:r>
          </w:p>
        </w:tc>
      </w:tr>
      <w:tr w:rsidR="00EE13A2" w:rsidRPr="00D5451E" w14:paraId="74C3B806" w14:textId="77777777" w:rsidTr="008475F2">
        <w:trPr>
          <w:trHeight w:val="300"/>
          <w:jc w:val="center"/>
        </w:trPr>
        <w:tc>
          <w:tcPr>
            <w:tcW w:w="1220" w:type="dxa"/>
            <w:tcBorders>
              <w:top w:val="nil"/>
              <w:left w:val="single" w:sz="4" w:space="0" w:color="auto"/>
              <w:bottom w:val="single" w:sz="4" w:space="0" w:color="auto"/>
              <w:right w:val="single" w:sz="4" w:space="0" w:color="auto"/>
            </w:tcBorders>
            <w:shd w:val="clear" w:color="auto" w:fill="auto"/>
            <w:noWrap/>
            <w:vAlign w:val="bottom"/>
            <w:hideMark/>
          </w:tcPr>
          <w:p w14:paraId="636F3B74" w14:textId="77777777" w:rsidR="00EE13A2" w:rsidRPr="00D5451E" w:rsidRDefault="00EE13A2" w:rsidP="00EE13A2">
            <w:pPr>
              <w:spacing w:line="240" w:lineRule="auto"/>
              <w:ind w:firstLine="0"/>
              <w:jc w:val="left"/>
              <w:rPr>
                <w:rFonts w:eastAsia="Times New Roman" w:cs="Times New Roman"/>
                <w:color w:val="000000"/>
                <w:sz w:val="22"/>
              </w:rPr>
            </w:pPr>
            <w:r w:rsidRPr="00D5451E">
              <w:rPr>
                <w:rFonts w:eastAsia="Times New Roman" w:cs="Times New Roman"/>
                <w:color w:val="000000"/>
                <w:sz w:val="22"/>
              </w:rPr>
              <w:t>Provocation</w:t>
            </w:r>
          </w:p>
        </w:tc>
        <w:tc>
          <w:tcPr>
            <w:tcW w:w="1900" w:type="dxa"/>
            <w:tcBorders>
              <w:top w:val="nil"/>
              <w:left w:val="nil"/>
              <w:bottom w:val="single" w:sz="4" w:space="0" w:color="auto"/>
              <w:right w:val="single" w:sz="4" w:space="0" w:color="auto"/>
            </w:tcBorders>
            <w:shd w:val="clear" w:color="auto" w:fill="auto"/>
            <w:noWrap/>
            <w:vAlign w:val="bottom"/>
            <w:hideMark/>
          </w:tcPr>
          <w:p w14:paraId="3D48AE5A" w14:textId="77777777" w:rsidR="00EE13A2" w:rsidRPr="00D5451E" w:rsidRDefault="00EE13A2" w:rsidP="00EE13A2">
            <w:pPr>
              <w:spacing w:line="240" w:lineRule="auto"/>
              <w:ind w:firstLine="0"/>
              <w:jc w:val="right"/>
              <w:rPr>
                <w:rFonts w:eastAsia="Times New Roman" w:cs="Times New Roman"/>
                <w:color w:val="000000"/>
                <w:sz w:val="22"/>
              </w:rPr>
            </w:pPr>
            <w:r w:rsidRPr="00D5451E">
              <w:rPr>
                <w:rFonts w:eastAsia="Times New Roman" w:cs="Times New Roman"/>
                <w:color w:val="000000"/>
                <w:sz w:val="22"/>
              </w:rPr>
              <w:t>50%</w:t>
            </w:r>
          </w:p>
        </w:tc>
        <w:tc>
          <w:tcPr>
            <w:tcW w:w="1840" w:type="dxa"/>
            <w:tcBorders>
              <w:top w:val="nil"/>
              <w:left w:val="nil"/>
              <w:bottom w:val="single" w:sz="4" w:space="0" w:color="auto"/>
              <w:right w:val="single" w:sz="4" w:space="0" w:color="auto"/>
            </w:tcBorders>
            <w:shd w:val="clear" w:color="auto" w:fill="auto"/>
            <w:noWrap/>
            <w:vAlign w:val="bottom"/>
            <w:hideMark/>
          </w:tcPr>
          <w:p w14:paraId="28558B0A" w14:textId="77777777" w:rsidR="00EE13A2" w:rsidRPr="00D5451E" w:rsidRDefault="00EE13A2" w:rsidP="00EE13A2">
            <w:pPr>
              <w:spacing w:line="240" w:lineRule="auto"/>
              <w:ind w:firstLine="0"/>
              <w:jc w:val="right"/>
              <w:rPr>
                <w:rFonts w:eastAsia="Times New Roman" w:cs="Times New Roman"/>
                <w:color w:val="000000"/>
                <w:sz w:val="22"/>
              </w:rPr>
            </w:pPr>
            <w:r w:rsidRPr="00D5451E">
              <w:rPr>
                <w:rFonts w:eastAsia="Times New Roman" w:cs="Times New Roman"/>
                <w:color w:val="000000"/>
                <w:sz w:val="22"/>
              </w:rPr>
              <w:t>100%</w:t>
            </w:r>
          </w:p>
        </w:tc>
      </w:tr>
    </w:tbl>
    <w:p w14:paraId="1377C3A1" w14:textId="77777777" w:rsidR="00170BE4" w:rsidRPr="00D5451E" w:rsidRDefault="008475F2" w:rsidP="008475F2">
      <w:pPr>
        <w:jc w:val="center"/>
        <w:rPr>
          <w:lang w:val="en-GB"/>
        </w:rPr>
      </w:pPr>
      <w:r w:rsidRPr="00D5451E">
        <w:rPr>
          <w:lang w:val="en-GB"/>
        </w:rPr>
        <w:t>(Table 1: Mean Comparison)</w:t>
      </w:r>
    </w:p>
    <w:p w14:paraId="7498BE4B" w14:textId="77777777" w:rsidR="008475F2" w:rsidRPr="00D5451E" w:rsidRDefault="008475F2" w:rsidP="008475F2">
      <w:pPr>
        <w:rPr>
          <w:lang w:val="en-GB"/>
        </w:rPr>
      </w:pPr>
      <w:r w:rsidRPr="00D5451E">
        <w:rPr>
          <w:lang w:val="en-GB"/>
        </w:rPr>
        <w:t xml:space="preserve">Table 1 articulates that during the protest, 10 participants were recorded six from the anti-hunt group and four from the pro-hunt group. In terms of verbal aggression, all the participants from anti-hunt group showed verbal aggression. However, the pro-hunt group’s half of the participants did not use verbal aggression. </w:t>
      </w:r>
      <w:r w:rsidR="005A7D3F" w:rsidRPr="00D5451E">
        <w:rPr>
          <w:lang w:val="en-GB"/>
        </w:rPr>
        <w:t>In addition, physical and gestural aggression were also noted at 67%</w:t>
      </w:r>
      <w:r w:rsidR="00EA7AF6" w:rsidRPr="00D5451E">
        <w:rPr>
          <w:lang w:val="en-GB"/>
        </w:rPr>
        <w:t xml:space="preserve"> for the anti-hunt group, but comparatively lower i.e., 50% and 25% respectively for the pro-hunt. However, provocation was reported to be at 100% for the pro-hunt group. </w:t>
      </w:r>
    </w:p>
    <w:p w14:paraId="22C9360A" w14:textId="106D152A" w:rsidR="00EA7AF6" w:rsidRPr="00D5451E" w:rsidRDefault="00EA7AF6" w:rsidP="00CE7183">
      <w:pPr>
        <w:rPr>
          <w:shd w:val="clear" w:color="auto" w:fill="FFFFFF"/>
        </w:rPr>
      </w:pPr>
      <w:r w:rsidRPr="00D5451E">
        <w:rPr>
          <w:lang w:val="en-GB"/>
        </w:rPr>
        <w:t>This has also been supported in</w:t>
      </w:r>
      <w:r w:rsidR="00CE7183" w:rsidRPr="00D5451E">
        <w:rPr>
          <w:lang w:val="en-GB"/>
        </w:rPr>
        <w:t xml:space="preserve"> </w:t>
      </w:r>
      <w:proofErr w:type="spellStart"/>
      <w:r w:rsidR="00CE7183" w:rsidRPr="00D5451E">
        <w:rPr>
          <w:shd w:val="clear" w:color="auto" w:fill="FFFFFF"/>
        </w:rPr>
        <w:t>Aljohani</w:t>
      </w:r>
      <w:proofErr w:type="spellEnd"/>
      <w:r w:rsidR="00CE7183" w:rsidRPr="00D5451E">
        <w:rPr>
          <w:shd w:val="clear" w:color="auto" w:fill="FFFFFF"/>
        </w:rPr>
        <w:t>, (2018)</w:t>
      </w:r>
      <w:r w:rsidRPr="00D5451E">
        <w:rPr>
          <w:lang w:val="en-GB"/>
        </w:rPr>
        <w:t>, in which the res</w:t>
      </w:r>
      <w:r w:rsidR="00A70CF7" w:rsidRPr="00D5451E">
        <w:rPr>
          <w:lang w:val="en-GB"/>
        </w:rPr>
        <w:t xml:space="preserve">earchers have articulated that during the protests, if the people believe that their views or sentiments have not been heard then there </w:t>
      </w:r>
      <w:proofErr w:type="gramStart"/>
      <w:r w:rsidR="00A70CF7" w:rsidRPr="00D5451E">
        <w:rPr>
          <w:lang w:val="en-GB"/>
        </w:rPr>
        <w:t>are</w:t>
      </w:r>
      <w:proofErr w:type="gramEnd"/>
      <w:r w:rsidR="00A70CF7" w:rsidRPr="00D5451E">
        <w:rPr>
          <w:lang w:val="en-GB"/>
        </w:rPr>
        <w:t xml:space="preserve"> significant level of chances of them to be </w:t>
      </w:r>
      <w:r w:rsidR="000C294E" w:rsidRPr="00D5451E">
        <w:rPr>
          <w:lang w:val="en-GB"/>
        </w:rPr>
        <w:t xml:space="preserve">involved in verbal or physical aggression. The reason is people when believe their views are suppressed they protest and when during the protest the feel that they are not listened, then try to create verbal or gestural aggression to show their anger  and frustration. </w:t>
      </w:r>
      <w:r w:rsidR="007A0F95" w:rsidRPr="00D5451E">
        <w:rPr>
          <w:lang w:val="en-GB"/>
        </w:rPr>
        <w:t xml:space="preserve">This has also been observed in a video, in which the participants who were from anti-hunt group showed verbal, physical, and gestural aggression towards the pro-hunters because they felt that they are not listened to and opposing party has been given sufficient amount of leverage to hurt their sentiments. </w:t>
      </w:r>
    </w:p>
    <w:p w14:paraId="1C2ADB9A" w14:textId="44BA34AB" w:rsidR="007A0F95" w:rsidRPr="00D5451E" w:rsidRDefault="00B91EA6" w:rsidP="008475F2">
      <w:pPr>
        <w:rPr>
          <w:lang w:val="en-GB"/>
        </w:rPr>
      </w:pPr>
      <w:r w:rsidRPr="00D5451E">
        <w:rPr>
          <w:lang w:val="en-GB"/>
        </w:rPr>
        <w:t>Similarly, according to</w:t>
      </w:r>
      <w:r w:rsidR="00CE7183" w:rsidRPr="00D5451E">
        <w:rPr>
          <w:shd w:val="clear" w:color="auto" w:fill="FFFFFF"/>
        </w:rPr>
        <w:t xml:space="preserve"> </w:t>
      </w:r>
      <w:proofErr w:type="spellStart"/>
      <w:r w:rsidR="00CE7183" w:rsidRPr="00D5451E">
        <w:rPr>
          <w:shd w:val="clear" w:color="auto" w:fill="FFFFFF"/>
        </w:rPr>
        <w:t>Sellheim</w:t>
      </w:r>
      <w:proofErr w:type="spellEnd"/>
      <w:r w:rsidR="00CE7183" w:rsidRPr="00D5451E">
        <w:rPr>
          <w:shd w:val="clear" w:color="auto" w:fill="FFFFFF"/>
        </w:rPr>
        <w:t>, and Fink, (2022)</w:t>
      </w:r>
      <w:r w:rsidRPr="00D5451E">
        <w:rPr>
          <w:lang w:val="en-GB"/>
        </w:rPr>
        <w:t xml:space="preserve"> during the protests, the people who are in minorities try to provoke others so that they can make mistakes, which can eventually help them to lessen the severity of the situation, This can also be observed in the video, in which it can be signified that </w:t>
      </w:r>
      <w:r w:rsidR="00CC7E8F" w:rsidRPr="00D5451E">
        <w:rPr>
          <w:lang w:val="en-GB"/>
        </w:rPr>
        <w:t xml:space="preserve">when pro-hunters found that the protestors are using verbal and gestural against them, </w:t>
      </w:r>
      <w:r w:rsidR="00CC7E8F" w:rsidRPr="00D5451E">
        <w:rPr>
          <w:lang w:val="en-GB"/>
        </w:rPr>
        <w:lastRenderedPageBreak/>
        <w:t>they started to provoke them so that the anti-group will make the mistake, which will eventually benefit them.</w:t>
      </w:r>
    </w:p>
    <w:p w14:paraId="33375EBD" w14:textId="77777777" w:rsidR="00CC7E8F" w:rsidRPr="00D5451E" w:rsidRDefault="00CB5BB9" w:rsidP="008475F2">
      <w:pPr>
        <w:rPr>
          <w:lang w:val="en-GB"/>
        </w:rPr>
      </w:pPr>
      <w:r w:rsidRPr="00D5451E">
        <w:rPr>
          <w:lang w:val="en-GB"/>
        </w:rPr>
        <w:t xml:space="preserve">The similar arguments can also be supported from figure 1, which shows that all the participants from the anti-hunt group showed </w:t>
      </w:r>
      <w:r w:rsidR="00FA5699" w:rsidRPr="00D5451E">
        <w:rPr>
          <w:lang w:val="en-GB"/>
        </w:rPr>
        <w:t xml:space="preserve">verbal aggression, which means that they were in anger against the group, directly involved in hunting innocent animals. </w:t>
      </w:r>
    </w:p>
    <w:p w14:paraId="6E3A508C" w14:textId="77777777" w:rsidR="00CB5BB9" w:rsidRPr="00D5451E" w:rsidRDefault="00CB5BB9" w:rsidP="00CB5BB9">
      <w:pPr>
        <w:jc w:val="center"/>
        <w:rPr>
          <w:lang w:val="en-GB"/>
        </w:rPr>
      </w:pPr>
      <w:r w:rsidRPr="00D5451E">
        <w:rPr>
          <w:noProof/>
        </w:rPr>
        <w:drawing>
          <wp:inline distT="0" distB="0" distL="0" distR="0" wp14:anchorId="78CD499A" wp14:editId="768D89EF">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4E310D89" w14:textId="77777777" w:rsidR="00CB5BB9" w:rsidRPr="00D5451E" w:rsidRDefault="00CB5BB9" w:rsidP="00CB5BB9">
      <w:pPr>
        <w:jc w:val="center"/>
        <w:rPr>
          <w:lang w:val="en-GB"/>
        </w:rPr>
      </w:pPr>
      <w:r w:rsidRPr="00D5451E">
        <w:rPr>
          <w:lang w:val="en-GB"/>
        </w:rPr>
        <w:t>(Fig 1: Aggression Comparison)</w:t>
      </w:r>
    </w:p>
    <w:p w14:paraId="4AE11237" w14:textId="1C4EC3C9" w:rsidR="00262647" w:rsidRPr="00D5451E" w:rsidRDefault="002F166E" w:rsidP="00170BE4">
      <w:pPr>
        <w:rPr>
          <w:lang w:val="en-GB"/>
        </w:rPr>
      </w:pPr>
      <w:r w:rsidRPr="00D5451E">
        <w:rPr>
          <w:lang w:val="en-GB"/>
        </w:rPr>
        <w:t xml:space="preserve">To conclude, it can be signified that aggression varies and its types also vary from group to group. For instance, since anti-hunt group felt </w:t>
      </w:r>
      <w:r w:rsidR="00FB47DF" w:rsidRPr="00D5451E">
        <w:rPr>
          <w:lang w:val="en-GB"/>
        </w:rPr>
        <w:t xml:space="preserve">oppressed they started showing anger in the form of verbal abuse and physical and gestural violence. Whereas the group that did not feel oppressed did not show these types of the </w:t>
      </w:r>
      <w:r w:rsidR="00DC344C" w:rsidRPr="00D5451E">
        <w:rPr>
          <w:lang w:val="en-GB"/>
        </w:rPr>
        <w:t>aggressions</w:t>
      </w:r>
      <w:r w:rsidR="00FB47DF" w:rsidRPr="00D5451E">
        <w:rPr>
          <w:lang w:val="en-GB"/>
        </w:rPr>
        <w:t xml:space="preserve">. </w:t>
      </w:r>
    </w:p>
    <w:p w14:paraId="14B9A740" w14:textId="77777777" w:rsidR="00262647" w:rsidRPr="00D5451E" w:rsidRDefault="00262647">
      <w:pPr>
        <w:spacing w:after="160" w:line="259" w:lineRule="auto"/>
        <w:ind w:firstLine="0"/>
        <w:jc w:val="left"/>
        <w:rPr>
          <w:lang w:val="en-GB"/>
        </w:rPr>
      </w:pPr>
      <w:r w:rsidRPr="00D5451E">
        <w:rPr>
          <w:lang w:val="en-GB"/>
        </w:rPr>
        <w:br w:type="page"/>
      </w:r>
    </w:p>
    <w:p w14:paraId="34CC4A65" w14:textId="7427721E" w:rsidR="00170BE4" w:rsidRPr="00D5451E" w:rsidRDefault="00262647" w:rsidP="00262647">
      <w:pPr>
        <w:pStyle w:val="Heading1"/>
        <w:rPr>
          <w:lang w:val="en-GB"/>
        </w:rPr>
      </w:pPr>
      <w:r w:rsidRPr="00D5451E">
        <w:rPr>
          <w:lang w:val="en-GB"/>
        </w:rPr>
        <w:lastRenderedPageBreak/>
        <w:t xml:space="preserve">References </w:t>
      </w:r>
    </w:p>
    <w:p w14:paraId="78942252" w14:textId="77777777" w:rsidR="00262647" w:rsidRPr="00D5451E" w:rsidRDefault="00262647" w:rsidP="00262647">
      <w:pPr>
        <w:ind w:left="720" w:hanging="720"/>
        <w:rPr>
          <w:shd w:val="clear" w:color="auto" w:fill="FFFFFF"/>
        </w:rPr>
      </w:pPr>
      <w:proofErr w:type="spellStart"/>
      <w:r w:rsidRPr="00D5451E">
        <w:rPr>
          <w:shd w:val="clear" w:color="auto" w:fill="FFFFFF"/>
        </w:rPr>
        <w:t>Aljohani</w:t>
      </w:r>
      <w:proofErr w:type="spellEnd"/>
      <w:r w:rsidRPr="00D5451E">
        <w:rPr>
          <w:shd w:val="clear" w:color="auto" w:fill="FFFFFF"/>
        </w:rPr>
        <w:t>, S., 2018. </w:t>
      </w:r>
      <w:proofErr w:type="spellStart"/>
      <w:r w:rsidRPr="00D5451E">
        <w:rPr>
          <w:shd w:val="clear" w:color="auto" w:fill="FFFFFF"/>
        </w:rPr>
        <w:t>Subsective</w:t>
      </w:r>
      <w:proofErr w:type="spellEnd"/>
      <w:r w:rsidRPr="00D5451E">
        <w:rPr>
          <w:shd w:val="clear" w:color="auto" w:fill="FFFFFF"/>
        </w:rPr>
        <w:t xml:space="preserve"> gradience in 2nd participles: an aspectual approach to adjectival passives and attributive participles in English (Doctoral dissertation, The University of St Andrews).</w:t>
      </w:r>
    </w:p>
    <w:p w14:paraId="65F59215" w14:textId="77777777" w:rsidR="00262647" w:rsidRPr="00D5451E" w:rsidRDefault="00262647" w:rsidP="00262647">
      <w:pPr>
        <w:ind w:left="720" w:hanging="720"/>
      </w:pPr>
      <w:r w:rsidRPr="00D5451E">
        <w:rPr>
          <w:shd w:val="clear" w:color="auto" w:fill="FFFFFF"/>
        </w:rPr>
        <w:t>Cox, J. and Donovan, P., 2020. Counting the crimes. Action Against Foxhunting.</w:t>
      </w:r>
    </w:p>
    <w:p w14:paraId="18F217DB" w14:textId="77777777" w:rsidR="00262647" w:rsidRPr="00D5451E" w:rsidRDefault="00262647" w:rsidP="00262647">
      <w:pPr>
        <w:ind w:left="720" w:hanging="720"/>
        <w:rPr>
          <w:shd w:val="clear" w:color="auto" w:fill="FFFFFF"/>
        </w:rPr>
      </w:pPr>
      <w:r w:rsidRPr="00D5451E">
        <w:rPr>
          <w:shd w:val="clear" w:color="auto" w:fill="FFFFFF"/>
        </w:rPr>
        <w:t>Goodall, O., 2019. Beyond wildlife crime: Realist social relations crime scripts of the illegal taking of deer (Doctoral dissertation, Cardiff University).</w:t>
      </w:r>
    </w:p>
    <w:p w14:paraId="1A89F970" w14:textId="77777777" w:rsidR="00262647" w:rsidRPr="00D5451E" w:rsidRDefault="00262647" w:rsidP="00262647">
      <w:pPr>
        <w:ind w:left="720" w:hanging="720"/>
        <w:rPr>
          <w:shd w:val="clear" w:color="auto" w:fill="FFFFFF"/>
        </w:rPr>
      </w:pPr>
      <w:r w:rsidRPr="00D5451E">
        <w:rPr>
          <w:shd w:val="clear" w:color="auto" w:fill="FFFFFF"/>
        </w:rPr>
        <w:t>Hardaker, C., 2020. Pranksters, provocateurs, propagandists: Using forensic corpus linguistics to identify and understand trolling. In The Routledge Handbook of Forensic Linguistics (pp. 694-708). Routledge.</w:t>
      </w:r>
    </w:p>
    <w:p w14:paraId="3A32FF1A" w14:textId="77777777" w:rsidR="00262647" w:rsidRPr="00D5451E" w:rsidRDefault="00262647" w:rsidP="00262647">
      <w:pPr>
        <w:ind w:left="720" w:hanging="720"/>
        <w:rPr>
          <w:shd w:val="clear" w:color="auto" w:fill="FFFFFF"/>
        </w:rPr>
      </w:pPr>
      <w:proofErr w:type="spellStart"/>
      <w:r w:rsidRPr="00D5451E">
        <w:rPr>
          <w:shd w:val="clear" w:color="auto" w:fill="FFFFFF"/>
        </w:rPr>
        <w:t>Kirchhelle</w:t>
      </w:r>
      <w:proofErr w:type="spellEnd"/>
      <w:r w:rsidRPr="00D5451E">
        <w:rPr>
          <w:shd w:val="clear" w:color="auto" w:fill="FFFFFF"/>
        </w:rPr>
        <w:t>, C., 2021. Ruth the Ruthless: Activism, Welfare, and Generational Change. In Bearing Witness (pp. 149-174). Palgrave Macmillan, Cham.</w:t>
      </w:r>
    </w:p>
    <w:p w14:paraId="517151E0" w14:textId="77777777" w:rsidR="00262647" w:rsidRPr="00D5451E" w:rsidRDefault="00262647" w:rsidP="00262647">
      <w:pPr>
        <w:ind w:left="720" w:hanging="720"/>
        <w:rPr>
          <w:shd w:val="clear" w:color="auto" w:fill="FFFFFF"/>
        </w:rPr>
      </w:pPr>
      <w:r w:rsidRPr="00D5451E">
        <w:rPr>
          <w:shd w:val="clear" w:color="auto" w:fill="FFFFFF"/>
        </w:rPr>
        <w:t>Mitchell, A., 2018. Tracing wolves: Materiality, effect and difference (Doctoral dissertation, The Department of Social Anthropology, Stockholm University).</w:t>
      </w:r>
    </w:p>
    <w:p w14:paraId="035ED885" w14:textId="77777777" w:rsidR="00262647" w:rsidRPr="00D5451E" w:rsidRDefault="00262647" w:rsidP="00262647">
      <w:pPr>
        <w:ind w:left="720" w:hanging="720"/>
        <w:rPr>
          <w:shd w:val="clear" w:color="auto" w:fill="FFFFFF"/>
        </w:rPr>
      </w:pPr>
      <w:r w:rsidRPr="00D5451E">
        <w:rPr>
          <w:shd w:val="clear" w:color="auto" w:fill="FFFFFF"/>
        </w:rPr>
        <w:t xml:space="preserve">Safarov, R., 2019. Framing Environmental Dilemmas: The ethical positioning of the seal hunt in two Canadian newspapers (Doctoral dissertation, Université </w:t>
      </w:r>
      <w:proofErr w:type="spellStart"/>
      <w:r w:rsidRPr="00D5451E">
        <w:rPr>
          <w:shd w:val="clear" w:color="auto" w:fill="FFFFFF"/>
        </w:rPr>
        <w:t>d'Ottawa</w:t>
      </w:r>
      <w:proofErr w:type="spellEnd"/>
      <w:r w:rsidRPr="00D5451E">
        <w:rPr>
          <w:shd w:val="clear" w:color="auto" w:fill="FFFFFF"/>
        </w:rPr>
        <w:t>/University of Ottawa).</w:t>
      </w:r>
    </w:p>
    <w:p w14:paraId="68A50722" w14:textId="77777777" w:rsidR="00262647" w:rsidRPr="00D5451E" w:rsidRDefault="00262647" w:rsidP="00262647">
      <w:pPr>
        <w:ind w:left="720" w:hanging="720"/>
        <w:rPr>
          <w:shd w:val="clear" w:color="auto" w:fill="FFFFFF"/>
        </w:rPr>
      </w:pPr>
      <w:proofErr w:type="spellStart"/>
      <w:r w:rsidRPr="00D5451E">
        <w:rPr>
          <w:shd w:val="clear" w:color="auto" w:fill="FFFFFF"/>
        </w:rPr>
        <w:t>Sellheim</w:t>
      </w:r>
      <w:proofErr w:type="spellEnd"/>
      <w:r w:rsidRPr="00D5451E">
        <w:rPr>
          <w:shd w:val="clear" w:color="auto" w:fill="FFFFFF"/>
        </w:rPr>
        <w:t>, N. and Fink, S., 2022. The Role and Impact of NGOs in Marine Mammal Governance. In Non-state Actors in the Arctic Region (pp. 231-257). Springer, Cham.</w:t>
      </w:r>
    </w:p>
    <w:p w14:paraId="1E0F929F" w14:textId="77777777" w:rsidR="00262647" w:rsidRDefault="00262647" w:rsidP="00262647">
      <w:pPr>
        <w:ind w:left="720" w:hanging="720"/>
        <w:rPr>
          <w:shd w:val="clear" w:color="auto" w:fill="FFFFFF"/>
        </w:rPr>
      </w:pPr>
      <w:r w:rsidRPr="00D5451E">
        <w:rPr>
          <w:shd w:val="clear" w:color="auto" w:fill="FFFFFF"/>
        </w:rPr>
        <w:t>Tyler, T.M., 2021. A View to a Kill: A Multi-Species Ethnographic Enquiry of Dogs Used for Hunting in Cyprus.</w:t>
      </w:r>
    </w:p>
    <w:sectPr w:rsidR="0026264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947F5F" w14:textId="77777777" w:rsidR="005451AD" w:rsidRDefault="005451AD" w:rsidP="00D5451E">
      <w:pPr>
        <w:spacing w:line="240" w:lineRule="auto"/>
      </w:pPr>
      <w:r>
        <w:separator/>
      </w:r>
    </w:p>
  </w:endnote>
  <w:endnote w:type="continuationSeparator" w:id="0">
    <w:p w14:paraId="014A7A09" w14:textId="77777777" w:rsidR="005451AD" w:rsidRDefault="005451AD" w:rsidP="00D5451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9AF259" w14:textId="77777777" w:rsidR="005451AD" w:rsidRDefault="005451AD" w:rsidP="00D5451E">
      <w:pPr>
        <w:spacing w:line="240" w:lineRule="auto"/>
      </w:pPr>
      <w:r>
        <w:separator/>
      </w:r>
    </w:p>
  </w:footnote>
  <w:footnote w:type="continuationSeparator" w:id="0">
    <w:p w14:paraId="17BECD10" w14:textId="77777777" w:rsidR="005451AD" w:rsidRDefault="005451AD" w:rsidP="00D5451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E1MbQwMzGxNDKxMDRT0lEKTi0uzszPAykwrAUAu8biiywAAAA="/>
  </w:docVars>
  <w:rsids>
    <w:rsidRoot w:val="00D71081"/>
    <w:rsid w:val="00027079"/>
    <w:rsid w:val="00086AF7"/>
    <w:rsid w:val="000A322D"/>
    <w:rsid w:val="000C294E"/>
    <w:rsid w:val="001441AC"/>
    <w:rsid w:val="00170BE4"/>
    <w:rsid w:val="00183D37"/>
    <w:rsid w:val="001B77DD"/>
    <w:rsid w:val="001E3322"/>
    <w:rsid w:val="001F3B7A"/>
    <w:rsid w:val="001F471C"/>
    <w:rsid w:val="00262647"/>
    <w:rsid w:val="00281095"/>
    <w:rsid w:val="002A4AFF"/>
    <w:rsid w:val="002B6603"/>
    <w:rsid w:val="002F166E"/>
    <w:rsid w:val="003033F4"/>
    <w:rsid w:val="00323B2B"/>
    <w:rsid w:val="00381DF5"/>
    <w:rsid w:val="00387A7A"/>
    <w:rsid w:val="003C47F3"/>
    <w:rsid w:val="00426A49"/>
    <w:rsid w:val="00475E64"/>
    <w:rsid w:val="00523441"/>
    <w:rsid w:val="005451AD"/>
    <w:rsid w:val="005479AD"/>
    <w:rsid w:val="00590A28"/>
    <w:rsid w:val="005A7D3F"/>
    <w:rsid w:val="005D086F"/>
    <w:rsid w:val="005D1B7A"/>
    <w:rsid w:val="00624012"/>
    <w:rsid w:val="006358DE"/>
    <w:rsid w:val="00647D33"/>
    <w:rsid w:val="00656EC1"/>
    <w:rsid w:val="00687D87"/>
    <w:rsid w:val="00691897"/>
    <w:rsid w:val="006A6AED"/>
    <w:rsid w:val="006E7403"/>
    <w:rsid w:val="0070666B"/>
    <w:rsid w:val="00755E9A"/>
    <w:rsid w:val="007A0F95"/>
    <w:rsid w:val="007B2F42"/>
    <w:rsid w:val="007E395C"/>
    <w:rsid w:val="008475F2"/>
    <w:rsid w:val="008711B3"/>
    <w:rsid w:val="00882F42"/>
    <w:rsid w:val="008B48F2"/>
    <w:rsid w:val="008C07B9"/>
    <w:rsid w:val="008E36BB"/>
    <w:rsid w:val="008E5AC8"/>
    <w:rsid w:val="009158A6"/>
    <w:rsid w:val="00915C40"/>
    <w:rsid w:val="00941AFF"/>
    <w:rsid w:val="009A1EFA"/>
    <w:rsid w:val="009C3E7A"/>
    <w:rsid w:val="009C4E16"/>
    <w:rsid w:val="009C5D14"/>
    <w:rsid w:val="00A04666"/>
    <w:rsid w:val="00A316EC"/>
    <w:rsid w:val="00A70CF7"/>
    <w:rsid w:val="00A72F38"/>
    <w:rsid w:val="00B211DF"/>
    <w:rsid w:val="00B26D4E"/>
    <w:rsid w:val="00B73807"/>
    <w:rsid w:val="00B91CDD"/>
    <w:rsid w:val="00B91EA6"/>
    <w:rsid w:val="00BB7AF2"/>
    <w:rsid w:val="00BE26F7"/>
    <w:rsid w:val="00C01663"/>
    <w:rsid w:val="00C540C3"/>
    <w:rsid w:val="00C92E5E"/>
    <w:rsid w:val="00CB5BB9"/>
    <w:rsid w:val="00CC7E8F"/>
    <w:rsid w:val="00CE7183"/>
    <w:rsid w:val="00D24B18"/>
    <w:rsid w:val="00D5451E"/>
    <w:rsid w:val="00D64F91"/>
    <w:rsid w:val="00D70B70"/>
    <w:rsid w:val="00D71081"/>
    <w:rsid w:val="00D72ED9"/>
    <w:rsid w:val="00DC344C"/>
    <w:rsid w:val="00DD37A3"/>
    <w:rsid w:val="00E43098"/>
    <w:rsid w:val="00E50B31"/>
    <w:rsid w:val="00E61C60"/>
    <w:rsid w:val="00EA7AF6"/>
    <w:rsid w:val="00ED24A8"/>
    <w:rsid w:val="00EE13A2"/>
    <w:rsid w:val="00F52993"/>
    <w:rsid w:val="00F77E4C"/>
    <w:rsid w:val="00FA5699"/>
    <w:rsid w:val="00FB47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0842B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1B7A"/>
    <w:pPr>
      <w:spacing w:after="0" w:line="360" w:lineRule="auto"/>
      <w:ind w:firstLine="720"/>
      <w:jc w:val="both"/>
    </w:pPr>
    <w:rPr>
      <w:rFonts w:ascii="Times New Roman" w:hAnsi="Times New Roman"/>
      <w:color w:val="000000" w:themeColor="text1"/>
      <w:sz w:val="24"/>
    </w:rPr>
  </w:style>
  <w:style w:type="paragraph" w:styleId="Heading1">
    <w:name w:val="heading 1"/>
    <w:basedOn w:val="Normal"/>
    <w:next w:val="Normal"/>
    <w:link w:val="Heading1Char"/>
    <w:autoRedefine/>
    <w:uiPriority w:val="9"/>
    <w:qFormat/>
    <w:rsid w:val="009C3E7A"/>
    <w:pPr>
      <w:keepNext/>
      <w:keepLines/>
      <w:ind w:firstLine="0"/>
      <w:outlineLvl w:val="0"/>
    </w:pPr>
    <w:rPr>
      <w:rFonts w:eastAsiaTheme="majorEastAsia" w:cstheme="majorBidi"/>
      <w:b/>
      <w:i/>
      <w:color w:val="44546A" w:themeColor="text2"/>
      <w:szCs w:val="32"/>
    </w:rPr>
  </w:style>
  <w:style w:type="paragraph" w:styleId="Heading2">
    <w:name w:val="heading 2"/>
    <w:basedOn w:val="Normal"/>
    <w:next w:val="Normal"/>
    <w:link w:val="Heading2Char"/>
    <w:uiPriority w:val="9"/>
    <w:unhideWhenUsed/>
    <w:qFormat/>
    <w:rsid w:val="00590A28"/>
    <w:pPr>
      <w:keepNext/>
      <w:keepLines/>
      <w:spacing w:line="480" w:lineRule="auto"/>
      <w:ind w:firstLine="0"/>
      <w:outlineLvl w:val="1"/>
    </w:pPr>
    <w:rPr>
      <w:rFonts w:eastAsiaTheme="majorEastAsia" w:cstheme="majorBidi"/>
      <w:i/>
      <w:color w:val="auto"/>
      <w:szCs w:val="26"/>
      <w:lang w:val="en-GB"/>
    </w:rPr>
  </w:style>
  <w:style w:type="paragraph" w:styleId="Heading3">
    <w:name w:val="heading 3"/>
    <w:basedOn w:val="Normal"/>
    <w:next w:val="Normal"/>
    <w:link w:val="Heading3Char"/>
    <w:autoRedefine/>
    <w:uiPriority w:val="9"/>
    <w:unhideWhenUsed/>
    <w:qFormat/>
    <w:rsid w:val="009C3E7A"/>
    <w:pPr>
      <w:keepNext/>
      <w:keepLines/>
      <w:spacing w:before="40"/>
      <w:ind w:firstLine="0"/>
      <w:jc w:val="center"/>
      <w:outlineLvl w:val="2"/>
    </w:pPr>
    <w:rPr>
      <w:rFonts w:eastAsiaTheme="majorEastAsia" w:cstheme="majorBidi"/>
      <w:color w:val="44546A" w:themeColor="text2"/>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3E7A"/>
    <w:rPr>
      <w:rFonts w:ascii="Times New Roman" w:eastAsiaTheme="majorEastAsia" w:hAnsi="Times New Roman" w:cstheme="majorBidi"/>
      <w:b/>
      <w:i/>
      <w:color w:val="44546A" w:themeColor="text2"/>
      <w:sz w:val="24"/>
      <w:szCs w:val="32"/>
    </w:rPr>
  </w:style>
  <w:style w:type="character" w:customStyle="1" w:styleId="Heading2Char">
    <w:name w:val="Heading 2 Char"/>
    <w:basedOn w:val="DefaultParagraphFont"/>
    <w:link w:val="Heading2"/>
    <w:uiPriority w:val="9"/>
    <w:rsid w:val="00590A28"/>
    <w:rPr>
      <w:rFonts w:ascii="Times New Roman" w:eastAsiaTheme="majorEastAsia" w:hAnsi="Times New Roman" w:cstheme="majorBidi"/>
      <w:i/>
      <w:sz w:val="24"/>
      <w:szCs w:val="26"/>
      <w:lang w:val="en-GB"/>
    </w:rPr>
  </w:style>
  <w:style w:type="character" w:customStyle="1" w:styleId="Heading3Char">
    <w:name w:val="Heading 3 Char"/>
    <w:basedOn w:val="DefaultParagraphFont"/>
    <w:link w:val="Heading3"/>
    <w:uiPriority w:val="9"/>
    <w:rsid w:val="009C3E7A"/>
    <w:rPr>
      <w:rFonts w:ascii="Times New Roman" w:eastAsiaTheme="majorEastAsia" w:hAnsi="Times New Roman" w:cstheme="majorBidi"/>
      <w:color w:val="44546A" w:themeColor="text2"/>
      <w:sz w:val="24"/>
      <w:szCs w:val="24"/>
    </w:rPr>
  </w:style>
  <w:style w:type="table" w:styleId="TableGrid">
    <w:name w:val="Table Grid"/>
    <w:basedOn w:val="TableNormal"/>
    <w:uiPriority w:val="39"/>
    <w:rsid w:val="00B26D4E"/>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5451E"/>
    <w:pPr>
      <w:tabs>
        <w:tab w:val="center" w:pos="4680"/>
        <w:tab w:val="right" w:pos="9360"/>
      </w:tabs>
      <w:spacing w:line="240" w:lineRule="auto"/>
    </w:pPr>
  </w:style>
  <w:style w:type="character" w:customStyle="1" w:styleId="HeaderChar">
    <w:name w:val="Header Char"/>
    <w:basedOn w:val="DefaultParagraphFont"/>
    <w:link w:val="Header"/>
    <w:uiPriority w:val="99"/>
    <w:rsid w:val="00D5451E"/>
    <w:rPr>
      <w:rFonts w:ascii="Times New Roman" w:hAnsi="Times New Roman"/>
      <w:color w:val="000000" w:themeColor="text1"/>
      <w:sz w:val="24"/>
    </w:rPr>
  </w:style>
  <w:style w:type="paragraph" w:styleId="Footer">
    <w:name w:val="footer"/>
    <w:basedOn w:val="Normal"/>
    <w:link w:val="FooterChar"/>
    <w:uiPriority w:val="99"/>
    <w:unhideWhenUsed/>
    <w:rsid w:val="00D5451E"/>
    <w:pPr>
      <w:tabs>
        <w:tab w:val="center" w:pos="4680"/>
        <w:tab w:val="right" w:pos="9360"/>
      </w:tabs>
      <w:spacing w:line="240" w:lineRule="auto"/>
    </w:pPr>
  </w:style>
  <w:style w:type="character" w:customStyle="1" w:styleId="FooterChar">
    <w:name w:val="Footer Char"/>
    <w:basedOn w:val="DefaultParagraphFont"/>
    <w:link w:val="Footer"/>
    <w:uiPriority w:val="99"/>
    <w:rsid w:val="00D5451E"/>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4375575">
      <w:bodyDiv w:val="1"/>
      <w:marLeft w:val="0"/>
      <w:marRight w:val="0"/>
      <w:marTop w:val="0"/>
      <w:marBottom w:val="0"/>
      <w:divBdr>
        <w:top w:val="none" w:sz="0" w:space="0" w:color="auto"/>
        <w:left w:val="none" w:sz="0" w:space="0" w:color="auto"/>
        <w:bottom w:val="none" w:sz="0" w:space="0" w:color="auto"/>
        <w:right w:val="none" w:sz="0" w:space="0" w:color="auto"/>
      </w:divBdr>
    </w:div>
    <w:div w:id="1906527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hart" Target="charts/chart1.xml"/><Relationship Id="rId5" Type="http://schemas.openxmlformats.org/officeDocument/2006/relationships/endnotes" Target="endnotes.xml"/><Relationship Id="rId4" Type="http://schemas.openxmlformats.org/officeDocument/2006/relationships/footnotes" Target="footnotes.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a:t>Comparison</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Sheet1!$K$12</c:f>
              <c:strCache>
                <c:ptCount val="1"/>
                <c:pt idx="0">
                  <c:v>Anti-Hunt</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Sheet1!$J$13:$J$16</c:f>
              <c:strCache>
                <c:ptCount val="4"/>
                <c:pt idx="0">
                  <c:v>Verbal</c:v>
                </c:pt>
                <c:pt idx="1">
                  <c:v>Physical</c:v>
                </c:pt>
                <c:pt idx="2">
                  <c:v>Gestural</c:v>
                </c:pt>
                <c:pt idx="3">
                  <c:v>Provocation</c:v>
                </c:pt>
              </c:strCache>
            </c:strRef>
          </c:cat>
          <c:val>
            <c:numRef>
              <c:f>Sheet1!$K$13:$K$16</c:f>
              <c:numCache>
                <c:formatCode>General</c:formatCode>
                <c:ptCount val="4"/>
                <c:pt idx="0">
                  <c:v>6</c:v>
                </c:pt>
                <c:pt idx="1">
                  <c:v>4</c:v>
                </c:pt>
                <c:pt idx="2">
                  <c:v>4</c:v>
                </c:pt>
                <c:pt idx="3">
                  <c:v>2</c:v>
                </c:pt>
              </c:numCache>
            </c:numRef>
          </c:val>
          <c:extLst>
            <c:ext xmlns:c16="http://schemas.microsoft.com/office/drawing/2014/chart" uri="{C3380CC4-5D6E-409C-BE32-E72D297353CC}">
              <c16:uniqueId val="{00000000-EF27-4D76-9C65-FC7448293E60}"/>
            </c:ext>
          </c:extLst>
        </c:ser>
        <c:ser>
          <c:idx val="1"/>
          <c:order val="1"/>
          <c:tx>
            <c:strRef>
              <c:f>Sheet1!$L$12</c:f>
              <c:strCache>
                <c:ptCount val="1"/>
                <c:pt idx="0">
                  <c:v>Pro-Hunt</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Sheet1!$J$13:$J$16</c:f>
              <c:strCache>
                <c:ptCount val="4"/>
                <c:pt idx="0">
                  <c:v>Verbal</c:v>
                </c:pt>
                <c:pt idx="1">
                  <c:v>Physical</c:v>
                </c:pt>
                <c:pt idx="2">
                  <c:v>Gestural</c:v>
                </c:pt>
                <c:pt idx="3">
                  <c:v>Provocation</c:v>
                </c:pt>
              </c:strCache>
            </c:strRef>
          </c:cat>
          <c:val>
            <c:numRef>
              <c:f>Sheet1!$L$13:$L$16</c:f>
              <c:numCache>
                <c:formatCode>General</c:formatCode>
                <c:ptCount val="4"/>
                <c:pt idx="0">
                  <c:v>2</c:v>
                </c:pt>
                <c:pt idx="1">
                  <c:v>2</c:v>
                </c:pt>
                <c:pt idx="2">
                  <c:v>1</c:v>
                </c:pt>
                <c:pt idx="3">
                  <c:v>4</c:v>
                </c:pt>
              </c:numCache>
            </c:numRef>
          </c:val>
          <c:extLst>
            <c:ext xmlns:c16="http://schemas.microsoft.com/office/drawing/2014/chart" uri="{C3380CC4-5D6E-409C-BE32-E72D297353CC}">
              <c16:uniqueId val="{00000001-EF27-4D76-9C65-FC7448293E60}"/>
            </c:ext>
          </c:extLst>
        </c:ser>
        <c:dLbls>
          <c:dLblPos val="outEnd"/>
          <c:showLegendKey val="0"/>
          <c:showVal val="1"/>
          <c:showCatName val="0"/>
          <c:showSerName val="0"/>
          <c:showPercent val="0"/>
          <c:showBubbleSize val="0"/>
        </c:dLbls>
        <c:gapWidth val="444"/>
        <c:overlap val="-90"/>
        <c:axId val="1686748960"/>
        <c:axId val="1686746784"/>
      </c:barChart>
      <c:catAx>
        <c:axId val="168674896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1686746784"/>
        <c:crosses val="autoZero"/>
        <c:auto val="1"/>
        <c:lblAlgn val="ctr"/>
        <c:lblOffset val="100"/>
        <c:noMultiLvlLbl val="0"/>
      </c:catAx>
      <c:valAx>
        <c:axId val="1686746784"/>
        <c:scaling>
          <c:orientation val="minMax"/>
        </c:scaling>
        <c:delete val="1"/>
        <c:axPos val="l"/>
        <c:numFmt formatCode="General" sourceLinked="1"/>
        <c:majorTickMark val="none"/>
        <c:minorTickMark val="none"/>
        <c:tickLblPos val="nextTo"/>
        <c:crossAx val="1686748960"/>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1716</Words>
  <Characters>9784</Characters>
  <Application>Microsoft Office Word</Application>
  <DocSecurity>0</DocSecurity>
  <Lines>81</Lines>
  <Paragraphs>22</Paragraphs>
  <ScaleCrop>false</ScaleCrop>
  <Company/>
  <LinksUpToDate>false</LinksUpToDate>
  <CharactersWithSpaces>11478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2022-12-06T11:14:00Z</dcterms:created>
  <dcterms:modified xsi:type="dcterms:W3CDTF">2022-12-06T11:14:00Z</dcterms:modified>
</cp:coreProperties>
</file>