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 name: </w:t>
      </w:r>
      <w:r>
        <w:rPr>
          <w:rFonts w:ascii="Calibri" w:hAnsi="Calibri" w:cs="Calibri" w:eastAsia="Calibri"/>
          <w:b/>
          <w:color w:val="auto"/>
          <w:spacing w:val="0"/>
          <w:position w:val="0"/>
          <w:sz w:val="28"/>
          <w:shd w:fill="auto" w:val="clear"/>
        </w:rPr>
        <w:t xml:space="preserve"> </w:t>
      </w:r>
      <w:r>
        <w:rPr>
          <w:rFonts w:ascii="Calibri" w:hAnsi="Calibri" w:cs="Calibri" w:eastAsia="Calibri"/>
          <w:b/>
          <w:color w:val="auto"/>
          <w:spacing w:val="0"/>
          <w:position w:val="0"/>
          <w:sz w:val="28"/>
          <w:shd w:fill="auto" w:val="clear"/>
        </w:rPr>
        <w:t xml:space="preserve">Yoana Stancheva</w:t>
      </w:r>
      <w:r>
        <w:rPr>
          <w:rFonts w:ascii="Calibri" w:hAnsi="Calibri" w:cs="Calibri" w:eastAsia="Calibri"/>
          <w:b/>
          <w:color w:val="auto"/>
          <w:spacing w:val="0"/>
          <w:position w:val="0"/>
          <w:sz w:val="28"/>
          <w:shd w:fill="auto" w:val="clear"/>
        </w:rPr>
        <w:t xml:space="preserve">    </w:t>
      </w:r>
      <w:r>
        <w:rPr>
          <w:rFonts w:ascii="Calibri" w:hAnsi="Calibri" w:cs="Calibri" w:eastAsia="Calibri"/>
          <w:b/>
          <w:color w:val="auto"/>
          <w:spacing w:val="0"/>
          <w:position w:val="0"/>
          <w:sz w:val="28"/>
          <w:shd w:fill="auto" w:val="clear"/>
        </w:rPr>
        <w:t xml:space="preserve"> </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 ID number:2225354</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Programme: Law portfolio</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Criminal law</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code: BMPL4009 </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Lecturer: Zita Draper </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A s s i g n m e n t</w:t>
      </w: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Title: Scenario question</w:t>
      </w:r>
    </w:p>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Christine had recently turned 40 and her husband had arranged a surprise birthday party for her at their home. On the night of the party, Christine was very keen to show her guests the expensive gifts she had been given for her birthday, one being a designer handbag. One of Christine's friends, Paula had always been extremely jealous of the lavish gifts that Christine’s husband bought her and when no one was looking, she put the handbag inside her coat and took it outside. When Paula heard someone coming, she placed the handbag underneath her car with the intention of putting it into her car when the party had finished. Also at the party were Leon and Harriet who had been recently introduced to one another. Harriet didn't drink alcohol due to the fact that she was allergic to it. When Harriet had popped to the toilet, Leon spiked Harriet's drink with vodka. When Harriet returned and drank the drink she began suffering from hallucinations. Harriet thought that fire was engulfing the house and in an attempt to get out, she began smashing the large panes of glass in the bi-fold doors of Christine's kitchen. She also hit one of the other guests (Daniel) in the face, causing a broken cheek bone. Christine and her husband managed to calm Harriet down, and asked everyone to leave. Upon leaving, Paula picked up the designer handbag from underneath her car, placed it in the foot well and drove home. Advise Paula and Harriet of their potential criminal liability, along with any defences that may apply. In order to address this task question, you are encouraged to revise the taught sessions on the relevant topics. For each relevant offence, you must demonstrate how the actus reusand mens rea requirements have been met, along with any defence that may apply. Although you are not expected to refer to academic literature throughout your answer, you must ensure that you support all of your advice with case law and statute and that you reference this in accordance with the Harvard referencing system.</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Some of the cases you may wish to include within your answer are:</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Morris [1983]</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Ghosh [1982]</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Ivey v Genting Casinos (UK) ltd [2017]</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Wheatley and another [2006]</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Cahill [1993]</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Gayford v Choulder [1898]</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Fiak [2005]</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(a juvenile) v R [1978]</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Hardman v Chief Constable of Avon and Somerset [1986]</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Module Learning Outcomes</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(from module syllabus)</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Demonstrate a working knowledge and understanding of the general principles of criminal liability.</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TASK DESCRIPTION</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Page 2 of 11</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 and another [2003]</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Bailey; Hardie [1984]</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 v Woollin [1999]</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 v Cunningham [1957]</w:t>
      </w:r>
    </w:p>
    <w:p>
      <w:pPr>
        <w:spacing w:before="0" w:after="200" w:line="276"/>
        <w:ind w:right="0" w:left="0" w:firstLine="0"/>
        <w:jc w:val="both"/>
        <w:rPr>
          <w:rFonts w:ascii="Calibri" w:hAnsi="Calibri" w:cs="Calibri" w:eastAsia="Calibri"/>
          <w:color w:val="FF0000"/>
          <w:spacing w:val="0"/>
          <w:position w:val="0"/>
          <w:sz w:val="22"/>
          <w:shd w:fill="auto" w:val="clear"/>
        </w:rPr>
      </w:pPr>
    </w:p>
    <w:p>
      <w:pPr>
        <w:spacing w:before="0" w:after="200" w:line="276"/>
        <w:ind w:right="0" w:left="0" w:firstLine="0"/>
        <w:jc w:val="both"/>
        <w:rPr>
          <w:rFonts w:ascii="Calibri" w:hAnsi="Calibri" w:cs="Calibri" w:eastAsia="Calibri"/>
          <w:color w:val="FF0000"/>
          <w:spacing w:val="0"/>
          <w:position w:val="0"/>
          <w:sz w:val="22"/>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Introduction </w:t>
      </w:r>
    </w:p>
    <w:p>
      <w:pPr>
        <w:spacing w:before="0" w:after="200" w:line="360"/>
        <w:ind w:right="0" w:left="0" w:firstLine="0"/>
        <w:jc w:val="both"/>
        <w:rPr>
          <w:rFonts w:ascii="Arial" w:hAnsi="Arial" w:cs="Arial" w:eastAsia="Arial"/>
          <w:color w:val="FF0000"/>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Criminal liability in the legal sense is when someone can be accused of breaking the law. Criminal guilt includes both probable and actual guilt. This means that the accused will be prosecuted and sentenced regardless of whether it is proven that they committed the crime. A basic requirement for criminal responsibility is that the alleged conduct has both psychological and physical dimensions. To determine liability, determine whether the defendant was involved in the injuries connecting Aktus Reus and Men's Reus. This is her two-step process of fact and legal causation. The "none" test of true causality asks whether the respondent's action resulted in a "none" outcome. If you are finally found responsible in court, the government will consider you guilty. This means that you will be held liable for your violations and face legal action and court judgments.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 both of the cases there are need to be defined that for none of them is provided and supported with the available evidences like CCTV, witness statements or any other facts which directly proving the offences and the offenders.  </w:t>
      </w:r>
    </w:p>
    <w:p>
      <w:pPr>
        <w:spacing w:before="0" w:after="200" w:line="360"/>
        <w:ind w:right="0" w:left="0" w:firstLine="0"/>
        <w:jc w:val="both"/>
        <w:rPr>
          <w:rFonts w:ascii="Arial" w:hAnsi="Arial" w:cs="Arial" w:eastAsia="Arial"/>
          <w:color w:val="FF0000"/>
          <w:spacing w:val="0"/>
          <w:position w:val="0"/>
          <w:sz w:val="24"/>
          <w:shd w:fill="auto" w:val="clear"/>
        </w:rPr>
      </w:pPr>
    </w:p>
    <w:p>
      <w:pPr>
        <w:spacing w:before="0" w:after="200" w:line="360"/>
        <w:ind w:right="0" w:left="0" w:firstLine="0"/>
        <w:jc w:val="both"/>
        <w:rPr>
          <w:rFonts w:ascii="Arial" w:hAnsi="Arial" w:cs="Arial" w:eastAsia="Arial"/>
          <w:color w:val="FF0000"/>
          <w:spacing w:val="0"/>
          <w:position w:val="0"/>
          <w:sz w:val="24"/>
          <w:shd w:fill="auto" w:val="clear"/>
        </w:rPr>
      </w:pP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Paula Case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Paula case is more clear and more simple for evaluation of her crime liabilities, because there are visible information about the plan, purpose and dishonest planned actions for organizing concealing the expensive bag which belongs to Christine.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this case there are information which needs to be confirmed with evidences which needs to clearly prove the explained actions completed by Paula and in this situation she can be charge within the Theft Act 1968 within 7 years sentence for theft. </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offence of theft is set out in s.1(1) Theft Act 1968 which provides that a person is guilty of theft if they dishonestly appropriate property belonging to another with the intention to permanently deprive the other of it. Ss 2-6 of the Theft Act 1968 provide definitions of each of the elements of theft. S. 7 sets out the maximum penalty for theft of 7 years.</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Theft Act 1968</w:t>
      </w:r>
    </w:p>
    <w:p>
      <w:pPr>
        <w:keepNext w:val="true"/>
        <w:keepLines w:val="true"/>
        <w:spacing w:before="480" w:after="0" w:line="360"/>
        <w:ind w:right="0" w:left="0" w:firstLine="0"/>
        <w:jc w:val="both"/>
        <w:rPr>
          <w:rFonts w:ascii="Arial" w:hAnsi="Arial" w:cs="Arial" w:eastAsia="Arial"/>
          <w:b/>
          <w:color w:val="365F91"/>
          <w:spacing w:val="0"/>
          <w:position w:val="0"/>
          <w:sz w:val="24"/>
          <w:shd w:fill="auto" w:val="clear"/>
        </w:rPr>
      </w:pPr>
      <w:r>
        <w:rPr>
          <w:rFonts w:ascii="Arial" w:hAnsi="Arial" w:cs="Arial" w:eastAsia="Arial"/>
          <w:b/>
          <w:color w:val="365F91"/>
          <w:spacing w:val="0"/>
          <w:position w:val="0"/>
          <w:sz w:val="24"/>
          <w:shd w:fill="auto" w:val="clear"/>
        </w:rPr>
        <w:t xml:space="preserve">Harriet Case</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the Harriet case there are few different legal points of view from which depending the liability of the involved people who attended the party and are involved into the case. </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Did Leon have information of the Harriet health allergic problem, because in case he was aware of it this will involve him into completing crime and purposely manipulating other person behavior and health which is illegal action.</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Did Harriet informed Leon and the owners of the house linked to her health condition so this way she could prevent property damages and criminal act, because in case she did not informed no one this could lead her into criminal liability due to the property damages as result.</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case Harriet did informed in gesture of good will the house owners or Leon in advance this could be In her limited liability due to the information and that the property damage were not completed intentional and in purpose and instead is completed as losing of control and mindset of Harrier as outcome of the allergy and alcohol. </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whole case there are needs of evidences which to prove the real situation and the information in order to be proved the reasons and the liability which can be charged Harrier and in some situation also Leon as involved person of the act. </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Criminal Damage Act 1971 can be used for the case and evaluation of the level of liability for the people involved and specifically for Harriet. </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R v Cunningham [1957] case Harrier can pledge  lack of mens rea as in the situation there are lack of purposing and intentional property damage or act against damaging person health linked to the Daniel injury due to Harriet actions. </w:t>
      </w:r>
    </w:p>
    <w:p>
      <w:pPr>
        <w:numPr>
          <w:ilvl w:val="0"/>
          <w:numId w:val="9"/>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Within the Harriet case there are lack of “malicious” and this will support her lower law liability as the damages she caused to owners property and Daniel broken cheek bone.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Harriet case defense</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main strong points for building the Harriet defense are:</w:t>
      </w:r>
    </w:p>
    <w:p>
      <w:pPr>
        <w:numPr>
          <w:ilvl w:val="0"/>
          <w:numId w:val="11"/>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Lack and missing “malicious” and the damages are only due to the health condition and the allergic impact over mind and behavior. </w:t>
      </w:r>
    </w:p>
    <w:p>
      <w:pPr>
        <w:numPr>
          <w:ilvl w:val="0"/>
          <w:numId w:val="11"/>
        </w:numPr>
        <w:spacing w:before="0" w:after="20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Circumstances not depending and out of the Harriet control.</w:t>
      </w: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Criminal Damage Act 1971</w:t>
      </w:r>
    </w:p>
    <w:p>
      <w:pPr>
        <w:spacing w:before="0" w:after="20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 v Cunningham [1957]</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w:t>
      </w:r>
    </w:p>
    <w:p>
      <w:pPr>
        <w:keepNext w:val="true"/>
        <w:keepLines w:val="true"/>
        <w:spacing w:before="480" w:after="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the above cases and situations is visible that each of the cases involving complex of activities and decisions which can be linked to different crime law and legislations. Based on the elements and details of each of the cases can be build strong defense also based over the evidences too. </w:t>
      </w: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p>
    <w:p>
      <w:pPr>
        <w:keepNext w:val="true"/>
        <w:keepLines w:val="true"/>
        <w:spacing w:before="480" w:after="0" w:line="276"/>
        <w:ind w:right="0" w:left="0" w:firstLine="0"/>
        <w:jc w:val="left"/>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Referencing list</w:t>
      </w:r>
    </w:p>
    <w:p>
      <w:pPr>
        <w:spacing w:before="0" w:after="200" w:line="276"/>
        <w:ind w:right="0" w:left="0" w:firstLine="0"/>
        <w:jc w:val="left"/>
        <w:rPr>
          <w:rFonts w:ascii="Arial" w:hAnsi="Arial" w:cs="Arial" w:eastAsia="Arial"/>
          <w:color w:val="auto"/>
          <w:spacing w:val="0"/>
          <w:position w:val="0"/>
          <w:sz w:val="24"/>
          <w:shd w:fill="auto" w:val="clear"/>
        </w:rPr>
      </w:pP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Laird, K. and Hargreaves, D., 2019. Theft:'R v Gimbert'(John David). CRIMINAL LAW REVIEW, (3), pp.258-260.</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Baroness Hale of Richmond, 2019. Dishonesty. Common Law World Review, 48(1-2), pp.5-14.</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Forster, S., 2019. The offence of burglary and aggravated burglary: Law and procedure. Criminal Lawyer, 241, pp.2-13.</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Rostill, L., 2022. Possession, property rights and proceeds of crime. LAW QUARTERLY REVIEW, 138(April), pp.211-216.</w:t>
      </w:r>
    </w:p>
    <w:p>
      <w:pPr>
        <w:spacing w:before="0" w:after="200" w:line="276"/>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Stark, F., 2020. The reasonableness in recklessness. Criminal Law and Philosophy, 14(1), pp.9-29.</w:t>
      </w:r>
    </w:p>
    <w:p>
      <w:pPr>
        <w:spacing w:before="0" w:after="200" w:line="276"/>
        <w:ind w:right="0" w:left="0" w:firstLine="0"/>
        <w:jc w:val="left"/>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9">
    <w:abstractNumId w:val="6"/>
  </w:num>
  <w:num w:numId="1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