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spacing w:line="360" w:lineRule="auto"/>
        <w:jc w:val="center"/>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What are the causes of SEBD?: a critical analysis</w:t>
      </w:r>
    </w:p>
    <w:p>
      <w:pPr>
        <w:pStyle w:val="Body"/>
        <w:spacing w:line="360" w:lineRule="auto"/>
        <w:jc w:val="center"/>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Introduction</w:t>
      </w: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The purpose of this literature review will be to determine what the causes of Social, Emotional and Behavioural Difficulties (SEBD) in children, by reviewing literature from the past 40 years on the subject. This review has been given a wide scope in terms of research publication year in order, in part, to determine whether there has been much change in relation to views regarding SEBD and its causes. </w:t>
      </w:r>
    </w:p>
    <w:p>
      <w:pPr>
        <w:pStyle w:val="Body"/>
        <w:spacing w:line="360" w:lineRule="auto"/>
        <w:jc w:val="left"/>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The Special Educational Needs Code of Practise For Wales (Welsh Assembly Government, 2004) describes the types of behaviours of children who suffer from behaviour, emotional and social development as, </w:t>
      </w:r>
      <w:r>
        <w:rPr>
          <w:rFonts w:ascii="Times New Roman" w:hAnsi="Times New Roman" w:hint="default"/>
          <w:sz w:val="24"/>
          <w:szCs w:val="24"/>
          <w:rtl w:val="0"/>
          <w:lang w:val="en-US"/>
        </w:rPr>
        <w:t>“</w:t>
      </w:r>
      <w:r>
        <w:rPr>
          <w:rFonts w:ascii="Times New Roman" w:hAnsi="Times New Roman"/>
          <w:sz w:val="24"/>
          <w:szCs w:val="24"/>
          <w:rtl w:val="0"/>
          <w:lang w:val="en-US"/>
        </w:rPr>
        <w:t>withdrawn or isolated, disruptive and disturbing,</w:t>
      </w:r>
      <w:r>
        <w:rPr>
          <w:rFonts w:ascii="Times New Roman" w:hAnsi="Times New Roman"/>
          <w:sz w:val="24"/>
          <w:szCs w:val="24"/>
          <w:rtl w:val="0"/>
          <w:lang w:val="en-US"/>
        </w:rPr>
        <w:t xml:space="preserve"> </w:t>
      </w:r>
      <w:r>
        <w:rPr>
          <w:rFonts w:ascii="Times New Roman" w:hAnsi="Times New Roman"/>
          <w:sz w:val="24"/>
          <w:szCs w:val="24"/>
          <w:rtl w:val="0"/>
          <w:lang w:val="en-US"/>
        </w:rPr>
        <w:t>hyperactive and lack concentration; those with immature social skills; and those</w:t>
      </w:r>
      <w:r>
        <w:rPr>
          <w:rFonts w:ascii="Times New Roman" w:hAnsi="Times New Roman"/>
          <w:sz w:val="24"/>
          <w:szCs w:val="24"/>
          <w:rtl w:val="0"/>
          <w:lang w:val="en-US"/>
        </w:rPr>
        <w:t xml:space="preserve"> </w:t>
      </w:r>
      <w:r>
        <w:rPr>
          <w:rFonts w:ascii="Times New Roman" w:hAnsi="Times New Roman"/>
          <w:sz w:val="24"/>
          <w:szCs w:val="24"/>
          <w:rtl w:val="0"/>
          <w:lang w:val="en-US"/>
        </w:rPr>
        <w:t>presenting challenging behaviours arising from other complex special needs</w:t>
      </w:r>
      <w:r>
        <w:rPr>
          <w:rFonts w:ascii="Times New Roman" w:hAnsi="Times New Roman" w:hint="default"/>
          <w:sz w:val="24"/>
          <w:szCs w:val="24"/>
          <w:rtl w:val="0"/>
          <w:lang w:val="en-US"/>
        </w:rPr>
        <w:t>”</w:t>
      </w:r>
      <w:r>
        <w:rPr>
          <w:rFonts w:ascii="Times New Roman" w:hAnsi="Times New Roman"/>
          <w:sz w:val="24"/>
          <w:szCs w:val="24"/>
          <w:rtl w:val="0"/>
          <w:lang w:val="en-US"/>
        </w:rPr>
        <w:t xml:space="preserve">. While the document does not specifically use the initialism </w:t>
      </w:r>
      <w:r>
        <w:rPr>
          <w:rFonts w:ascii="Times New Roman" w:hAnsi="Times New Roman" w:hint="default"/>
          <w:sz w:val="24"/>
          <w:szCs w:val="24"/>
          <w:rtl w:val="0"/>
          <w:lang w:val="en-US"/>
        </w:rPr>
        <w:t>‘</w:t>
      </w:r>
      <w:r>
        <w:rPr>
          <w:rFonts w:ascii="Times New Roman" w:hAnsi="Times New Roman"/>
          <w:sz w:val="24"/>
          <w:szCs w:val="24"/>
          <w:rtl w:val="0"/>
          <w:lang w:val="en-US"/>
        </w:rPr>
        <w:t>SEBD</w:t>
      </w:r>
      <w:r>
        <w:rPr>
          <w:rFonts w:ascii="Times New Roman" w:hAnsi="Times New Roman" w:hint="default"/>
          <w:sz w:val="24"/>
          <w:szCs w:val="24"/>
          <w:rtl w:val="0"/>
          <w:lang w:val="en-US"/>
        </w:rPr>
        <w:t>’</w:t>
      </w:r>
      <w:r>
        <w:rPr>
          <w:rFonts w:ascii="Times New Roman" w:hAnsi="Times New Roman"/>
          <w:sz w:val="24"/>
          <w:szCs w:val="24"/>
          <w:rtl w:val="0"/>
          <w:lang w:val="en-US"/>
        </w:rPr>
        <w:t xml:space="preserve">, the term is commonly used to describe children who have social, emotional and behavioural difficulties. While the initialism </w:t>
      </w:r>
      <w:r>
        <w:rPr>
          <w:rFonts w:ascii="Times New Roman" w:hAnsi="Times New Roman" w:hint="default"/>
          <w:sz w:val="24"/>
          <w:szCs w:val="24"/>
          <w:rtl w:val="0"/>
          <w:lang w:val="en-US"/>
        </w:rPr>
        <w:t>‘</w:t>
      </w:r>
      <w:r>
        <w:rPr>
          <w:rFonts w:ascii="Times New Roman" w:hAnsi="Times New Roman"/>
          <w:sz w:val="24"/>
          <w:szCs w:val="24"/>
          <w:rtl w:val="0"/>
          <w:lang w:val="en-US"/>
        </w:rPr>
        <w:t>SEBD</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will be used in this literature review, </w:t>
      </w:r>
      <w:r>
        <w:rPr>
          <w:rFonts w:ascii="Times New Roman" w:hAnsi="Times New Roman" w:hint="default"/>
          <w:sz w:val="24"/>
          <w:szCs w:val="24"/>
          <w:rtl w:val="0"/>
          <w:lang w:val="en-US"/>
        </w:rPr>
        <w:t>‘</w:t>
      </w:r>
      <w:r>
        <w:rPr>
          <w:rFonts w:ascii="Times New Roman" w:hAnsi="Times New Roman"/>
          <w:sz w:val="24"/>
          <w:szCs w:val="24"/>
          <w:rtl w:val="0"/>
          <w:lang w:val="en-US"/>
        </w:rPr>
        <w:t>EBD</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[emotional and behavioural difficulties] (Jull, 2007), </w:t>
      </w:r>
      <w:r>
        <w:rPr>
          <w:rFonts w:ascii="Times New Roman" w:hAnsi="Times New Roman" w:hint="default"/>
          <w:sz w:val="24"/>
          <w:szCs w:val="24"/>
          <w:rtl w:val="0"/>
          <w:lang w:val="en-US"/>
        </w:rPr>
        <w:t>‘</w:t>
      </w:r>
      <w:r>
        <w:rPr>
          <w:rFonts w:ascii="Times New Roman" w:hAnsi="Times New Roman"/>
          <w:sz w:val="24"/>
          <w:szCs w:val="24"/>
          <w:rtl w:val="0"/>
          <w:lang w:val="en-US"/>
        </w:rPr>
        <w:t>SEMH</w:t>
      </w:r>
      <w:r>
        <w:rPr>
          <w:rFonts w:ascii="Times New Roman" w:hAnsi="Times New Roman" w:hint="default"/>
          <w:sz w:val="24"/>
          <w:szCs w:val="24"/>
          <w:rtl w:val="0"/>
          <w:lang w:val="en-US"/>
        </w:rPr>
        <w:t xml:space="preserve">’ </w:t>
      </w:r>
      <w:r>
        <w:rPr>
          <w:rFonts w:ascii="Times New Roman" w:hAnsi="Times New Roman"/>
          <w:sz w:val="24"/>
          <w:szCs w:val="24"/>
          <w:rtl w:val="0"/>
          <w:lang w:val="en-US"/>
        </w:rPr>
        <w:t>[social, emotional and mental health difficulties] (Sebda, no date), and SEND [special educational needs and disability] are initialisms that are also used to describe the same difficulties.</w:t>
      </w:r>
    </w:p>
    <w:p>
      <w:pPr>
        <w:pStyle w:val="Body"/>
        <w:spacing w:line="360" w:lineRule="auto"/>
        <w:jc w:val="left"/>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In addition, the Department for Education (1994a) says, </w:t>
      </w:r>
      <w:r>
        <w:rPr>
          <w:rFonts w:ascii="Times New Roman" w:hAnsi="Times New Roman" w:hint="default"/>
          <w:sz w:val="24"/>
          <w:szCs w:val="24"/>
          <w:rtl w:val="0"/>
          <w:lang w:val="en-US"/>
        </w:rPr>
        <w:t>“</w:t>
      </w:r>
      <w:r>
        <w:rPr>
          <w:rFonts w:ascii="Times New Roman" w:hAnsi="Times New Roman"/>
          <w:sz w:val="24"/>
          <w:szCs w:val="24"/>
          <w:rtl w:val="0"/>
          <w:lang w:val="en-US"/>
        </w:rPr>
        <w:t>Emotional and behavioural difficulties range from social maladaptation to abnormal emotional stress. They are persistent (if not necessarily permanent) and constitute learning difficulties.</w:t>
      </w:r>
      <w:r>
        <w:rPr>
          <w:rFonts w:ascii="Times New Roman" w:hAnsi="Times New Roman" w:hint="default"/>
          <w:sz w:val="24"/>
          <w:szCs w:val="24"/>
          <w:rtl w:val="0"/>
          <w:lang w:val="en-US"/>
        </w:rPr>
        <w:t xml:space="preserve">” </w:t>
      </w:r>
      <w:r>
        <w:rPr>
          <w:rFonts w:ascii="Times New Roman" w:hAnsi="Times New Roman"/>
          <w:sz w:val="24"/>
          <w:szCs w:val="24"/>
          <w:rtl w:val="0"/>
          <w:lang w:val="en-US"/>
        </w:rPr>
        <w:t>(</w:t>
      </w:r>
      <w:r>
        <w:rPr>
          <w:rFonts w:ascii="Times New Roman" w:hAnsi="Times New Roman"/>
          <w:sz w:val="24"/>
          <w:szCs w:val="24"/>
          <w:rtl w:val="0"/>
          <w:lang w:val="pt-PT"/>
        </w:rPr>
        <w:t>Circular 9/94, DfE, 1994</w:t>
      </w:r>
      <w:r>
        <w:rPr>
          <w:rFonts w:ascii="Times New Roman" w:hAnsi="Times New Roman"/>
          <w:sz w:val="24"/>
          <w:szCs w:val="24"/>
          <w:rtl w:val="0"/>
          <w:lang w:val="en-US"/>
        </w:rPr>
        <w:t>a).</w:t>
      </w:r>
    </w:p>
    <w:p>
      <w:pPr>
        <w:pStyle w:val="Body"/>
        <w:spacing w:line="360" w:lineRule="auto"/>
        <w:jc w:val="left"/>
        <w:rPr>
          <w:rFonts w:ascii="Times New Roman" w:cs="Times New Roman" w:hAnsi="Times New Roman" w:eastAsia="Times New Roman"/>
          <w:sz w:val="24"/>
          <w:szCs w:val="24"/>
        </w:rPr>
      </w:pPr>
      <w:r>
        <w:rPr>
          <w:rFonts w:ascii="Times New Roman" w:cs="Times New Roman" w:hAnsi="Times New Roman" w:eastAsia="Times New Roman"/>
          <w:sz w:val="24"/>
          <w:szCs w:val="24"/>
        </w:rPr>
        <w:tab/>
      </w:r>
      <w:r>
        <w:rPr>
          <w:rFonts w:ascii="Times New Roman" w:hAnsi="Times New Roman"/>
          <w:sz w:val="24"/>
          <w:szCs w:val="24"/>
          <w:rtl w:val="0"/>
          <w:lang w:val="en-US"/>
        </w:rPr>
        <w:t>However, there is no one true definition of SEBD</w:t>
      </w:r>
      <w:r>
        <w:rPr>
          <w:rFonts w:ascii="Times New Roman" w:hAnsi="Times New Roman"/>
          <w:sz w:val="24"/>
          <w:szCs w:val="24"/>
          <w:rtl w:val="0"/>
          <w:lang w:val="en-US"/>
        </w:rPr>
        <w:t>, something which reinforces the multifaceted nature of the difficulty. The Department for Education and Skills (2001) instead explains that indicators of SEBD include difficulty concentrating, excessive frustration, consistent disruptive behaviour and difficulties in forming relationships with others.</w:t>
      </w:r>
    </w:p>
    <w:p>
      <w:pPr>
        <w:pStyle w:val="Body"/>
        <w:spacing w:line="360" w:lineRule="auto"/>
        <w:jc w:val="left"/>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As a teacher within a primary SEBD unit, It is crucial for me to be as up to date as possible with views and research relating to SEBD in order for me to perform my role as effectively as possible. Not only is the intention of this literature review for me to potentially learn more about the causes of SEBD, but it is also to gain an insight into any connections and common themes that the various disorders, life events and behaviours that cause SEBD have in common. It is my intention to develop strategies from the research and apply them to my classroom in order to better support the children who attend the unit.</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Prevalance</w:t>
      </w: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Children</w:t>
      </w:r>
      <w:r>
        <w:rPr>
          <w:rFonts w:ascii="Times New Roman" w:hAnsi="Times New Roman" w:hint="default"/>
          <w:sz w:val="24"/>
          <w:szCs w:val="24"/>
          <w:rtl w:val="0"/>
          <w:lang w:val="en-US"/>
        </w:rPr>
        <w:t>’</w:t>
      </w:r>
      <w:r>
        <w:rPr>
          <w:rFonts w:ascii="Times New Roman" w:hAnsi="Times New Roman"/>
          <w:sz w:val="24"/>
          <w:szCs w:val="24"/>
          <w:rtl w:val="0"/>
          <w:lang w:val="en-US"/>
        </w:rPr>
        <w:t xml:space="preserve">s charity Barnados (2001) state that SEBD affects between 10-20% of children in England and Wales to a degree that affects their education. A report from Welsh Assembly Government (2017) shows that the rate of fixed-term exclusions has risen since 2013/14, with the most commonly cited reason for fixed-term exclusions of both over and under 5 days was </w:t>
      </w:r>
      <w:r>
        <w:rPr>
          <w:rFonts w:ascii="Times New Roman" w:hAnsi="Times New Roman" w:hint="default"/>
          <w:sz w:val="24"/>
          <w:szCs w:val="24"/>
          <w:rtl w:val="0"/>
          <w:lang w:val="en-US"/>
        </w:rPr>
        <w:t>“</w:t>
      </w:r>
      <w:r>
        <w:rPr>
          <w:rFonts w:ascii="Times New Roman" w:hAnsi="Times New Roman"/>
          <w:sz w:val="24"/>
          <w:szCs w:val="24"/>
          <w:rtl w:val="0"/>
          <w:lang w:val="en-US"/>
        </w:rPr>
        <w:t>Persistent disruptive behaviour</w:t>
      </w:r>
      <w:r>
        <w:rPr>
          <w:rFonts w:ascii="Times New Roman" w:hAnsi="Times New Roman" w:hint="default"/>
          <w:sz w:val="24"/>
          <w:szCs w:val="24"/>
          <w:rtl w:val="0"/>
          <w:lang w:val="en-US"/>
        </w:rPr>
        <w:t>”</w:t>
      </w:r>
      <w:r>
        <w:rPr>
          <w:rFonts w:ascii="Times New Roman" w:hAnsi="Times New Roman"/>
          <w:sz w:val="24"/>
          <w:szCs w:val="24"/>
          <w:rtl w:val="0"/>
          <w:lang w:val="en-US"/>
        </w:rPr>
        <w:t xml:space="preserve">. In addition, while the rate of permanent exclusions has not risen from 0.2 exclusions per 1000 pupils, the most commonly cited reason for the few permanent exclusions was </w:t>
      </w:r>
      <w:r>
        <w:rPr>
          <w:rFonts w:ascii="Times New Roman" w:hAnsi="Times New Roman" w:hint="default"/>
          <w:sz w:val="24"/>
          <w:szCs w:val="24"/>
          <w:rtl w:val="0"/>
          <w:lang w:val="en-US"/>
        </w:rPr>
        <w:t>“</w:t>
      </w:r>
      <w:r>
        <w:rPr>
          <w:rFonts w:ascii="Times New Roman" w:hAnsi="Times New Roman"/>
          <w:sz w:val="24"/>
          <w:szCs w:val="24"/>
          <w:rtl w:val="0"/>
          <w:lang w:val="en-US"/>
        </w:rPr>
        <w:t>physical assault against a pupil.</w:t>
      </w:r>
      <w:r>
        <w:rPr>
          <w:rFonts w:ascii="Times New Roman" w:hAnsi="Times New Roman" w:hint="default"/>
          <w:sz w:val="24"/>
          <w:szCs w:val="24"/>
          <w:rtl w:val="0"/>
          <w:lang w:val="en-US"/>
        </w:rPr>
        <w:t xml:space="preserve">” </w:t>
      </w:r>
      <w:r>
        <w:rPr>
          <w:rFonts w:ascii="Times New Roman" w:hAnsi="Times New Roman"/>
          <w:sz w:val="24"/>
          <w:szCs w:val="24"/>
          <w:rtl w:val="0"/>
          <w:lang w:val="en-US"/>
        </w:rPr>
        <w:t>(Welsh Assembly Government, 2017). This rise in frequency of SEBD is a driving factor behind this literature review.</w:t>
      </w:r>
    </w:p>
    <w:p>
      <w:pPr>
        <w:pStyle w:val="Body"/>
        <w:spacing w:line="360" w:lineRule="auto"/>
        <w:jc w:val="left"/>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Erickson (1998, p.97) and Cooper (2001) state that boys have a higher chance of developing SEBD, although there is an increase of SEBD within girls. Visser and Cole (2003) explain that the most common characteristics shared between children with SEBD are behavioural difficulties that often involve a level of violence, in addition to low self esteem, often linked with traumatic life events. </w:t>
      </w:r>
    </w:p>
    <w:p>
      <w:pPr>
        <w:pStyle w:val="Body"/>
        <w:spacing w:line="360" w:lineRule="auto"/>
        <w:jc w:val="left"/>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However, considering this, it is worth noting that each child is an individual, and that not all children who have SEBD are as noticeable as children who act out in school and at home. Many children internalise their issues which can lead to them being unnoticed by school professionals, especially in comparison to children who</w:t>
      </w:r>
      <w:r>
        <w:rPr>
          <w:rFonts w:ascii="Times New Roman" w:hAnsi="Times New Roman" w:hint="default"/>
          <w:sz w:val="24"/>
          <w:szCs w:val="24"/>
          <w:rtl w:val="0"/>
          <w:lang w:val="en-US"/>
        </w:rPr>
        <w:t>’</w:t>
      </w:r>
      <w:r>
        <w:rPr>
          <w:rFonts w:ascii="Times New Roman" w:hAnsi="Times New Roman"/>
          <w:sz w:val="24"/>
          <w:szCs w:val="24"/>
          <w:rtl w:val="0"/>
          <w:lang w:val="en-US"/>
        </w:rPr>
        <w:t>s SEBD manifests externally (Bennathan, 2003) (Long, 2002).</w:t>
      </w:r>
    </w:p>
    <w:p>
      <w:pPr>
        <w:pStyle w:val="Body"/>
        <w:spacing w:line="360" w:lineRule="auto"/>
        <w:jc w:val="left"/>
        <w:rPr>
          <w:rFonts w:ascii="Times New Roman" w:cs="Times New Roman" w:hAnsi="Times New Roman" w:eastAsia="Times New Roman"/>
          <w:sz w:val="24"/>
          <w:szCs w:val="24"/>
        </w:rPr>
      </w:pPr>
      <w:r>
        <w:rPr>
          <w:rFonts w:ascii="Times New Roman" w:cs="Times New Roman" w:hAnsi="Times New Roman" w:eastAsia="Times New Roman"/>
          <w:sz w:val="24"/>
          <w:szCs w:val="24"/>
        </w:rPr>
        <w:tab/>
      </w:r>
    </w:p>
    <w:p>
      <w:pPr>
        <w:pStyle w:val="Default"/>
        <w:bidi w:val="0"/>
        <w:spacing w:line="360" w:lineRule="auto"/>
        <w:ind w:left="0" w:right="0" w:firstLine="0"/>
        <w:jc w:val="left"/>
        <w:rPr>
          <w:rFonts w:ascii="Times New Roman" w:cs="Times New Roman" w:hAnsi="Times New Roman" w:eastAsia="Times New Roman"/>
          <w:sz w:val="24"/>
          <w:szCs w:val="24"/>
          <w:u w:val="single"/>
          <w:rtl w:val="0"/>
        </w:rPr>
      </w:pPr>
      <w:r>
        <w:rPr>
          <w:rFonts w:ascii="Times New Roman" w:hAnsi="Times New Roman"/>
          <w:sz w:val="24"/>
          <w:szCs w:val="24"/>
          <w:u w:val="single"/>
          <w:rtl w:val="0"/>
          <w:lang w:val="en-US"/>
        </w:rPr>
        <w:t>Causes of SEBD</w:t>
      </w: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The Code of practise on the identification and and assessment of special educational needs (1994b) states, in relation to the causes of SEBD:</w:t>
      </w: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cs="Times New Roman" w:hAnsi="Times New Roman" w:eastAsia="Times New Roman"/>
          <w:sz w:val="24"/>
          <w:szCs w:val="24"/>
          <w:rtl w:val="0"/>
        </w:rPr>
        <w:tab/>
      </w:r>
      <w:r>
        <w:rPr>
          <w:rFonts w:ascii="Times New Roman" w:hAnsi="Times New Roman"/>
          <w:sz w:val="24"/>
          <w:szCs w:val="24"/>
          <w:rtl w:val="0"/>
          <w:lang w:val="en-US"/>
        </w:rPr>
        <w:t xml:space="preserve">Emotional and behavioural difficulties may result, for example, from abuse or neglect; </w:t>
      </w:r>
      <w:r>
        <w:rPr>
          <w:rFonts w:ascii="Times New Roman" w:cs="Times New Roman" w:hAnsi="Times New Roman" w:eastAsia="Times New Roman"/>
          <w:sz w:val="24"/>
          <w:szCs w:val="24"/>
          <w:rtl w:val="0"/>
        </w:rPr>
        <w:tab/>
        <w:tab/>
      </w:r>
      <w:r>
        <w:rPr>
          <w:rFonts w:ascii="Times New Roman" w:hAnsi="Times New Roman"/>
          <w:sz w:val="24"/>
          <w:szCs w:val="24"/>
          <w:rtl w:val="0"/>
          <w:lang w:val="en-US"/>
        </w:rPr>
        <w:t xml:space="preserve">physical or mental illness; sensory or physical impairment; or psychological trauma. In </w:t>
      </w:r>
      <w:r>
        <w:rPr>
          <w:rFonts w:ascii="Times New Roman" w:cs="Times New Roman" w:hAnsi="Times New Roman" w:eastAsia="Times New Roman"/>
          <w:sz w:val="24"/>
          <w:szCs w:val="24"/>
          <w:rtl w:val="0"/>
        </w:rPr>
        <w:tab/>
        <w:tab/>
      </w:r>
      <w:r>
        <w:rPr>
          <w:rFonts w:ascii="Times New Roman" w:hAnsi="Times New Roman"/>
          <w:sz w:val="24"/>
          <w:szCs w:val="24"/>
          <w:rtl w:val="0"/>
          <w:lang w:val="en-US"/>
        </w:rPr>
        <w:t xml:space="preserve">some cases, emotional and behavioural difficulties may arise from or be exacerbated by </w:t>
      </w:r>
      <w:r>
        <w:rPr>
          <w:rFonts w:ascii="Times New Roman" w:cs="Times New Roman" w:hAnsi="Times New Roman" w:eastAsia="Times New Roman"/>
          <w:sz w:val="24"/>
          <w:szCs w:val="24"/>
          <w:rtl w:val="0"/>
        </w:rPr>
        <w:tab/>
        <w:tab/>
      </w:r>
      <w:r>
        <w:rPr>
          <w:rFonts w:ascii="Times New Roman" w:hAnsi="Times New Roman"/>
          <w:sz w:val="24"/>
          <w:szCs w:val="24"/>
          <w:rtl w:val="0"/>
          <w:lang w:val="en-US"/>
        </w:rPr>
        <w:t xml:space="preserve">circumstances within the school environment. They may also be associated with other </w:t>
      </w:r>
      <w:r>
        <w:rPr>
          <w:rFonts w:ascii="Times New Roman" w:cs="Times New Roman" w:hAnsi="Times New Roman" w:eastAsia="Times New Roman"/>
          <w:sz w:val="24"/>
          <w:szCs w:val="24"/>
          <w:rtl w:val="0"/>
        </w:rPr>
        <w:tab/>
        <w:tab/>
      </w:r>
      <w:r>
        <w:rPr>
          <w:rFonts w:ascii="Times New Roman" w:hAnsi="Times New Roman"/>
          <w:sz w:val="24"/>
          <w:szCs w:val="24"/>
          <w:rtl w:val="0"/>
          <w:lang w:val="en-US"/>
        </w:rPr>
        <w:t>learning difficulties</w:t>
      </w:r>
      <w:r>
        <w:rPr>
          <w:rFonts w:ascii="Times New Roman" w:hAnsi="Times New Roman" w:hint="default"/>
          <w:sz w:val="24"/>
          <w:szCs w:val="24"/>
          <w:rtl w:val="0"/>
          <w:lang w:val="en-US"/>
        </w:rPr>
        <w:t xml:space="preserve">… </w:t>
      </w:r>
      <w:r>
        <w:rPr>
          <w:rFonts w:ascii="Times New Roman" w:hAnsi="Times New Roman"/>
          <w:sz w:val="24"/>
          <w:szCs w:val="24"/>
          <w:rtl w:val="0"/>
          <w:lang w:val="en-US"/>
        </w:rPr>
        <w:t>(Department for Education, 1994b)</w:t>
      </w: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Cooper, Smith and Upton (1994) also cite a variety of factors that can cause SEBD, from family issues including low socioeconomic status or strained parent-child relationships, to development disorders.</w:t>
      </w: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cs="Times New Roman" w:hAnsi="Times New Roman" w:eastAsia="Times New Roman"/>
          <w:sz w:val="24"/>
          <w:szCs w:val="24"/>
          <w:rtl w:val="0"/>
        </w:rPr>
        <w:tab/>
        <w:t>It is clear that there is no one single cause of SEBD in children, and that many underlying factors may contribute to these types of difficulty at school and in the home. Nunns (2019) uses an iceberg analogy for children with SEBD, and explains that the behaviours witnessed are only a small part of the greater issue, and that the bulk of the underlying cause is unseen, like the bottom half of an iceberg that lurks below the surface of the water.</w:t>
      </w:r>
    </w:p>
    <w:p>
      <w:pPr>
        <w:pStyle w:val="Default"/>
        <w:bidi w:val="0"/>
        <w:spacing w:line="360" w:lineRule="auto"/>
        <w:ind w:left="0" w:right="0" w:firstLine="0"/>
        <w:jc w:val="left"/>
        <w:rPr>
          <w:rFonts w:ascii="Times New Roman" w:cs="Times New Roman" w:hAnsi="Times New Roman" w:eastAsia="Times New Roman"/>
          <w:sz w:val="24"/>
          <w:szCs w:val="24"/>
          <w:rtl w:val="0"/>
        </w:rPr>
      </w:pPr>
    </w:p>
    <w:p>
      <w:pPr>
        <w:pStyle w:val="Default"/>
        <w:bidi w:val="0"/>
        <w:spacing w:line="360" w:lineRule="auto"/>
        <w:ind w:left="0" w:right="0" w:firstLine="0"/>
        <w:jc w:val="left"/>
        <w:rPr>
          <w:rFonts w:ascii="Times New Roman" w:cs="Times New Roman" w:hAnsi="Times New Roman" w:eastAsia="Times New Roman"/>
          <w:sz w:val="24"/>
          <w:szCs w:val="24"/>
          <w:u w:val="single"/>
          <w:rtl w:val="0"/>
        </w:rPr>
      </w:pPr>
      <w:r>
        <w:rPr>
          <w:rFonts w:ascii="Times New Roman" w:hAnsi="Times New Roman"/>
          <w:sz w:val="24"/>
          <w:szCs w:val="24"/>
          <w:u w:val="single"/>
          <w:rtl w:val="0"/>
          <w:lang w:val="en-US"/>
        </w:rPr>
        <w:t>Communication issues</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r>
        <w:rPr>
          <w:rFonts w:ascii="Times New Roman" w:hAnsi="Times New Roman"/>
          <w:sz w:val="24"/>
          <w:szCs w:val="24"/>
          <w:rtl w:val="0"/>
          <w:lang w:val="en-US"/>
        </w:rPr>
        <w:t xml:space="preserve">Children who have some sort of language delay can display SEBD. Cross (2011) states,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Over 50 per cent of children who have communication difficulties develop SEBD and mental health difficulties of all kinds. This means they are three to four times more likely to develop such difficulties as other children.</w:t>
      </w:r>
      <w:r>
        <w:rPr>
          <w:rFonts w:ascii="Times New Roman" w:hAnsi="Times New Roman" w:hint="default"/>
          <w:sz w:val="24"/>
          <w:szCs w:val="24"/>
          <w:u w:color="555555"/>
          <w:rtl w:val="0"/>
          <w:lang w:val="en-US"/>
        </w:rPr>
        <w:t>”</w:t>
      </w:r>
      <w:r>
        <w:rPr>
          <w:rFonts w:ascii="Times New Roman" w:hAnsi="Times New Roman"/>
          <w:sz w:val="24"/>
          <w:szCs w:val="24"/>
          <w:u w:color="555555"/>
          <w:rtl w:val="0"/>
        </w:rPr>
        <w:t xml:space="preserve"> (Cross, 2011, p.41-42)</w:t>
      </w:r>
      <w:r>
        <w:rPr>
          <w:rFonts w:ascii="Times New Roman" w:hAnsi="Times New Roman"/>
          <w:sz w:val="24"/>
          <w:szCs w:val="24"/>
          <w:u w:color="555555"/>
          <w:rtl w:val="0"/>
          <w:lang w:val="en-US"/>
        </w:rPr>
        <w:t>. Kauffman (2010) explains how children with speech disorders can often present with disruptive behaviours as a method of coping with their difficulty with classwork. A study by Benner, Nelson and Epstein (2002) found that up to 75% of children who displayed SEBD suffered with language problems, and were viewed to be the most challenging pupils in classrooms.</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p>
    <w:p>
      <w:pPr>
        <w:pStyle w:val="Default"/>
        <w:bidi w:val="0"/>
        <w:spacing w:line="360" w:lineRule="auto"/>
        <w:ind w:left="0" w:right="0" w:firstLine="0"/>
        <w:jc w:val="left"/>
        <w:rPr>
          <w:rFonts w:ascii="Times New Roman" w:cs="Times New Roman" w:hAnsi="Times New Roman" w:eastAsia="Times New Roman"/>
          <w:sz w:val="24"/>
          <w:szCs w:val="24"/>
          <w:u w:val="single" w:color="555555"/>
          <w:rtl w:val="0"/>
        </w:rPr>
      </w:pPr>
      <w:r>
        <w:rPr>
          <w:rFonts w:ascii="Times New Roman" w:hAnsi="Times New Roman"/>
          <w:sz w:val="24"/>
          <w:szCs w:val="24"/>
          <w:u w:val="single" w:color="555555"/>
          <w:rtl w:val="0"/>
          <w:lang w:val="en-US"/>
        </w:rPr>
        <w:t>Home life</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r>
        <w:rPr>
          <w:rFonts w:ascii="Times New Roman" w:hAnsi="Times New Roman"/>
          <w:sz w:val="24"/>
          <w:szCs w:val="24"/>
          <w:u w:color="555555"/>
          <w:rtl w:val="0"/>
          <w:lang w:val="en-US"/>
        </w:rPr>
        <w:t xml:space="preserve">The lack of a stable home life can be a big factor into causing SEBD. Fox (2001) puts it very simply: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 xml:space="preserve">If it is normal for family members to express anger by shouting or swearing at each other the child will learn this behaviour as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normal</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 xml:space="preserve">(Fox, 2001, p.10). This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learning</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 xml:space="preserve">from the home environment is explained further by Farrell (2003):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the environment has played an important part in shaping the child</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behaviour. Inappropriate behaviour such as bullying or verbal abuse has been learnt and reinforced</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(Farrell, 2003, p.101).</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r>
        <w:rPr>
          <w:rFonts w:ascii="Times New Roman" w:cs="Times New Roman" w:hAnsi="Times New Roman" w:eastAsia="Times New Roman"/>
          <w:sz w:val="24"/>
          <w:szCs w:val="24"/>
          <w:u w:color="555555"/>
          <w:rtl w:val="0"/>
        </w:rPr>
        <w:tab/>
        <w:t xml:space="preserve">The role of a parent, therefore, is crucial in providing stability for the child, and if this relationship between parent and child is disrupted due to neglect, lack of emotional availability, or by any other means, the risk of the child developing SEBD is higher than if the parent were more available (Luthar, 2003). </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p>
    <w:p>
      <w:pPr>
        <w:pStyle w:val="Default"/>
        <w:bidi w:val="0"/>
        <w:spacing w:line="360" w:lineRule="auto"/>
        <w:ind w:left="0" w:right="0" w:firstLine="0"/>
        <w:jc w:val="left"/>
        <w:rPr>
          <w:rFonts w:ascii="Times New Roman" w:cs="Times New Roman" w:hAnsi="Times New Roman" w:eastAsia="Times New Roman"/>
          <w:sz w:val="24"/>
          <w:szCs w:val="24"/>
          <w:u w:val="single" w:color="555555"/>
          <w:rtl w:val="0"/>
        </w:rPr>
      </w:pPr>
      <w:r>
        <w:rPr>
          <w:rFonts w:ascii="Times New Roman" w:hAnsi="Times New Roman"/>
          <w:sz w:val="24"/>
          <w:szCs w:val="24"/>
          <w:u w:val="single" w:color="555555"/>
          <w:rtl w:val="0"/>
          <w:lang w:val="en-US"/>
        </w:rPr>
        <w:t>Attachment</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r>
        <w:rPr>
          <w:rFonts w:ascii="Times New Roman" w:hAnsi="Times New Roman"/>
          <w:sz w:val="24"/>
          <w:szCs w:val="24"/>
          <w:u w:color="555555"/>
          <w:rtl w:val="0"/>
          <w:lang w:val="en-US"/>
        </w:rPr>
        <w:t xml:space="preserve">Emotional unavailability from primary caregivers can lead to insecure attachments in children, and therefore attachment disorders, specifically avoidant attachment. Tully and Brendtro (1998) describe these children as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likely to have developed a hostile approach to life. Because they have not been provided with a protective environment, they do not have even a minimal amount of trust in the adults who are supposed to care for them.</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 xml:space="preserve">Children who have an insecure attachment to their parents or caregivers may end up not feel as though they are able to express themselves negatively towards their attachment figures, and therefore as a result can express their angers towards other caregivers who are not their main attachment figure, e.g. teachers. (Ayers, Clarke and Murray, 1995). Prever (2006, p.46) reinforces this by stating,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They may be less able to cope with stress and frustration and act in defiant of aggressive ways towards adults and peers. They are more likely to engage in anti-social activity, risky behaviours and addictions.</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 xml:space="preserve">They then list other behaviours a child with an attachment disorder may present with, including, but limited to; destructive behaviour, cruelty to animals, a lack of empathy, trouble with authority and contempt for others. (Prever, 2006). </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r>
        <w:rPr>
          <w:rFonts w:ascii="Times New Roman" w:cs="Times New Roman" w:hAnsi="Times New Roman" w:eastAsia="Times New Roman"/>
          <w:sz w:val="24"/>
          <w:szCs w:val="24"/>
          <w:u w:color="555555"/>
          <w:rtl w:val="0"/>
        </w:rPr>
        <w:tab/>
        <w:t xml:space="preserve">Erickson (1998) states,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Certain environmental conditions, particularly those related to stimulus deprivation and abuse can have a detrimental effect on both physical and psychological development.</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 xml:space="preserve"> (Erickson, 1998, p. 97)</w:t>
      </w:r>
      <w:r>
        <w:rPr>
          <w:rFonts w:ascii="Times New Roman" w:hAnsi="Times New Roman"/>
          <w:sz w:val="24"/>
          <w:szCs w:val="24"/>
          <w:u w:color="555555"/>
          <w:rtl w:val="0"/>
          <w:lang w:val="en-US"/>
        </w:rPr>
        <w:t>.</w:t>
      </w:r>
      <w:r>
        <w:rPr>
          <w:rFonts w:ascii="Times New Roman" w:hAnsi="Times New Roman"/>
          <w:sz w:val="24"/>
          <w:szCs w:val="24"/>
          <w:u w:color="555555"/>
          <w:rtl w:val="0"/>
        </w:rPr>
        <w:t xml:space="preserve"> </w:t>
      </w:r>
      <w:r>
        <w:rPr>
          <w:rFonts w:ascii="Times New Roman" w:hAnsi="Times New Roman"/>
          <w:sz w:val="24"/>
          <w:szCs w:val="24"/>
          <w:u w:color="555555"/>
          <w:rtl w:val="0"/>
          <w:lang w:val="en-US"/>
        </w:rPr>
        <w:t xml:space="preserve">An interesting feature noted by Tully and Brendtro (1998) is that children with attachment disorders often appear to not learn from past experiences due to issues with their development of receptive language, and therefore make the same mistakes repeatedly. </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r>
        <w:rPr>
          <w:rFonts w:ascii="Times New Roman" w:cs="Times New Roman" w:hAnsi="Times New Roman" w:eastAsia="Times New Roman"/>
          <w:sz w:val="24"/>
          <w:szCs w:val="24"/>
          <w:u w:color="555555"/>
          <w:rtl w:val="0"/>
        </w:rPr>
        <w:tab/>
      </w:r>
    </w:p>
    <w:p>
      <w:pPr>
        <w:pStyle w:val="Default"/>
        <w:bidi w:val="0"/>
        <w:spacing w:line="360" w:lineRule="auto"/>
        <w:ind w:left="0" w:right="0" w:firstLine="0"/>
        <w:jc w:val="left"/>
        <w:rPr>
          <w:rFonts w:ascii="Times New Roman" w:cs="Times New Roman" w:hAnsi="Times New Roman" w:eastAsia="Times New Roman"/>
          <w:sz w:val="24"/>
          <w:szCs w:val="24"/>
          <w:u w:val="single" w:color="555555"/>
          <w:rtl w:val="0"/>
        </w:rPr>
      </w:pPr>
      <w:r>
        <w:rPr>
          <w:rFonts w:ascii="Times New Roman" w:hAnsi="Times New Roman"/>
          <w:sz w:val="24"/>
          <w:szCs w:val="24"/>
          <w:u w:val="single" w:color="555555"/>
          <w:rtl w:val="0"/>
          <w:lang w:val="en-US"/>
        </w:rPr>
        <w:t>Poverty</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r>
        <w:rPr>
          <w:rFonts w:ascii="Times New Roman" w:hAnsi="Times New Roman"/>
          <w:sz w:val="24"/>
          <w:szCs w:val="24"/>
          <w:u w:color="555555"/>
          <w:rtl w:val="0"/>
          <w:lang w:val="en-US"/>
        </w:rPr>
        <w:t xml:space="preserve">Interestingly, poverty is also an indicator of behavioural issues (Erickson, 1998; Scott and Nelson, 1999). Ackerman et al (1999) note that the stress of living with low socioeconomic status may make caregivers unable to provide adequate emotional support for their children, which in turn contributes toward behavioural issues. Cortisol is the main stress hormone in the body and is released at stressful times (Health Direct, 2018), and poverty has been linked to higher base levels of the hormone in children (Lupien at al., 2001). Turner-Cobb (2014) states,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 xml:space="preserve">Indeed, poverty is considered an important underlying factor in the stress-health link and early childhood economic disadvantage a major cause of stress on a number of levels. </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p>
    <w:p>
      <w:pPr>
        <w:pStyle w:val="Default"/>
        <w:bidi w:val="0"/>
        <w:spacing w:line="360" w:lineRule="auto"/>
        <w:ind w:left="0" w:right="0" w:firstLine="0"/>
        <w:jc w:val="left"/>
        <w:rPr>
          <w:rFonts w:ascii="Times New Roman" w:cs="Times New Roman" w:hAnsi="Times New Roman" w:eastAsia="Times New Roman"/>
          <w:sz w:val="24"/>
          <w:szCs w:val="24"/>
          <w:u w:val="single" w:color="555555"/>
          <w:rtl w:val="0"/>
        </w:rPr>
      </w:pPr>
      <w:r>
        <w:rPr>
          <w:rFonts w:ascii="Times New Roman" w:hAnsi="Times New Roman"/>
          <w:sz w:val="24"/>
          <w:szCs w:val="24"/>
          <w:u w:val="single" w:color="555555"/>
          <w:rtl w:val="0"/>
          <w:lang w:val="en-US"/>
        </w:rPr>
        <w:t>Abuse</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r>
        <w:rPr>
          <w:rFonts w:ascii="Times New Roman" w:hAnsi="Times New Roman"/>
          <w:sz w:val="24"/>
          <w:szCs w:val="24"/>
          <w:u w:color="555555"/>
          <w:rtl w:val="0"/>
          <w:lang w:val="en-US"/>
        </w:rPr>
        <w:t xml:space="preserve">Children suffer from abuse at home are also at risk of exhibiting violent or disruptive behaviour in the classroom and displaying SEBD. Prever (2006, p.31) says,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Physically abused children may become overly aggressive towards adults in the school, and their peers.</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 xml:space="preserve">Gemelli (1983, p.18-23) states,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Student anger can be triggered by a need to be punished. Students who are abused, deprived and abandoned commonly have blamed themselves for their emotional plight</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These students will almost always succeed in being punished if they act aggressively</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Adults who were abused during childhood have also reported that they struggled with relationships as children as a result (Nader, 2001). Herman says:</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r>
        <w:rPr>
          <w:rFonts w:ascii="Times New Roman" w:cs="Times New Roman" w:hAnsi="Times New Roman" w:eastAsia="Times New Roman"/>
          <w:sz w:val="24"/>
          <w:szCs w:val="24"/>
          <w:u w:color="555555"/>
          <w:rtl w:val="0"/>
        </w:rPr>
        <w:tab/>
        <w:t xml:space="preserve">Repeated trauma in adult life erodes the structure of the personality already formed, but </w:t>
        <w:tab/>
        <w:tab/>
        <w:t xml:space="preserve">repeated trauma in childhood forms and deformed the personality. The child trapped in an </w:t>
        <w:tab/>
        <w:t xml:space="preserve">abusive environment is faced with formidable tasks of adaptation. She must find a way to </w:t>
        <w:tab/>
        <w:t xml:space="preserve">preserve a sense of trust in people who are untrustworthy, safety in a situation that is unsafe, </w:t>
        <w:tab/>
        <w:t xml:space="preserve">control in a situation that is terrifyingly unpredictable, power in a situation of helplessness. </w:t>
        <w:tab/>
        <w:t>(Herman, 1992, p. 96)</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r>
        <w:rPr>
          <w:rFonts w:ascii="Times New Roman" w:hAnsi="Times New Roman"/>
          <w:sz w:val="24"/>
          <w:szCs w:val="24"/>
          <w:u w:color="555555"/>
          <w:rtl w:val="0"/>
          <w:lang w:val="en-US"/>
        </w:rPr>
        <w:t xml:space="preserve">Is it any wonder why, then, considering the uncertainty of day to day life, why children suffering from abuse and trauma also suffer from SEBD? Fryer (2015) details the aggressive, clingy and other behaviours indicative of SEBD that her adopted son displayed after suffering physical and emotional trauma as an infant. </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r>
        <w:rPr>
          <w:rFonts w:ascii="Times New Roman" w:cs="Times New Roman" w:hAnsi="Times New Roman" w:eastAsia="Times New Roman"/>
          <w:sz w:val="24"/>
          <w:szCs w:val="24"/>
          <w:u w:color="555555"/>
          <w:rtl w:val="0"/>
        </w:rPr>
        <w:tab/>
        <w:t>Girls who suffer from abuse typically respond differently to boys, and can be at risk of going unnoticed. While boys typically will externalise their responses and become angry and violent, girls may internalise their emotions and withdraw, making them far more difficult to notice and support. (Collins and Johnston-Wilder, 2005)</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p>
    <w:p>
      <w:pPr>
        <w:pStyle w:val="Default"/>
        <w:bidi w:val="0"/>
        <w:spacing w:line="360" w:lineRule="auto"/>
        <w:ind w:left="0" w:right="0" w:firstLine="0"/>
        <w:jc w:val="left"/>
        <w:rPr>
          <w:rFonts w:ascii="Times New Roman" w:cs="Times New Roman" w:hAnsi="Times New Roman" w:eastAsia="Times New Roman"/>
          <w:sz w:val="24"/>
          <w:szCs w:val="24"/>
          <w:u w:val="single" w:color="555555"/>
          <w:rtl w:val="0"/>
        </w:rPr>
      </w:pPr>
      <w:r>
        <w:rPr>
          <w:rFonts w:ascii="Times New Roman" w:hAnsi="Times New Roman"/>
          <w:sz w:val="24"/>
          <w:szCs w:val="24"/>
          <w:u w:val="single" w:color="555555"/>
          <w:rtl w:val="0"/>
          <w:lang w:val="en-US"/>
        </w:rPr>
        <w:t>Post Traumatic Stress Disorder (PTSD)</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r>
        <w:rPr>
          <w:rFonts w:ascii="Times New Roman" w:hAnsi="Times New Roman"/>
          <w:sz w:val="24"/>
          <w:szCs w:val="24"/>
          <w:u w:color="555555"/>
          <w:rtl w:val="0"/>
          <w:lang w:val="en-US"/>
        </w:rPr>
        <w:t>When PTSD was first formulated it was determined that the diagnosis would not be relevant for children. (</w:t>
      </w:r>
      <w:r>
        <w:rPr>
          <w:rFonts w:ascii="Times New Roman" w:hAnsi="Times New Roman"/>
          <w:sz w:val="24"/>
          <w:szCs w:val="24"/>
          <w:u w:color="555555"/>
          <w:rtl w:val="0"/>
          <w:lang w:val="en-US"/>
        </w:rPr>
        <w:t>American Psychiatric Association</w:t>
      </w:r>
      <w:r>
        <w:rPr>
          <w:rFonts w:ascii="Times New Roman" w:hAnsi="Times New Roman"/>
          <w:sz w:val="24"/>
          <w:szCs w:val="24"/>
          <w:u w:color="555555"/>
          <w:rtl w:val="0"/>
          <w:lang w:val="en-US"/>
        </w:rPr>
        <w:t xml:space="preserve">, 1980) However, it is now recognised that children, too, can exhibit symptoms of PTSD, upon experiencing a significant traumatic event. Symptoms are, increased irritability, aggressive behaviour, hyper-vigilance, and concentration difficulties (NHS, 2018; ADAA, 2015.) Prever (2006, p.59) discusses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hyperarousal</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 xml:space="preserve">,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in other words, the constant sense of being under threat, will affect peace of mind and concentration and lead to angry or explosive outbursts.</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Wicks-Nelson and Israel (1984) describe the irritability an angry outbursts that children suffering from PTSD display, but also that children may become clingy to caregivers and resist school, and even lose faith in the capability of adult figures to protect them.</w:t>
      </w:r>
    </w:p>
    <w:p>
      <w:pPr>
        <w:pStyle w:val="Default"/>
        <w:bidi w:val="0"/>
        <w:spacing w:line="360" w:lineRule="auto"/>
        <w:ind w:left="0" w:right="0" w:firstLine="0"/>
        <w:jc w:val="left"/>
        <w:rPr>
          <w:rFonts w:ascii="Times New Roman" w:cs="Times New Roman" w:hAnsi="Times New Roman" w:eastAsia="Times New Roman"/>
          <w:sz w:val="24"/>
          <w:szCs w:val="24"/>
          <w:u w:color="555555"/>
          <w:rtl w:val="0"/>
        </w:rPr>
      </w:pPr>
    </w:p>
    <w:p>
      <w:pPr>
        <w:pStyle w:val="Default"/>
        <w:bidi w:val="0"/>
        <w:spacing w:line="360" w:lineRule="auto"/>
        <w:ind w:left="0" w:right="0" w:firstLine="0"/>
        <w:jc w:val="left"/>
        <w:rPr>
          <w:rFonts w:ascii="Times New Roman" w:cs="Times New Roman" w:hAnsi="Times New Roman" w:eastAsia="Times New Roman"/>
          <w:sz w:val="24"/>
          <w:szCs w:val="24"/>
          <w:u w:val="single" w:color="555555"/>
          <w:rtl w:val="0"/>
        </w:rPr>
      </w:pPr>
      <w:r>
        <w:rPr>
          <w:rFonts w:ascii="Times New Roman" w:hAnsi="Times New Roman"/>
          <w:sz w:val="24"/>
          <w:szCs w:val="24"/>
          <w:u w:val="single" w:color="555555"/>
          <w:rtl w:val="0"/>
          <w:lang w:val="en-US"/>
        </w:rPr>
        <w:t>Low Self-Esteem</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Low self-esteem in children can be caused by various factors, but the adverse affects on children</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behaviour is worth noting. Many pupils can put up a false front, often using aggressive, or attention-seeking and disruptive behaviour, which can be caused by the child</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 xml:space="preserve">s anxieties about their self image (Ayers, Clarke and Murray, 1995). Wall states,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Research evidence clearly identifies links between low self-esteem, social, emotional and behavioural problems, learning difficulties and academic achievement.</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(2011, p.84)</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val="single" w:color="555555"/>
          <w:rtl w:val="0"/>
          <w:lang w:val="en-US"/>
        </w:rPr>
      </w:pPr>
      <w:r>
        <w:rPr>
          <w:rFonts w:ascii="Times New Roman" w:hAnsi="Times New Roman"/>
          <w:sz w:val="24"/>
          <w:szCs w:val="24"/>
          <w:u w:val="single" w:color="555555"/>
          <w:rtl w:val="0"/>
          <w:lang w:val="en-US"/>
        </w:rPr>
        <w:t>Oppositional Defiant Disorder (ODD)/Conduct Disorder (CD)</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 xml:space="preserve">ODD and CD are disorders that are primarily focused on the disruptive and noticeable oppositional behaviour of children.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Children with oppositional defiant disorder are those who have persistent patterns of negativistic, hostile, or defiant behaviour directed primarily towards adults.</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 xml:space="preserve">(Forness, Water and Kavale, 2003, p.42-49). Erickson states,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Behaviours typical of Oppositional Defiant Disorder include testing limits, stubborn resistance to requests, and verbal aggression.</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 xml:space="preserve">(1998, p.221). Ayers and Prytys add,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The main symptoms are frequent temper loss, anger, resentment, vindictiveness, disobedience, arguing with an defying adults, particularly parents, and blaming others.</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(2002, p.148). While all children will, at some point in their development, display oppositional behaviour, a child must display these behaviours far more frequently than is developmentally appropriate (Wicks-Nelson and Israel, 1984). Leaman summarises the behaviour of a child with ODD:</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Refusal (deliberately not following instructions), defiance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no one tells me what to do</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 xml:space="preserve">), </w:t>
        <w:tab/>
        <w:tab/>
        <w:t xml:space="preserve">avoidance (running away, pretending not to listen) and being obtuse (sulking, arguing back) </w:t>
        <w:tab/>
        <w:t xml:space="preserve">are the </w:t>
        <w:tab/>
        <w:t xml:space="preserve">uncooperative symptoms of the student who hates to have power taken from them. If </w:t>
        <w:tab/>
        <w:t xml:space="preserve">they feel their sense of self/power is threatened, they will employ their well-tuned defence </w:t>
        <w:tab/>
        <w:t>mechanism: lack of cooperation. (Leaman, 2009, p.75)</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In comparison, Prever summarises CD:</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 xml:space="preserve">Pupils with these disorders may have difficulty following rules and behaving in the socially </w:t>
        <w:tab/>
        <w:t>acceptable ways normally expected of their peer group</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 xml:space="preserve">The causes of conduct disorder </w:t>
        <w:tab/>
        <w:tab/>
        <w:t xml:space="preserve">appear to relate to susceptibility to genetic factors and a range of genetic influences such as </w:t>
        <w:tab/>
        <w:t xml:space="preserve">inconsistent behavioural expectations at home. These might include overzealous discipline, </w:t>
        <w:tab/>
        <w:t xml:space="preserve">abuse relationships between parents, loss or grief, physical or emotional abuse, criminal </w:t>
        <w:tab/>
        <w:tab/>
        <w:t xml:space="preserve">behaviour of parents or siblings, and the negative influence of the peer group. (Prever, </w:t>
        <w:tab/>
        <w:tab/>
        <w:t>2006, p.51)</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ODD appears to be linked closely with parental mental health issues and can result from parents or caregivers inability to care adequately for their children</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needs due to their own issues (Ant</w:t>
      </w:r>
      <w:r>
        <w:rPr>
          <w:rFonts w:ascii="Times New Roman" w:hAnsi="Times New Roman" w:hint="default"/>
          <w:sz w:val="24"/>
          <w:szCs w:val="24"/>
          <w:u w:color="555555"/>
          <w:rtl w:val="0"/>
          <w:lang w:val="en-US"/>
        </w:rPr>
        <w:t>ú</w:t>
      </w:r>
      <w:r>
        <w:rPr>
          <w:rFonts w:ascii="Times New Roman" w:hAnsi="Times New Roman"/>
          <w:sz w:val="24"/>
          <w:szCs w:val="24"/>
          <w:u w:color="555555"/>
          <w:rtl w:val="0"/>
          <w:lang w:val="en-US"/>
        </w:rPr>
        <w:t>nez et al, 2016).</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val="single" w:color="555555"/>
          <w:rtl w:val="0"/>
          <w:lang w:val="en-US"/>
        </w:rPr>
      </w:pPr>
      <w:r>
        <w:rPr>
          <w:rFonts w:ascii="Times New Roman" w:hAnsi="Times New Roman"/>
          <w:sz w:val="24"/>
          <w:szCs w:val="24"/>
          <w:u w:val="single" w:color="555555"/>
          <w:rtl w:val="0"/>
          <w:lang w:val="en-US"/>
        </w:rPr>
        <w:t>Attention Deficit Hyperactivity Disorder (ADHD)</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Hughes and Cooper describe the three types of ADHD that children display:</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 hyperactive/impulsive type</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 inattentive type</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 combined hyperactive-impulsive.inattentive type. (2007, p.1)</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Inattentiveness is summarised as when children have difficulty engaging in tasks and activities. Impulsiveness is summarised as what appears to be impatience, when children find it difficult to wait their turn and will often shout out or interrupt people talking. Finally, hyperactivity is summarised as the appearance of restlessness, where motor activities such as tapping, fidgeting and excessive walking and talking are performed at higher than average frequencies. It can appear as though the child is driven by a motor. (Hughes and Cooper, 2007; Ayers and Prytys, 2002).</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 xml:space="preserve">Ayers and Prytys expand upon this: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Inattention in the school context includes failure to follow instructions, lack of organisation, reluctance to work, loss of equipment, forgetfulness and distractibility,. Impulsivity includes difficulty in waiting one</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turn, interrupting and intruding on peer activities,. Hyperactivity includes fidgeting, leaving one</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seat or place, running about, being excessively noisy or talkative.</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(2002, p.28)</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Alban-Metcalfe and Alban-Metcalfe explain how, in addition to these types of ADHD, which may already cause issues within a classroom, children also may experience frustration, which can manifest itself as bad moods, agitation and aggression, both verbal and physical and directed towards the child and others, including teachers and other pupils. (Alban-Metcalfe and Alban-Metcalfe, 2001).</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val="single" w:color="555555"/>
          <w:rtl w:val="0"/>
          <w:lang w:val="en-US"/>
        </w:rPr>
      </w:pPr>
      <w:r>
        <w:rPr>
          <w:rFonts w:ascii="Times New Roman" w:hAnsi="Times New Roman"/>
          <w:sz w:val="24"/>
          <w:szCs w:val="24"/>
          <w:u w:val="single" w:color="555555"/>
          <w:rtl w:val="0"/>
          <w:lang w:val="en-US"/>
        </w:rPr>
        <w:t>Conclusion</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SEBD is a very heavily researched subject, with a wealth of information written about it. Upon reviewing the literature, it is clear that there is no single cause of social, emotional and behaviour difficulties in children, and instead a wide variety of factors that can influence whether a child will display these behaviours. There are many instances where children can have multiple disorders or issues, that combine to create a melting pot of sorts, resulting in severe enough behavioural issues for the children to be classed as SEBD. Overall, however, there seems to be a particularly strong correlation between inefficient parenting and SEBD. This is still a wide area, however, and comprises of, but is not limited to, households with overbearing discipline, emotionally unavailable parents (due to a variety of reasons), abusive parents, and insecure attachment. Poverty is also noted to play a role in whether children will display behavioural issues.</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There are extensive links documented correlating childhood trauma, including abuse and neglect, with SEBD. Links between both ADHD and ASD and behavioural issues have been extensively researched, and while the information is very relevant, there appears to be very little unexplored territory when it comes to these two disorders. Another avenue that would be interesting to explore further would be the effects of post traumatic stress disorder on children, and the effects the disorder has on children</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behaviour. During the reading for this literature review there did not appear to be as much research into PTSD as other causes of behavioural issues. Considering that PTSD is an incredibly nuanced subject, it is understandable that there may not be as much research, at least specifically relating to the behaviour issues it may cause. The subject is particularly interesting to me because of its relevance; there is a young boy attending the behavioural unit where I teach who is very likely to have PTSD and the behaviours he displays are quite severe at times.</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Another apparent under-researched topic is the correlation between poverty and SEBD. This would be an interesting venue to research, again because of personal relevance. The school at which I work is situated within a deprived area, and in general there are many behaviour issues throughout the mainstream that could be classified as SEBD. It would be very valuable to explore this correlation more, in order to determine if there are additional strategies to help prevent children from low socioeconomic backgrounds from displaying behaviour issues. Links have been made between the stress parents suffer due to lack of poverty, and potentially a solution would lie with this issue, but it is worth considering if there is support that can be given to the children to help them cope, too.</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In my current role in an SEBD unit I have personally experienced children who suffer from a wide range of disorders that cause behavioural issues, from ADHD, ASD, speech and language delay, trauma, insecure attachment, PTSD, global delay, toxic home life, abuse and ODD. There have been many other children who have not had a specific cause for their disruptive behaviour identified. Each of these children display their negative behaviour in different ways, and while many are unique to each child, other behaviours overlap and are seen as common themes between different children. When this is take into account, it becomes apparent that while there is extensive research already on SEBD, there are so many more avenues that could be explored in the future.</w:t>
      </w:r>
    </w:p>
    <w:p>
      <w:pPr>
        <w:pStyle w:val="Default"/>
        <w:shd w:val="clear" w:color="auto" w:fill="ffffff"/>
        <w:bidi w:val="0"/>
        <w:spacing w:before="100" w:after="100" w:line="360" w:lineRule="auto"/>
        <w:ind w:left="0" w:right="0" w:firstLine="0"/>
        <w:jc w:val="center"/>
        <w:rPr>
          <w:rFonts w:ascii="Times New Roman" w:cs="Times New Roman" w:hAnsi="Times New Roman" w:eastAsia="Times New Roman"/>
          <w:sz w:val="24"/>
          <w:szCs w:val="24"/>
          <w:u w:val="single" w:color="555555"/>
          <w:rtl w:val="0"/>
          <w:lang w:val="en-US"/>
        </w:rPr>
      </w:pPr>
      <w:r>
        <w:rPr>
          <w:rFonts w:ascii="Times New Roman" w:hAnsi="Times New Roman"/>
          <w:sz w:val="24"/>
          <w:szCs w:val="24"/>
          <w:u w:val="single" w:color="555555"/>
          <w:rtl w:val="0"/>
          <w:lang w:val="en-US"/>
        </w:rPr>
        <w:t>A Critical Reflection and Analysis of My Professional Practice</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val="single" w:color="555555"/>
          <w:rtl w:val="0"/>
          <w:lang w:val="en-US"/>
        </w:rPr>
      </w:pPr>
      <w:r>
        <w:rPr>
          <w:rFonts w:ascii="Times New Roman" w:hAnsi="Times New Roman"/>
          <w:sz w:val="24"/>
          <w:szCs w:val="24"/>
          <w:u w:val="single" w:color="555555"/>
          <w:rtl w:val="0"/>
          <w:lang w:val="en-US"/>
        </w:rPr>
        <w:t>Introduction</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The intention of this assignment is to critically reflect upon my own professional practise. I am the class teacher of a foundation phase (from years Reception to Year 2, sometimes with the exception of including low ability Year 3 children) SEBD (social, emotional and behavioural difficulty) assessment centre, where I teach a maximum of six children, with the support of either one or two teaching assistants. Children attend the assessment centre on a temporary basis, with their placements typically lasting two to three terms, although there are children who have attended for shorter, and some for longer. Children are referred by their mainstream schools based on their behaviour, and if accepted they begin attending for four days a week, with the fifth day reserved for them to return to their school to maintain a link. As time progresses and the children begin to make progress, their time at their school is increased, and their days in the unit are reduced, until eventually the child</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placement ends and they return to their school. This is not always the case, however, and sometimes, usually due to either severity of behaviour or being awarded a placement in a further unit that is more specialised to their individual needs, children will leave the assessment centre and begin attending a different unit, typically along term SEBD, ASD (autistic spectrum disorder), speech and language or even MLD (moderate learning difficulty) unit.</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In order to reflect upon my own practice I will be using two case studies, and applying them to my assessment centre as if they were pupils attending. I will detail what measures I would put in place prior to their attendance, when they begin at the assessment centre and what would typically happen throughout their placement, and then critically reflect upon what I do in order to determine what could be improved. This assignment will be divided into the two case studies and then further subheadings.</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val="single" w:color="555555"/>
          <w:rtl w:val="0"/>
          <w:lang w:val="en-US"/>
        </w:rPr>
      </w:pPr>
      <w:r>
        <w:rPr>
          <w:rFonts w:ascii="Times New Roman" w:hAnsi="Times New Roman"/>
          <w:sz w:val="24"/>
          <w:szCs w:val="24"/>
          <w:u w:val="single" w:color="555555"/>
          <w:rtl w:val="0"/>
          <w:lang w:val="en-US"/>
        </w:rPr>
        <w:t>Case Study 1: Ronnie</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There is no age given to Ronnie in his case study, other than a reference to a mobile phone. In order to reflect upon my own practice in the most effective way I have decided to place Ronnie as a Year 2 child, as his behaviours seem to be similar to many of the Year 2 children I have taught.</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val="single" w:color="555555"/>
          <w:rtl w:val="0"/>
          <w:lang w:val="en-US"/>
        </w:rPr>
      </w:pPr>
      <w:r>
        <w:rPr>
          <w:rFonts w:ascii="Times New Roman" w:hAnsi="Times New Roman"/>
          <w:sz w:val="24"/>
          <w:szCs w:val="24"/>
          <w:u w:val="single" w:color="555555"/>
          <w:rtl w:val="0"/>
          <w:lang w:val="en-US"/>
        </w:rPr>
        <w:t>Prior to Attendance</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Prior to Ronnie attending the assessment centre I would arrange an information exchange meeting where Ronnie</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existing teacher, headteacher and potentially their ALNCo (Additional Learning Needs Coordinator), his parents, members from the Wellbeing team, his mainstream school</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Educational Psychologist and the Educational Psychologist for the assessment centre would all attend. The purpose of this meeting would be to get a picture of Ronnie before meeting him initially and find out information about him, including:</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 The issues school staff experience with him.</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 The issues his parent experience with him.</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 What he likes and dislikes.</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 If there are specific triggers that typically lead to disruptive behaviours.</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 What the specifics of his behaviours are.</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 Ronnie</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background.</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 If there are any outside agencies involved with him, and if so, what their involvement is.</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 To explain to parents and school staff what the assessment centre</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 xml:space="preserve">s role will be with </w:t>
        <w:tab/>
        <w:tab/>
        <w:t>Ronnie, and what they can expect.</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In addition to this, Ronnie</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base school will hand over any relevant paperwork that have on Ronnie, including IEPs (Individual Education Plans), Boxall assessments, pen portraits, one page profile, risk assessments, behaviour logs etc. Ronnie</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parents would also be given an opportunity to ask questions in order to hopefully calm any anxieties they may have about him attending an SEBD unit. We would discuss whether Ronnie</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school had began statutory assessment of him, considering their concerns about him being SEBD, and if the process had not been started I would recommend they do, considering the length of time it takes. At the end of the meeting a start date would be set for Ronnie that everyone agrees on.</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The next stage would be to arrange for me to visit to Ronnie</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 xml:space="preserve">s school to meet him in his classroom. This is specifically arranged to be the next stage for a few reasons. Firstly, Ronnie will, at this point, be aware that he is going to be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going to a new school</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and may have his own anxieties about it. He will already know that he is going to have a new teacher, and if he is given the opportunity to meet his teacher in the familiar space of his classroom this may help to calm any worries. Secondly, while it is not common (children are typically quite excited when I visit them in their base school and react either with shyness or by talking), there is always the potential for me to witness, first hand, the behaviours I have, up until that point, only read abut or been told. I will speak with his teacher in a less formal setting than a meeting (or, if the teacher was unable to attend the information exchange meeting, speak to them for the first time), and also interact with Ronnie, depending on the level of his reaction to me. If he appears eager to meet me I will talk with him for a while and ask if he can show me around, but if he appears withdrawn or shy I may simply introduce myself and then step back.</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 xml:space="preserve">The next stage is to arrange for Ronnie and his parents to visit the assessment centre together. Now that Ronnie has met me in his school, his anxieties may be lessened and he may feel more confident visiting a new classroom, which contains a great deal of uncertainty. Ronnie and his parents will be shown around the unit, be told where each room is and its purpose, will meet the staff, bot in the class he will be attending (Foundation Phase) and the Key Stage 2 class. He will also have an opportunity to meet the children who are attending on that day and speak and play with them. The nature of the assessment centre means that all children are used to the concept that sometimes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new friends</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will start, and the existing children in the case will have been told that Ronnie will be visiting a few days prior to the actual visit. Upon leaving Ronnie will be awarded a star for his reward chart and it will be explained to him that by simply visiting he has earned his first ever star.</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val="single" w:color="555555"/>
          <w:rtl w:val="0"/>
          <w:lang w:val="en-US"/>
        </w:rPr>
      </w:pPr>
      <w:r>
        <w:rPr>
          <w:rFonts w:ascii="Times New Roman" w:hAnsi="Times New Roman"/>
          <w:sz w:val="24"/>
          <w:szCs w:val="24"/>
          <w:u w:val="single" w:color="555555"/>
          <w:rtl w:val="0"/>
          <w:lang w:val="en-US"/>
        </w:rPr>
        <w:t>First week</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The first week for all children attending the assessment centre (with exceptions made for extreme circumstances) looks very similar, and Ronnie would be treated the same. He would be welcomed at the main door by a member of staff as he comes with his taxi escort (unless he lives in the area), reminded where to hang his coat and where the classroom is, encouraged to sit at the table with the other children and offered a bowl of cereal and toast. In general, most children respond well to this and there are rarely any issues, but if Ronnie refused to take part in any of this section of our daily routine myself and the other staff would explain to him that we understand it</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strange being in a new class, would attempt to gently encourage him to join in with the routine because everyone else does (using the other children as a good example), but typically allow him to do whatever he feels comfortable doing in that situation. We would then move on to the next stage of our daily routine, using the children as good examples.</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The first area that I would expect to cause difficulty for Ronnie would be sitting down for focused tasks, considering his existing behaviour of disrupting lessons rather than joining in. Initially we would use short focused tasks, including many that were practical and required no pen to paper at all, in order to get Ronnie used to the concept of working. If Ronnie continued to refuse to participate I would talk with him about our class rights, drawing attention to how every child has the right to learn, and explain that part of being in our class is that we do activities. Consequences for not completing activities would also be explained, and used if necessary.</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In addition to this settling in period, Ronnie would be set two targets using his first IEP within the assessment centre. The first targets are identical for all new starters and consist of 1) the child coming into school sensibly and settling, and 2) following a simple instruction set by a member of staff. These targets were chose to be easily achieved in order to give all children a sense of almost immediate accomplishment after starting in the unit. Additionally, while I will have a lot of information about Ronnie, it does not necessarily mean that he will displays these behaviours at the assessment centre, so basing his targets off his paperwork may not provide adequate challenge. The first targets give time for myself and support staff to determine if there are any different elements each child needs to work on and set those as targets. A risk assessment is set initially too, although each strand is initially listed as being high risk, and remains so until the child has been in class for a period of time.</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val="single" w:color="555555"/>
          <w:rtl w:val="0"/>
          <w:lang w:val="en-US"/>
        </w:rPr>
      </w:pPr>
      <w:r>
        <w:rPr>
          <w:rFonts w:ascii="Times New Roman" w:hAnsi="Times New Roman"/>
          <w:sz w:val="24"/>
          <w:szCs w:val="24"/>
          <w:u w:val="single" w:color="555555"/>
          <w:rtl w:val="0"/>
          <w:lang w:val="en-US"/>
        </w:rPr>
        <w:t>Moving Forward</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 xml:space="preserve">If Ronnie initially, or as is commonly seen after a few week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honeymoon period</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 xml:space="preserve">, begins to display similar behaviours to what he did in his base school, namely disruption during lessons and refusal to work, I will then put measures in place to help deal with these situations. In the assessment centre there is a strict </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no bringing things in</w:t>
      </w:r>
      <w:r>
        <w:rPr>
          <w:rFonts w:ascii="Times New Roman" w:hAnsi="Times New Roman" w:hint="default"/>
          <w:sz w:val="24"/>
          <w:szCs w:val="24"/>
          <w:u w:color="555555"/>
          <w:rtl w:val="0"/>
          <w:lang w:val="en-US"/>
        </w:rPr>
        <w:t xml:space="preserve">’ </w:t>
      </w:r>
      <w:r>
        <w:rPr>
          <w:rFonts w:ascii="Times New Roman" w:hAnsi="Times New Roman"/>
          <w:sz w:val="24"/>
          <w:szCs w:val="24"/>
          <w:u w:color="555555"/>
          <w:rtl w:val="0"/>
          <w:lang w:val="en-US"/>
        </w:rPr>
        <w:t>policy that is discussed with parents, which I would use to combat Ronnie bringing in his phone. If he continued to bring it to school, he would be given the option of putting it away or having it confiscated for the day. Cowley (2001) discusses the importance of removing any problem items before attempting to deal with any situation. The consequence of losing play time would be reinforced in regards to Ronnie</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 xml:space="preserve">s refusal to work, as would an emphasis on his star chart and option to win stars, and therefore prizes if he participated with activities. </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Ronnie</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risk assessment and positive handling plans would then be updated to reflect him more accurately, and after a number of week a Boxall profile would be completed to identify more accurately Ronnie</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specific difficulties, which would then be the basis of further targets for him. Another Boxall would be completed after Ronnie had been attending the assessment centre for several months, in order to compare progress.</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In the assessment centre there are half-termly review meetings, where the relevant professionals and children</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parents meet to discuss progress. In Ronnie</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first meeting I</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d talk about how he has settled in, any difficult behaviours I have witnessed, what we</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ve been doing to help combat these behaviours, successes, failures and anything new witnessed that may have manifested since Ronnie had begun to attend the assessment centre. I</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d ask for an update on Ronnie and how he is coping in school during his integration day, and use the information to impact my practise moving forward. Sharing strategies between mainstream school an unit is key, and although the smaller setting, greater staff ratio, lower child numbers and different structure of the day all serve to help the children learn strategies for coping with their behaviour, the concept it that they retain these strategies and apply them to their mainstream settings. Often a strategy used in the assessment centre is one that the mainstream school hasn</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t tried, and sometimes it is, but has failed. However, after attending the assessment centre, old strategies can occasionally become relevant again as the child learns to adapt.</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val="single" w:color="555555"/>
          <w:rtl w:val="0"/>
          <w:lang w:val="en-US"/>
        </w:rPr>
      </w:pPr>
      <w:r>
        <w:rPr>
          <w:rFonts w:ascii="Times New Roman" w:hAnsi="Times New Roman"/>
          <w:sz w:val="24"/>
          <w:szCs w:val="24"/>
          <w:u w:val="single" w:color="555555"/>
          <w:rtl w:val="0"/>
          <w:lang w:val="en-US"/>
        </w:rPr>
        <w:t>Long Term</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Although it is difficult to tell from the limited information in the case study, Ronnie</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oppositional behaviour, while showing traits of SEBD, could potentially be managed in a mainstream setting in the long term, and with the correct strategies, could mean that Ronnie would be able to integrate fully in a mainstream setting. With very clear boundaries and consequences put in place, as well as strong support from TAs and senior management, Ronnie could potentially be able to cope well. However, in the instance where his behaviour worsened and an application for a statement was put in place, I would support the process by providing whatever information was needed.</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val="single" w:color="555555"/>
          <w:rtl w:val="0"/>
          <w:lang w:val="en-US"/>
        </w:rPr>
      </w:pPr>
      <w:r>
        <w:rPr>
          <w:rFonts w:ascii="Times New Roman" w:hAnsi="Times New Roman"/>
          <w:sz w:val="24"/>
          <w:szCs w:val="24"/>
          <w:u w:val="single" w:color="555555"/>
          <w:rtl w:val="0"/>
          <w:lang w:val="en-US"/>
        </w:rPr>
        <w:t>Case Study 1: Jack</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Jack differs from Ronnie in multiple ways, from living with foster parents, to having a clear picture of his background, to his incredibly short school day (one hour). Considering that all new starters to the assessment centre are treated the same, regardless of their issues (this is in part due to the fact that I often witness very different behaviours displayed to those written down or told to me in meetings. The most common explanation for this is that the smaller setting, with a higher adult to child ratio and slightly different expectations, alleviates some of the factors that were causing the initial negative and disruptive behaviours), there are exceptions made, and Jack is a case that I would review carefully and adjust as necessary. I will state if things would be done similarly to Ronnie and other children, and will go into detail where there are considerable differences.</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val="single" w:color="555555"/>
          <w:rtl w:val="0"/>
          <w:lang w:val="en-US"/>
        </w:rPr>
        <w:t>Prior to Attendance</w:t>
      </w:r>
      <w:r>
        <w:rPr>
          <w:rFonts w:ascii="Times New Roman" w:hAnsi="Times New Roman"/>
          <w:sz w:val="24"/>
          <w:szCs w:val="24"/>
          <w:u w:color="555555"/>
          <w:rtl w:val="0"/>
          <w:lang w:val="en-US"/>
        </w:rPr>
        <w:t xml:space="preserve"> </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Mirroring the process used with Ronnie, the first step taken with Jack would be to arrange an information exchange meeting with the relevant professionals and carers. Obviously, considering Jack</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status as a looked after child (LAC) his foster parents would attend the meeting, but I would want to find out if his biological parents had an access, and if so, if it would be appropriate for them to attend the meeting too.</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Unlike Ronnie, who</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behavioural difficulties - according to the information provided in his case study - did not appear to be caused by major trauma, Jack has suffered neglect and been taken from his parents as a result. My initial thoughts would be that this trauma is the main driving force behind his behavioural issues, although I would want detailed background information on Jack as well. It would be important to know if there were particular words or phrase that Jack reacts badly to, or if there were particular topics that should be avoided, e.g. discussing his parents, or even the concept of parents being discussed around him. I would want to get more detailed information about Jack</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 xml:space="preserve">s level of speech, and how effectively he can communicate. </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In regards to Jack</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reduced timetable in his school, I would firstly recommend that the initial hour in school was moved to be at the start of the day, with the rationale that if he sees me he may become to distracted to continue playing. I would explain that the concept behind the assessment centre is that we intend on not only returning the child to school five days a week, but also that we would intend to increase Jack</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 xml:space="preserve">s time until he is attending school for a full day. If order to do this we would first mirror the hour that Jack attend his mainstream school, but then begin to increase his time in school in small amounts when he was settled. I would recommend that his mainstream school copy what we did. </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In regards to Jack</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delayed speech, I would ask if he had been assessed by a speech and language therapist, and if not, begin to arrange for one to come and assess him in the assessment centre, in order to determine Jack</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overall level of understanding, in addition to his level of oracy. I would also query whether Jack had been assessed for ADHD due to his short attention span, and again, if not, begin to arrange the process of being placed on the ADHD assessment waiting list.</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When arranging the visit to see Jack in his school, I would recommend his foster parents prepare him adequately, and suggest that they use photographs of me and the other staff in the assessment centre, as well as photos of the different room in the assessment centre, in order to help him familiarise himself with his new teachers and class. These photographs would be provided by me.</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During the visit to Jack</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school I would again decide how to react depending on Jack</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s reaction to me visiting. If he were to approach then I</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d gladly talk with him, but in order to reduce anxiety I would leave the decision up to him.</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Finally, Jack and his foster parents would bet invited to attend the assessment centre, which I would arrange to be on one of the quieter days, where most of the existing children were integrating back into their mainstream schools. This would be done in order to minimise disruption and make the process of visiting as easy for Jack as possible.</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val="single" w:color="555555"/>
          <w:rtl w:val="0"/>
          <w:lang w:val="en-US"/>
        </w:rPr>
      </w:pPr>
      <w:r>
        <w:rPr>
          <w:rFonts w:ascii="Times New Roman" w:hAnsi="Times New Roman"/>
          <w:sz w:val="24"/>
          <w:szCs w:val="24"/>
          <w:u w:val="single" w:color="555555"/>
          <w:rtl w:val="0"/>
          <w:lang w:val="en-US"/>
        </w:rPr>
        <w:t>First week</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 xml:space="preserve">Unlike Ronnie, who I would predict would have a relatively easy start at the assessment centre, I think that Jack would potentially have a much more difficult time, considering the neglect suffered and potential trauma suffered as a result and the fact that he only attends his school for one hour a day. Nevertheless, I would encourage him to join in with the daily routine and sit at the table for breakfast, then join in with the morning routine activities. As with Ronnie, if it was apparent that Jack had reservations about joining in, at first I would allow him to sit out, but as his time in the unit began to grow I and other staff would begin to encourage him, using peer modelling and the star chart in class as incentives for him to participate. </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If Jack were to display oppositional behaviour in his first weeks, I would use a variety of strategies, including calm talking, giving a choice of two options, planned ignoring, reminders of consequences, and removal from the classroom, in order to establish the concept of our class rules. In regards to IEP targets, Jack would be given the same entry targets as every other child (1: coming into school and settling well, and 2: following an instruction given by a member of staff) before we could witness how he reacted to being in the assessment centre and set personalised targets from our observations. Like with Ronnie, an entry risk assessment would be completed, as would a positive handling plan.</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val="single" w:color="555555"/>
          <w:rtl w:val="0"/>
          <w:lang w:val="en-US"/>
        </w:rPr>
      </w:pPr>
      <w:r>
        <w:rPr>
          <w:rFonts w:ascii="Times New Roman" w:hAnsi="Times New Roman"/>
          <w:sz w:val="24"/>
          <w:szCs w:val="24"/>
          <w:u w:val="single" w:color="555555"/>
          <w:rtl w:val="0"/>
          <w:lang w:val="en-US"/>
        </w:rPr>
        <w:t>Moving Forward</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As Jack</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 xml:space="preserve">s time in the assessment centre went on I would expect to see some, if only minor, progress as he began to build a relationship with myself and other staff. It is unlikely, given the trauma suffered, that the oppositional behaviour would disappear, although there is a possibility that there would be days where Jack would be able to control his behaviour more effectively. If he began to have a relatively positive time in school, I would then increase his time from one to two hours, and begin the process again. Typically, with each increase in time the children would find it more difficult, and I would expect the same from Jack, but myself and the support staff would continue to reinforce our routine, expectations and rules, and remain consistent in our approach to consequences. </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cs="Times New Roman" w:hAnsi="Times New Roman" w:eastAsia="Times New Roman"/>
          <w:sz w:val="24"/>
          <w:szCs w:val="24"/>
          <w:u w:color="555555"/>
          <w:rtl w:val="0"/>
          <w:lang w:val="en-US"/>
        </w:rPr>
        <w:tab/>
        <w:t>As mentioned earlier, due to Jack</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 xml:space="preserve">s difficult past it would be far more likely that he would need referral for a statement, and potentially a place in a long term SEBD provision. The behaviours he would present with would likely be more consistent and challenging than those of Ronnie and would potentially be less likely to stop, or even reduce due to assessment centre attendance. However, as new behaviours presented themselves, or if existing behaviours were not presenting in a lower frequency than before, I would evaluate the current strategies being used and attempt to find new, different strategies to use. </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val="single" w:color="555555"/>
          <w:rtl w:val="0"/>
          <w:lang w:val="en-US"/>
        </w:rPr>
      </w:pPr>
      <w:r>
        <w:rPr>
          <w:rFonts w:ascii="Times New Roman" w:hAnsi="Times New Roman"/>
          <w:sz w:val="24"/>
          <w:szCs w:val="24"/>
          <w:u w:val="single" w:color="555555"/>
          <w:rtl w:val="0"/>
          <w:lang w:val="en-US"/>
        </w:rPr>
        <w:t>Long Term</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As mentioned, there would be a potential that Jack would need a statement and even a placement at a long term SEBD unit. If, during his time in the assessment centre, he was awarded a statement that specified a further unit, I would work with the staff at the new placement to ensure Jack experienced as smooth of a transition as possible. However, every child is different and reacts differently to things. While, in my current experience, children who have experiences adverse childhood experiences (ACEs) typically display behaviours that are far more challenging than children who have discipline issues, for example, and tend to be more difficult to embed strategies with, it is not impossible that Jack could begin to learn to cope with his emotions and the oppositional feeling he has towards authority figures. Upon receiving speech and language support, and considering that strategies to cope with his restlessness may be in place, there is potential that Jack would be able to reintegrate into his mainstream school.</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val="single" w:color="555555"/>
          <w:rtl w:val="0"/>
          <w:lang w:val="en-US"/>
        </w:rPr>
      </w:pPr>
      <w:r>
        <w:rPr>
          <w:rFonts w:ascii="Times New Roman" w:hAnsi="Times New Roman"/>
          <w:sz w:val="24"/>
          <w:szCs w:val="24"/>
          <w:u w:val="single" w:color="555555"/>
          <w:rtl w:val="0"/>
          <w:lang w:val="en-US"/>
        </w:rPr>
        <w:t>Conclusion</w:t>
      </w:r>
    </w:p>
    <w:p>
      <w:pPr>
        <w:pStyle w:val="Default"/>
        <w:shd w:val="clear" w:color="auto" w:fill="ffffff"/>
        <w:bidi w:val="0"/>
        <w:spacing w:before="100" w:after="100" w:line="360" w:lineRule="auto"/>
        <w:ind w:left="0" w:right="0" w:firstLine="0"/>
        <w:jc w:val="left"/>
        <w:rPr>
          <w:rFonts w:ascii="Times New Roman" w:cs="Times New Roman" w:hAnsi="Times New Roman" w:eastAsia="Times New Roman"/>
          <w:sz w:val="24"/>
          <w:szCs w:val="24"/>
          <w:u w:color="555555"/>
          <w:rtl w:val="0"/>
          <w:lang w:val="en-US"/>
        </w:rPr>
      </w:pPr>
      <w:r>
        <w:rPr>
          <w:rFonts w:ascii="Times New Roman" w:hAnsi="Times New Roman"/>
          <w:sz w:val="24"/>
          <w:szCs w:val="24"/>
          <w:u w:color="555555"/>
          <w:rtl w:val="0"/>
          <w:lang w:val="en-US"/>
        </w:rPr>
        <w:t>Upon planning for Ronnie and Jack, I would potentially consider a few changes to my practise. Firstly, the IEP targets set for each child upon entry, while on the whole work, may not be suitable for all children, and I would consider using a different set of targets for children like Jack, who display a particularly high level of opposition. Secondly, many of the class based activities I plan may not be suitable for children who are adverse to completing work, like Ronnie. In these situations it would be very useful to adapt lessons on the spot in order to make them more accessible, and then, over time, increase the level of pen to paper work to ease children into it.</w:t>
      </w:r>
    </w:p>
    <w:p>
      <w:pPr>
        <w:pStyle w:val="Default"/>
        <w:shd w:val="clear" w:color="auto" w:fill="ffffff"/>
        <w:bidi w:val="0"/>
        <w:spacing w:before="100" w:after="100" w:line="360" w:lineRule="auto"/>
        <w:ind w:left="0" w:right="0" w:firstLine="0"/>
        <w:jc w:val="left"/>
        <w:rPr>
          <w:rtl w:val="0"/>
        </w:rPr>
      </w:pPr>
      <w:r>
        <w:rPr>
          <w:rFonts w:ascii="Times New Roman" w:cs="Times New Roman" w:hAnsi="Times New Roman" w:eastAsia="Times New Roman"/>
          <w:sz w:val="24"/>
          <w:szCs w:val="24"/>
          <w:u w:color="555555"/>
          <w:rtl w:val="0"/>
          <w:lang w:val="en-US"/>
        </w:rPr>
        <w:tab/>
        <w:t>As part of my role I am continuously using critical reflection. Considering the wide variety of issues the children in my class present with, myself and the support staff are constantly thinking of new strategies and methods to help the children in our care cope with the emotions they feel. Sometimes these strategies do not work, and sometimes they fail catastrophically, but in those situations it is important to learn from the mistake and reflect upon what didn</w:t>
      </w:r>
      <w:r>
        <w:rPr>
          <w:rFonts w:ascii="Times New Roman" w:hAnsi="Times New Roman" w:hint="default"/>
          <w:sz w:val="24"/>
          <w:szCs w:val="24"/>
          <w:u w:color="555555"/>
          <w:rtl w:val="0"/>
          <w:lang w:val="en-US"/>
        </w:rPr>
        <w:t>’</w:t>
      </w:r>
      <w:r>
        <w:rPr>
          <w:rFonts w:ascii="Times New Roman" w:hAnsi="Times New Roman"/>
          <w:sz w:val="24"/>
          <w:szCs w:val="24"/>
          <w:u w:color="555555"/>
          <w:rtl w:val="0"/>
          <w:lang w:val="en-US"/>
        </w:rPr>
        <w:t xml:space="preserve">t work and use that knowledge to inform future decisions.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