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63AA6" w:rsidRDefault="00863AA6">
      <w:pPr>
        <w:jc w:val="left"/>
        <w:rPr>
          <w:b/>
        </w:rPr>
      </w:pPr>
    </w:p>
    <w:p w14:paraId="00000002" w14:textId="77777777" w:rsidR="00863AA6" w:rsidRDefault="00863AA6">
      <w:pPr>
        <w:jc w:val="center"/>
        <w:rPr>
          <w:b/>
        </w:rPr>
      </w:pPr>
    </w:p>
    <w:p w14:paraId="00000003" w14:textId="77777777" w:rsidR="00863AA6" w:rsidRDefault="00863AA6">
      <w:pPr>
        <w:jc w:val="center"/>
        <w:rPr>
          <w:b/>
        </w:rPr>
      </w:pPr>
    </w:p>
    <w:p w14:paraId="00000004" w14:textId="77777777" w:rsidR="00863AA6" w:rsidRDefault="00863AA6">
      <w:pPr>
        <w:jc w:val="center"/>
        <w:rPr>
          <w:b/>
        </w:rPr>
      </w:pPr>
    </w:p>
    <w:p w14:paraId="00000005" w14:textId="77777777" w:rsidR="00863AA6" w:rsidRDefault="00863AA6">
      <w:pPr>
        <w:jc w:val="center"/>
        <w:rPr>
          <w:b/>
        </w:rPr>
      </w:pPr>
    </w:p>
    <w:p w14:paraId="00000006" w14:textId="77777777" w:rsidR="00863AA6" w:rsidRDefault="00863AA6">
      <w:pPr>
        <w:jc w:val="center"/>
        <w:rPr>
          <w:b/>
        </w:rPr>
      </w:pPr>
    </w:p>
    <w:p w14:paraId="00000007" w14:textId="77777777" w:rsidR="00863AA6" w:rsidRDefault="00863AA6">
      <w:pPr>
        <w:jc w:val="center"/>
        <w:rPr>
          <w:b/>
        </w:rPr>
      </w:pPr>
    </w:p>
    <w:p w14:paraId="00000008" w14:textId="77777777" w:rsidR="00863AA6" w:rsidRDefault="00863AA6">
      <w:pPr>
        <w:jc w:val="center"/>
        <w:rPr>
          <w:b/>
        </w:rPr>
      </w:pPr>
    </w:p>
    <w:p w14:paraId="00000009" w14:textId="77777777" w:rsidR="00863AA6" w:rsidRDefault="00863AA6">
      <w:pPr>
        <w:jc w:val="center"/>
        <w:rPr>
          <w:b/>
        </w:rPr>
      </w:pPr>
    </w:p>
    <w:p w14:paraId="0000000A" w14:textId="77777777" w:rsidR="00863AA6" w:rsidRDefault="00863AA6">
      <w:pPr>
        <w:jc w:val="center"/>
        <w:rPr>
          <w:b/>
        </w:rPr>
      </w:pPr>
    </w:p>
    <w:p w14:paraId="0000000B" w14:textId="77777777" w:rsidR="00863AA6" w:rsidRDefault="00A81A78">
      <w:pPr>
        <w:jc w:val="center"/>
        <w:rPr>
          <w:b/>
        </w:rPr>
      </w:pPr>
      <w:r>
        <w:rPr>
          <w:b/>
        </w:rPr>
        <w:t>LCMB7011</w:t>
      </w:r>
    </w:p>
    <w:p w14:paraId="018CFF8E" w14:textId="77777777" w:rsidR="00CF1C46" w:rsidRDefault="00A81A78">
      <w:pPr>
        <w:jc w:val="center"/>
        <w:rPr>
          <w:b/>
        </w:rPr>
      </w:pPr>
      <w:r>
        <w:rPr>
          <w:b/>
        </w:rPr>
        <w:t>Managing People</w:t>
      </w:r>
    </w:p>
    <w:p w14:paraId="2019C9D2" w14:textId="77777777" w:rsidR="00CF1C46" w:rsidRDefault="00CF1C46">
      <w:pPr>
        <w:jc w:val="center"/>
        <w:rPr>
          <w:b/>
          <w:lang w:val="en-US"/>
        </w:rPr>
      </w:pPr>
      <w:r>
        <w:rPr>
          <w:b/>
        </w:rPr>
        <w:t>Lecturer</w:t>
      </w:r>
      <w:r>
        <w:rPr>
          <w:b/>
          <w:lang w:val="en-US"/>
        </w:rPr>
        <w:t>: Mary March</w:t>
      </w:r>
    </w:p>
    <w:p w14:paraId="0000000C" w14:textId="14B73D20" w:rsidR="00863AA6" w:rsidRDefault="00CF1C46">
      <w:pPr>
        <w:jc w:val="center"/>
        <w:rPr>
          <w:b/>
        </w:rPr>
      </w:pPr>
      <w:r>
        <w:rPr>
          <w:b/>
          <w:lang w:val="en-US"/>
        </w:rPr>
        <w:t>Student ID:2010281</w:t>
      </w:r>
      <w:r w:rsidR="00A81A78">
        <w:br w:type="page"/>
      </w:r>
    </w:p>
    <w:p w14:paraId="0000000D" w14:textId="77777777" w:rsidR="00863AA6" w:rsidRDefault="00A81A78">
      <w:pPr>
        <w:jc w:val="center"/>
        <w:rPr>
          <w:b/>
        </w:rPr>
      </w:pPr>
      <w:r>
        <w:rPr>
          <w:b/>
        </w:rPr>
        <w:lastRenderedPageBreak/>
        <w:t>Table of Contents</w:t>
      </w:r>
    </w:p>
    <w:p w14:paraId="0000000E" w14:textId="77777777" w:rsidR="00863AA6" w:rsidRDefault="00863AA6">
      <w:pPr>
        <w:jc w:val="center"/>
        <w:rPr>
          <w:b/>
        </w:rPr>
      </w:pPr>
    </w:p>
    <w:sdt>
      <w:sdtPr>
        <w:rPr>
          <w:rFonts w:ascii="Times New Roman" w:eastAsia="Times New Roman" w:hAnsi="Times New Roman" w:cs="Times New Roman"/>
          <w:color w:val="222222"/>
          <w:sz w:val="24"/>
          <w:szCs w:val="24"/>
          <w:highlight w:val="white"/>
          <w:lang w:val="en" w:eastAsia="en-IN"/>
        </w:rPr>
        <w:id w:val="-231626770"/>
        <w:docPartObj>
          <w:docPartGallery w:val="Table of Contents"/>
          <w:docPartUnique/>
        </w:docPartObj>
      </w:sdtPr>
      <w:sdtEndPr>
        <w:rPr>
          <w:b/>
          <w:bCs/>
          <w:noProof/>
        </w:rPr>
      </w:sdtEndPr>
      <w:sdtContent>
        <w:p w14:paraId="3141D612" w14:textId="0E1116CF" w:rsidR="00B722BC" w:rsidRDefault="00A81A78">
          <w:pPr>
            <w:pStyle w:val="Titlucuprins"/>
          </w:pPr>
          <w:r>
            <w:t xml:space="preserve"> </w:t>
          </w:r>
        </w:p>
        <w:p w14:paraId="7614927D" w14:textId="598E6266" w:rsidR="00B722BC" w:rsidRDefault="00A81A78">
          <w:pPr>
            <w:pStyle w:val="Cuprins1"/>
            <w:tabs>
              <w:tab w:val="right" w:leader="dot" w:pos="9350"/>
            </w:tabs>
            <w:rPr>
              <w:noProof/>
            </w:rPr>
          </w:pPr>
          <w:r>
            <w:fldChar w:fldCharType="begin"/>
          </w:r>
          <w:r>
            <w:instrText xml:space="preserve"> TOC \o "1-3" \h \z \u </w:instrText>
          </w:r>
          <w:r>
            <w:fldChar w:fldCharType="separate"/>
          </w:r>
          <w:hyperlink w:anchor="_Toc70622986" w:history="1">
            <w:r w:rsidRPr="002541E8">
              <w:rPr>
                <w:rStyle w:val="Hyperlink"/>
                <w:b/>
                <w:noProof/>
              </w:rPr>
              <w:t>Introduction</w:t>
            </w:r>
            <w:r>
              <w:rPr>
                <w:noProof/>
                <w:webHidden/>
              </w:rPr>
              <w:tab/>
            </w:r>
            <w:r>
              <w:rPr>
                <w:noProof/>
                <w:webHidden/>
              </w:rPr>
              <w:fldChar w:fldCharType="begin"/>
            </w:r>
            <w:r>
              <w:rPr>
                <w:noProof/>
                <w:webHidden/>
              </w:rPr>
              <w:instrText xml:space="preserve"> PAGEREF _Toc70622986 \h </w:instrText>
            </w:r>
            <w:r>
              <w:rPr>
                <w:noProof/>
                <w:webHidden/>
              </w:rPr>
            </w:r>
            <w:r>
              <w:rPr>
                <w:noProof/>
                <w:webHidden/>
              </w:rPr>
              <w:fldChar w:fldCharType="separate"/>
            </w:r>
            <w:r>
              <w:rPr>
                <w:noProof/>
                <w:webHidden/>
              </w:rPr>
              <w:t>3</w:t>
            </w:r>
            <w:r>
              <w:rPr>
                <w:noProof/>
                <w:webHidden/>
              </w:rPr>
              <w:fldChar w:fldCharType="end"/>
            </w:r>
          </w:hyperlink>
        </w:p>
        <w:p w14:paraId="0E44BFD9" w14:textId="10A63BDE" w:rsidR="00B722BC" w:rsidRDefault="00A81A78">
          <w:pPr>
            <w:pStyle w:val="Cuprins1"/>
            <w:tabs>
              <w:tab w:val="right" w:leader="dot" w:pos="9350"/>
            </w:tabs>
            <w:rPr>
              <w:noProof/>
            </w:rPr>
          </w:pPr>
          <w:hyperlink w:anchor="_Toc70622987" w:history="1">
            <w:r w:rsidRPr="002541E8">
              <w:rPr>
                <w:rStyle w:val="Hyperlink"/>
                <w:b/>
                <w:noProof/>
              </w:rPr>
              <w:t>Reviewing background of the dispute</w:t>
            </w:r>
            <w:r>
              <w:rPr>
                <w:noProof/>
                <w:webHidden/>
              </w:rPr>
              <w:tab/>
            </w:r>
            <w:r>
              <w:rPr>
                <w:noProof/>
                <w:webHidden/>
              </w:rPr>
              <w:fldChar w:fldCharType="begin"/>
            </w:r>
            <w:r>
              <w:rPr>
                <w:noProof/>
                <w:webHidden/>
              </w:rPr>
              <w:instrText xml:space="preserve"> PAGEREF _Toc70622987 \h </w:instrText>
            </w:r>
            <w:r>
              <w:rPr>
                <w:noProof/>
                <w:webHidden/>
              </w:rPr>
            </w:r>
            <w:r>
              <w:rPr>
                <w:noProof/>
                <w:webHidden/>
              </w:rPr>
              <w:fldChar w:fldCharType="separate"/>
            </w:r>
            <w:r>
              <w:rPr>
                <w:noProof/>
                <w:webHidden/>
              </w:rPr>
              <w:t>3</w:t>
            </w:r>
            <w:r>
              <w:rPr>
                <w:noProof/>
                <w:webHidden/>
              </w:rPr>
              <w:fldChar w:fldCharType="end"/>
            </w:r>
          </w:hyperlink>
        </w:p>
        <w:p w14:paraId="7E8093D0" w14:textId="27633483" w:rsidR="00B722BC" w:rsidRDefault="00A81A78">
          <w:pPr>
            <w:pStyle w:val="Cuprins1"/>
            <w:tabs>
              <w:tab w:val="right" w:leader="dot" w:pos="9350"/>
            </w:tabs>
            <w:rPr>
              <w:noProof/>
            </w:rPr>
          </w:pPr>
          <w:hyperlink w:anchor="_Toc70622988" w:history="1">
            <w:r w:rsidRPr="002541E8">
              <w:rPr>
                <w:rStyle w:val="Hyperlink"/>
                <w:b/>
                <w:noProof/>
              </w:rPr>
              <w:t>Legal implications of changing contractual employment terms</w:t>
            </w:r>
            <w:r>
              <w:rPr>
                <w:noProof/>
                <w:webHidden/>
              </w:rPr>
              <w:tab/>
            </w:r>
            <w:r>
              <w:rPr>
                <w:noProof/>
                <w:webHidden/>
              </w:rPr>
              <w:fldChar w:fldCharType="begin"/>
            </w:r>
            <w:r>
              <w:rPr>
                <w:noProof/>
                <w:webHidden/>
              </w:rPr>
              <w:instrText xml:space="preserve"> PAGEREF _Toc70622988 \h </w:instrText>
            </w:r>
            <w:r>
              <w:rPr>
                <w:noProof/>
                <w:webHidden/>
              </w:rPr>
            </w:r>
            <w:r>
              <w:rPr>
                <w:noProof/>
                <w:webHidden/>
              </w:rPr>
              <w:fldChar w:fldCharType="separate"/>
            </w:r>
            <w:r>
              <w:rPr>
                <w:noProof/>
                <w:webHidden/>
              </w:rPr>
              <w:t>6</w:t>
            </w:r>
            <w:r>
              <w:rPr>
                <w:noProof/>
                <w:webHidden/>
              </w:rPr>
              <w:fldChar w:fldCharType="end"/>
            </w:r>
          </w:hyperlink>
        </w:p>
        <w:p w14:paraId="25B3844E" w14:textId="021A5CD8" w:rsidR="00B722BC" w:rsidRDefault="00A81A78">
          <w:pPr>
            <w:pStyle w:val="Cuprins1"/>
            <w:tabs>
              <w:tab w:val="right" w:leader="dot" w:pos="9350"/>
            </w:tabs>
            <w:rPr>
              <w:noProof/>
            </w:rPr>
          </w:pPr>
          <w:hyperlink w:anchor="_Toc70622989" w:history="1">
            <w:r w:rsidRPr="002541E8">
              <w:rPr>
                <w:rStyle w:val="Hyperlink"/>
                <w:b/>
                <w:noProof/>
              </w:rPr>
              <w:t>The potential impact of changes on employee engagement</w:t>
            </w:r>
            <w:r>
              <w:rPr>
                <w:noProof/>
                <w:webHidden/>
              </w:rPr>
              <w:tab/>
            </w:r>
            <w:r>
              <w:rPr>
                <w:noProof/>
                <w:webHidden/>
              </w:rPr>
              <w:fldChar w:fldCharType="begin"/>
            </w:r>
            <w:r>
              <w:rPr>
                <w:noProof/>
                <w:webHidden/>
              </w:rPr>
              <w:instrText xml:space="preserve"> PAGEREF _Toc</w:instrText>
            </w:r>
            <w:r>
              <w:rPr>
                <w:noProof/>
                <w:webHidden/>
              </w:rPr>
              <w:instrText xml:space="preserve">70622989 \h </w:instrText>
            </w:r>
            <w:r>
              <w:rPr>
                <w:noProof/>
                <w:webHidden/>
              </w:rPr>
            </w:r>
            <w:r>
              <w:rPr>
                <w:noProof/>
                <w:webHidden/>
              </w:rPr>
              <w:fldChar w:fldCharType="separate"/>
            </w:r>
            <w:r>
              <w:rPr>
                <w:noProof/>
                <w:webHidden/>
              </w:rPr>
              <w:t>9</w:t>
            </w:r>
            <w:r>
              <w:rPr>
                <w:noProof/>
                <w:webHidden/>
              </w:rPr>
              <w:fldChar w:fldCharType="end"/>
            </w:r>
          </w:hyperlink>
        </w:p>
        <w:p w14:paraId="72E773FB" w14:textId="338756A4" w:rsidR="00B722BC" w:rsidRDefault="00A81A78">
          <w:pPr>
            <w:pStyle w:val="Cuprins1"/>
            <w:tabs>
              <w:tab w:val="right" w:leader="dot" w:pos="9350"/>
            </w:tabs>
            <w:rPr>
              <w:noProof/>
            </w:rPr>
          </w:pPr>
          <w:hyperlink w:anchor="_Toc70622990" w:history="1">
            <w:r w:rsidRPr="002541E8">
              <w:rPr>
                <w:rStyle w:val="Hyperlink"/>
                <w:b/>
                <w:noProof/>
              </w:rPr>
              <w:t>HR involvement in the dispute where traditional models of HRM provide an adequate framework for managing contemporary employment relations</w:t>
            </w:r>
            <w:r>
              <w:rPr>
                <w:noProof/>
                <w:webHidden/>
              </w:rPr>
              <w:tab/>
            </w:r>
            <w:r>
              <w:rPr>
                <w:noProof/>
                <w:webHidden/>
              </w:rPr>
              <w:fldChar w:fldCharType="begin"/>
            </w:r>
            <w:r>
              <w:rPr>
                <w:noProof/>
                <w:webHidden/>
              </w:rPr>
              <w:instrText xml:space="preserve"> PAGE</w:instrText>
            </w:r>
            <w:r>
              <w:rPr>
                <w:noProof/>
                <w:webHidden/>
              </w:rPr>
              <w:instrText xml:space="preserve">REF _Toc70622990 \h </w:instrText>
            </w:r>
            <w:r>
              <w:rPr>
                <w:noProof/>
                <w:webHidden/>
              </w:rPr>
            </w:r>
            <w:r>
              <w:rPr>
                <w:noProof/>
                <w:webHidden/>
              </w:rPr>
              <w:fldChar w:fldCharType="separate"/>
            </w:r>
            <w:r>
              <w:rPr>
                <w:noProof/>
                <w:webHidden/>
              </w:rPr>
              <w:t>10</w:t>
            </w:r>
            <w:r>
              <w:rPr>
                <w:noProof/>
                <w:webHidden/>
              </w:rPr>
              <w:fldChar w:fldCharType="end"/>
            </w:r>
          </w:hyperlink>
        </w:p>
        <w:p w14:paraId="3459679C" w14:textId="756121AD" w:rsidR="00B722BC" w:rsidRDefault="00A81A78">
          <w:pPr>
            <w:pStyle w:val="Cuprins1"/>
            <w:tabs>
              <w:tab w:val="right" w:leader="dot" w:pos="9350"/>
            </w:tabs>
            <w:rPr>
              <w:noProof/>
            </w:rPr>
          </w:pPr>
          <w:hyperlink w:anchor="_Toc70622991" w:history="1">
            <w:r w:rsidRPr="002541E8">
              <w:rPr>
                <w:rStyle w:val="Hyperlink"/>
                <w:b/>
                <w:noProof/>
              </w:rPr>
              <w:t>Conclusion</w:t>
            </w:r>
            <w:r>
              <w:rPr>
                <w:noProof/>
                <w:webHidden/>
              </w:rPr>
              <w:tab/>
            </w:r>
            <w:r>
              <w:rPr>
                <w:noProof/>
                <w:webHidden/>
              </w:rPr>
              <w:fldChar w:fldCharType="begin"/>
            </w:r>
            <w:r>
              <w:rPr>
                <w:noProof/>
                <w:webHidden/>
              </w:rPr>
              <w:instrText xml:space="preserve"> PAGEREF _Toc70622991 \h </w:instrText>
            </w:r>
            <w:r>
              <w:rPr>
                <w:noProof/>
                <w:webHidden/>
              </w:rPr>
            </w:r>
            <w:r>
              <w:rPr>
                <w:noProof/>
                <w:webHidden/>
              </w:rPr>
              <w:fldChar w:fldCharType="separate"/>
            </w:r>
            <w:r>
              <w:rPr>
                <w:noProof/>
                <w:webHidden/>
              </w:rPr>
              <w:t>13</w:t>
            </w:r>
            <w:r>
              <w:rPr>
                <w:noProof/>
                <w:webHidden/>
              </w:rPr>
              <w:fldChar w:fldCharType="end"/>
            </w:r>
          </w:hyperlink>
        </w:p>
        <w:p w14:paraId="64E89639" w14:textId="0BE92B96" w:rsidR="00B722BC" w:rsidRDefault="00A81A78">
          <w:pPr>
            <w:pStyle w:val="Cuprins1"/>
            <w:tabs>
              <w:tab w:val="right" w:leader="dot" w:pos="9350"/>
            </w:tabs>
            <w:rPr>
              <w:noProof/>
            </w:rPr>
          </w:pPr>
          <w:hyperlink w:anchor="_Toc70622992" w:history="1">
            <w:r w:rsidRPr="002541E8">
              <w:rPr>
                <w:rStyle w:val="Hyperlink"/>
                <w:b/>
                <w:noProof/>
              </w:rPr>
              <w:t>Reference List</w:t>
            </w:r>
            <w:r>
              <w:rPr>
                <w:noProof/>
                <w:webHidden/>
              </w:rPr>
              <w:tab/>
            </w:r>
            <w:r>
              <w:rPr>
                <w:noProof/>
                <w:webHidden/>
              </w:rPr>
              <w:fldChar w:fldCharType="begin"/>
            </w:r>
            <w:r>
              <w:rPr>
                <w:noProof/>
                <w:webHidden/>
              </w:rPr>
              <w:instrText xml:space="preserve"> PAGEREF _Toc70622992 \h </w:instrText>
            </w:r>
            <w:r>
              <w:rPr>
                <w:noProof/>
                <w:webHidden/>
              </w:rPr>
            </w:r>
            <w:r>
              <w:rPr>
                <w:noProof/>
                <w:webHidden/>
              </w:rPr>
              <w:fldChar w:fldCharType="separate"/>
            </w:r>
            <w:r>
              <w:rPr>
                <w:noProof/>
                <w:webHidden/>
              </w:rPr>
              <w:t>14</w:t>
            </w:r>
            <w:r>
              <w:rPr>
                <w:noProof/>
                <w:webHidden/>
              </w:rPr>
              <w:fldChar w:fldCharType="end"/>
            </w:r>
          </w:hyperlink>
        </w:p>
        <w:p w14:paraId="45BE2F07" w14:textId="0B39DD9B" w:rsidR="00B722BC" w:rsidRDefault="00A81A78">
          <w:r>
            <w:rPr>
              <w:b/>
              <w:bCs/>
              <w:noProof/>
            </w:rPr>
            <w:fldChar w:fldCharType="end"/>
          </w:r>
        </w:p>
      </w:sdtContent>
    </w:sdt>
    <w:p w14:paraId="0000000F" w14:textId="77777777" w:rsidR="00863AA6" w:rsidRDefault="00A81A78">
      <w:pPr>
        <w:jc w:val="center"/>
        <w:rPr>
          <w:b/>
        </w:rPr>
      </w:pPr>
      <w:r>
        <w:br w:type="page"/>
      </w:r>
    </w:p>
    <w:p w14:paraId="04DDBC40" w14:textId="77777777" w:rsidR="00B722BC" w:rsidRDefault="00B722BC">
      <w:pPr>
        <w:pStyle w:val="Titlu1"/>
        <w:rPr>
          <w:b/>
          <w:sz w:val="24"/>
          <w:szCs w:val="24"/>
        </w:rPr>
        <w:sectPr w:rsidR="00B722BC" w:rsidSect="00B722B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bookmarkStart w:id="0" w:name="_5t429e6fxbbd" w:colFirst="0" w:colLast="0"/>
      <w:bookmarkStart w:id="1" w:name="_Toc70622986"/>
      <w:bookmarkEnd w:id="0"/>
    </w:p>
    <w:p w14:paraId="00000010" w14:textId="65B8FD63" w:rsidR="00863AA6" w:rsidRDefault="00A81A78">
      <w:pPr>
        <w:pStyle w:val="Titlu1"/>
        <w:rPr>
          <w:b/>
          <w:sz w:val="24"/>
          <w:szCs w:val="24"/>
        </w:rPr>
      </w:pPr>
      <w:r>
        <w:rPr>
          <w:b/>
          <w:sz w:val="24"/>
          <w:szCs w:val="24"/>
        </w:rPr>
        <w:lastRenderedPageBreak/>
        <w:t>Introduction</w:t>
      </w:r>
      <w:bookmarkEnd w:id="1"/>
    </w:p>
    <w:p w14:paraId="00000011" w14:textId="77777777" w:rsidR="00863AA6" w:rsidRDefault="00A81A78">
      <w:r>
        <w:t>The article is aimed to deconstruct the rise of the GMB union lengthening their strike to protest against the negotiations about the 'fire and rehire' strategy taken up by British Gas since the middle of 2020. Employees with years of experience have been f</w:t>
      </w:r>
      <w:r>
        <w:t>ired upon new terms they refused to accept and almost 20,000 employees, according to the Union are severely unhappy with their jobs or have lost them, based upon their employer vexing them into accepting newly formed and worse employment contracts. Accordi</w:t>
      </w:r>
      <w:r>
        <w:t xml:space="preserve">ng to Codd (2020), this issue shall be further demonstrated in the article along with the legal entanglements that renewed employment terms bring forth shall also be formulated and taken into account. The legal technicalities are both long and complicated </w:t>
      </w:r>
      <w:r>
        <w:t>and how an employer has to formulate research and understanding to implement new terms in employment contracts without a failure such as British Gas' "fire and rehire" strategy where the company has been said to have lost an average of about 600 bright and</w:t>
      </w:r>
      <w:r>
        <w:t xml:space="preserve"> qualified employees while implementing the "fire and rehire" strategy (TheGuardian, 2021). </w:t>
      </w:r>
    </w:p>
    <w:p w14:paraId="00000012" w14:textId="77777777" w:rsidR="00863AA6" w:rsidRDefault="00863AA6"/>
    <w:p w14:paraId="00000013" w14:textId="77777777" w:rsidR="00863AA6" w:rsidRDefault="00A81A78">
      <w:pPr>
        <w:pStyle w:val="Titlu1"/>
        <w:rPr>
          <w:b/>
          <w:sz w:val="24"/>
          <w:szCs w:val="24"/>
        </w:rPr>
      </w:pPr>
      <w:bookmarkStart w:id="2" w:name="_Toc70622987"/>
      <w:r>
        <w:rPr>
          <w:b/>
          <w:sz w:val="24"/>
          <w:szCs w:val="24"/>
        </w:rPr>
        <w:t>Reviewing background of the dispute</w:t>
      </w:r>
      <w:bookmarkEnd w:id="2"/>
    </w:p>
    <w:p w14:paraId="00000014" w14:textId="77777777" w:rsidR="00863AA6" w:rsidRDefault="00A81A78">
      <w:r>
        <w:t>Numerous organizations have already been compelled to cut prices, and for most companies, staff wages are the most significant</w:t>
      </w:r>
      <w:r>
        <w:t xml:space="preserve"> single expense. A lot of companies also had to undergo layoffs, and nearly 9.9 million workers have been made redundant in the last year. It might demand longer for the economy to stabilize and corporations that want to keep their numerous workers at bay </w:t>
      </w:r>
      <w:r>
        <w:t>will seek to restrict their staff' standards of benefits. According to Berlanstein (2020), it could either be a one-time shift or a long-term one. Job negotiations are similar to all regular arrangements in the regard that neither entity should enforce the</w:t>
      </w:r>
      <w:r>
        <w:t xml:space="preserve"> parameters independently despite the other's consent. Many arrangements have provisions that attempt to enable employees to make adjustments by providing a notice period, for example. Presently, the only remnant of the manufacturer's "fire-and-rehire" pol</w:t>
      </w:r>
      <w:r>
        <w:t xml:space="preserve">icy is a wasteland repository of scores of British Gas vehicles, struggling to be dispersed towards anyone who negotiated – mostly under extreme pressure, compared to unions – to submit stronger contract extensions. According to Meardi </w:t>
      </w:r>
      <w:r>
        <w:rPr>
          <w:i/>
        </w:rPr>
        <w:t xml:space="preserve">et al. </w:t>
      </w:r>
      <w:r>
        <w:t>(2019),</w:t>
      </w:r>
      <w:r>
        <w:rPr>
          <w:i/>
        </w:rPr>
        <w:t xml:space="preserve"> </w:t>
      </w:r>
      <w:r>
        <w:t>the a</w:t>
      </w:r>
      <w:r>
        <w:t xml:space="preserve">im of the company is an increase in fecundity but the resulting turmoil between the GMB union </w:t>
      </w:r>
      <w:r>
        <w:lastRenderedPageBreak/>
        <w:t>and the company executives continues to prevail with the help of new employment contracts. It's a legitimate strategy, but it's divisive. Over 138,000 individuals</w:t>
      </w:r>
      <w:r>
        <w:t xml:space="preserve"> endorsed a campaign appealing with the authorities to abolish fire-and-rehire in the United Kingdom, just weeks after scores were fired for declining to adhere to excessive schedules and overtime over holidays and long weekends. GMB has blatantly accused </w:t>
      </w:r>
      <w:r>
        <w:t xml:space="preserve">the Chief Executive of Centrica, Chris O’Shea who acknowledges that bringing up their proposal prematurely in the corporation's collective negotiations the previous summer became a mistake. He concluded it was the most lawful course of action. It was seen </w:t>
      </w:r>
      <w:r>
        <w:t>by the workers as an intimidation strategy instead of just a final recourse (Croneri, 2021). The CEO, who had been the corporation's principal finance executive previously has shown all of the characteristics of a successful businessman, with a sharp persp</w:t>
      </w:r>
      <w:r>
        <w:t>ective on expenses and efficiency, but also a willingness to pull the organization’s prosperity up from the verge of bankruptcy. His cold altruism, on the other hand, may have obscured the humanitarian repercussions of his decisions. To have an established</w:t>
      </w:r>
      <w:r>
        <w:t xml:space="preserve"> agreement declared worthless and invalid is a disappointment for any worker, but to completely ignore the </w:t>
      </w:r>
      <w:r>
        <w:t>identities that hundreds of engineers have created throughout their 9-to-5 schedules reveal, at minimum, a disturbing hostility to the decency of the</w:t>
      </w:r>
      <w:r>
        <w:t xml:space="preserve"> workforce, and, and at the poorest disdain for the commitment most have exhibited to the corporation throughout most of their professional years.</w:t>
      </w:r>
    </w:p>
    <w:p w14:paraId="00000015" w14:textId="601DA331" w:rsidR="00863AA6" w:rsidRDefault="00A81A78">
      <w:r>
        <w:t>Around the first week of April 2020, the largest vindication in the history of British employment was witness</w:t>
      </w:r>
      <w:r>
        <w:t>ed when British Gas began retrieval of vehicles and tools used by more than a hundred of its employees. Some days later about 450 employees were vindicated when they refused to accept the current agreements put forth by the company providing energy to more</w:t>
      </w:r>
      <w:r>
        <w:t xml:space="preserve"> than 14000 households for over two decades. For certain developers, the British Gas system intended to fix and assemble thousands of homeowners' heating systems and boilers was a cornerstone of local existences for generations (TheGuardian, 2021). Profess</w:t>
      </w:r>
      <w:r>
        <w:t xml:space="preserve">ionals in protective gear remained on the frontlines of their client's global epidemic intervention throughout the initial days of the Covid-19 epidemic, restoring comfort to residences. British Gas' reason to implement such sudden contractual changes can </w:t>
      </w:r>
      <w:r>
        <w:t xml:space="preserve">be traced to the situation where several companies had already observed a significant drop in revenue as a result of the prevailing </w:t>
      </w:r>
      <w:r>
        <w:lastRenderedPageBreak/>
        <w:t>environment brought about by the Covid19 epidemic. On the morning of 29th March, a considerable number of employees were han</w:t>
      </w:r>
      <w:r>
        <w:t xml:space="preserve">ded their referendums, which legitimately dismissed them after a notice period of two weeks. The contract has quite a several basic flaws that should not be adhered to by workers. One of the most important is safety. According to Codd (2020), the reformed </w:t>
      </w:r>
      <w:r>
        <w:t>contract legitimizes time-bound jobs, for example, if an engineer takes more than 20 minutes to fix a problem (unless it is a major issue and requires time and assistance), they shall owe the extras time required to the company and can be called in on week</w:t>
      </w:r>
      <w:r>
        <w:t>ends or any day according to the employer's choice to work extra, catering to the extra time. Engineers dismiss this idea with the notion that not only is this impractical but also unhealthy for them as they are not being paid enough for the extra services</w:t>
      </w:r>
      <w:r>
        <w:t xml:space="preserve"> they are being made to cover since the beginning of Covid19, nor are they being able to obtain the stable amount of rest that their body requires for physical labor endorsement every day (Croneri, 2021). The next issue is that the employers are themselves</w:t>
      </w:r>
      <w:r>
        <w:t xml:space="preserve"> confused with what new contracts to impose and what not to. According to MB (2021), they have asked their employees to keep their faith in a company that easily sacks more than a </w:t>
      </w:r>
      <w:r>
        <w:t>hundred employees in a day without any information about new contract implem</w:t>
      </w:r>
      <w:r>
        <w:t>entation and does not even bother to discuss them with the workforce before imposing it through threats of unemployment and dismissal. An increase in more than 3 working hours and the first and last 30 minutes of travel, both while coming to work and getti</w:t>
      </w:r>
      <w:r>
        <w:t>ng back making one extra hour each day. Thus, one extra hour every day along with the extra time they are made to owe contemplates an engineer’s loyalty towards the company. If more labor power is required, the employer will have the advantage of shift rev</w:t>
      </w:r>
      <w:r>
        <w:t>ersal during a specified week using adaptive scheduling. However, all these new protocols do not include a single mention of an increase in wages. On top of that, overtime pay and bank holidays have also become obsolete. The management cannot be trusted ac</w:t>
      </w:r>
      <w:r>
        <w:t xml:space="preserve">cording to Justin Bowden, National Secretary of GMB as a few years ago this same trust enabled them to allow a massive cut in their pensions a few years ago, with the promise that it is for the benefit of the company and their workers, that their workload </w:t>
      </w:r>
      <w:r>
        <w:t xml:space="preserve">will be diminished with the employment of new apprentices and engineers. A lot of other companies have recently made changes to their employee dismissal system, often hiring them as </w:t>
      </w:r>
      <w:r>
        <w:lastRenderedPageBreak/>
        <w:t>contractors which the British Gas employees would be happy to comply by in</w:t>
      </w:r>
      <w:r>
        <w:t>stead of illogical and insensitive changes. Chris O’Shea has been very confident saying the engineers are paid more than the salary of a junior doctor in the UK which could have been the scenario if all the employee benefits like overtime pay were taken in</w:t>
      </w:r>
      <w:r>
        <w:t>to consideration which is brief history at this point (TheGuardian, 2021). GMB has taken up the stand against this remark saying the CEO earns more than the Prime Minister’s salary every month and it seems easy to squeeze each penny out of hard-working ind</w:t>
      </w:r>
      <w:r>
        <w:t>ividuals, helping people day and night through their services. It is heart-wrenching how industrialists and the rich bourgeois take advantage of their position to utilize and squeeze every part of a common laborer’s duress.  British Gas was required to tak</w:t>
      </w:r>
      <w:r>
        <w:t>e action to protect its monetary sustainability but it should not have done so by treating its staff disproportionately. Several tougher choices in the aftermath of the Covid19 crisis will have to be faced by businesses, but firing and rehiring must not ha</w:t>
      </w:r>
      <w:r>
        <w:t xml:space="preserve">ve been one of them. If the legislature wants the consumers to think that the United Kingdom takes </w:t>
      </w:r>
      <w:r w:rsidR="00B722BC">
        <w:t>a priority</w:t>
      </w:r>
      <w:r>
        <w:t xml:space="preserve"> towards individuals over profits, it should also take action to stop institutional exploitation. Through late January over 6,500 </w:t>
      </w:r>
      <w:r>
        <w:t>full-time employe</w:t>
      </w:r>
      <w:r>
        <w:t xml:space="preserve">es and affiliates of the GMB union were in a dispute with British Gas, and therefore have gone on protest for 6 weeks to protest the fire and rehire contract. This will be the first strike within the industry in over 40 years (Croneri, 2021). However, </w:t>
      </w:r>
      <w:r w:rsidR="00B722BC">
        <w:t>the</w:t>
      </w:r>
      <w:r>
        <w:t xml:space="preserve"> </w:t>
      </w:r>
      <w:r>
        <w:t xml:space="preserve">corporation's use of authoritarian tactics hasn't been adequate to scare employees on its own. British Gas counts on the GMB's collaboration against its existing associates. The union's reaction to the discharge notifications being sent on March 23 was to </w:t>
      </w:r>
      <w:r>
        <w:t>send demonstrators an email a few weeks ahead of time informing them that they had none other choices but to sign. The group is solely to blame for the schism that has emerged among the protesting employees, for whom the conduct had been consistently up un</w:t>
      </w:r>
      <w:r>
        <w:t>til now. The contract update has now been signed by 96% of the employees according to the executives of British Gas.  It is impossible to verify whether or not this is appropriate. Amid the GMB's deviousness, scores of developers, and approximately 1,500 e</w:t>
      </w:r>
      <w:r>
        <w:t>ngineers, according to several reports, have refused to approve (Ashfords, 2021).</w:t>
      </w:r>
    </w:p>
    <w:p w14:paraId="00000016" w14:textId="77777777" w:rsidR="00863AA6" w:rsidRDefault="00863AA6"/>
    <w:p w14:paraId="00000017" w14:textId="77777777" w:rsidR="00863AA6" w:rsidRDefault="00A81A78">
      <w:pPr>
        <w:pStyle w:val="Titlu1"/>
        <w:rPr>
          <w:b/>
          <w:sz w:val="24"/>
          <w:szCs w:val="24"/>
        </w:rPr>
      </w:pPr>
      <w:bookmarkStart w:id="3" w:name="_8lsc39ukh5ev" w:colFirst="0" w:colLast="0"/>
      <w:bookmarkStart w:id="4" w:name="_Toc70622988"/>
      <w:bookmarkEnd w:id="3"/>
      <w:r>
        <w:rPr>
          <w:b/>
          <w:sz w:val="24"/>
          <w:szCs w:val="24"/>
        </w:rPr>
        <w:lastRenderedPageBreak/>
        <w:t>Legal implications of changing contractual employment terms</w:t>
      </w:r>
      <w:bookmarkEnd w:id="4"/>
    </w:p>
    <w:p w14:paraId="00000018" w14:textId="77777777" w:rsidR="00863AA6" w:rsidRDefault="00A81A78">
      <w:r>
        <w:t>As of 2020, new contracts have been made by British Gas among other companies to reduce employee benefits while a</w:t>
      </w:r>
      <w:r>
        <w:t xml:space="preserve">ppropriating new techniques, which are legal but very uncompassionate. The GMB Union called upon a strike enabling delayed services for more than 23,000 households in the cold months of February. British Gas executives have claimed that the issue has been </w:t>
      </w:r>
      <w:r>
        <w:t>taken care of by replacements, which is not possible with the number of protestors and workers in support of the movement conducted by GMB. Numerous technicians stayed on to their roles amid the global epidemic, performing maintenance and repair on heaters</w:t>
      </w:r>
      <w:r>
        <w:t xml:space="preserve"> and boilers in residences throughout the country, putting themselves at a threat of contracting COVID-19. Everybody else assisted in the delivery of food packages to the disadvantaged and impoverished at the behest of the Trussell Trust by rearranging the</w:t>
      </w:r>
      <w:r>
        <w:t xml:space="preserve">ir cars for delivery services.  Although they were being hailed as pioneers the organization was developing a strategy to rip up their obligations of employment which were revealed last spring (NewLatman, 2021). </w:t>
      </w:r>
    </w:p>
    <w:p w14:paraId="00000019" w14:textId="661B1039" w:rsidR="00863AA6" w:rsidRDefault="00A81A78">
      <w:r>
        <w:t>The legal implications of changing contract</w:t>
      </w:r>
      <w:r>
        <w:t xml:space="preserve">s in terms of employment are many. Changing </w:t>
      </w:r>
      <w:r>
        <w:t xml:space="preserve">work standards and circumstances is a difficult environment to navigate, and it can be difficult to strike a balance between the interests of the company and the expectations of employees </w:t>
      </w:r>
      <w:r w:rsidR="00B722BC">
        <w:t>but</w:t>
      </w:r>
      <w:r>
        <w:t xml:space="preserve"> by having a basic co</w:t>
      </w:r>
      <w:r>
        <w:t>mprehension of the challenges at hand, difficulties (Procedural and HR-aligned) can be resolved or at the very minimum mitigated. In the UK an employment contract changes when a variation is required or when the company undergoes enough losses to be unable</w:t>
      </w:r>
      <w:r>
        <w:t xml:space="preserve"> to afford its employees. According to MB (2021), the employer has to make sure a majority of the workers are in agreement with the new measures and a decision keeping in mind the rights of the employees has to be kept in mind. However, it is legal for emp</w:t>
      </w:r>
      <w:r>
        <w:t>loyers to make a change in the contracts if the business deems sudden loss. In case of sudden changes, the employer needs to make sure a written agreement has been signed between the management and the workers where both parties agree to comply with the ne</w:t>
      </w:r>
      <w:r>
        <w:t>w set of employment terms. Although many contractors are well-versed in the contractual procedure and their generic standardized employment contracts i.e. workforce agreements would typically include the information needed under provision 1 of the Employme</w:t>
      </w:r>
      <w:r>
        <w:t xml:space="preserve">nt Rights Act 1996, such as the identity of the contractor, </w:t>
      </w:r>
      <w:r>
        <w:lastRenderedPageBreak/>
        <w:t xml:space="preserve">compensation, notification, duration, position, leave, medical compensation benefit, arbitration and compliance measures. According to Meardi </w:t>
      </w:r>
      <w:r>
        <w:rPr>
          <w:i/>
        </w:rPr>
        <w:t xml:space="preserve">et al. </w:t>
      </w:r>
      <w:r>
        <w:t>(2019), it can be well derived from the researc</w:t>
      </w:r>
      <w:r>
        <w:t>h conducted for the "fire and rehire" strategy undertaken by British Gas after the Covid19 pandemic that the rules benefitting employees under the 1996 Employment Rights Act have not been taken into account while implementing drastic and inhuman changes in</w:t>
      </w:r>
      <w:r>
        <w:t xml:space="preserve"> employment contracts. Concerning the existing section 1 condition, the proposed section 1 terminology as of 6th April 2021, would also include a functional schedule where the duration and weeks spent at the workplace as well as whether or not a variation </w:t>
      </w:r>
      <w:r>
        <w:t>is available and how vital the inconsistency is, is calculated. Conditions and terms governing any additional compensation or incentives and funded absence (complying with mandatory sick leave and vacations), such as pregnancy leave in addition to paternit</w:t>
      </w:r>
      <w:r>
        <w:t>y and maternity leaves (Ashfords, 2021). The British Gas company has reduced employee benefits drastically without taking into notice paid leaves and mandatory ones, not allowing workers what they deserve after undertaking so much hassle and risk deliverin</w:t>
      </w:r>
      <w:r>
        <w:t xml:space="preserve">g food and services to the old and underprivileged during the pandemic. Their working hours </w:t>
      </w:r>
      <w:r>
        <w:t xml:space="preserve">have been increased without an increase in pay and engineers have almost been forced into accepting the new terms, with only the options of acceptance or dismissal </w:t>
      </w:r>
      <w:r>
        <w:t>(NewLatman, 2021). When a worker's terms and conditions of employment are included in a comprehensive bargaining arrangement established involving a corporation and a labor association disagreements may occur. This is exactly what has taken place in the ca</w:t>
      </w:r>
      <w:r>
        <w:t>se of British Gas and GMB, though there are reports that GMB was involved in coaxing employees through emails that the only option they have is to sign. However, engineers and workers have gotten together to disagree with the drastic changes that the compa</w:t>
      </w:r>
      <w:r>
        <w:t>ny has implemented, not taking into account the grievances of the working class yet again, while saving their economic benefits incoherently. According to Codd (2020), business owners should note that all arrangements have an implicit obligation of recipro</w:t>
      </w:r>
      <w:r>
        <w:t>cal credibility and loyalty that allows employers (and their employees) not to behave arbitrarily and that an explicit constitutional authority to conduct doesn't somehow render the contractor's perspective legal. This irony of mutual trust has been selfis</w:t>
      </w:r>
      <w:r>
        <w:t xml:space="preserve">hly broken by the British Gas company. The sudden implementation of drastic changes in the employment contract has left </w:t>
      </w:r>
      <w:r>
        <w:lastRenderedPageBreak/>
        <w:t>the entire staff embezzled as to how a company they have been loyal to for so many years did not take into account any grievance regardi</w:t>
      </w:r>
      <w:r>
        <w:t>ng their basic employment rights, let alone their benefits.</w:t>
      </w:r>
    </w:p>
    <w:p w14:paraId="0000001A" w14:textId="37751203" w:rsidR="00863AA6" w:rsidRDefault="00A81A78">
      <w:r>
        <w:t>It is also defined by the UK laws regarding employee benefits that unless an individual agrees with a modification that the union and employee have agreed to, the applicant can argue that they are</w:t>
      </w:r>
      <w:r>
        <w:t xml:space="preserve"> not restricted by the amendments. Employees are on strike causing consumer disadvantage, in turn negatively harming the company, the executives of which are too arrogant to even address the problems. According to the laws laid by the UK government, a comp</w:t>
      </w:r>
      <w:r>
        <w:t>any has to either convey consent from the employee, seek to impose the transition unanimously depending on the worker's behavior and attitude to build a presumed approval, or rescind the individual employee's livelihood and rehire them under current condit</w:t>
      </w:r>
      <w:r>
        <w:t>ions. This set of rules was also not complied with by British Gas. They did not take into account asking for employee consent, nor did they comply to hire the same employees under a revised and beneficial employment plan. They did not wait for employees' r</w:t>
      </w:r>
      <w:r>
        <w:t xml:space="preserve">eactions, </w:t>
      </w:r>
      <w:r w:rsidR="00B722BC">
        <w:t>instead</w:t>
      </w:r>
      <w:r>
        <w:t xml:space="preserve">, put them in a do-or-die situation leading to countrywide protests and </w:t>
      </w:r>
      <w:r>
        <w:t>resignation from commendable employees (Solicitors, 2021).</w:t>
      </w:r>
    </w:p>
    <w:p w14:paraId="0000001B" w14:textId="77777777" w:rsidR="00863AA6" w:rsidRDefault="00863AA6"/>
    <w:p w14:paraId="0000001C" w14:textId="77777777" w:rsidR="00863AA6" w:rsidRDefault="00863AA6"/>
    <w:p w14:paraId="0000001D" w14:textId="77777777" w:rsidR="00863AA6" w:rsidRDefault="00A81A78">
      <w:pPr>
        <w:pStyle w:val="Titlu1"/>
        <w:rPr>
          <w:b/>
          <w:sz w:val="24"/>
          <w:szCs w:val="24"/>
        </w:rPr>
      </w:pPr>
      <w:bookmarkStart w:id="5" w:name="_spfp3b9kirzf" w:colFirst="0" w:colLast="0"/>
      <w:bookmarkStart w:id="6" w:name="_Toc70622989"/>
      <w:bookmarkEnd w:id="5"/>
      <w:r>
        <w:rPr>
          <w:b/>
          <w:sz w:val="24"/>
          <w:szCs w:val="24"/>
        </w:rPr>
        <w:t>The potential impact of changes on employee engagement</w:t>
      </w:r>
      <w:bookmarkEnd w:id="6"/>
    </w:p>
    <w:p w14:paraId="0000001E" w14:textId="0D13188A" w:rsidR="00863AA6" w:rsidRDefault="00A81A78">
      <w:r>
        <w:t>Employee engagement and changes of the employees are involved in the decision-making of the organization.  Retention of the employees is related to the organizational ability that plays an effective role in the time of retaining the employees in the organi</w:t>
      </w:r>
      <w:r>
        <w:t xml:space="preserve">zation. According to (Allen </w:t>
      </w:r>
      <w:r>
        <w:rPr>
          <w:i/>
        </w:rPr>
        <w:t xml:space="preserve">et al. </w:t>
      </w:r>
      <w:r>
        <w:t>2010) the effective retention management requires the natural diagnosis of the turnover. It wants a strategic approach for determining the huge impact of the retention that affects the success of the organization. The emp</w:t>
      </w:r>
      <w:r>
        <w:t>loyee retention process is included with the loss of the expertise and the knowledge, considerable investment needs for training and hiring the replacements. Everything is under the human resources management process of the organization. The following case</w:t>
      </w:r>
      <w:r>
        <w:t xml:space="preserve"> study stated that the union of the company said that there will be </w:t>
      </w:r>
      <w:r w:rsidR="00B722BC">
        <w:t>a strike</w:t>
      </w:r>
      <w:r>
        <w:t xml:space="preserve"> against the embattled FTSE company. The reason behind it is that the company then changed their place and they are getting feared that they can lose their job but the </w:t>
      </w:r>
      <w:r>
        <w:lastRenderedPageBreak/>
        <w:t>company said</w:t>
      </w:r>
      <w:r>
        <w:t xml:space="preserve"> the business is transferred and the staff is getting the same basic pay. </w:t>
      </w:r>
      <w:r w:rsidR="00B722BC">
        <w:t>But</w:t>
      </w:r>
      <w:r>
        <w:t xml:space="preserve"> it is not fair for the employees. They called the nations for getting a huge response for the plan ‘fire and rehire’. The company gave the new employment contract to around 20000</w:t>
      </w:r>
      <w:r>
        <w:t>0 staff who will be shifting to another place and they lost their previous jobs. But, the fact is the pension plan and the basic pay are the same there. This situation makes various types of impact on the organization. The employees of the company are enga</w:t>
      </w:r>
      <w:r>
        <w:t>ged in every type of dimension. Sometimes the engagement also leads to personal engagement (sajhrm, 2021). There are various types of definitions of employee engagement. It is a type of approach in the workplace of the organization that ensures the employe</w:t>
      </w:r>
      <w:r>
        <w:t>es that they are committed to reaching the goals of the organization, they have to understand the values and objectives, they get encouragement for contributing to the success of the organization. So, in the organization of British gas, this type of decisi</w:t>
      </w:r>
      <w:r>
        <w:t xml:space="preserve">on is impactful for the engagement of the employees (Sun and Bunchapattanasakda, 2019). </w:t>
      </w:r>
    </w:p>
    <w:p w14:paraId="0000001F" w14:textId="28E3D80C" w:rsidR="00863AA6" w:rsidRDefault="00A81A78">
      <w:r>
        <w:t>This can affect the emotional engagement of the employees. The company has to connect effectively with the employees. When the employees feel that the company is think</w:t>
      </w:r>
      <w:r>
        <w:t xml:space="preserve">ing </w:t>
      </w:r>
      <w:r>
        <w:t xml:space="preserve">about their opinion and when they can see that the company is looking for their </w:t>
      </w:r>
      <w:r w:rsidR="00B722BC">
        <w:t>development,</w:t>
      </w:r>
      <w:r>
        <w:t xml:space="preserve"> they motivate themselves in the workplace. </w:t>
      </w:r>
      <w:r w:rsidR="00B722BC">
        <w:t>But</w:t>
      </w:r>
      <w:r>
        <w:t xml:space="preserve"> here the company </w:t>
      </w:r>
      <w:r w:rsidR="00B722BC">
        <w:t>cannot</w:t>
      </w:r>
      <w:r>
        <w:t xml:space="preserve"> think about the pay scale. On the other place, they are also getting the same salaries a</w:t>
      </w:r>
      <w:r>
        <w:t xml:space="preserve">nd the pension scheme is also included with the same strategies. So, they can be demotivated and the negative perspective can be </w:t>
      </w:r>
      <w:r w:rsidR="00B722BC">
        <w:t>raised</w:t>
      </w:r>
      <w:r>
        <w:t xml:space="preserve"> in the organization.  The employee union cleared that it is the worst employment contract and losing the job is part of </w:t>
      </w:r>
      <w:r>
        <w:t xml:space="preserve">the company's "fire and rehire plan". For the professional workers of the </w:t>
      </w:r>
      <w:r w:rsidR="00B722BC">
        <w:t>company,</w:t>
      </w:r>
      <w:r>
        <w:t xml:space="preserve"> it is too much of a bad situation. A professional worker of the company is a people's group that is involved with the same types of work in the organization. They are displa</w:t>
      </w:r>
      <w:r>
        <w:t>ying high expertise levels, a belief, and autonomy in the profession's regulations. In the organization professionals are loyal and they maintain a real identity. So, for the professional workers of the company, these moves are not beneficial and it is a b</w:t>
      </w:r>
      <w:r>
        <w:t xml:space="preserve">ad idea because in the place of increased salary or promotion they will get the same salaries with the same pension scheme. So, the strike is happening and many types of issues are raised that are shown through the text (Presbitero, 2017). Over the world, </w:t>
      </w:r>
      <w:r>
        <w:t xml:space="preserve">the report says that the changes in the organization are effective for </w:t>
      </w:r>
      <w:r>
        <w:lastRenderedPageBreak/>
        <w:t xml:space="preserve">the job of the employees. When the employees </w:t>
      </w:r>
      <w:r w:rsidR="00B722BC">
        <w:t>cannot</w:t>
      </w:r>
      <w:r>
        <w:t xml:space="preserve"> understand why the changes are needed for the organization, then it creates a barrier for ownership and commitment. So, the managemen</w:t>
      </w:r>
      <w:r>
        <w:t xml:space="preserve">t of the leadership is responsible for this.  The company should inspire the employees by presenting a good vision for their future. So, they serve their better work for the organization. A spokesperson said that the business needs a change for protecting </w:t>
      </w:r>
      <w:r>
        <w:t>and surviving the 20000 jobs. The company claimed that it is a fair deal that has been negotiated with the unions over 300 hours and they said that the pensions and base pay are protected. When the company was told to sign the new employment contract, it w</w:t>
      </w:r>
      <w:r>
        <w:t>as seen that the changes of the behavior among the employees (Harvard Business Review, 2021). The management of the company thinks that they are getting lost in the market. So, they have to change the business strategy. But, they should rethink the employe</w:t>
      </w:r>
      <w:r>
        <w:t>es because employees are the key to success in the organization. If the employees are going for the strike the business can not get the success and they are running into the loss. The company should think about their basic pay and the pension plan. Overall</w:t>
      </w:r>
      <w:r>
        <w:t xml:space="preserve">, the text described that this type of change makes a huge impact on the organizational structure </w:t>
      </w:r>
      <w:r>
        <w:t>as well as the profit of the organization. Here, the company's action leads to a chaotic situation, and also the staff is blaming the company from various per</w:t>
      </w:r>
      <w:r>
        <w:t xml:space="preserve">spectives. So, the changes can affect the engagement of the employees.   </w:t>
      </w:r>
    </w:p>
    <w:p w14:paraId="00000020" w14:textId="77777777" w:rsidR="00863AA6" w:rsidRDefault="00A81A78">
      <w:pPr>
        <w:pStyle w:val="Titlu1"/>
        <w:rPr>
          <w:b/>
          <w:sz w:val="24"/>
          <w:szCs w:val="24"/>
        </w:rPr>
      </w:pPr>
      <w:bookmarkStart w:id="7" w:name="_Toc70622990"/>
      <w:r>
        <w:rPr>
          <w:b/>
          <w:sz w:val="24"/>
          <w:szCs w:val="24"/>
        </w:rPr>
        <w:t>HR involvement in the dispute where traditional models of HRM provide an adequate framework for managing contemporary employment relations</w:t>
      </w:r>
      <w:bookmarkEnd w:id="7"/>
    </w:p>
    <w:p w14:paraId="00000021" w14:textId="12D239F2" w:rsidR="00863AA6" w:rsidRDefault="00A81A78">
      <w:r>
        <w:rPr>
          <w:i/>
        </w:rPr>
        <w:t xml:space="preserve">Traditional HR Management- </w:t>
      </w:r>
      <w:r>
        <w:t>In the tradition</w:t>
      </w:r>
      <w:r>
        <w:t>al HR management role, the professional of HR is relatively working. They take the responsibility for how the work is done in the organization. They are assuming the managers go through the work and the employees can pick up the training program for the jo</w:t>
      </w:r>
      <w:r>
        <w:t>b. The tasks of the traditional management are included with the placing ads for the jobs when the department is requesting for the role that is fulfilled. They are terminating the employees. Here the tasks are related to the decisions of the traditional H</w:t>
      </w:r>
      <w:r>
        <w:t xml:space="preserve">uman Resources manager (Cassar </w:t>
      </w:r>
      <w:r>
        <w:rPr>
          <w:i/>
        </w:rPr>
        <w:t xml:space="preserve">et al. </w:t>
      </w:r>
      <w:r>
        <w:t xml:space="preserve">2018). The dispute happened due to the decision of starting the business in another region. The new contract was under the "fire and rehire plan". The reaction was that the GMB called the strike for 12 days and around </w:t>
      </w:r>
      <w:r>
        <w:t xml:space="preserve">59% took part in this vote. So, it can be said </w:t>
      </w:r>
      <w:r>
        <w:lastRenderedPageBreak/>
        <w:t>that the traditional HR management strategy can solve this type of dispute. They also can solve the problems of the employee because the human resources management tackles part of all types of decisions in the</w:t>
      </w:r>
      <w:r>
        <w:t xml:space="preserve"> organization.  Dealing with conflicts is the hardest part for HRM management. But, they are responsible for solving these issues in the organization. So, they can use the theoretical models of Human Resources Management in this situation like </w:t>
      </w:r>
    </w:p>
    <w:p w14:paraId="00000022" w14:textId="497DC7B3" w:rsidR="00863AA6" w:rsidRDefault="00A81A78">
      <w:r>
        <w:rPr>
          <w:b/>
          <w:i/>
        </w:rPr>
        <w:t xml:space="preserve">McGregor’s </w:t>
      </w:r>
      <w:r>
        <w:rPr>
          <w:b/>
          <w:i/>
        </w:rPr>
        <w:t>Theory X and Theory Y</w:t>
      </w:r>
      <w:r>
        <w:t xml:space="preserve">: Douglas McGregor was a professor who presented this motivational theory that is related to the behavior of the human. He presented the traditional view through Theory X and also presented the modern views through Theory Y. Based on </w:t>
      </w:r>
      <w:r w:rsidR="00B722BC">
        <w:t>behavioral</w:t>
      </w:r>
      <w:r>
        <w:t xml:space="preserve"> </w:t>
      </w:r>
      <w:r w:rsidR="00B722BC">
        <w:t>science,</w:t>
      </w:r>
      <w:r>
        <w:t xml:space="preserve"> the theory is based (Daneshfard, K. and Rad, S.S., 2020). </w:t>
      </w:r>
    </w:p>
    <w:p w14:paraId="00000023" w14:textId="77777777" w:rsidR="00863AA6" w:rsidRDefault="00A81A78">
      <w:r>
        <w:rPr>
          <w:i/>
        </w:rPr>
        <w:t>Theory X</w:t>
      </w:r>
      <w:r>
        <w:t>-Theory X is based upon the traditional views and can follow the assumptions that are stated below:</w:t>
      </w:r>
    </w:p>
    <w:p w14:paraId="00000024" w14:textId="6079A4A4" w:rsidR="00863AA6" w:rsidRDefault="00A81A78">
      <w:r>
        <w:t>Naturally, people are always lazy and they avoid work. In the workplac</w:t>
      </w:r>
      <w:r>
        <w:t xml:space="preserve">e, people are requiring close supervision. A huge amount of people are going through a lack of ambition and they don't want to take the responsibilities in the </w:t>
      </w:r>
      <w:r w:rsidR="00B722BC">
        <w:t>organization. On</w:t>
      </w:r>
      <w:r>
        <w:t xml:space="preserve"> average the people are centered and they do not show interest in the organizati</w:t>
      </w:r>
      <w:r>
        <w:t xml:space="preserve">onal </w:t>
      </w:r>
      <w:r>
        <w:t>objectives. He assumed that the person is naive. Based on the assumptions, various types of principles of management are derived for controlling the behavior of the people in the organization. Next, the assumptions are provoked to the manager for adop</w:t>
      </w:r>
      <w:r>
        <w:t>ting the propositions like:</w:t>
      </w:r>
    </w:p>
    <w:p w14:paraId="00000025" w14:textId="27274CEC" w:rsidR="00863AA6" w:rsidRDefault="00A81A78">
      <w:r>
        <w:t>The Human Resources management is responsible for the element's organization of the enterprises that are products such as materials, money, equipment, and their interest in the people. With the people's respect they can direct the efforts, can motivate the</w:t>
      </w:r>
      <w:r>
        <w:t xml:space="preserve">m, and can control the actions. They are also responsible for motivating their behavior. They control the position of the employees without any active intervention by the management. People can be passive and they can resist the needs of the organization. </w:t>
      </w:r>
      <w:r>
        <w:t xml:space="preserve">The theory of X supports the authoritarian principles and those are considered properly to deal with the </w:t>
      </w:r>
      <w:r w:rsidR="00B722BC">
        <w:t>unrealizable</w:t>
      </w:r>
      <w:r>
        <w:t>, lazy, and irresponsible people in the organization. This can be a suitable tactic during this situation. The company has to think that th</w:t>
      </w:r>
      <w:r>
        <w:t xml:space="preserve">e man is not a machine that can be worked when the management is desired. The other thing is that the company has to think about the employees how they can get the motivation for the overwork. They become demotivated if this type of situation is </w:t>
      </w:r>
      <w:r w:rsidR="00B722BC">
        <w:t>raised</w:t>
      </w:r>
      <w:r>
        <w:t>. Th</w:t>
      </w:r>
      <w:r>
        <w:t xml:space="preserve">is </w:t>
      </w:r>
      <w:r>
        <w:lastRenderedPageBreak/>
        <w:t>motivational theory is based on the effect and cause principles. It is no0t applicable in the modern environment of the organization. The model helps to analyze the conditions of the employees of the organization like how the employees are treated in th</w:t>
      </w:r>
      <w:r>
        <w:t xml:space="preserve">e organization (Oluwakayode </w:t>
      </w:r>
      <w:r>
        <w:rPr>
          <w:i/>
        </w:rPr>
        <w:t>et al.</w:t>
      </w:r>
      <w:r>
        <w:t xml:space="preserve"> 2017). </w:t>
      </w:r>
    </w:p>
    <w:p w14:paraId="00000026" w14:textId="3136F7F8" w:rsidR="00863AA6" w:rsidRDefault="00A81A78">
      <w:r>
        <w:rPr>
          <w:i/>
        </w:rPr>
        <w:t>Theory Y</w:t>
      </w:r>
      <w:r w:rsidR="00B722BC">
        <w:rPr>
          <w:i/>
        </w:rPr>
        <w:t>- Theory</w:t>
      </w:r>
      <w:r>
        <w:t xml:space="preserve"> is made on more realistic concepts. It follows some assumptions like - the management gives response to organize the elements for the production enterprise that has an interest in the economical s</w:t>
      </w:r>
      <w:r>
        <w:t xml:space="preserve">ides. The assumptions said that motivation is important for development, it can assume the responsibility of the organization. It is stated that a huge number of people have different types of qualities like creativity, imagination, and ingenuity that are </w:t>
      </w:r>
      <w:r>
        <w:t xml:space="preserve">helpful for4 solving problems in the organization. It is committed to the objectives by the reward systems that are related to the achievements. With this theory of management, people can get </w:t>
      </w:r>
      <w:r w:rsidR="00B722BC">
        <w:t>self-motivation</w:t>
      </w:r>
      <w:r>
        <w:t xml:space="preserve"> in the organization. A human being’s dynamic cha</w:t>
      </w:r>
      <w:r>
        <w:t xml:space="preserve">racter is presented by Theory Y.  Through the case study it can be said that the Human Resources Management should encourage the people. So, they can get the motivation other\wise they </w:t>
      </w:r>
      <w:r w:rsidR="00B722BC">
        <w:t>cannot</w:t>
      </w:r>
      <w:r>
        <w:t xml:space="preserve"> get the security of their job. Theory Y has to participate in th</w:t>
      </w:r>
      <w:r>
        <w:t xml:space="preserve">e employee motivation by the management. The theories are not only the </w:t>
      </w:r>
      <w:r>
        <w:t xml:space="preserve">theory. McGregor says, "these were the examples of two among many cosmologies" (Touma, 2021). If the company is following these types of </w:t>
      </w:r>
      <w:r w:rsidR="00B722BC">
        <w:t>theories,</w:t>
      </w:r>
      <w:r>
        <w:t xml:space="preserve"> they can get the solution in the organ</w:t>
      </w:r>
      <w:r>
        <w:t xml:space="preserve">ization. It leads to good conditions in the workplace and this is important for the organizations. So, they can be free from these types of hazardous situations. The HRM management has to follow the rule. So, they </w:t>
      </w:r>
      <w:r w:rsidR="00B722BC">
        <w:t>can give</w:t>
      </w:r>
      <w:r>
        <w:t xml:space="preserve"> motivation and they can inspire t</w:t>
      </w:r>
      <w:r>
        <w:t xml:space="preserve">hem to stay with the company happily. The FTSE company has to look after the condition of the employees. If they are using this theory in the </w:t>
      </w:r>
      <w:r w:rsidR="00B722BC">
        <w:t>management,</w:t>
      </w:r>
      <w:r>
        <w:t xml:space="preserve"> they can get the success of the organization. The strike can be uprooted. Their decision is good on th</w:t>
      </w:r>
      <w:r>
        <w:t>e one side to make the profit in the organization but they have to follow the salaries and pension scheme of the employee. Overall, McGregor’s X and Y Theory could be beneficial if they used it in the organization. Traditional human resources management ca</w:t>
      </w:r>
      <w:r>
        <w:t>n react to the employees but the reaction should be effective to hold the employees in the organization and they are looking for the future of the company so they also have to be taken care of by the employees. They should update the company's "fire and hi</w:t>
      </w:r>
      <w:r>
        <w:t xml:space="preserve">re plan". So, the theoretical Human Resources Management is responsible </w:t>
      </w:r>
      <w:r w:rsidR="00B722BC">
        <w:t>for getting</w:t>
      </w:r>
      <w:r>
        <w:t xml:space="preserve"> benefits in the </w:t>
      </w:r>
      <w:r>
        <w:lastRenderedPageBreak/>
        <w:t xml:space="preserve">organization. The management has to understand how to manage the employees in the organization. They are the key to success and they can be harmful for the </w:t>
      </w:r>
      <w:r>
        <w:t xml:space="preserve">organization if the company is not behaving with them rightly. </w:t>
      </w:r>
    </w:p>
    <w:p w14:paraId="00000027" w14:textId="77777777" w:rsidR="00863AA6" w:rsidRDefault="00A81A78">
      <w:pPr>
        <w:pStyle w:val="Titlu1"/>
        <w:rPr>
          <w:b/>
          <w:sz w:val="24"/>
          <w:szCs w:val="24"/>
        </w:rPr>
      </w:pPr>
      <w:bookmarkStart w:id="8" w:name="_1uty4u7ysgxg" w:colFirst="0" w:colLast="0"/>
      <w:bookmarkStart w:id="9" w:name="_Toc70622991"/>
      <w:bookmarkEnd w:id="8"/>
      <w:r>
        <w:rPr>
          <w:b/>
          <w:sz w:val="24"/>
          <w:szCs w:val="24"/>
        </w:rPr>
        <w:t>Conclusion</w:t>
      </w:r>
      <w:bookmarkEnd w:id="9"/>
    </w:p>
    <w:p w14:paraId="00000028" w14:textId="35A1D4C7" w:rsidR="00863AA6" w:rsidRDefault="00A81A78">
      <w:r>
        <w:t>The text described how to manage the people in the organization. Through the case study, it is described. Employees with years of experience have been fired upon new terms they refu</w:t>
      </w:r>
      <w:r>
        <w:t xml:space="preserve">sed to accept and almost 20,000 employees, according to the Union are severely unhappy with their jobs or have lost them, based upon their employer vexing them into accepting newly formed and worse employment contracts. The article then analyzed the legal </w:t>
      </w:r>
      <w:r>
        <w:t>implications for changing the organizational contexts. Around the first week of April 2020, the largest vindication in the history of British employment was witnessed when British Gas began retrieval of vehicles and tools used by more than a hundred of its</w:t>
      </w:r>
      <w:r>
        <w:t xml:space="preserve"> </w:t>
      </w:r>
      <w:r w:rsidR="00B722BC">
        <w:t>employees. The</w:t>
      </w:r>
      <w:r>
        <w:t xml:space="preserve"> legal technicalities are complicated and how an employer has to formulate research and understanding to implement new terms in employment contracts without a failure such as British Gas' "fire and rehire" strategy where the company has been</w:t>
      </w:r>
      <w:r>
        <w:t xml:space="preserve"> said to have lost </w:t>
      </w:r>
      <w:r>
        <w:t>an average of about 600 bright and qualified employees while implementing the "fire and rehire" strategy. Employee engagement and changes of the employees are involved in the decision-making of the organization.  Retention of the employe</w:t>
      </w:r>
      <w:r>
        <w:t>es is related to the organizational ability that plays an effective role in the time of retaining the employees in the organization. In the last part of the article, the involvement of HR in the dispute is described through McGregor's Theory X and Theory Y</w:t>
      </w:r>
      <w:r>
        <w:t xml:space="preserve">. </w:t>
      </w:r>
    </w:p>
    <w:p w14:paraId="00000029" w14:textId="77777777" w:rsidR="00863AA6" w:rsidRDefault="00A81A78">
      <w:pPr>
        <w:pStyle w:val="Titlu1"/>
        <w:rPr>
          <w:b/>
          <w:sz w:val="24"/>
          <w:szCs w:val="24"/>
        </w:rPr>
      </w:pPr>
      <w:bookmarkStart w:id="10" w:name="_r1ss5bacn3y" w:colFirst="0" w:colLast="0"/>
      <w:bookmarkEnd w:id="10"/>
      <w:r>
        <w:br w:type="page"/>
      </w:r>
    </w:p>
    <w:p w14:paraId="0000002A" w14:textId="77777777" w:rsidR="00863AA6" w:rsidRDefault="00A81A78">
      <w:pPr>
        <w:pStyle w:val="Titlu1"/>
        <w:rPr>
          <w:b/>
          <w:sz w:val="24"/>
          <w:szCs w:val="24"/>
        </w:rPr>
      </w:pPr>
      <w:bookmarkStart w:id="11" w:name="_myc7yaxd869n" w:colFirst="0" w:colLast="0"/>
      <w:bookmarkStart w:id="12" w:name="_Toc70622992"/>
      <w:bookmarkEnd w:id="11"/>
      <w:r>
        <w:rPr>
          <w:b/>
          <w:sz w:val="24"/>
          <w:szCs w:val="24"/>
        </w:rPr>
        <w:lastRenderedPageBreak/>
        <w:t>Reference List</w:t>
      </w:r>
      <w:bookmarkEnd w:id="12"/>
    </w:p>
    <w:p w14:paraId="28CB5CED" w14:textId="77777777" w:rsidR="00B722BC" w:rsidRDefault="00A81A78">
      <w:r>
        <w:t>Allen, D.G., Bryant, P.C. and Vardaman, J.M., 2010. Retaining talent: Replacing misconceptions with evidence-based strategies. Academy of Management Perspectives, 24(2), pp.48-64.</w:t>
      </w:r>
    </w:p>
    <w:p w14:paraId="1CB8C7FE" w14:textId="77777777" w:rsidR="00B722BC" w:rsidRDefault="00A81A78">
      <w:pPr>
        <w:spacing w:after="180"/>
      </w:pPr>
      <w:r>
        <w:t>Ashfords.co.uk. 2021. New changes to employment (and wor</w:t>
      </w:r>
      <w:r>
        <w:t>ker) contract from 6 April 2020. [online] Available at: &lt;https://www.ashfords.co.uk/news-and-media/general/new-changes-to-employment-and-worker-contracts-from-6-april-2020&gt; [Accessed 29 April 2021].</w:t>
      </w:r>
    </w:p>
    <w:p w14:paraId="77DD1138" w14:textId="77777777" w:rsidR="00B722BC" w:rsidRDefault="00A81A78">
      <w:r>
        <w:t>Bernstein, L.R., 2020. 8. Labor Protest in an Era of Soci</w:t>
      </w:r>
      <w:r>
        <w:t>al Reform. In Big Business and Industrial Conflict in Nineteenth-Century France (pp. 292-326). University of California Press.</w:t>
      </w:r>
    </w:p>
    <w:p w14:paraId="76EA8927" w14:textId="77777777" w:rsidR="00B722BC" w:rsidRDefault="00A81A78">
      <w:r>
        <w:t>Cassar, V., Tracz-Krupa, K., Bezzina, F. and Przytuła, S., 2018. “The times they are-a-changin”: Reconstructing the new role of t</w:t>
      </w:r>
      <w:r>
        <w:t>he strategic HR manager. Nauki o Zarządzaniu, 23(3), pp.3-11.</w:t>
      </w:r>
    </w:p>
    <w:p w14:paraId="1E9C8818" w14:textId="77777777" w:rsidR="00B722BC" w:rsidRDefault="00A81A78">
      <w:r>
        <w:t>Codd, F., 2020. The covid-19 outbreak and employment rights.</w:t>
      </w:r>
    </w:p>
    <w:p w14:paraId="761DBBFC" w14:textId="77777777" w:rsidR="00B722BC" w:rsidRDefault="00A81A78">
      <w:pPr>
        <w:spacing w:after="180"/>
      </w:pPr>
      <w:r>
        <w:t>croneri.co.uk. 2021. Varying the Contract of Employment: In-depth | Croner-i. [online] Available at: &lt;https://app.croneri.co.uk/topic</w:t>
      </w:r>
      <w:r>
        <w:t>s/varying-</w:t>
      </w:r>
      <w:r>
        <w:t>contract-employment/indepth&gt; [Accessed 29 April 2021].</w:t>
      </w:r>
    </w:p>
    <w:p w14:paraId="6DC1A662" w14:textId="77777777" w:rsidR="00B722BC" w:rsidRDefault="00A81A78">
      <w:r>
        <w:t>Daneshfard, K. and Rad, S.S., 2020. Philosophical analysis of theory x and y. Journal of Management and Accounting Studies, 8(2).</w:t>
      </w:r>
    </w:p>
    <w:p w14:paraId="3918F6E9" w14:textId="77777777" w:rsidR="00B722BC" w:rsidRDefault="00A81A78">
      <w:pPr>
        <w:spacing w:after="80"/>
      </w:pPr>
      <w:r>
        <w:t>Google.com. 2021. Redirect Notice. [online] Available at: &lt;ht</w:t>
      </w:r>
      <w:r>
        <w:t>tps://www.google.com/url?q=https://sajhrm.co.za/index.php/sajhrm/article/view/1039/1635&amp;sa=D&amp;source=editors&amp;ust=1619686246781000&amp;usg=AOvVaw2xZ0RB3SbhQqqjmtzcKPGS&gt; [Accessed 29 April 2021].</w:t>
      </w:r>
    </w:p>
    <w:p w14:paraId="0DC5257C" w14:textId="77777777" w:rsidR="00B722BC" w:rsidRDefault="00A81A78">
      <w:pPr>
        <w:spacing w:after="80"/>
      </w:pPr>
      <w:r>
        <w:t>Harvard Business Review. 2021. Don’t Just Tell Employees Organizati</w:t>
      </w:r>
      <w:r>
        <w:t>onal Changes Are Coming — Explain Why. [online] Available at: &lt;https://hbr.org/2018/10/dont-just-tell-employees-organizational-changes-are-coming-explain-why&gt; [Accessed 29 April 2021].</w:t>
      </w:r>
    </w:p>
    <w:p w14:paraId="5F3BBB8B" w14:textId="77777777" w:rsidR="00B722BC" w:rsidRDefault="00A81A78">
      <w:pPr>
        <w:spacing w:after="180"/>
      </w:pPr>
      <w:r>
        <w:t>MB, B., 2021. What Happens to a Contract When a Business Changes?. [onl</w:t>
      </w:r>
      <w:r>
        <w:t>ine] The Balance Small Business. Available at: &lt;https://www.thebalancesmb.com/what-happens-to-a-contract-when-a-business-changes-3974595&gt; [Accessed 29 April 2021].</w:t>
      </w:r>
    </w:p>
    <w:p w14:paraId="1196B7DD" w14:textId="77777777" w:rsidR="00B722BC" w:rsidRDefault="00A81A78">
      <w:r>
        <w:t xml:space="preserve">Mardi, G., Simms, M., and Adam, D., 2019. Trade unions and precariat in Europe: </w:t>
      </w:r>
      <w:r>
        <w:lastRenderedPageBreak/>
        <w:t>Representati</w:t>
      </w:r>
      <w:r>
        <w:t>ve claims. European Journal of Industrial Relations, p.0959680119863585.</w:t>
      </w:r>
    </w:p>
    <w:p w14:paraId="5E185022" w14:textId="77777777" w:rsidR="00B722BC" w:rsidRDefault="00A81A78">
      <w:pPr>
        <w:spacing w:after="180"/>
      </w:pPr>
      <w:r>
        <w:t>Newlatman.com. 2021. Redirect Notice. [online] Available at: &lt;https://www.google.com/url?q=https://www.netlawman.co.uk/ia/amend-contract-employment&amp;sa=D&amp;source=editors&amp;ust=16197063042</w:t>
      </w:r>
      <w:r>
        <w:t>47000&amp;usg=AOvVaw2-YGth9hxGc5LMwsdtWjfu&gt; [Accessed 29 April 2021].</w:t>
      </w:r>
    </w:p>
    <w:p w14:paraId="65C700B1" w14:textId="77777777" w:rsidR="00B722BC" w:rsidRDefault="00A81A78">
      <w:r>
        <w:t>Oluwakayode, O., Clinton, E., Stanley, A. and Subi, J., 2017. A review and application of McGregor's theory X &amp; theory Y in business research. Theme: "Entrepreneurship and the Knowledge Econ</w:t>
      </w:r>
      <w:r>
        <w:t>omy", p.245.</w:t>
      </w:r>
    </w:p>
    <w:p w14:paraId="1E726610" w14:textId="77777777" w:rsidR="00B722BC" w:rsidRDefault="00A81A78">
      <w:r>
        <w:t>Presbitero, A., 2017. How do changes in human resource management practices influence employee engagement? A longitudinal study in a hotel chain in the Philippines. Journal of Human Resources in Hospitality &amp; Tourism, 16(1), pp.56-70.</w:t>
      </w:r>
    </w:p>
    <w:p w14:paraId="25C22C89" w14:textId="77777777" w:rsidR="00B722BC" w:rsidRDefault="00A81A78">
      <w:pPr>
        <w:spacing w:after="180"/>
      </w:pPr>
      <w:r>
        <w:t>Solicitors, C., 2021. Redirecting. [online] Google.com. Available at: &lt;https://www.google.com/url?q=https://www.crosslandsolicitors.com/site/knowledge/changing-tcs-of-employment/&amp;sa=D&amp;source=editors&amp;ust=1619706304245000&amp;usg=AOvVaw0P8jzs4w9qgcgZw0eUSyxj&gt; [A</w:t>
      </w:r>
      <w:r>
        <w:t>ccessed 29 April 2021].</w:t>
      </w:r>
    </w:p>
    <w:p w14:paraId="25334A81" w14:textId="77777777" w:rsidR="00B722BC" w:rsidRDefault="00A81A78">
      <w:r>
        <w:t>Sun, L. and Bunchapattanasakda, C., 2019. Employee engagement: A literature review. International Journal of Human Resource Studies, 9(1), pp.63-80.</w:t>
      </w:r>
    </w:p>
    <w:p w14:paraId="3BBDFC53" w14:textId="77777777" w:rsidR="00B722BC" w:rsidRDefault="00A81A78">
      <w:pPr>
        <w:spacing w:after="180"/>
      </w:pPr>
      <w:r>
        <w:t>the Guardian. 2021. GMB calls to renew the British Gas strike over the 'fire and re</w:t>
      </w:r>
      <w:r>
        <w:t>hire' plan. [online] Available at: &lt;https://www.theguardian.com/business/2021/feb/01/gmb-calls-to-renew-british-gas-strike-over-fire-and-rehire-plan&gt; [Accessed 29 April 2021].</w:t>
      </w:r>
    </w:p>
    <w:p w14:paraId="0285BE3E" w14:textId="77777777" w:rsidR="00B722BC" w:rsidRDefault="00A81A78">
      <w:r>
        <w:t>Touma, J., 2021. Theories X and Y in Combination for Effective Change during Eco</w:t>
      </w:r>
      <w:r>
        <w:t>nomic Crisis. Journal of Human Resource and Sustainability Studies, 9(01), p.20.</w:t>
      </w:r>
    </w:p>
    <w:sectPr w:rsidR="00B722BC" w:rsidSect="00B722BC">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FB6FC" w14:textId="77777777" w:rsidR="00A81A78" w:rsidRDefault="00A81A78">
      <w:pPr>
        <w:spacing w:line="240" w:lineRule="auto"/>
      </w:pPr>
      <w:r>
        <w:separator/>
      </w:r>
    </w:p>
  </w:endnote>
  <w:endnote w:type="continuationSeparator" w:id="0">
    <w:p w14:paraId="1EA67156" w14:textId="77777777" w:rsidR="00A81A78" w:rsidRDefault="00A81A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382873"/>
      <w:docPartObj>
        <w:docPartGallery w:val="Page Numbers (Bottom of Page)"/>
        <w:docPartUnique/>
      </w:docPartObj>
    </w:sdtPr>
    <w:sdtEndPr>
      <w:rPr>
        <w:noProof/>
      </w:rPr>
    </w:sdtEndPr>
    <w:sdtContent>
      <w:p w14:paraId="4D7BAC14" w14:textId="41136A82" w:rsidR="00B722BC" w:rsidRDefault="00A81A7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0000003F" w14:textId="30C9EC51" w:rsidR="00863AA6" w:rsidRDefault="00863AA6">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B85D0" w14:textId="77777777" w:rsidR="00A81A78" w:rsidRDefault="00A81A78">
      <w:pPr>
        <w:spacing w:line="240" w:lineRule="auto"/>
      </w:pPr>
      <w:r>
        <w:separator/>
      </w:r>
    </w:p>
  </w:footnote>
  <w:footnote w:type="continuationSeparator" w:id="0">
    <w:p w14:paraId="578905C2" w14:textId="77777777" w:rsidR="00A81A78" w:rsidRDefault="00A81A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AA6"/>
    <w:rsid w:val="00120B40"/>
    <w:rsid w:val="002541E8"/>
    <w:rsid w:val="00863AA6"/>
    <w:rsid w:val="00A81A78"/>
    <w:rsid w:val="00B722BC"/>
    <w:rsid w:val="00CF1C46"/>
    <w:rsid w:val="00DD64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95E5"/>
  <w15:docId w15:val="{46A0A063-7023-4BF6-AA0C-E63D7CE16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B722BC"/>
    <w:pPr>
      <w:spacing w:before="240" w:after="0" w:line="259" w:lineRule="auto"/>
      <w:jc w:val="left"/>
      <w:outlineLvl w:val="9"/>
    </w:pPr>
    <w:rPr>
      <w:rFonts w:asciiTheme="majorHAnsi" w:eastAsiaTheme="majorEastAsia" w:hAnsiTheme="majorHAnsi" w:cstheme="majorBidi"/>
      <w:color w:val="365F91" w:themeColor="accent1" w:themeShade="BF"/>
      <w:sz w:val="32"/>
      <w:szCs w:val="32"/>
      <w:highlight w:val="none"/>
      <w:lang w:val="en-US" w:eastAsia="en-US"/>
    </w:rPr>
  </w:style>
  <w:style w:type="paragraph" w:styleId="Cuprins1">
    <w:name w:val="toc 1"/>
    <w:basedOn w:val="Normal"/>
    <w:next w:val="Normal"/>
    <w:autoRedefine/>
    <w:uiPriority w:val="39"/>
    <w:unhideWhenUsed/>
    <w:rsid w:val="00B722BC"/>
    <w:pPr>
      <w:spacing w:after="100"/>
    </w:pPr>
  </w:style>
  <w:style w:type="character" w:styleId="Hyperlink">
    <w:name w:val="Hyperlink"/>
    <w:basedOn w:val="Fontdeparagrafimplicit"/>
    <w:uiPriority w:val="99"/>
    <w:unhideWhenUsed/>
    <w:rsid w:val="00B722BC"/>
    <w:rPr>
      <w:color w:val="0000FF" w:themeColor="hyperlink"/>
      <w:u w:val="single"/>
    </w:rPr>
  </w:style>
  <w:style w:type="paragraph" w:styleId="Antet">
    <w:name w:val="header"/>
    <w:basedOn w:val="Normal"/>
    <w:link w:val="AntetCaracter"/>
    <w:uiPriority w:val="99"/>
    <w:unhideWhenUsed/>
    <w:rsid w:val="00B722BC"/>
    <w:pPr>
      <w:tabs>
        <w:tab w:val="center" w:pos="4513"/>
        <w:tab w:val="right" w:pos="9026"/>
      </w:tabs>
      <w:spacing w:line="240" w:lineRule="auto"/>
    </w:pPr>
  </w:style>
  <w:style w:type="character" w:customStyle="1" w:styleId="AntetCaracter">
    <w:name w:val="Antet Caracter"/>
    <w:basedOn w:val="Fontdeparagrafimplicit"/>
    <w:link w:val="Antet"/>
    <w:uiPriority w:val="99"/>
    <w:rsid w:val="00B722BC"/>
  </w:style>
  <w:style w:type="paragraph" w:styleId="Subsol">
    <w:name w:val="footer"/>
    <w:basedOn w:val="Normal"/>
    <w:link w:val="SubsolCaracter"/>
    <w:uiPriority w:val="99"/>
    <w:unhideWhenUsed/>
    <w:rsid w:val="00B722B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72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BD89B-D83C-4F08-9225-F145D2B56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5111</Words>
  <Characters>29134</Characters>
  <Application>Microsoft Office Word</Application>
  <DocSecurity>0</DocSecurity>
  <Lines>242</Lines>
  <Paragraphs>68</Paragraphs>
  <ScaleCrop>false</ScaleCrop>
  <Company/>
  <LinksUpToDate>false</LinksUpToDate>
  <CharactersWithSpaces>34177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Camelia Corbu (2010281)</cp:lastModifiedBy>
  <cp:revision>2</cp:revision>
  <dcterms:created xsi:type="dcterms:W3CDTF">2021-04-30T10:22:00Z</dcterms:created>
  <dcterms:modified xsi:type="dcterms:W3CDTF">2021-04-30T10:22:00Z</dcterms:modified>
</cp:coreProperties>
</file>