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E2E7026" w14:textId="77777777" w:rsidR="00A51649" w:rsidRDefault="00A51649" w:rsidP="00A51649">
      <w:pPr>
        <w:pStyle w:val="NormalWeb"/>
        <w:spacing w:before="0" w:beforeAutospacing="0" w:after="0" w:afterAutospacing="0"/>
        <w:rPr>
          <w:color w:val="0E101A"/>
          <w:u w:val="single"/>
        </w:rPr>
      </w:pPr>
      <w:r>
        <w:rPr>
          <w:color w:val="0E101A"/>
          <w:u w:val="single"/>
        </w:rPr>
        <w:t>Introduction</w:t>
      </w:r>
    </w:p>
    <w:p w14:paraId="4074DDCD" w14:textId="77777777" w:rsidR="00A51649" w:rsidRDefault="00A51649" w:rsidP="00A51649">
      <w:pPr>
        <w:pStyle w:val="NormalWeb"/>
        <w:spacing w:before="0" w:beforeAutospacing="0" w:after="0" w:afterAutospacing="0"/>
        <w:rPr>
          <w:color w:val="0E101A"/>
        </w:rPr>
      </w:pPr>
    </w:p>
    <w:p w14:paraId="7691259D" w14:textId="77777777" w:rsidR="00A51649" w:rsidRDefault="00A51649" w:rsidP="00A51649">
      <w:pPr>
        <w:pStyle w:val="NormalWeb"/>
        <w:spacing w:before="0" w:beforeAutospacing="0" w:after="0" w:afterAutospacing="0"/>
        <w:rPr>
          <w:color w:val="0E101A"/>
        </w:rPr>
      </w:pPr>
      <w:r>
        <w:rPr>
          <w:color w:val="0E101A"/>
        </w:rPr>
        <w:t>In this essay, there will be a key focus on how a school develops one aspect of its School Development Plan (SDP) in a given area of choice. Therefore, this essay will focus on how the placement school has aimed to address key issues surrounding the learning and facilitation of Welsh within the school. One of the key indicators that arose from the SDP in the school was to widen the opportunities for pupils to develop their Welsh language skills, with four major actions cited as being crucial in achieving this. The main action plan that will be of focus in this essay is “to increase the use of Welsh across the curriculum, by producing an agreed approach, with the aim of providing more opportunities for learners to develop and improve reading, writing and speaking Welsh outside their Welsh lessons”.</w:t>
      </w:r>
    </w:p>
    <w:p w14:paraId="395CE0A3" w14:textId="77777777" w:rsidR="00A51649" w:rsidRDefault="00A51649" w:rsidP="00A51649">
      <w:pPr>
        <w:pStyle w:val="NormalWeb"/>
        <w:spacing w:before="0" w:beforeAutospacing="0" w:after="0" w:afterAutospacing="0"/>
        <w:rPr>
          <w:color w:val="0E101A"/>
        </w:rPr>
      </w:pPr>
      <w:r>
        <w:rPr>
          <w:color w:val="0E101A"/>
        </w:rPr>
        <w:t xml:space="preserve">              The school in question is an 11-18 predominantly English-speaking school in South Wales, with generally high levels of success concerning GCSE and A </w:t>
      </w:r>
      <w:proofErr w:type="gramStart"/>
      <w:r>
        <w:rPr>
          <w:color w:val="0E101A"/>
        </w:rPr>
        <w:t>Level results</w:t>
      </w:r>
      <w:proofErr w:type="gramEnd"/>
      <w:r>
        <w:rPr>
          <w:color w:val="0E101A"/>
        </w:rPr>
        <w:t>. The school has a population of 1,221 including the sixth form, with around 8.5% of pupils being eligible for free school meals. Approximately 9% of pupils are on the Additional Learning Needs register and only 3% of learners speak English as an additional language (Estyn, 2020).</w:t>
      </w:r>
    </w:p>
    <w:p w14:paraId="04F842F8" w14:textId="77777777" w:rsidR="00A51649" w:rsidRDefault="00A51649" w:rsidP="00A51649">
      <w:pPr>
        <w:pStyle w:val="NormalWeb"/>
        <w:spacing w:before="0" w:beforeAutospacing="0" w:after="0" w:afterAutospacing="0"/>
        <w:rPr>
          <w:color w:val="0E101A"/>
        </w:rPr>
      </w:pPr>
    </w:p>
    <w:p w14:paraId="3B229692" w14:textId="77777777" w:rsidR="00A51649" w:rsidRDefault="00A51649" w:rsidP="00A51649">
      <w:pPr>
        <w:pStyle w:val="NormalWeb"/>
        <w:spacing w:before="0" w:beforeAutospacing="0" w:after="0" w:afterAutospacing="0"/>
        <w:rPr>
          <w:color w:val="0E101A"/>
          <w:u w:val="single"/>
        </w:rPr>
      </w:pPr>
      <w:r>
        <w:rPr>
          <w:color w:val="0E101A"/>
          <w:u w:val="single"/>
        </w:rPr>
        <w:t>Literature Review</w:t>
      </w:r>
    </w:p>
    <w:p w14:paraId="5080100A" w14:textId="77777777" w:rsidR="00A51649" w:rsidRDefault="00A51649" w:rsidP="00A51649">
      <w:pPr>
        <w:pStyle w:val="NormalWeb"/>
        <w:spacing w:before="0" w:beforeAutospacing="0" w:after="0" w:afterAutospacing="0"/>
        <w:rPr>
          <w:color w:val="0E101A"/>
        </w:rPr>
      </w:pPr>
    </w:p>
    <w:p w14:paraId="38F73236" w14:textId="77777777" w:rsidR="00A51649" w:rsidRDefault="00A51649" w:rsidP="00A51649">
      <w:pPr>
        <w:pStyle w:val="NormalWeb"/>
        <w:spacing w:before="0" w:beforeAutospacing="0" w:after="0" w:afterAutospacing="0"/>
        <w:rPr>
          <w:color w:val="0E101A"/>
        </w:rPr>
      </w:pPr>
      <w:r>
        <w:rPr>
          <w:color w:val="0E101A"/>
        </w:rPr>
        <w:t>School development plans are utilised as a way to create measurable and often achievable goals within a given time frame, with many goals and targets having a breakdown of significant action points that need to be adhered to in order to achieve an overall successful objective (Meyers and Van Gronigen, 2019). The objective of the SDP is to suggest goals and improvements that can be used to create a more effective school in terms of management and development (MacGilchrist and Mortimore, 1997) Meyers and Van Gronigen suggest that there is a considerable lack of research into SDPs in relation to the important role that they play in increasing the effectiveness of the school holistically, and therefore created an emergent rationale for the exploration of these SDPs in forthcoming literature.</w:t>
      </w:r>
    </w:p>
    <w:p w14:paraId="7E4E0CEB" w14:textId="77777777" w:rsidR="00A51649" w:rsidRDefault="00A51649" w:rsidP="00A51649">
      <w:pPr>
        <w:pStyle w:val="NormalWeb"/>
        <w:spacing w:before="0" w:beforeAutospacing="0" w:after="0" w:afterAutospacing="0"/>
        <w:rPr>
          <w:color w:val="0E101A"/>
        </w:rPr>
      </w:pPr>
      <w:r>
        <w:rPr>
          <w:color w:val="0E101A"/>
        </w:rPr>
        <w:t>              Significantly, time frames for SDPs are somewhat dependent on the school and local context, with lower performing schools required to submit an SDP alongside an evaluation of the previous year's SDP annually, as well as having to complete a three-year plan (Meyers and Van Gronigen, 2019). Due to the consciousness of the impact of the local community, it is imperative that SDPs are consciously and strategically planned as a way of allowing the plan to be sensitive to local circumstances (MacGilchrist and Mortimore, 1997). Moreover, the local context plays a key role in the development of these plans, with schools in a similar local area tending to gravitate towards similar language used as well as similar targets (Meyers and Van Gronigen, 2019).</w:t>
      </w:r>
    </w:p>
    <w:p w14:paraId="13528245" w14:textId="77777777" w:rsidR="00A51649" w:rsidRDefault="00A51649" w:rsidP="00A51649">
      <w:pPr>
        <w:pStyle w:val="NormalWeb"/>
        <w:spacing w:before="0" w:beforeAutospacing="0" w:after="0" w:afterAutospacing="0"/>
        <w:rPr>
          <w:color w:val="0E101A"/>
        </w:rPr>
      </w:pPr>
      <w:r>
        <w:rPr>
          <w:color w:val="0E101A"/>
        </w:rPr>
        <w:t>              Due to the Cymraeg 2050 agenda, with the Welsh Government creating a shift in focus to the Welsh language, a significant number of SDPs in Wales have implemented objectives to increase the use of Welsh in schools across Wales. Young Welsh speakers were at their lowest percentage since 1981 in the recent 2021 census, with only 17.8% of young people being able to speak Welsh (Coupland et al, 2005). Wales has a unique circumstance in that, as a country with two official languages, it has the opportunity to create a diverse society of language acceptance and understanding. However, it has been argued that Wales has fallen into the trap of Anglo-centric monolingualism, with only English being used other than in small communities across the nation (</w:t>
      </w:r>
      <w:proofErr w:type="spellStart"/>
      <w:r>
        <w:rPr>
          <w:color w:val="0E101A"/>
        </w:rPr>
        <w:t>Gorrara</w:t>
      </w:r>
      <w:proofErr w:type="spellEnd"/>
      <w:r>
        <w:rPr>
          <w:color w:val="0E101A"/>
        </w:rPr>
        <w:t xml:space="preserve"> et al, 2020).</w:t>
      </w:r>
    </w:p>
    <w:p w14:paraId="5F5C3DF2" w14:textId="77777777" w:rsidR="00A51649" w:rsidRDefault="00A51649" w:rsidP="00A51649">
      <w:pPr>
        <w:pStyle w:val="NormalWeb"/>
        <w:spacing w:before="0" w:beforeAutospacing="0" w:after="0" w:afterAutospacing="0"/>
        <w:rPr>
          <w:color w:val="0E101A"/>
        </w:rPr>
      </w:pPr>
      <w:r>
        <w:rPr>
          <w:color w:val="0E101A"/>
        </w:rPr>
        <w:t xml:space="preserve">              SDPs are a way of addressing these issues and allowing Welsh pupils to use the Welsh language in meaningful and insightful ways. However, one of the major issues suggested by authors across the board is the lack of informal language usage regarding </w:t>
      </w:r>
      <w:r>
        <w:rPr>
          <w:color w:val="0E101A"/>
        </w:rPr>
        <w:lastRenderedPageBreak/>
        <w:t>Welsh. It is suggested that exposure to the language from a young age and speaking it socially is how a language is able to develop consistently (Gathercole and Thomas, 2009; Thomas and Roberts, 2011). Furthermore, Hodges suggests that there needs to be a system of monitoring the use of the Welsh language in the home and social settings outside of the school for the language to be successfully integrated into a young person’s vernacular, which is something that the School Development Plan is severely limited by.</w:t>
      </w:r>
    </w:p>
    <w:p w14:paraId="70C1658C" w14:textId="77777777" w:rsidR="00A51649" w:rsidRDefault="00A51649" w:rsidP="00A51649">
      <w:pPr>
        <w:pStyle w:val="NormalWeb"/>
        <w:spacing w:before="0" w:beforeAutospacing="0" w:after="0" w:afterAutospacing="0"/>
        <w:rPr>
          <w:color w:val="0E101A"/>
        </w:rPr>
      </w:pPr>
      <w:r>
        <w:rPr>
          <w:color w:val="0E101A"/>
        </w:rPr>
        <w:t>              Moreover, language has historically been considered to be a solely academic and intellectual endeavour, meaning that there needs to be a significant alteration to the social culture around learning languages in order to create a successful objective through young people learning Welsh (</w:t>
      </w:r>
      <w:proofErr w:type="spellStart"/>
      <w:r>
        <w:rPr>
          <w:color w:val="0E101A"/>
        </w:rPr>
        <w:t>Gorrara</w:t>
      </w:r>
      <w:proofErr w:type="spellEnd"/>
      <w:r>
        <w:rPr>
          <w:color w:val="0E101A"/>
        </w:rPr>
        <w:t xml:space="preserve"> et al, 2020). </w:t>
      </w:r>
      <w:proofErr w:type="spellStart"/>
      <w:r>
        <w:rPr>
          <w:color w:val="0E101A"/>
        </w:rPr>
        <w:t>Gorrara</w:t>
      </w:r>
      <w:proofErr w:type="spellEnd"/>
      <w:r>
        <w:rPr>
          <w:color w:val="0E101A"/>
        </w:rPr>
        <w:t xml:space="preserve"> et al further suggest that there needs to be a way for young people to speak Welsh leisurely in social contexts, outside of being assessed and measured on ability, which is again a further limitation of using Welsh being a key objective in the SDP.</w:t>
      </w:r>
    </w:p>
    <w:p w14:paraId="466196A2" w14:textId="77777777" w:rsidR="00A51649" w:rsidRDefault="00A51649" w:rsidP="00A51649">
      <w:pPr>
        <w:pStyle w:val="NormalWeb"/>
        <w:spacing w:before="0" w:beforeAutospacing="0" w:after="0" w:afterAutospacing="0"/>
        <w:rPr>
          <w:color w:val="0E101A"/>
        </w:rPr>
      </w:pPr>
      <w:r>
        <w:rPr>
          <w:color w:val="0E101A"/>
        </w:rPr>
        <w:t>              However, one major influence that the SDP can have on the Welsh language is by creating opportunities for post-compulsory pupils to complete their learning in Welsh. It has been noticed that a significant number of pupils transition from Welsh to English between Year 11 and AS Level, due to perceptions that support for Welsh medium pupils is not as easily accessible as it is for those in the English medium (Jones, 2022). Therefore, the SDP has the ability to create sufficient meaningful changes in addressing how support is garnered within schools that can offer pupils a Welsh medium.</w:t>
      </w:r>
    </w:p>
    <w:p w14:paraId="28DC988C" w14:textId="77777777" w:rsidR="00A51649" w:rsidRDefault="00A51649" w:rsidP="00A51649">
      <w:pPr>
        <w:pStyle w:val="NormalWeb"/>
        <w:spacing w:before="0" w:beforeAutospacing="0" w:after="0" w:afterAutospacing="0"/>
        <w:rPr>
          <w:color w:val="0E101A"/>
        </w:rPr>
      </w:pPr>
      <w:r>
        <w:rPr>
          <w:color w:val="0E101A"/>
        </w:rPr>
        <w:t>              Two significant suggestions have been made to improve the formatting of the SDP have made. Firstly, there has been a suggestion for a concrete requirement for start and end dates for action points (Meyers and Van Gronigen, 2019). This allows for evaluations to be completed to a reliable standard and attempts to alleviate some of the vagueness and ambiguity that can occur through SDPs, focusing on understanding how the action plans will look in a more practical sense. Secondly, is a suggestion concerning ownership. Teachers interviewed by MacGilchrist and Mortimore suggest they feel a lack of ownership of the plan and that their input is often put to the wayside to make way for the senior leadership team’s suggestions. Therefore, this leads to a lack of purpose when implementing key objectives from the SDP by teachers (MacGilchrist and Mortimore, 1997).</w:t>
      </w:r>
    </w:p>
    <w:p w14:paraId="0C4BDA00" w14:textId="77777777" w:rsidR="00A51649" w:rsidRDefault="00A51649" w:rsidP="00A51649">
      <w:pPr>
        <w:pStyle w:val="NormalWeb"/>
        <w:spacing w:before="0" w:beforeAutospacing="0" w:after="0" w:afterAutospacing="0"/>
        <w:rPr>
          <w:color w:val="0E101A"/>
        </w:rPr>
      </w:pPr>
    </w:p>
    <w:p w14:paraId="31D50894" w14:textId="77777777" w:rsidR="00A51649" w:rsidRDefault="00A51649" w:rsidP="00A51649">
      <w:pPr>
        <w:pStyle w:val="NormalWeb"/>
        <w:spacing w:before="0" w:beforeAutospacing="0" w:after="0" w:afterAutospacing="0"/>
        <w:rPr>
          <w:color w:val="0E101A"/>
          <w:u w:val="single"/>
        </w:rPr>
      </w:pPr>
      <w:r>
        <w:rPr>
          <w:color w:val="0E101A"/>
          <w:u w:val="single"/>
        </w:rPr>
        <w:t>Developing an action point</w:t>
      </w:r>
    </w:p>
    <w:p w14:paraId="205AF926" w14:textId="77777777" w:rsidR="00A51649" w:rsidRDefault="00A51649" w:rsidP="00A51649">
      <w:pPr>
        <w:pStyle w:val="NormalWeb"/>
        <w:spacing w:before="0" w:beforeAutospacing="0" w:after="0" w:afterAutospacing="0"/>
        <w:rPr>
          <w:color w:val="0E101A"/>
        </w:rPr>
      </w:pPr>
    </w:p>
    <w:p w14:paraId="54B6E7D0" w14:textId="77777777" w:rsidR="00A51649" w:rsidRDefault="00A51649" w:rsidP="00A51649">
      <w:pPr>
        <w:pStyle w:val="NormalWeb"/>
        <w:spacing w:before="0" w:beforeAutospacing="0" w:after="0" w:afterAutospacing="0"/>
        <w:rPr>
          <w:color w:val="0E101A"/>
        </w:rPr>
      </w:pPr>
      <w:r>
        <w:rPr>
          <w:color w:val="0E101A"/>
        </w:rPr>
        <w:t>In order to develop an impactful action point to achieve the objective of increasing the use of the Welsh language, the school consulted a wide range of academia and Welsh Governmental policies to ensure that there was sufficient rationale behind the creation of the plan. The SDP used a combination of different Welsh government policies, such as Cymraeg 2050, using the targets put forward by the policy and integrating them into their action point. Furthermore, the action point clearly states that there is a requirement to increase the use of Welsh outside of Welsh lessons, suggesting that the focus needs to be more on the informal and social use of the language, aligning with a significant portion of the research completed on sustaining minority languages (Hodges, 2012; Thomas and Roberts, 2011).</w:t>
      </w:r>
    </w:p>
    <w:p w14:paraId="07E7EC6F" w14:textId="77777777" w:rsidR="00A51649" w:rsidRDefault="00A51649" w:rsidP="00A51649">
      <w:pPr>
        <w:pStyle w:val="NormalWeb"/>
        <w:spacing w:before="0" w:beforeAutospacing="0" w:after="0" w:afterAutospacing="0"/>
        <w:rPr>
          <w:color w:val="0E101A"/>
        </w:rPr>
      </w:pPr>
      <w:r>
        <w:rPr>
          <w:color w:val="0E101A"/>
        </w:rPr>
        <w:t xml:space="preserve">              Exploring the processes of developing the SDP, there are some clear avenues that the school has taken to ensure that there are impactful actions that are measured and evaluated. To evaluate the action point successfully, two members of the senior leadership team have been put in charge. These evaluations take place once per year in July, which may be a cause for concern regarding the process of ongoing evaluation and ensuring that the plan is going in the correct direction. Although the SDP is only evaluated as a document annually, there needs to be a more process-driven approach to ensuring that smaller targets are being met throughout the year, which is something that the current plan is not allowing for. </w:t>
      </w:r>
      <w:r>
        <w:rPr>
          <w:color w:val="0E101A"/>
        </w:rPr>
        <w:lastRenderedPageBreak/>
        <w:t>Furthermore, the impact is only measured in July at the end of each academic year, meaning that impactful change can only take place over the summer break, not allowing an adaptive and progressive strategy to occur. However, one very strong aspect of the evaluation of the action point is that it evaluates opportunities provided as opposed to results, meaning that the Welsh language has more informal and social support attached to it, removing it being a simply ‘intellectual endeavour’ and allowing the language to progress through the pupils own self-efficacy (</w:t>
      </w:r>
      <w:proofErr w:type="spellStart"/>
      <w:r>
        <w:rPr>
          <w:color w:val="0E101A"/>
        </w:rPr>
        <w:t>Gorrara</w:t>
      </w:r>
      <w:proofErr w:type="spellEnd"/>
      <w:r>
        <w:rPr>
          <w:color w:val="0E101A"/>
        </w:rPr>
        <w:t xml:space="preserve"> et al, 2020).</w:t>
      </w:r>
    </w:p>
    <w:p w14:paraId="676617F1" w14:textId="77777777" w:rsidR="00A51649" w:rsidRDefault="00A51649" w:rsidP="00A51649">
      <w:pPr>
        <w:pStyle w:val="NormalWeb"/>
        <w:spacing w:before="0" w:beforeAutospacing="0" w:after="0" w:afterAutospacing="0"/>
        <w:rPr>
          <w:color w:val="0E101A"/>
        </w:rPr>
      </w:pPr>
      <w:r>
        <w:rPr>
          <w:color w:val="0E101A"/>
        </w:rPr>
        <w:t>              Regarding data analysis, again this only takes place once per year and solely focuses on the opportunities presented in the school that allows pupils to use Welsh outside of their Welsh lessons. As a way of achieving this, the school has developed a series of extra-curricular clubs that involve learning about specific ‘lifestyle interests’ in Welsh, such as a sports club and a music club, aligning with academia completed on using Welsh to discuss personal interests in an environment that is supportive to build confidence (Coupland et al, 2005). This allows pupils to develop personal social identities alongside the Welsh language and relates well to another action point on the subjective well-being of the pupils within the school.</w:t>
      </w:r>
    </w:p>
    <w:p w14:paraId="52B16C8A" w14:textId="77777777" w:rsidR="00A51649" w:rsidRDefault="00A51649" w:rsidP="00A51649">
      <w:pPr>
        <w:pStyle w:val="NormalWeb"/>
        <w:spacing w:before="0" w:beforeAutospacing="0" w:after="0" w:afterAutospacing="0"/>
        <w:rPr>
          <w:color w:val="0E101A"/>
        </w:rPr>
      </w:pPr>
      <w:r>
        <w:rPr>
          <w:color w:val="0E101A"/>
        </w:rPr>
        <w:t>              Supporting this, teachers are given resource packs to aid in the process of using Welsh in these extra-curricular clubs and activities. The resource packs help to involve pupils in using Welsh to conduct basic conversations about favourite sports teams or musical artists and are not assessed and therefore support the notion of strengthening the use of the Welsh language outside of the classroom environment. However, these resources could be extended to aid in supporting Welsh learners at AS and A2 levels, which is a separate action point within the major focus surrounding the Welsh language and addresses key objectives from the Welsh Government’s ‘Welsh in Education’ action plan as well as key academia regarding the Learning and Skills Measure 2009 to increase the availability of Welsh medium education for children aged 14-19 (Jones, 2022).</w:t>
      </w:r>
    </w:p>
    <w:p w14:paraId="7B9DCADD" w14:textId="77777777" w:rsidR="00A51649" w:rsidRDefault="00A51649" w:rsidP="00A51649">
      <w:pPr>
        <w:pStyle w:val="NormalWeb"/>
        <w:spacing w:before="0" w:beforeAutospacing="0" w:after="0" w:afterAutospacing="0"/>
        <w:rPr>
          <w:color w:val="0E101A"/>
        </w:rPr>
      </w:pPr>
      <w:r>
        <w:rPr>
          <w:color w:val="0E101A"/>
        </w:rPr>
        <w:t>              Planning for the increase in Welsh language usage in a social setting within the school requires a significant amount of strategic planning on the school's behalf. The SDP uses a small percentage of the school’s budget to address the concerns surrounding the Welsh language as well as using a Welsh governmental grant to purchase a myriad of different resources for use by many different stakeholders within the school. As previously stated however, there is a fundamental requirement for this planning to take place more frequently, as once per annum poses a series of issues regarding the effectiveness of the approach as well as measuring the impact that the action point is having on the pupils within the school.</w:t>
      </w:r>
    </w:p>
    <w:p w14:paraId="4D6B4E70" w14:textId="77777777" w:rsidR="00A51649" w:rsidRDefault="00A51649" w:rsidP="00A51649">
      <w:pPr>
        <w:pStyle w:val="NormalWeb"/>
        <w:spacing w:before="0" w:beforeAutospacing="0" w:after="0" w:afterAutospacing="0"/>
        <w:rPr>
          <w:color w:val="0E101A"/>
        </w:rPr>
      </w:pPr>
    </w:p>
    <w:p w14:paraId="6F7C6D3A" w14:textId="77777777" w:rsidR="00A51649" w:rsidRDefault="00A51649" w:rsidP="00A51649">
      <w:pPr>
        <w:pStyle w:val="NormalWeb"/>
        <w:spacing w:before="0" w:beforeAutospacing="0" w:after="0" w:afterAutospacing="0"/>
        <w:rPr>
          <w:color w:val="0E101A"/>
          <w:u w:val="single"/>
        </w:rPr>
      </w:pPr>
      <w:r>
        <w:rPr>
          <w:color w:val="0E101A"/>
          <w:u w:val="single"/>
        </w:rPr>
        <w:t>Evaluation and reflection</w:t>
      </w:r>
    </w:p>
    <w:p w14:paraId="1192EFFB" w14:textId="77777777" w:rsidR="00A51649" w:rsidRDefault="00A51649" w:rsidP="00A51649">
      <w:pPr>
        <w:pStyle w:val="NormalWeb"/>
        <w:spacing w:before="0" w:beforeAutospacing="0" w:after="0" w:afterAutospacing="0"/>
        <w:rPr>
          <w:color w:val="0E101A"/>
        </w:rPr>
      </w:pPr>
    </w:p>
    <w:p w14:paraId="13774E79" w14:textId="77777777" w:rsidR="00A51649" w:rsidRDefault="00A51649" w:rsidP="00A51649">
      <w:pPr>
        <w:pStyle w:val="NormalWeb"/>
        <w:spacing w:before="0" w:beforeAutospacing="0" w:after="0" w:afterAutospacing="0"/>
        <w:rPr>
          <w:color w:val="0E101A"/>
        </w:rPr>
      </w:pPr>
      <w:r>
        <w:rPr>
          <w:color w:val="0E101A"/>
        </w:rPr>
        <w:t xml:space="preserve">On evaluation, it is clear to see that there are some successes within the SDP, but there needs to be a larger focus on other aspects of the action plan that appear to need some improvements in relation to the literature on Welsh language use. One of the major aspects that is a strong focus in the SDP is on using the Welsh language in extra-curricular areas of the school outside of Welsh lessons. This is something that has been discussed by many academics concerning the promotion of Welsh development into the vernacular of the average pupil. One issue that needs to be addressed is the use of the Welsh language at home. R.S Hodges suggests that there is a misconception amongst Welsh families that suggests learning Welsh within the school is a competent substitute for speaking the language in different contexts. Therefore, there could be a way of implementing the use of Welsh at home through the SDP, however, this can cause some considerable issues if not considered carefully. What is more, the SDP needs to provide families with reasoning as to why pupils </w:t>
      </w:r>
      <w:r>
        <w:rPr>
          <w:color w:val="0E101A"/>
        </w:rPr>
        <w:lastRenderedPageBreak/>
        <w:t>should be encouraged to speak Welsh at home, informing parents of the economic and social benefits of being proficient in the language (Hodges, 2012).</w:t>
      </w:r>
    </w:p>
    <w:p w14:paraId="630A29EF" w14:textId="77777777" w:rsidR="00A51649" w:rsidRDefault="00A51649" w:rsidP="00A51649">
      <w:pPr>
        <w:pStyle w:val="NormalWeb"/>
        <w:spacing w:before="0" w:beforeAutospacing="0" w:after="0" w:afterAutospacing="0"/>
        <w:rPr>
          <w:color w:val="0E101A"/>
        </w:rPr>
      </w:pPr>
      <w:r>
        <w:rPr>
          <w:color w:val="0E101A"/>
        </w:rPr>
        <w:t xml:space="preserve">              Another major issue that has arisen is regarding the availability of Welsh medium lessons for pupils attending post-secondary education. Although the target of pupils studying at least five credits at AS/A2 level was achieved nationally, there is still a long way to go regarding the target of at least 40 credits (Jones, 2022). Nothing within the SDP action plans suggests that there are any placements within the school to address this currently. Providing further resources to teachers and pupils from the Welsh government could be a way to offset this issue, working alongside the Welsh in Education Workforce Plan to increase the number of teachers able to teach Welsh as a subject and to teach other subjects through the medium of Welsh. Nevertheless, the action plan has done an impactful job of addressing the Coleg Cymraeg </w:t>
      </w:r>
      <w:proofErr w:type="spellStart"/>
      <w:r>
        <w:rPr>
          <w:color w:val="0E101A"/>
        </w:rPr>
        <w:t>Cenedlaethol’s</w:t>
      </w:r>
      <w:proofErr w:type="spellEnd"/>
      <w:r>
        <w:rPr>
          <w:color w:val="0E101A"/>
        </w:rPr>
        <w:t xml:space="preserve"> suggestion of creating an accommodation for promoting the Welsh language as a vital skill not only in the workplace or as a tokenistic endeavour, but as a promotion of cultural identity and understanding.</w:t>
      </w:r>
    </w:p>
    <w:p w14:paraId="17F79596" w14:textId="77777777" w:rsidR="00A51649" w:rsidRDefault="00A51649" w:rsidP="00A51649">
      <w:pPr>
        <w:pStyle w:val="NormalWeb"/>
        <w:spacing w:before="0" w:beforeAutospacing="0" w:after="0" w:afterAutospacing="0"/>
        <w:rPr>
          <w:color w:val="0E101A"/>
        </w:rPr>
      </w:pPr>
      <w:r>
        <w:rPr>
          <w:color w:val="0E101A"/>
        </w:rPr>
        <w:t>              In relation to the target of pupils studying in Welsh medium at AS and A2 levels, the SDP needs to develop some strategies to encourage pupils to participate in Welsh medium education in some subject areas. Historically, pupils have chosen the English pathway through post-compulsory education as it has always been viewed as the more beneficial in terms of employment (Jones, 2022). However, emerging policies from the Welsh Government have put the Welsh language in a higher standing than previously understood (Jones, 2022), therefore the SDP should have implementations that allow pupils to see the advantages of speaking Welsh in preparation for their future careers.</w:t>
      </w:r>
    </w:p>
    <w:p w14:paraId="10325437" w14:textId="77777777" w:rsidR="00A51649" w:rsidRDefault="00A51649" w:rsidP="00A51649">
      <w:pPr>
        <w:pStyle w:val="NormalWeb"/>
        <w:spacing w:before="0" w:beforeAutospacing="0" w:after="0" w:afterAutospacing="0"/>
        <w:rPr>
          <w:color w:val="0E101A"/>
        </w:rPr>
      </w:pPr>
      <w:r>
        <w:rPr>
          <w:color w:val="0E101A"/>
        </w:rPr>
        <w:t>              Finally, while the SDP does a fantastic job at measuring impacts in terms of opportunities rather than results, there could be more opportunities to measure the impact and address issues surrounding the currently available opportunities. One suggestion would be to create a panel to discuss these issues termly, creating a more dynamic approach that suits the needs of individual learners.</w:t>
      </w:r>
    </w:p>
    <w:p w14:paraId="18766F1E" w14:textId="77777777" w:rsidR="00A51649" w:rsidRDefault="00A51649" w:rsidP="00A51649">
      <w:pPr>
        <w:pStyle w:val="NormalWeb"/>
        <w:spacing w:before="0" w:beforeAutospacing="0" w:after="0" w:afterAutospacing="0"/>
        <w:rPr>
          <w:color w:val="0E101A"/>
        </w:rPr>
      </w:pPr>
    </w:p>
    <w:p w14:paraId="75D588B6" w14:textId="77777777" w:rsidR="00A51649" w:rsidRDefault="00A51649" w:rsidP="00A51649">
      <w:pPr>
        <w:pStyle w:val="NormalWeb"/>
        <w:spacing w:before="0" w:beforeAutospacing="0" w:after="0" w:afterAutospacing="0"/>
        <w:rPr>
          <w:color w:val="0E101A"/>
          <w:u w:val="single"/>
        </w:rPr>
      </w:pPr>
      <w:r>
        <w:rPr>
          <w:color w:val="0E101A"/>
          <w:u w:val="single"/>
        </w:rPr>
        <w:t>Conclusion</w:t>
      </w:r>
    </w:p>
    <w:p w14:paraId="73438AB8" w14:textId="77777777" w:rsidR="00A51649" w:rsidRDefault="00A51649" w:rsidP="00A51649">
      <w:pPr>
        <w:pStyle w:val="NormalWeb"/>
        <w:spacing w:before="0" w:beforeAutospacing="0" w:after="0" w:afterAutospacing="0"/>
        <w:rPr>
          <w:color w:val="0E101A"/>
        </w:rPr>
      </w:pPr>
    </w:p>
    <w:p w14:paraId="1BEA99F1" w14:textId="77777777" w:rsidR="00A51649" w:rsidRDefault="00A51649" w:rsidP="00A51649">
      <w:pPr>
        <w:pStyle w:val="NormalWeb"/>
        <w:spacing w:before="0" w:beforeAutospacing="0" w:after="0" w:afterAutospacing="0"/>
        <w:rPr>
          <w:color w:val="0E101A"/>
        </w:rPr>
      </w:pPr>
      <w:r>
        <w:rPr>
          <w:color w:val="0E101A"/>
        </w:rPr>
        <w:t>In conclusion, exploring the action plan of creating substantial opportunities for pupils to explore the Welsh language outside of Welsh lessons facilitated a deeper understanding of the requirements for speaking Welsh within Welsh secondary schools. There are two main takeaways from the assignment that have been explored.</w:t>
      </w:r>
    </w:p>
    <w:p w14:paraId="0AD12EC9" w14:textId="14FEB6F3" w:rsidR="00A51649" w:rsidRPr="00A51649" w:rsidRDefault="00A51649" w:rsidP="00A51649">
      <w:pPr>
        <w:pStyle w:val="NormalWeb"/>
        <w:spacing w:after="0"/>
        <w:rPr>
          <w:color w:val="0E101A"/>
        </w:rPr>
      </w:pPr>
      <w:r>
        <w:rPr>
          <w:color w:val="0E101A"/>
        </w:rPr>
        <w:t xml:space="preserve">              Firstly, it is imperative that Welsh is utilised in an informal setting outside of the Welsh classroom, which is something that this action plan has aimed to address entirely. Opportunities to speak Welsh regardless of the academic study are crucial in developing the </w:t>
      </w:r>
      <w:proofErr w:type="gramStart"/>
      <w:r>
        <w:rPr>
          <w:color w:val="0E101A"/>
        </w:rPr>
        <w:t>language, and</w:t>
      </w:r>
      <w:proofErr w:type="gramEnd"/>
      <w:r>
        <w:rPr>
          <w:color w:val="0E101A"/>
        </w:rPr>
        <w:t xml:space="preserve"> linking</w:t>
      </w:r>
      <w:r w:rsidRPr="00A51649">
        <w:t xml:space="preserve"> </w:t>
      </w:r>
      <w:r w:rsidRPr="00A51649">
        <w:rPr>
          <w:color w:val="0E101A"/>
        </w:rPr>
        <w:t>holistically to Welsh government policies regarding the use of Welsh and especially through reports that have shown the increase in the Welsh language, such as through the projection and trajectory for the number of Welsh speakers technical report. Secondly, there is a requirement to increase the frequency of evaluations completed on the Welsh language opportunities to create a more dynamic approach to Welsh opportunities within the school.</w:t>
      </w:r>
    </w:p>
    <w:p w14:paraId="122074B7" w14:textId="15FC8ECB" w:rsidR="00A51649" w:rsidRDefault="00A51649" w:rsidP="00A51649">
      <w:pPr>
        <w:pStyle w:val="NormalWeb"/>
        <w:spacing w:before="0" w:beforeAutospacing="0" w:after="0" w:afterAutospacing="0"/>
        <w:rPr>
          <w:color w:val="0E101A"/>
        </w:rPr>
      </w:pPr>
      <w:r w:rsidRPr="00A51649">
        <w:rPr>
          <w:color w:val="0E101A"/>
        </w:rPr>
        <w:t xml:space="preserve">              Finally, in terms of my professional development, there is a requirement to utilise Welsh in more informal settings and therefore has given some momentum to the idea of using Welsh to build rapport with pupils. Using Welsh to discuss hobbies and interests is a way of linking together relationship building, the well-being of pupils, and Welsh language use, all of which appear in the SDP of the school.</w:t>
      </w:r>
    </w:p>
    <w:p w14:paraId="25E53224" w14:textId="469179BE" w:rsidR="00B4144C" w:rsidRPr="00A51649" w:rsidRDefault="00B4144C">
      <w:pPr>
        <w:rPr>
          <w:rFonts w:ascii="Times New Roman" w:hAnsi="Times New Roman" w:cs="Times New Roman"/>
        </w:rPr>
      </w:pPr>
      <w:r w:rsidRPr="00A51649">
        <w:rPr>
          <w:rFonts w:ascii="Times New Roman" w:hAnsi="Times New Roman" w:cs="Times New Roman"/>
          <w:b/>
          <w:bCs/>
        </w:rPr>
        <w:lastRenderedPageBreak/>
        <w:t>Word Count: 25</w:t>
      </w:r>
      <w:r w:rsidR="00A51649" w:rsidRPr="00A51649">
        <w:rPr>
          <w:rFonts w:ascii="Times New Roman" w:hAnsi="Times New Roman" w:cs="Times New Roman"/>
          <w:b/>
          <w:bCs/>
        </w:rPr>
        <w:t>47</w:t>
      </w:r>
    </w:p>
    <w:p w14:paraId="718690C2" w14:textId="5A51552B" w:rsidR="00B4144C" w:rsidRPr="00A51649" w:rsidRDefault="00B4144C">
      <w:pPr>
        <w:rPr>
          <w:rFonts w:ascii="Times New Roman" w:hAnsi="Times New Roman" w:cs="Times New Roman"/>
          <w:u w:val="single"/>
        </w:rPr>
      </w:pPr>
      <w:r w:rsidRPr="00A51649">
        <w:rPr>
          <w:rFonts w:ascii="Times New Roman" w:hAnsi="Times New Roman" w:cs="Times New Roman"/>
          <w:u w:val="single"/>
        </w:rPr>
        <w:t>Reference List</w:t>
      </w:r>
    </w:p>
    <w:p w14:paraId="40D0954E" w14:textId="77777777" w:rsidR="00B4144C" w:rsidRPr="00A51649" w:rsidRDefault="00B4144C" w:rsidP="00B4144C">
      <w:pPr>
        <w:rPr>
          <w:rFonts w:ascii="Times New Roman" w:hAnsi="Times New Roman" w:cs="Times New Roman"/>
          <w:color w:val="3A3A3A"/>
          <w:sz w:val="23"/>
          <w:szCs w:val="23"/>
          <w:shd w:val="clear" w:color="auto" w:fill="FFFFFF"/>
        </w:rPr>
      </w:pPr>
      <w:r w:rsidRPr="00A51649">
        <w:rPr>
          <w:rFonts w:ascii="Times New Roman" w:hAnsi="Times New Roman" w:cs="Times New Roman"/>
          <w:color w:val="3A3A3A"/>
          <w:sz w:val="23"/>
          <w:szCs w:val="23"/>
          <w:shd w:val="clear" w:color="auto" w:fill="FFFFFF"/>
        </w:rPr>
        <w:t>Coupland, N. </w:t>
      </w:r>
      <w:r w:rsidRPr="00A51649">
        <w:rPr>
          <w:rFonts w:ascii="Times New Roman" w:hAnsi="Times New Roman" w:cs="Times New Roman"/>
          <w:i/>
          <w:iCs/>
          <w:color w:val="3A3A3A"/>
          <w:sz w:val="23"/>
          <w:szCs w:val="23"/>
          <w:shd w:val="clear" w:color="auto" w:fill="FFFFFF"/>
        </w:rPr>
        <w:t>et al.</w:t>
      </w:r>
      <w:r w:rsidRPr="00A51649">
        <w:rPr>
          <w:rFonts w:ascii="Times New Roman" w:hAnsi="Times New Roman" w:cs="Times New Roman"/>
          <w:color w:val="3A3A3A"/>
          <w:sz w:val="23"/>
          <w:szCs w:val="23"/>
          <w:shd w:val="clear" w:color="auto" w:fill="FFFFFF"/>
        </w:rPr>
        <w:t> (2005) ‘Affiliation, Engagement, Language Use and Vitality: Secondary School Students’ Subjective Orientations to Welsh and Welshness’, </w:t>
      </w:r>
      <w:r w:rsidRPr="00A51649">
        <w:rPr>
          <w:rFonts w:ascii="Times New Roman" w:hAnsi="Times New Roman" w:cs="Times New Roman"/>
          <w:i/>
          <w:iCs/>
          <w:color w:val="3A3A3A"/>
          <w:sz w:val="23"/>
          <w:szCs w:val="23"/>
          <w:shd w:val="clear" w:color="auto" w:fill="FFFFFF"/>
        </w:rPr>
        <w:t>International journal of bilingual education and bilingualism</w:t>
      </w:r>
      <w:r w:rsidRPr="00A51649">
        <w:rPr>
          <w:rFonts w:ascii="Times New Roman" w:hAnsi="Times New Roman" w:cs="Times New Roman"/>
          <w:color w:val="3A3A3A"/>
          <w:sz w:val="23"/>
          <w:szCs w:val="23"/>
          <w:shd w:val="clear" w:color="auto" w:fill="FFFFFF"/>
        </w:rPr>
        <w:t xml:space="preserve">, 8(1), pp. 1–24. Available at: </w:t>
      </w:r>
      <w:hyperlink r:id="rId4" w:history="1">
        <w:r w:rsidRPr="00A51649">
          <w:rPr>
            <w:rStyle w:val="Hyperlink"/>
            <w:rFonts w:ascii="Times New Roman" w:hAnsi="Times New Roman" w:cs="Times New Roman"/>
            <w:sz w:val="23"/>
            <w:szCs w:val="23"/>
            <w:shd w:val="clear" w:color="auto" w:fill="FFFFFF"/>
          </w:rPr>
          <w:t>https://doi.org/10.1080/jbeb.v8.i1.pg1</w:t>
        </w:r>
      </w:hyperlink>
      <w:r w:rsidRPr="00A51649">
        <w:rPr>
          <w:rFonts w:ascii="Times New Roman" w:hAnsi="Times New Roman" w:cs="Times New Roman"/>
          <w:color w:val="3A3A3A"/>
          <w:sz w:val="23"/>
          <w:szCs w:val="23"/>
          <w:shd w:val="clear" w:color="auto" w:fill="FFFFFF"/>
        </w:rPr>
        <w:t>.</w:t>
      </w:r>
    </w:p>
    <w:p w14:paraId="036C870A" w14:textId="77777777" w:rsidR="00214C9D" w:rsidRPr="00A51649" w:rsidRDefault="00B4144C" w:rsidP="00214C9D">
      <w:pPr>
        <w:shd w:val="clear" w:color="auto" w:fill="FFFFFF"/>
        <w:spacing w:line="240" w:lineRule="auto"/>
        <w:rPr>
          <w:rFonts w:ascii="Times New Roman" w:hAnsi="Times New Roman" w:cs="Times New Roman"/>
          <w:color w:val="3A3A3A"/>
          <w:sz w:val="23"/>
          <w:szCs w:val="23"/>
          <w:shd w:val="clear" w:color="auto" w:fill="FFFFFF"/>
        </w:rPr>
      </w:pPr>
      <w:r w:rsidRPr="00A51649">
        <w:rPr>
          <w:rFonts w:ascii="Times New Roman" w:hAnsi="Times New Roman" w:cs="Times New Roman"/>
          <w:color w:val="3A3A3A"/>
          <w:sz w:val="23"/>
          <w:szCs w:val="23"/>
          <w:shd w:val="clear" w:color="auto" w:fill="FFFFFF"/>
        </w:rPr>
        <w:t>G</w:t>
      </w:r>
      <w:r w:rsidRPr="00A51649">
        <w:rPr>
          <w:rFonts w:ascii="Times New Roman" w:hAnsi="Times New Roman" w:cs="Times New Roman"/>
          <w:color w:val="3A3A3A"/>
          <w:sz w:val="23"/>
          <w:szCs w:val="23"/>
          <w:shd w:val="clear" w:color="auto" w:fill="FFFFFF"/>
        </w:rPr>
        <w:t>athercole</w:t>
      </w:r>
      <w:r w:rsidRPr="00A51649">
        <w:rPr>
          <w:rFonts w:ascii="Times New Roman" w:hAnsi="Times New Roman" w:cs="Times New Roman"/>
          <w:color w:val="3A3A3A"/>
          <w:sz w:val="23"/>
          <w:szCs w:val="23"/>
          <w:shd w:val="clear" w:color="auto" w:fill="FFFFFF"/>
        </w:rPr>
        <w:t>, V.C.M. and T</w:t>
      </w:r>
      <w:r w:rsidRPr="00A51649">
        <w:rPr>
          <w:rFonts w:ascii="Times New Roman" w:hAnsi="Times New Roman" w:cs="Times New Roman"/>
          <w:color w:val="3A3A3A"/>
          <w:sz w:val="23"/>
          <w:szCs w:val="23"/>
          <w:shd w:val="clear" w:color="auto" w:fill="FFFFFF"/>
        </w:rPr>
        <w:t>homas</w:t>
      </w:r>
      <w:r w:rsidRPr="00A51649">
        <w:rPr>
          <w:rFonts w:ascii="Times New Roman" w:hAnsi="Times New Roman" w:cs="Times New Roman"/>
          <w:color w:val="3A3A3A"/>
          <w:sz w:val="23"/>
          <w:szCs w:val="23"/>
          <w:shd w:val="clear" w:color="auto" w:fill="FFFFFF"/>
        </w:rPr>
        <w:t>, E.M. (2009) ‘Bilingual first-language development: Dominant language takeover, threatened minority language take-up’, </w:t>
      </w:r>
      <w:r w:rsidRPr="00A51649">
        <w:rPr>
          <w:rFonts w:ascii="Times New Roman" w:hAnsi="Times New Roman" w:cs="Times New Roman"/>
          <w:i/>
          <w:iCs/>
          <w:color w:val="3A3A3A"/>
          <w:sz w:val="23"/>
          <w:szCs w:val="23"/>
          <w:shd w:val="clear" w:color="auto" w:fill="FFFFFF"/>
        </w:rPr>
        <w:t>Bilingualism (Cambridge, England)</w:t>
      </w:r>
      <w:r w:rsidRPr="00A51649">
        <w:rPr>
          <w:rFonts w:ascii="Times New Roman" w:hAnsi="Times New Roman" w:cs="Times New Roman"/>
          <w:color w:val="3A3A3A"/>
          <w:sz w:val="23"/>
          <w:szCs w:val="23"/>
          <w:shd w:val="clear" w:color="auto" w:fill="FFFFFF"/>
        </w:rPr>
        <w:t xml:space="preserve">, 12(2), pp. 213–237. Available at: </w:t>
      </w:r>
      <w:hyperlink r:id="rId5" w:history="1">
        <w:r w:rsidRPr="00A51649">
          <w:rPr>
            <w:rStyle w:val="Hyperlink"/>
            <w:rFonts w:ascii="Times New Roman" w:hAnsi="Times New Roman" w:cs="Times New Roman"/>
            <w:sz w:val="23"/>
            <w:szCs w:val="23"/>
            <w:shd w:val="clear" w:color="auto" w:fill="FFFFFF"/>
          </w:rPr>
          <w:t>https://doi.org/10.1017/S1366728909004015</w:t>
        </w:r>
      </w:hyperlink>
      <w:r w:rsidRPr="00A51649">
        <w:rPr>
          <w:rFonts w:ascii="Times New Roman" w:hAnsi="Times New Roman" w:cs="Times New Roman"/>
          <w:color w:val="3A3A3A"/>
          <w:sz w:val="23"/>
          <w:szCs w:val="23"/>
          <w:shd w:val="clear" w:color="auto" w:fill="FFFFFF"/>
        </w:rPr>
        <w:t>.</w:t>
      </w:r>
      <w:r w:rsidR="00214C9D" w:rsidRPr="00A51649">
        <w:rPr>
          <w:rFonts w:ascii="Times New Roman" w:hAnsi="Times New Roman" w:cs="Times New Roman"/>
          <w:color w:val="3A3A3A"/>
          <w:sz w:val="23"/>
          <w:szCs w:val="23"/>
          <w:shd w:val="clear" w:color="auto" w:fill="FFFFFF"/>
        </w:rPr>
        <w:t xml:space="preserve"> </w:t>
      </w:r>
    </w:p>
    <w:p w14:paraId="5F1AF0E6" w14:textId="74E15450" w:rsidR="00214C9D" w:rsidRPr="00A51649" w:rsidRDefault="00214C9D" w:rsidP="00214C9D">
      <w:pPr>
        <w:shd w:val="clear" w:color="auto" w:fill="FFFFFF"/>
        <w:spacing w:line="240" w:lineRule="auto"/>
        <w:rPr>
          <w:rFonts w:ascii="Times New Roman" w:hAnsi="Times New Roman" w:cs="Times New Roman"/>
          <w:color w:val="3A3A3A"/>
          <w:sz w:val="23"/>
          <w:szCs w:val="23"/>
          <w:shd w:val="clear" w:color="auto" w:fill="FFFFFF"/>
        </w:rPr>
      </w:pPr>
      <w:r w:rsidRPr="00A51649">
        <w:rPr>
          <w:rFonts w:ascii="Times New Roman" w:hAnsi="Times New Roman" w:cs="Times New Roman"/>
          <w:color w:val="3A3A3A"/>
          <w:sz w:val="23"/>
          <w:szCs w:val="23"/>
          <w:shd w:val="clear" w:color="auto" w:fill="FFFFFF"/>
        </w:rPr>
        <w:t xml:space="preserve">Hodges, R.S. (2012) ‘Welsh-medium education and parental incentives - the case of the </w:t>
      </w:r>
      <w:proofErr w:type="spellStart"/>
      <w:r w:rsidRPr="00A51649">
        <w:rPr>
          <w:rFonts w:ascii="Times New Roman" w:hAnsi="Times New Roman" w:cs="Times New Roman"/>
          <w:color w:val="3A3A3A"/>
          <w:sz w:val="23"/>
          <w:szCs w:val="23"/>
          <w:shd w:val="clear" w:color="auto" w:fill="FFFFFF"/>
        </w:rPr>
        <w:t>Rhymni</w:t>
      </w:r>
      <w:proofErr w:type="spellEnd"/>
      <w:r w:rsidRPr="00A51649">
        <w:rPr>
          <w:rFonts w:ascii="Times New Roman" w:hAnsi="Times New Roman" w:cs="Times New Roman"/>
          <w:color w:val="3A3A3A"/>
          <w:sz w:val="23"/>
          <w:szCs w:val="23"/>
          <w:shd w:val="clear" w:color="auto" w:fill="FFFFFF"/>
        </w:rPr>
        <w:t xml:space="preserve"> Valley, </w:t>
      </w:r>
      <w:proofErr w:type="spellStart"/>
      <w:r w:rsidRPr="00A51649">
        <w:rPr>
          <w:rFonts w:ascii="Times New Roman" w:hAnsi="Times New Roman" w:cs="Times New Roman"/>
          <w:color w:val="3A3A3A"/>
          <w:sz w:val="23"/>
          <w:szCs w:val="23"/>
          <w:shd w:val="clear" w:color="auto" w:fill="FFFFFF"/>
        </w:rPr>
        <w:t>Caerffili</w:t>
      </w:r>
      <w:proofErr w:type="spellEnd"/>
      <w:r w:rsidRPr="00A51649">
        <w:rPr>
          <w:rFonts w:ascii="Times New Roman" w:hAnsi="Times New Roman" w:cs="Times New Roman"/>
          <w:color w:val="3A3A3A"/>
          <w:sz w:val="23"/>
          <w:szCs w:val="23"/>
          <w:shd w:val="clear" w:color="auto" w:fill="FFFFFF"/>
        </w:rPr>
        <w:t>’, </w:t>
      </w:r>
      <w:r w:rsidRPr="00A51649">
        <w:rPr>
          <w:rFonts w:ascii="Times New Roman" w:hAnsi="Times New Roman" w:cs="Times New Roman"/>
          <w:i/>
          <w:iCs/>
          <w:color w:val="3A3A3A"/>
          <w:sz w:val="23"/>
          <w:szCs w:val="23"/>
          <w:shd w:val="clear" w:color="auto" w:fill="FFFFFF"/>
        </w:rPr>
        <w:t>International journal of bilingual education and bilingualism</w:t>
      </w:r>
      <w:r w:rsidRPr="00A51649">
        <w:rPr>
          <w:rFonts w:ascii="Times New Roman" w:hAnsi="Times New Roman" w:cs="Times New Roman"/>
          <w:color w:val="3A3A3A"/>
          <w:sz w:val="23"/>
          <w:szCs w:val="23"/>
          <w:shd w:val="clear" w:color="auto" w:fill="FFFFFF"/>
        </w:rPr>
        <w:t xml:space="preserve">, 15(3), pp. 355–373. Available at: </w:t>
      </w:r>
      <w:hyperlink r:id="rId6" w:history="1">
        <w:r w:rsidRPr="00A51649">
          <w:rPr>
            <w:rStyle w:val="Hyperlink"/>
            <w:rFonts w:ascii="Times New Roman" w:hAnsi="Times New Roman" w:cs="Times New Roman"/>
            <w:sz w:val="23"/>
            <w:szCs w:val="23"/>
            <w:shd w:val="clear" w:color="auto" w:fill="FFFFFF"/>
          </w:rPr>
          <w:t>https://doi.org/10.1080/13670050.2011.636796</w:t>
        </w:r>
      </w:hyperlink>
      <w:r w:rsidRPr="00A51649">
        <w:rPr>
          <w:rFonts w:ascii="Times New Roman" w:hAnsi="Times New Roman" w:cs="Times New Roman"/>
          <w:color w:val="3A3A3A"/>
          <w:sz w:val="23"/>
          <w:szCs w:val="23"/>
          <w:shd w:val="clear" w:color="auto" w:fill="FFFFFF"/>
        </w:rPr>
        <w:t>.</w:t>
      </w:r>
    </w:p>
    <w:p w14:paraId="3CD2BA5E" w14:textId="77777777" w:rsidR="00214C9D" w:rsidRPr="00A51649" w:rsidRDefault="00214C9D" w:rsidP="00214C9D">
      <w:pPr>
        <w:rPr>
          <w:rFonts w:ascii="Times New Roman" w:hAnsi="Times New Roman" w:cs="Times New Roman"/>
          <w:color w:val="3A3A3A"/>
          <w:sz w:val="23"/>
          <w:szCs w:val="23"/>
          <w:shd w:val="clear" w:color="auto" w:fill="FFFFFF"/>
        </w:rPr>
      </w:pPr>
      <w:r w:rsidRPr="00A51649">
        <w:rPr>
          <w:rFonts w:ascii="Times New Roman" w:hAnsi="Times New Roman" w:cs="Times New Roman"/>
          <w:color w:val="3A3A3A"/>
          <w:sz w:val="23"/>
          <w:szCs w:val="23"/>
          <w:shd w:val="clear" w:color="auto" w:fill="FFFFFF"/>
        </w:rPr>
        <w:t>Jones, S.L. (2022) ‘Perspectives and attitudes towards Welsh-medium study at post-compulsory level among 15-16-year-old students in the South Wales Valleys’, </w:t>
      </w:r>
      <w:r w:rsidRPr="00A51649">
        <w:rPr>
          <w:rFonts w:ascii="Times New Roman" w:hAnsi="Times New Roman" w:cs="Times New Roman"/>
          <w:i/>
          <w:iCs/>
          <w:color w:val="3A3A3A"/>
          <w:sz w:val="23"/>
          <w:szCs w:val="23"/>
          <w:shd w:val="clear" w:color="auto" w:fill="FFFFFF"/>
        </w:rPr>
        <w:t>International journal of bilingual education and bilingualism</w:t>
      </w:r>
      <w:r w:rsidRPr="00A51649">
        <w:rPr>
          <w:rFonts w:ascii="Times New Roman" w:hAnsi="Times New Roman" w:cs="Times New Roman"/>
          <w:color w:val="3A3A3A"/>
          <w:sz w:val="23"/>
          <w:szCs w:val="23"/>
          <w:shd w:val="clear" w:color="auto" w:fill="FFFFFF"/>
        </w:rPr>
        <w:t xml:space="preserve">, 25(1), pp. 261–271. Available at: </w:t>
      </w:r>
      <w:hyperlink r:id="rId7" w:history="1">
        <w:r w:rsidRPr="00A51649">
          <w:rPr>
            <w:rStyle w:val="Hyperlink"/>
            <w:rFonts w:ascii="Times New Roman" w:hAnsi="Times New Roman" w:cs="Times New Roman"/>
            <w:sz w:val="23"/>
            <w:szCs w:val="23"/>
            <w:shd w:val="clear" w:color="auto" w:fill="FFFFFF"/>
          </w:rPr>
          <w:t>https://doi.org/10.1080/13670050.2019.1668349</w:t>
        </w:r>
      </w:hyperlink>
      <w:r w:rsidRPr="00A51649">
        <w:rPr>
          <w:rFonts w:ascii="Times New Roman" w:hAnsi="Times New Roman" w:cs="Times New Roman"/>
          <w:color w:val="3A3A3A"/>
          <w:sz w:val="23"/>
          <w:szCs w:val="23"/>
          <w:shd w:val="clear" w:color="auto" w:fill="FFFFFF"/>
        </w:rPr>
        <w:t>.</w:t>
      </w:r>
    </w:p>
    <w:p w14:paraId="33BB1470" w14:textId="77777777" w:rsidR="00214C9D" w:rsidRPr="00A51649" w:rsidRDefault="00214C9D" w:rsidP="00214C9D">
      <w:pPr>
        <w:shd w:val="clear" w:color="auto" w:fill="FFFFFF"/>
        <w:spacing w:line="240" w:lineRule="auto"/>
        <w:rPr>
          <w:rFonts w:ascii="Times New Roman" w:hAnsi="Times New Roman" w:cs="Times New Roman"/>
          <w:color w:val="3A3A3A"/>
          <w:sz w:val="23"/>
          <w:szCs w:val="23"/>
          <w:shd w:val="clear" w:color="auto" w:fill="FFFFFF"/>
        </w:rPr>
      </w:pPr>
      <w:r w:rsidRPr="00A51649">
        <w:rPr>
          <w:rFonts w:ascii="Times New Roman" w:hAnsi="Times New Roman" w:cs="Times New Roman"/>
          <w:color w:val="3A3A3A"/>
          <w:sz w:val="23"/>
          <w:szCs w:val="23"/>
          <w:shd w:val="clear" w:color="auto" w:fill="FFFFFF"/>
        </w:rPr>
        <w:t>MacGilchrist, B. and Mortimore, P. (1997) ‘The Impact of School Development Plans in Primary Schools’, </w:t>
      </w:r>
      <w:r w:rsidRPr="00A51649">
        <w:rPr>
          <w:rFonts w:ascii="Times New Roman" w:hAnsi="Times New Roman" w:cs="Times New Roman"/>
          <w:i/>
          <w:iCs/>
          <w:color w:val="3A3A3A"/>
          <w:sz w:val="23"/>
          <w:szCs w:val="23"/>
          <w:shd w:val="clear" w:color="auto" w:fill="FFFFFF"/>
        </w:rPr>
        <w:t>School effectiveness and school improvement</w:t>
      </w:r>
      <w:r w:rsidRPr="00A51649">
        <w:rPr>
          <w:rFonts w:ascii="Times New Roman" w:hAnsi="Times New Roman" w:cs="Times New Roman"/>
          <w:color w:val="3A3A3A"/>
          <w:sz w:val="23"/>
          <w:szCs w:val="23"/>
          <w:shd w:val="clear" w:color="auto" w:fill="FFFFFF"/>
        </w:rPr>
        <w:t xml:space="preserve">, 8(2), pp. 198–218. Available at: </w:t>
      </w:r>
      <w:hyperlink r:id="rId8" w:history="1">
        <w:r w:rsidRPr="00A51649">
          <w:rPr>
            <w:rStyle w:val="Hyperlink"/>
            <w:rFonts w:ascii="Times New Roman" w:hAnsi="Times New Roman" w:cs="Times New Roman"/>
            <w:sz w:val="23"/>
            <w:szCs w:val="23"/>
            <w:shd w:val="clear" w:color="auto" w:fill="FFFFFF"/>
          </w:rPr>
          <w:t>https://doi.org/10.1080/0924345970080202</w:t>
        </w:r>
      </w:hyperlink>
      <w:r w:rsidRPr="00A51649">
        <w:rPr>
          <w:rFonts w:ascii="Times New Roman" w:hAnsi="Times New Roman" w:cs="Times New Roman"/>
          <w:color w:val="3A3A3A"/>
          <w:sz w:val="23"/>
          <w:szCs w:val="23"/>
          <w:shd w:val="clear" w:color="auto" w:fill="FFFFFF"/>
        </w:rPr>
        <w:t>.</w:t>
      </w:r>
    </w:p>
    <w:p w14:paraId="1640E1A0" w14:textId="77777777" w:rsidR="00214C9D" w:rsidRPr="00A51649" w:rsidRDefault="00214C9D" w:rsidP="00214C9D">
      <w:pPr>
        <w:shd w:val="clear" w:color="auto" w:fill="FFFFFF"/>
        <w:spacing w:line="240" w:lineRule="auto"/>
        <w:rPr>
          <w:rFonts w:ascii="Times New Roman" w:hAnsi="Times New Roman" w:cs="Times New Roman"/>
          <w:color w:val="3A3A3A"/>
          <w:sz w:val="23"/>
          <w:szCs w:val="23"/>
          <w:shd w:val="clear" w:color="auto" w:fill="FFFFFF"/>
        </w:rPr>
      </w:pPr>
      <w:r w:rsidRPr="00A51649">
        <w:rPr>
          <w:rFonts w:ascii="Times New Roman" w:hAnsi="Times New Roman" w:cs="Times New Roman"/>
          <w:color w:val="3A3A3A"/>
          <w:sz w:val="23"/>
          <w:szCs w:val="23"/>
          <w:shd w:val="clear" w:color="auto" w:fill="FFFFFF"/>
        </w:rPr>
        <w:t xml:space="preserve">Meyers, C.V. and Van Gronigen, B.A. (2019) ‘A Lack of Authentic School Improvement Plan Development: Evidence of Principal Satisficing </w:t>
      </w:r>
      <w:proofErr w:type="spellStart"/>
      <w:r w:rsidRPr="00A51649">
        <w:rPr>
          <w:rFonts w:ascii="Times New Roman" w:hAnsi="Times New Roman" w:cs="Times New Roman"/>
          <w:color w:val="3A3A3A"/>
          <w:sz w:val="23"/>
          <w:szCs w:val="23"/>
          <w:shd w:val="clear" w:color="auto" w:fill="FFFFFF"/>
        </w:rPr>
        <w:t>Behavior</w:t>
      </w:r>
      <w:proofErr w:type="spellEnd"/>
      <w:r w:rsidRPr="00A51649">
        <w:rPr>
          <w:rFonts w:ascii="Times New Roman" w:hAnsi="Times New Roman" w:cs="Times New Roman"/>
          <w:color w:val="3A3A3A"/>
          <w:sz w:val="23"/>
          <w:szCs w:val="23"/>
          <w:shd w:val="clear" w:color="auto" w:fill="FFFFFF"/>
        </w:rPr>
        <w:t>’, </w:t>
      </w:r>
      <w:r w:rsidRPr="00A51649">
        <w:rPr>
          <w:rFonts w:ascii="Times New Roman" w:hAnsi="Times New Roman" w:cs="Times New Roman"/>
          <w:i/>
          <w:iCs/>
          <w:color w:val="3A3A3A"/>
          <w:sz w:val="23"/>
          <w:szCs w:val="23"/>
          <w:shd w:val="clear" w:color="auto" w:fill="FFFFFF"/>
        </w:rPr>
        <w:t>Journal of educational administration</w:t>
      </w:r>
      <w:r w:rsidRPr="00A51649">
        <w:rPr>
          <w:rFonts w:ascii="Times New Roman" w:hAnsi="Times New Roman" w:cs="Times New Roman"/>
          <w:color w:val="3A3A3A"/>
          <w:sz w:val="23"/>
          <w:szCs w:val="23"/>
          <w:shd w:val="clear" w:color="auto" w:fill="FFFFFF"/>
        </w:rPr>
        <w:t xml:space="preserve">, 57(3), pp. 261–278. Available at: </w:t>
      </w:r>
      <w:hyperlink r:id="rId9" w:history="1">
        <w:r w:rsidRPr="00A51649">
          <w:rPr>
            <w:rStyle w:val="Hyperlink"/>
            <w:rFonts w:ascii="Times New Roman" w:hAnsi="Times New Roman" w:cs="Times New Roman"/>
            <w:sz w:val="23"/>
            <w:szCs w:val="23"/>
            <w:shd w:val="clear" w:color="auto" w:fill="FFFFFF"/>
          </w:rPr>
          <w:t>https://doi.org/10.1108/JEA-09-2018-0154</w:t>
        </w:r>
      </w:hyperlink>
      <w:r w:rsidRPr="00A51649">
        <w:rPr>
          <w:rFonts w:ascii="Times New Roman" w:hAnsi="Times New Roman" w:cs="Times New Roman"/>
          <w:color w:val="3A3A3A"/>
          <w:sz w:val="23"/>
          <w:szCs w:val="23"/>
          <w:shd w:val="clear" w:color="auto" w:fill="FFFFFF"/>
        </w:rPr>
        <w:t>.</w:t>
      </w:r>
    </w:p>
    <w:p w14:paraId="3247523C" w14:textId="77777777" w:rsidR="00B4144C" w:rsidRPr="00A51649" w:rsidRDefault="00B4144C" w:rsidP="00B4144C">
      <w:pPr>
        <w:rPr>
          <w:rFonts w:ascii="Times New Roman" w:hAnsi="Times New Roman" w:cs="Times New Roman"/>
          <w:color w:val="3A3A3A"/>
          <w:sz w:val="23"/>
          <w:szCs w:val="23"/>
          <w:shd w:val="clear" w:color="auto" w:fill="FFFFFF"/>
        </w:rPr>
      </w:pPr>
      <w:r w:rsidRPr="00A51649">
        <w:rPr>
          <w:rFonts w:ascii="Times New Roman" w:hAnsi="Times New Roman" w:cs="Times New Roman"/>
          <w:color w:val="3A3A3A"/>
          <w:sz w:val="23"/>
          <w:szCs w:val="23"/>
          <w:shd w:val="clear" w:color="auto" w:fill="FFFFFF"/>
        </w:rPr>
        <w:t>Thomas, E.M. and Roberts, D.B. (2011) ‘Exploring bilinguals’ social use of language inside and out of the minority language classroom’, </w:t>
      </w:r>
      <w:r w:rsidRPr="00A51649">
        <w:rPr>
          <w:rFonts w:ascii="Times New Roman" w:hAnsi="Times New Roman" w:cs="Times New Roman"/>
          <w:i/>
          <w:iCs/>
          <w:color w:val="3A3A3A"/>
          <w:sz w:val="23"/>
          <w:szCs w:val="23"/>
          <w:shd w:val="clear" w:color="auto" w:fill="FFFFFF"/>
        </w:rPr>
        <w:t>Language and education</w:t>
      </w:r>
      <w:r w:rsidRPr="00A51649">
        <w:rPr>
          <w:rFonts w:ascii="Times New Roman" w:hAnsi="Times New Roman" w:cs="Times New Roman"/>
          <w:color w:val="3A3A3A"/>
          <w:sz w:val="23"/>
          <w:szCs w:val="23"/>
          <w:shd w:val="clear" w:color="auto" w:fill="FFFFFF"/>
        </w:rPr>
        <w:t xml:space="preserve">, 25(2), pp. 89–108. Available at: </w:t>
      </w:r>
      <w:hyperlink r:id="rId10" w:history="1">
        <w:r w:rsidRPr="00A51649">
          <w:rPr>
            <w:rStyle w:val="Hyperlink"/>
            <w:rFonts w:ascii="Times New Roman" w:hAnsi="Times New Roman" w:cs="Times New Roman"/>
            <w:sz w:val="23"/>
            <w:szCs w:val="23"/>
            <w:shd w:val="clear" w:color="auto" w:fill="FFFFFF"/>
          </w:rPr>
          <w:t>https://doi.org/10.1080/09500782.2010.544743</w:t>
        </w:r>
      </w:hyperlink>
      <w:r w:rsidRPr="00A51649">
        <w:rPr>
          <w:rFonts w:ascii="Times New Roman" w:hAnsi="Times New Roman" w:cs="Times New Roman"/>
          <w:color w:val="3A3A3A"/>
          <w:sz w:val="23"/>
          <w:szCs w:val="23"/>
          <w:shd w:val="clear" w:color="auto" w:fill="FFFFFF"/>
        </w:rPr>
        <w:t>.</w:t>
      </w:r>
    </w:p>
    <w:p w14:paraId="2AAB9E86" w14:textId="77777777" w:rsidR="00214C9D" w:rsidRPr="00A51649" w:rsidRDefault="00214C9D" w:rsidP="00214C9D">
      <w:pPr>
        <w:rPr>
          <w:rFonts w:ascii="Times New Roman" w:hAnsi="Times New Roman" w:cs="Times New Roman"/>
        </w:rPr>
      </w:pPr>
      <w:r w:rsidRPr="00A51649">
        <w:rPr>
          <w:rFonts w:ascii="Times New Roman" w:hAnsi="Times New Roman" w:cs="Times New Roman"/>
        </w:rPr>
        <w:t xml:space="preserve">Welsh Government (2017) ‘Cymraeg 2050: A million Welsh </w:t>
      </w:r>
      <w:proofErr w:type="gramStart"/>
      <w:r w:rsidRPr="00A51649">
        <w:rPr>
          <w:rFonts w:ascii="Times New Roman" w:hAnsi="Times New Roman" w:cs="Times New Roman"/>
        </w:rPr>
        <w:t>speakers’</w:t>
      </w:r>
      <w:proofErr w:type="gramEnd"/>
      <w:r w:rsidRPr="00A51649">
        <w:rPr>
          <w:rFonts w:ascii="Times New Roman" w:hAnsi="Times New Roman" w:cs="Times New Roman"/>
        </w:rPr>
        <w:t xml:space="preserve">. Cardiff. Accessible at: </w:t>
      </w:r>
      <w:hyperlink r:id="rId11" w:history="1">
        <w:r w:rsidRPr="00A51649">
          <w:rPr>
            <w:rStyle w:val="Hyperlink"/>
            <w:rFonts w:ascii="Times New Roman" w:hAnsi="Times New Roman" w:cs="Times New Roman"/>
          </w:rPr>
          <w:t>https://colegcymraeg.ac.uk/en/staff/college-staff/welsh-medium-action-plan-for-further-education-and-apprenticeships-towards-cymraeg-2050-a-million-welsh-speakers/</w:t>
        </w:r>
      </w:hyperlink>
    </w:p>
    <w:p w14:paraId="6762725B" w14:textId="77777777" w:rsidR="00214C9D" w:rsidRPr="00A51649" w:rsidRDefault="00214C9D" w:rsidP="00214C9D">
      <w:pPr>
        <w:rPr>
          <w:rFonts w:ascii="Times New Roman" w:hAnsi="Times New Roman" w:cs="Times New Roman"/>
        </w:rPr>
      </w:pPr>
      <w:r w:rsidRPr="00A51649">
        <w:rPr>
          <w:rFonts w:ascii="Times New Roman" w:hAnsi="Times New Roman" w:cs="Times New Roman"/>
        </w:rPr>
        <w:t xml:space="preserve">Welsh Government (2017) ‘Technical report: Projection and trajectory for the number of Welsh speakers aged three and over, 2011 to 2050’. Cardiff. Accessible at: </w:t>
      </w:r>
      <w:hyperlink r:id="rId12" w:history="1">
        <w:r w:rsidRPr="00A51649">
          <w:rPr>
            <w:rStyle w:val="Hyperlink"/>
            <w:rFonts w:ascii="Times New Roman" w:hAnsi="Times New Roman" w:cs="Times New Roman"/>
          </w:rPr>
          <w:t>https://www.gov.wales/sites/default/files/publications/2018-12/welsh-speaker-estimates-2011-to-2050-technical-report.pdf</w:t>
        </w:r>
      </w:hyperlink>
    </w:p>
    <w:p w14:paraId="0FD5FF30" w14:textId="17565E0A" w:rsidR="00214C9D" w:rsidRPr="00A51649" w:rsidRDefault="00214C9D" w:rsidP="00214C9D">
      <w:pPr>
        <w:rPr>
          <w:rFonts w:ascii="Times New Roman" w:hAnsi="Times New Roman" w:cs="Times New Roman"/>
        </w:rPr>
      </w:pPr>
      <w:r w:rsidRPr="00A51649">
        <w:rPr>
          <w:rFonts w:ascii="Times New Roman" w:hAnsi="Times New Roman" w:cs="Times New Roman"/>
        </w:rPr>
        <w:t xml:space="preserve"> </w:t>
      </w:r>
      <w:r w:rsidRPr="00A51649">
        <w:rPr>
          <w:rFonts w:ascii="Times New Roman" w:hAnsi="Times New Roman" w:cs="Times New Roman"/>
        </w:rPr>
        <w:t xml:space="preserve">Welsh Government (2017) ‘Review of the activities of the Coleg Cymraeg </w:t>
      </w:r>
      <w:proofErr w:type="spellStart"/>
      <w:r w:rsidRPr="00A51649">
        <w:rPr>
          <w:rFonts w:ascii="Times New Roman" w:hAnsi="Times New Roman" w:cs="Times New Roman"/>
        </w:rPr>
        <w:t>Cenedlaethol</w:t>
      </w:r>
      <w:proofErr w:type="spellEnd"/>
      <w:r w:rsidRPr="00A51649">
        <w:rPr>
          <w:rFonts w:ascii="Times New Roman" w:hAnsi="Times New Roman" w:cs="Times New Roman"/>
        </w:rPr>
        <w:t xml:space="preserve">’. Cardiff. Accessible at: </w:t>
      </w:r>
      <w:hyperlink r:id="rId13" w:history="1">
        <w:r w:rsidRPr="00A51649">
          <w:rPr>
            <w:rStyle w:val="Hyperlink"/>
            <w:rFonts w:ascii="Times New Roman" w:hAnsi="Times New Roman" w:cs="Times New Roman"/>
          </w:rPr>
          <w:t>https://www.gov.wales/review-activities-coleg-cymraeg-cenedlaethol-government-response</w:t>
        </w:r>
      </w:hyperlink>
    </w:p>
    <w:p w14:paraId="2F99F81F" w14:textId="305E9D5F" w:rsidR="00B4144C" w:rsidRPr="00A51649" w:rsidRDefault="00B4144C">
      <w:pPr>
        <w:rPr>
          <w:rFonts w:ascii="Times New Roman" w:hAnsi="Times New Roman" w:cs="Times New Roman"/>
        </w:rPr>
      </w:pPr>
      <w:r w:rsidRPr="00A51649">
        <w:rPr>
          <w:rFonts w:ascii="Times New Roman" w:hAnsi="Times New Roman" w:cs="Times New Roman"/>
        </w:rPr>
        <w:t xml:space="preserve">Welsh Government (2017) ‘Welsh in Education: Action Plan’. Cardiff. Accessible at: </w:t>
      </w:r>
      <w:hyperlink r:id="rId14" w:history="1">
        <w:r w:rsidRPr="00A51649">
          <w:rPr>
            <w:rStyle w:val="Hyperlink"/>
            <w:rFonts w:ascii="Times New Roman" w:hAnsi="Times New Roman" w:cs="Times New Roman"/>
          </w:rPr>
          <w:t>https://www.gov.wales/sites/default/files/publications/2018-02/welsh-in-education-action-plan-2017%E2%80%9321.pdf</w:t>
        </w:r>
      </w:hyperlink>
    </w:p>
    <w:p w14:paraId="390210E5" w14:textId="77777777" w:rsidR="00214C9D" w:rsidRPr="00A51649" w:rsidRDefault="00214C9D">
      <w:pPr>
        <w:rPr>
          <w:rFonts w:ascii="Times New Roman" w:hAnsi="Times New Roman" w:cs="Times New Roman"/>
        </w:rPr>
      </w:pPr>
    </w:p>
    <w:sectPr w:rsidR="00214C9D" w:rsidRPr="00A5164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B18FB"/>
    <w:rsid w:val="0016592D"/>
    <w:rsid w:val="00214C9D"/>
    <w:rsid w:val="00226A50"/>
    <w:rsid w:val="0028096B"/>
    <w:rsid w:val="00352B8C"/>
    <w:rsid w:val="004D71E3"/>
    <w:rsid w:val="007F3C99"/>
    <w:rsid w:val="00891199"/>
    <w:rsid w:val="00953854"/>
    <w:rsid w:val="00955C58"/>
    <w:rsid w:val="009E7824"/>
    <w:rsid w:val="00A305D8"/>
    <w:rsid w:val="00A32C0A"/>
    <w:rsid w:val="00A51649"/>
    <w:rsid w:val="00AB18FB"/>
    <w:rsid w:val="00AC6DEA"/>
    <w:rsid w:val="00B4144C"/>
    <w:rsid w:val="00C96538"/>
    <w:rsid w:val="00D10E7D"/>
    <w:rsid w:val="00DD0A0D"/>
    <w:rsid w:val="00DF73A5"/>
    <w:rsid w:val="00E179FC"/>
    <w:rsid w:val="00E20B61"/>
    <w:rsid w:val="00E73317"/>
    <w:rsid w:val="00EE15A4"/>
    <w:rsid w:val="00F122B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2A6E7A"/>
  <w15:chartTrackingRefBased/>
  <w15:docId w15:val="{0CD37296-09DA-45CE-B710-27CE0C9C13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B4144C"/>
    <w:rPr>
      <w:color w:val="0563C1" w:themeColor="hyperlink"/>
      <w:u w:val="single"/>
    </w:rPr>
  </w:style>
  <w:style w:type="character" w:styleId="UnresolvedMention">
    <w:name w:val="Unresolved Mention"/>
    <w:basedOn w:val="DefaultParagraphFont"/>
    <w:uiPriority w:val="99"/>
    <w:semiHidden/>
    <w:unhideWhenUsed/>
    <w:rsid w:val="00B4144C"/>
    <w:rPr>
      <w:color w:val="605E5C"/>
      <w:shd w:val="clear" w:color="auto" w:fill="E1DFDD"/>
    </w:rPr>
  </w:style>
  <w:style w:type="paragraph" w:styleId="NormalWeb">
    <w:name w:val="Normal (Web)"/>
    <w:basedOn w:val="Normal"/>
    <w:uiPriority w:val="99"/>
    <w:semiHidden/>
    <w:unhideWhenUsed/>
    <w:rsid w:val="00A51649"/>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822723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080/0924345970080202" TargetMode="External"/><Relationship Id="rId13" Type="http://schemas.openxmlformats.org/officeDocument/2006/relationships/hyperlink" Target="https://www.gov.wales/review-activities-coleg-cymraeg-cenedlaethol-government-response" TargetMode="External"/><Relationship Id="rId3" Type="http://schemas.openxmlformats.org/officeDocument/2006/relationships/webSettings" Target="webSettings.xml"/><Relationship Id="rId7" Type="http://schemas.openxmlformats.org/officeDocument/2006/relationships/hyperlink" Target="https://doi.org/10.1080/13670050.2019.1668349" TargetMode="External"/><Relationship Id="rId12" Type="http://schemas.openxmlformats.org/officeDocument/2006/relationships/hyperlink" Target="https://www.gov.wales/sites/default/files/publications/2018-12/welsh-speaker-estimates-2011-to-2050-technical-report.pdf" TargetMode="External"/><Relationship Id="rId2" Type="http://schemas.openxmlformats.org/officeDocument/2006/relationships/settings" Target="settings.xml"/><Relationship Id="rId16" Type="http://schemas.openxmlformats.org/officeDocument/2006/relationships/theme" Target="theme/theme1.xml"/><Relationship Id="rId1" Type="http://schemas.openxmlformats.org/officeDocument/2006/relationships/styles" Target="styles.xml"/><Relationship Id="rId6" Type="http://schemas.openxmlformats.org/officeDocument/2006/relationships/hyperlink" Target="https://doi.org/10.1080/13670050.2011.636796" TargetMode="External"/><Relationship Id="rId11" Type="http://schemas.openxmlformats.org/officeDocument/2006/relationships/hyperlink" Target="https://colegcymraeg.ac.uk/en/staff/college-staff/welsh-medium-action-plan-for-further-education-and-apprenticeships-towards-cymraeg-2050-a-million-welsh-speakers/" TargetMode="External"/><Relationship Id="rId5" Type="http://schemas.openxmlformats.org/officeDocument/2006/relationships/hyperlink" Target="https://doi.org/10.1017/S1366728909004015" TargetMode="External"/><Relationship Id="rId15" Type="http://schemas.openxmlformats.org/officeDocument/2006/relationships/fontTable" Target="fontTable.xml"/><Relationship Id="rId10" Type="http://schemas.openxmlformats.org/officeDocument/2006/relationships/hyperlink" Target="https://doi.org/10.1080/09500782.2010.544743" TargetMode="External"/><Relationship Id="rId4" Type="http://schemas.openxmlformats.org/officeDocument/2006/relationships/hyperlink" Target="https://doi.org/10.1080/jbeb.v8.i1.pg1" TargetMode="External"/><Relationship Id="rId9" Type="http://schemas.openxmlformats.org/officeDocument/2006/relationships/hyperlink" Target="https://doi.org/10.1108/JEA-09-2018-0154" TargetMode="External"/><Relationship Id="rId14" Type="http://schemas.openxmlformats.org/officeDocument/2006/relationships/hyperlink" Target="https://www.gov.wales/sites/default/files/publications/2018-02/welsh-in-education-action-plan-2017%E2%80%9321.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24</TotalTime>
  <Pages>5</Pages>
  <Words>2936</Words>
  <Characters>16738</Characters>
  <Application>Microsoft Office Word</Application>
  <DocSecurity>0</DocSecurity>
  <Lines>139</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19635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 Saunders</dc:creator>
  <cp:keywords/>
  <dc:description/>
  <cp:lastModifiedBy>Sam Saunders</cp:lastModifiedBy>
  <cp:revision>4</cp:revision>
  <dcterms:created xsi:type="dcterms:W3CDTF">2023-04-17T15:16:00Z</dcterms:created>
  <dcterms:modified xsi:type="dcterms:W3CDTF">2023-04-17T15:48:00Z</dcterms:modified>
</cp:coreProperties>
</file>