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C54CE" w14:textId="77777777" w:rsidR="00DF1EBE" w:rsidRDefault="00DF1EBE" w:rsidP="00452826">
      <w:pPr>
        <w:pStyle w:val="Title"/>
        <w:jc w:val="center"/>
      </w:pPr>
    </w:p>
    <w:p w14:paraId="027801AC" w14:textId="77777777" w:rsidR="00DF1EBE" w:rsidRDefault="00DF1EBE" w:rsidP="00452826">
      <w:pPr>
        <w:pStyle w:val="Title"/>
        <w:jc w:val="center"/>
      </w:pPr>
    </w:p>
    <w:p w14:paraId="77595E8E" w14:textId="77777777" w:rsidR="00DF1EBE" w:rsidRDefault="00DF1EBE" w:rsidP="00452826">
      <w:pPr>
        <w:pStyle w:val="Title"/>
        <w:jc w:val="center"/>
      </w:pPr>
    </w:p>
    <w:p w14:paraId="5C2D2D69" w14:textId="77777777" w:rsidR="00DF1EBE" w:rsidRDefault="00DF1EBE" w:rsidP="00452826">
      <w:pPr>
        <w:pStyle w:val="Title"/>
        <w:jc w:val="center"/>
      </w:pPr>
    </w:p>
    <w:p w14:paraId="6083CE11" w14:textId="3A8D5CC8" w:rsidR="00452826" w:rsidRDefault="00DF1EBE" w:rsidP="00452826">
      <w:pPr>
        <w:pStyle w:val="Title"/>
        <w:jc w:val="center"/>
      </w:pPr>
      <w:r>
        <w:t xml:space="preserve">Customer Relationship Management Emerging Themes </w:t>
      </w:r>
    </w:p>
    <w:p w14:paraId="7641400C" w14:textId="68D910DD" w:rsidR="00231930" w:rsidRDefault="00000000"/>
    <w:p w14:paraId="6A68D71C" w14:textId="53112B6E" w:rsidR="00452826" w:rsidRDefault="00452826"/>
    <w:p w14:paraId="51DCA59F" w14:textId="77777777" w:rsidR="00DF1EBE" w:rsidRDefault="00DF1EBE"/>
    <w:p w14:paraId="3360C705" w14:textId="77777777" w:rsidR="00DF1EBE" w:rsidRDefault="00DF1EBE"/>
    <w:p w14:paraId="34554DFE" w14:textId="77777777" w:rsidR="00DF1EBE" w:rsidRDefault="00DF1EBE"/>
    <w:p w14:paraId="0D21D81A" w14:textId="77777777" w:rsidR="00DF1EBE" w:rsidRDefault="00DF1EBE"/>
    <w:p w14:paraId="5AD4DF47" w14:textId="77777777" w:rsidR="00DF1EBE" w:rsidRDefault="00DF1EBE"/>
    <w:p w14:paraId="49524069" w14:textId="77777777" w:rsidR="00DF1EBE" w:rsidRDefault="00DF1EBE"/>
    <w:p w14:paraId="40A33265" w14:textId="77777777" w:rsidR="00DF1EBE" w:rsidRDefault="00DF1EBE"/>
    <w:p w14:paraId="2718F190" w14:textId="77777777" w:rsidR="00DF1EBE" w:rsidRDefault="00DF1EBE"/>
    <w:p w14:paraId="793AD496" w14:textId="77777777" w:rsidR="00DF1EBE" w:rsidRDefault="00DF1EBE"/>
    <w:p w14:paraId="02A7F4B1" w14:textId="77777777" w:rsidR="00DF1EBE" w:rsidRDefault="00DF1EBE"/>
    <w:p w14:paraId="6AC659C5" w14:textId="77777777" w:rsidR="00DF1EBE" w:rsidRDefault="00DF1EBE"/>
    <w:p w14:paraId="7153463C" w14:textId="77777777" w:rsidR="00DF1EBE" w:rsidRDefault="00DF1EBE"/>
    <w:p w14:paraId="6305023C" w14:textId="77777777" w:rsidR="00DF1EBE" w:rsidRDefault="00DF1EBE"/>
    <w:p w14:paraId="1FCB875D" w14:textId="77777777" w:rsidR="00DF1EBE" w:rsidRDefault="00DF1EBE"/>
    <w:p w14:paraId="5BBE62E1" w14:textId="77777777" w:rsidR="00DF1EBE" w:rsidRDefault="00DF1EBE"/>
    <w:p w14:paraId="1BD2A2A3" w14:textId="77777777" w:rsidR="00DF1EBE" w:rsidRDefault="00DF1EBE"/>
    <w:p w14:paraId="54BC0821" w14:textId="31E43BB0" w:rsidR="00452826" w:rsidRDefault="00DF1EBE">
      <w:r>
        <w:t>Naveed Hussain 2123734</w:t>
      </w:r>
    </w:p>
    <w:p w14:paraId="537EB243" w14:textId="2F32CB62" w:rsidR="00452826" w:rsidRDefault="00452826"/>
    <w:p w14:paraId="28BE2D98" w14:textId="0B8EC98C" w:rsidR="00452826" w:rsidRDefault="00452826" w:rsidP="00452826">
      <w:pPr>
        <w:pStyle w:val="Heading1"/>
      </w:pPr>
      <w:bookmarkStart w:id="0" w:name="_Toc129035443"/>
      <w:r>
        <w:lastRenderedPageBreak/>
        <w:t>Executive Summary</w:t>
      </w:r>
      <w:bookmarkEnd w:id="0"/>
    </w:p>
    <w:p w14:paraId="22E7E2C2" w14:textId="77777777" w:rsidR="00452826" w:rsidRDefault="00452826" w:rsidP="00452826">
      <w:r w:rsidRPr="005B2EC3">
        <w:t xml:space="preserve">This report provides an analysis of the customer experience of </w:t>
      </w:r>
      <w:proofErr w:type="spellStart"/>
      <w:r w:rsidRPr="005B2EC3">
        <w:t>Monzo</w:t>
      </w:r>
      <w:proofErr w:type="spellEnd"/>
      <w:r w:rsidRPr="005B2EC3">
        <w:t>, a UK-based bank that has gained recognition for its innovative approach to banking and customer service. The report focuses on the themes of customer touchpoints and brand experience, highlighting the firm's perspective and co-creation perspective in managing customer experience. By understanding these perspectives, Information Technology firms can develop a customer-centric approach to manage the customer experience, using customer journey mapping and touchpoints, and leveraging customer feedback and involvement in the co-creation process. This holistic approach can lead to increased customer loyalty, retention, and satisfaction.</w:t>
      </w:r>
      <w:r>
        <w:br w:type="page"/>
      </w:r>
    </w:p>
    <w:p w14:paraId="34F2EB58" w14:textId="77777777" w:rsidR="00452826" w:rsidRDefault="00452826" w:rsidP="00452826">
      <w:pPr>
        <w:pStyle w:val="Heading1"/>
      </w:pPr>
      <w:bookmarkStart w:id="1" w:name="_7npek9q3bm9d" w:colFirst="0" w:colLast="0"/>
      <w:bookmarkEnd w:id="1"/>
    </w:p>
    <w:sdt>
      <w:sdtPr>
        <w:id w:val="1054731387"/>
        <w:docPartObj>
          <w:docPartGallery w:val="Table of Contents"/>
          <w:docPartUnique/>
        </w:docPartObj>
      </w:sdtPr>
      <w:sdtEndPr>
        <w:rPr>
          <w:rFonts w:asciiTheme="minorHAnsi" w:eastAsiaTheme="minorHAnsi" w:hAnsiTheme="minorHAnsi" w:cstheme="minorBidi"/>
          <w:kern w:val="2"/>
          <w:lang w:val="en-GB"/>
          <w14:ligatures w14:val="standardContextual"/>
        </w:rPr>
      </w:sdtEndPr>
      <w:sdtContent>
        <w:p w14:paraId="663B51A7" w14:textId="77777777" w:rsidR="00452826" w:rsidRDefault="00452826" w:rsidP="00452826">
          <w:pPr>
            <w:pStyle w:val="TOC1"/>
            <w:tabs>
              <w:tab w:val="right" w:pos="9350"/>
            </w:tabs>
            <w:rPr>
              <w:noProof/>
            </w:rPr>
          </w:pPr>
          <w:hyperlink w:anchor="_Toc129035443" w:history="1">
            <w:r w:rsidRPr="009B4900">
              <w:rPr>
                <w:rStyle w:val="Hyperlink"/>
                <w:noProof/>
              </w:rPr>
              <w:t>Executive Summary</w:t>
            </w:r>
            <w:r>
              <w:rPr>
                <w:noProof/>
                <w:webHidden/>
              </w:rPr>
              <w:tab/>
            </w:r>
            <w:r>
              <w:rPr>
                <w:noProof/>
                <w:webHidden/>
              </w:rPr>
              <w:fldChar w:fldCharType="begin"/>
            </w:r>
            <w:r>
              <w:rPr>
                <w:noProof/>
                <w:webHidden/>
              </w:rPr>
              <w:instrText xml:space="preserve"> PAGEREF _Toc129035443 \h </w:instrText>
            </w:r>
            <w:r>
              <w:rPr>
                <w:noProof/>
                <w:webHidden/>
              </w:rPr>
            </w:r>
            <w:r>
              <w:rPr>
                <w:noProof/>
                <w:webHidden/>
              </w:rPr>
              <w:fldChar w:fldCharType="separate"/>
            </w:r>
            <w:r>
              <w:rPr>
                <w:noProof/>
                <w:webHidden/>
              </w:rPr>
              <w:t>2</w:t>
            </w:r>
            <w:r>
              <w:rPr>
                <w:noProof/>
                <w:webHidden/>
              </w:rPr>
              <w:fldChar w:fldCharType="end"/>
            </w:r>
          </w:hyperlink>
        </w:p>
        <w:p w14:paraId="0CB866D6" w14:textId="77777777" w:rsidR="00452826" w:rsidRDefault="00452826" w:rsidP="00452826">
          <w:pPr>
            <w:pStyle w:val="TOC1"/>
            <w:tabs>
              <w:tab w:val="right" w:pos="9350"/>
            </w:tabs>
            <w:rPr>
              <w:noProof/>
            </w:rPr>
          </w:pPr>
          <w:hyperlink w:anchor="_Toc129035444" w:history="1">
            <w:r w:rsidRPr="009B4900">
              <w:rPr>
                <w:rStyle w:val="Hyperlink"/>
                <w:noProof/>
              </w:rPr>
              <w:t>Part 1: Report</w:t>
            </w:r>
            <w:r>
              <w:rPr>
                <w:noProof/>
                <w:webHidden/>
              </w:rPr>
              <w:tab/>
              <w:t>4</w:t>
            </w:r>
          </w:hyperlink>
        </w:p>
        <w:p w14:paraId="194DDA30" w14:textId="77777777" w:rsidR="00452826" w:rsidRDefault="00452826" w:rsidP="00452826">
          <w:pPr>
            <w:pStyle w:val="TOC2"/>
            <w:tabs>
              <w:tab w:val="right" w:pos="9350"/>
            </w:tabs>
            <w:rPr>
              <w:noProof/>
            </w:rPr>
          </w:pPr>
          <w:hyperlink w:anchor="_Toc129035445" w:history="1">
            <w:r w:rsidRPr="009B4900">
              <w:rPr>
                <w:rStyle w:val="Hyperlink"/>
                <w:noProof/>
              </w:rPr>
              <w:t>A. Introduction</w:t>
            </w:r>
            <w:r>
              <w:rPr>
                <w:noProof/>
                <w:webHidden/>
              </w:rPr>
              <w:tab/>
              <w:t>4</w:t>
            </w:r>
          </w:hyperlink>
        </w:p>
        <w:p w14:paraId="5AB830FD" w14:textId="77777777" w:rsidR="00452826" w:rsidRDefault="00452826" w:rsidP="00452826">
          <w:pPr>
            <w:pStyle w:val="TOC2"/>
            <w:tabs>
              <w:tab w:val="right" w:pos="9350"/>
            </w:tabs>
            <w:rPr>
              <w:noProof/>
            </w:rPr>
          </w:pPr>
          <w:hyperlink w:anchor="_Toc129035446" w:history="1">
            <w:r w:rsidRPr="009B4900">
              <w:rPr>
                <w:rStyle w:val="Hyperlink"/>
                <w:noProof/>
              </w:rPr>
              <w:t>Customer Experience</w:t>
            </w:r>
            <w:r>
              <w:rPr>
                <w:noProof/>
                <w:webHidden/>
              </w:rPr>
              <w:tab/>
              <w:t>4</w:t>
            </w:r>
          </w:hyperlink>
        </w:p>
        <w:p w14:paraId="673C33AC" w14:textId="77777777" w:rsidR="00452826" w:rsidRDefault="00452826" w:rsidP="00452826">
          <w:pPr>
            <w:pStyle w:val="TOC2"/>
            <w:tabs>
              <w:tab w:val="right" w:pos="9350"/>
            </w:tabs>
            <w:rPr>
              <w:noProof/>
            </w:rPr>
          </w:pPr>
          <w:hyperlink w:anchor="_Toc129035447" w:history="1">
            <w:r w:rsidRPr="009B4900">
              <w:rPr>
                <w:rStyle w:val="Hyperlink"/>
                <w:noProof/>
              </w:rPr>
              <w:t>Customer TouchPoint</w:t>
            </w:r>
            <w:r>
              <w:rPr>
                <w:noProof/>
                <w:webHidden/>
              </w:rPr>
              <w:tab/>
              <w:t>6</w:t>
            </w:r>
          </w:hyperlink>
        </w:p>
        <w:p w14:paraId="0B973E8E" w14:textId="77777777" w:rsidR="00452826" w:rsidRDefault="00452826" w:rsidP="00452826">
          <w:pPr>
            <w:pStyle w:val="TOC2"/>
            <w:tabs>
              <w:tab w:val="right" w:pos="9350"/>
            </w:tabs>
            <w:rPr>
              <w:noProof/>
            </w:rPr>
          </w:pPr>
          <w:hyperlink w:anchor="_Toc129035448" w:history="1">
            <w:r w:rsidRPr="009B4900">
              <w:rPr>
                <w:rStyle w:val="Hyperlink"/>
                <w:noProof/>
              </w:rPr>
              <w:t>Brand Experience</w:t>
            </w:r>
            <w:r>
              <w:rPr>
                <w:noProof/>
                <w:webHidden/>
              </w:rPr>
              <w:tab/>
              <w:t>7</w:t>
            </w:r>
          </w:hyperlink>
        </w:p>
        <w:p w14:paraId="444784BC" w14:textId="77777777" w:rsidR="00452826" w:rsidRDefault="00452826" w:rsidP="00452826">
          <w:pPr>
            <w:pStyle w:val="TOC2"/>
            <w:tabs>
              <w:tab w:val="right" w:pos="9350"/>
            </w:tabs>
            <w:rPr>
              <w:noProof/>
            </w:rPr>
          </w:pPr>
          <w:hyperlink w:anchor="_Toc129035449" w:history="1">
            <w:r w:rsidRPr="009B4900">
              <w:rPr>
                <w:rStyle w:val="Hyperlink"/>
                <w:noProof/>
              </w:rPr>
              <w:t>Recommendations</w:t>
            </w:r>
            <w:r>
              <w:rPr>
                <w:noProof/>
                <w:webHidden/>
              </w:rPr>
              <w:tab/>
              <w:t>8</w:t>
            </w:r>
          </w:hyperlink>
        </w:p>
        <w:p w14:paraId="06BBEE27" w14:textId="77777777" w:rsidR="00452826" w:rsidRDefault="00452826" w:rsidP="00452826">
          <w:pPr>
            <w:pStyle w:val="TOC2"/>
            <w:tabs>
              <w:tab w:val="right" w:pos="9350"/>
            </w:tabs>
            <w:rPr>
              <w:noProof/>
            </w:rPr>
          </w:pPr>
          <w:hyperlink w:anchor="_Toc129035450" w:history="1">
            <w:r w:rsidRPr="009B4900">
              <w:rPr>
                <w:rStyle w:val="Hyperlink"/>
                <w:noProof/>
              </w:rPr>
              <w:t>Conclusion</w:t>
            </w:r>
            <w:r>
              <w:rPr>
                <w:noProof/>
                <w:webHidden/>
              </w:rPr>
              <w:tab/>
              <w:t>9</w:t>
            </w:r>
          </w:hyperlink>
        </w:p>
        <w:p w14:paraId="72ABF713" w14:textId="77777777" w:rsidR="00452826" w:rsidRDefault="00452826" w:rsidP="00452826">
          <w:pPr>
            <w:pStyle w:val="TOC2"/>
            <w:tabs>
              <w:tab w:val="right" w:pos="9350"/>
            </w:tabs>
            <w:rPr>
              <w:noProof/>
            </w:rPr>
          </w:pPr>
          <w:hyperlink w:anchor="_Toc129035451" w:history="1">
            <w:r w:rsidRPr="009B4900">
              <w:rPr>
                <w:rStyle w:val="Hyperlink"/>
                <w:noProof/>
              </w:rPr>
              <w:t>B. Introduction</w:t>
            </w:r>
            <w:r>
              <w:rPr>
                <w:noProof/>
                <w:webHidden/>
              </w:rPr>
              <w:tab/>
              <w:t>9</w:t>
            </w:r>
          </w:hyperlink>
        </w:p>
        <w:p w14:paraId="4A329AD9" w14:textId="77777777" w:rsidR="00452826" w:rsidRDefault="00452826" w:rsidP="00452826">
          <w:pPr>
            <w:pStyle w:val="TOC2"/>
            <w:tabs>
              <w:tab w:val="right" w:pos="9350"/>
            </w:tabs>
            <w:rPr>
              <w:noProof/>
            </w:rPr>
          </w:pPr>
          <w:hyperlink w:anchor="_Toc129035452" w:history="1">
            <w:r w:rsidRPr="009B4900">
              <w:rPr>
                <w:rStyle w:val="Hyperlink"/>
                <w:noProof/>
              </w:rPr>
              <w:t>Firm’s perspective</w:t>
            </w:r>
            <w:r>
              <w:rPr>
                <w:noProof/>
                <w:webHidden/>
              </w:rPr>
              <w:tab/>
              <w:t>9</w:t>
            </w:r>
          </w:hyperlink>
        </w:p>
        <w:p w14:paraId="126B55EB" w14:textId="77777777" w:rsidR="00452826" w:rsidRDefault="00452826" w:rsidP="00452826">
          <w:pPr>
            <w:pStyle w:val="TOC2"/>
            <w:tabs>
              <w:tab w:val="right" w:pos="9350"/>
            </w:tabs>
            <w:rPr>
              <w:noProof/>
            </w:rPr>
          </w:pPr>
          <w:hyperlink w:anchor="_Toc129035453" w:history="1">
            <w:r w:rsidRPr="009B4900">
              <w:rPr>
                <w:rStyle w:val="Hyperlink"/>
                <w:noProof/>
              </w:rPr>
              <w:t>Co-creation perspective</w:t>
            </w:r>
            <w:r>
              <w:rPr>
                <w:noProof/>
                <w:webHidden/>
              </w:rPr>
              <w:tab/>
              <w:t>10</w:t>
            </w:r>
          </w:hyperlink>
        </w:p>
        <w:p w14:paraId="3ACBDF1B" w14:textId="77777777" w:rsidR="00452826" w:rsidRDefault="00452826" w:rsidP="00452826">
          <w:pPr>
            <w:pStyle w:val="TOC2"/>
            <w:tabs>
              <w:tab w:val="right" w:pos="9350"/>
            </w:tabs>
            <w:rPr>
              <w:noProof/>
            </w:rPr>
          </w:pPr>
          <w:hyperlink w:anchor="_Toc129035454" w:history="1">
            <w:r w:rsidRPr="009B4900">
              <w:rPr>
                <w:rStyle w:val="Hyperlink"/>
                <w:noProof/>
              </w:rPr>
              <w:t>Conclusion</w:t>
            </w:r>
            <w:r>
              <w:rPr>
                <w:noProof/>
                <w:webHidden/>
              </w:rPr>
              <w:tab/>
              <w:t>12</w:t>
            </w:r>
          </w:hyperlink>
        </w:p>
        <w:p w14:paraId="7DEE1D26" w14:textId="70815611" w:rsidR="00452826" w:rsidRDefault="00452826" w:rsidP="00452826">
          <w:pPr>
            <w:pStyle w:val="TOC1"/>
            <w:tabs>
              <w:tab w:val="right" w:pos="9350"/>
            </w:tabs>
            <w:rPr>
              <w:noProof/>
            </w:rPr>
          </w:pPr>
          <w:r>
            <w:t xml:space="preserve">    </w:t>
          </w:r>
          <w:hyperlink w:anchor="_Toc129035456" w:history="1">
            <w:r w:rsidRPr="009B4900">
              <w:rPr>
                <w:rStyle w:val="Hyperlink"/>
                <w:noProof/>
              </w:rPr>
              <w:t>Reference list</w:t>
            </w:r>
            <w:r>
              <w:rPr>
                <w:noProof/>
                <w:webHidden/>
              </w:rPr>
              <w:tab/>
              <w:t>1</w:t>
            </w:r>
            <w:r>
              <w:rPr>
                <w:noProof/>
                <w:webHidden/>
              </w:rPr>
              <w:t>3</w:t>
            </w:r>
          </w:hyperlink>
        </w:p>
        <w:p w14:paraId="32E142F3" w14:textId="77777777" w:rsidR="00452826" w:rsidRDefault="00452826" w:rsidP="00452826">
          <w:pPr>
            <w:widowControl w:val="0"/>
            <w:tabs>
              <w:tab w:val="right" w:pos="9360"/>
            </w:tabs>
            <w:spacing w:before="60" w:line="240" w:lineRule="auto"/>
            <w:rPr>
              <w:b/>
              <w:color w:val="000000"/>
            </w:rPr>
          </w:pPr>
        </w:p>
      </w:sdtContent>
    </w:sdt>
    <w:p w14:paraId="06D23FC5" w14:textId="77777777" w:rsidR="00452826" w:rsidRDefault="00452826" w:rsidP="00452826">
      <w:pPr>
        <w:pStyle w:val="Heading1"/>
      </w:pPr>
      <w:bookmarkStart w:id="2" w:name="_qv2n6dxqfrsc" w:colFirst="0" w:colLast="0"/>
      <w:bookmarkEnd w:id="2"/>
      <w:r>
        <w:br w:type="page"/>
      </w:r>
    </w:p>
    <w:p w14:paraId="4AE513BA" w14:textId="77777777" w:rsidR="00452826" w:rsidRDefault="00452826" w:rsidP="00452826">
      <w:pPr>
        <w:pStyle w:val="Heading1"/>
      </w:pPr>
      <w:bookmarkStart w:id="3" w:name="_Toc129035444"/>
      <w:r>
        <w:lastRenderedPageBreak/>
        <w:t>Part 1: Report</w:t>
      </w:r>
      <w:bookmarkEnd w:id="3"/>
    </w:p>
    <w:p w14:paraId="51329206" w14:textId="77777777" w:rsidR="00452826" w:rsidRDefault="00452826" w:rsidP="00452826">
      <w:pPr>
        <w:pStyle w:val="Heading2"/>
      </w:pPr>
      <w:bookmarkStart w:id="4" w:name="_Toc129035445"/>
      <w:r>
        <w:t>A. Introduction</w:t>
      </w:r>
      <w:bookmarkEnd w:id="4"/>
    </w:p>
    <w:p w14:paraId="1C18C6A6" w14:textId="77777777" w:rsidR="00452826" w:rsidRDefault="00452826" w:rsidP="00452826">
      <w:proofErr w:type="spellStart"/>
      <w:r>
        <w:t>Monzo</w:t>
      </w:r>
      <w:proofErr w:type="spellEnd"/>
      <w:r>
        <w:t xml:space="preserve"> is a UK-based bank that has gained significant attention for its innovative approach to banking and customer service. The company is well-known for its use of technology to enhance the customer experience and has built a strong brand around its commitment to transparency, fairness, and customer satisfaction. This report will examine the customer experience of </w:t>
      </w:r>
      <w:proofErr w:type="spellStart"/>
      <w:r>
        <w:t>Monzo</w:t>
      </w:r>
      <w:proofErr w:type="spellEnd"/>
      <w:r>
        <w:t>, focusing on the themes of customer touchpoints and brand experience.</w:t>
      </w:r>
    </w:p>
    <w:p w14:paraId="7D89994E" w14:textId="77777777" w:rsidR="00452826" w:rsidRDefault="00452826" w:rsidP="00452826"/>
    <w:p w14:paraId="22CB3EB9" w14:textId="77777777" w:rsidR="00452826" w:rsidRDefault="00452826" w:rsidP="00452826">
      <w:pPr>
        <w:pStyle w:val="Heading2"/>
      </w:pPr>
      <w:bookmarkStart w:id="5" w:name="_Toc129035446"/>
      <w:r>
        <w:t>Customer Experience</w:t>
      </w:r>
      <w:bookmarkEnd w:id="5"/>
    </w:p>
    <w:p w14:paraId="6A31FC92" w14:textId="77777777" w:rsidR="00452826" w:rsidRDefault="00452826" w:rsidP="00452826">
      <w:r>
        <w:t>Customer experience (CX) is a critical aspect of any business that aims to attract and retain customers. CX refers to the overall impression a customer has of a company based on their interactions with the company's touchpoints (Barnes and Kelleher, 2015). This can include interactions with customer service representatives, online platforms, social media channels, and physical stores. In today's digital age, CX has become an essential factor in customer relationship management (CRM), as customers have more choices and higher expectations than ever before (Barnes and Kelleher, 2015).</w:t>
      </w:r>
    </w:p>
    <w:p w14:paraId="1AB3642D" w14:textId="77777777" w:rsidR="00452826" w:rsidRDefault="00452826" w:rsidP="00452826"/>
    <w:p w14:paraId="6F16E4D7" w14:textId="77777777" w:rsidR="00452826" w:rsidRDefault="00452826" w:rsidP="00452826">
      <w:r>
        <w:t>Research has shown that companies that prioritize CX tend to have higher customer satisfaction rates, increased customer loyalty, and higher profits (C Shaw, 2014b). According to a study by Forrester Research, companies that lead in CX outperformed their competitors by nearly 80% in terms of revenue growth. Similarly, a study by Bain &amp; Company found that customers who had a positive experience with a company were more likely to return and recommend that company to others.</w:t>
      </w:r>
    </w:p>
    <w:p w14:paraId="5C560BC8" w14:textId="77777777" w:rsidR="00452826" w:rsidRDefault="00452826" w:rsidP="00452826"/>
    <w:p w14:paraId="6C0EE546" w14:textId="77777777" w:rsidR="00452826" w:rsidRDefault="00452826" w:rsidP="00452826">
      <w:proofErr w:type="spellStart"/>
      <w:r>
        <w:t>Monzo</w:t>
      </w:r>
      <w:proofErr w:type="spellEnd"/>
      <w:r>
        <w:t xml:space="preserve"> is a UK-based bank that has gained significant attention for its innovative approach to banking and customer service. The company was founded in 2015 and has since grown to become one of the fastest-growing banks in the UK (Barnes and Kelleher, 2015). </w:t>
      </w:r>
      <w:proofErr w:type="spellStart"/>
      <w:r>
        <w:t>Monzo's</w:t>
      </w:r>
      <w:proofErr w:type="spellEnd"/>
      <w:r>
        <w:t xml:space="preserve"> approach to CX is </w:t>
      </w:r>
      <w:proofErr w:type="spellStart"/>
      <w:r>
        <w:t>centered</w:t>
      </w:r>
      <w:proofErr w:type="spellEnd"/>
      <w:r>
        <w:t xml:space="preserve"> around its commitment to transparency, fairness, and customer satisfaction. The company's touch points include its mobile app, website, social media channels, and its Customer Operations (</w:t>
      </w:r>
      <w:proofErr w:type="spellStart"/>
      <w:r>
        <w:t>COps</w:t>
      </w:r>
      <w:proofErr w:type="spellEnd"/>
      <w:r>
        <w:t>) team (C Shaw, 2014a).</w:t>
      </w:r>
    </w:p>
    <w:p w14:paraId="127EA4AB" w14:textId="77777777" w:rsidR="00452826" w:rsidRDefault="00452826" w:rsidP="00452826"/>
    <w:p w14:paraId="1F7FFFE0" w14:textId="77777777" w:rsidR="00452826" w:rsidRDefault="00452826" w:rsidP="00452826">
      <w:r>
        <w:t xml:space="preserve">One example of </w:t>
      </w:r>
      <w:proofErr w:type="spellStart"/>
      <w:r>
        <w:t>Monzo's</w:t>
      </w:r>
      <w:proofErr w:type="spellEnd"/>
      <w:r>
        <w:t xml:space="preserve"> focus on CX is its use of in-app notifications to keep customers informed about their account activity. For example, customers can receive instant notifications when they make a payment, or when their account balance falls below a certain threshold. This feature helps to keep customers engaged with their accounts and provides them with a sense of control and security (C Shaw, 2014a).</w:t>
      </w:r>
    </w:p>
    <w:p w14:paraId="0C88005B" w14:textId="77777777" w:rsidR="00452826" w:rsidRDefault="00452826" w:rsidP="00452826"/>
    <w:p w14:paraId="58825D94" w14:textId="77777777" w:rsidR="00452826" w:rsidRDefault="00452826" w:rsidP="00452826">
      <w:r>
        <w:lastRenderedPageBreak/>
        <w:t xml:space="preserve">Another example of </w:t>
      </w:r>
      <w:proofErr w:type="spellStart"/>
      <w:r>
        <w:t>Monzo's</w:t>
      </w:r>
      <w:proofErr w:type="spellEnd"/>
      <w:r>
        <w:t xml:space="preserve"> CX strategy is its </w:t>
      </w:r>
      <w:proofErr w:type="spellStart"/>
      <w:r>
        <w:t>COps</w:t>
      </w:r>
      <w:proofErr w:type="spellEnd"/>
      <w:r>
        <w:t xml:space="preserve"> team, which is responsible for providing customer service and support. </w:t>
      </w:r>
      <w:proofErr w:type="spellStart"/>
      <w:r>
        <w:t>Monzo's</w:t>
      </w:r>
      <w:proofErr w:type="spellEnd"/>
      <w:r>
        <w:t xml:space="preserve"> </w:t>
      </w:r>
      <w:proofErr w:type="spellStart"/>
      <w:r>
        <w:t>COps</w:t>
      </w:r>
      <w:proofErr w:type="spellEnd"/>
      <w:r>
        <w:t xml:space="preserve"> team is known for its responsiveness, professionalism, and friendly </w:t>
      </w:r>
      <w:proofErr w:type="spellStart"/>
      <w:r>
        <w:t>demeanor</w:t>
      </w:r>
      <w:proofErr w:type="spellEnd"/>
      <w:r>
        <w:t xml:space="preserve"> (</w:t>
      </w:r>
      <w:proofErr w:type="spellStart"/>
      <w:r>
        <w:t>Monzo</w:t>
      </w:r>
      <w:proofErr w:type="spellEnd"/>
      <w:r>
        <w:t xml:space="preserve">, 2023). The company has also invested heavily in training its </w:t>
      </w:r>
      <w:proofErr w:type="spellStart"/>
      <w:r>
        <w:t>COps</w:t>
      </w:r>
      <w:proofErr w:type="spellEnd"/>
      <w:r>
        <w:t xml:space="preserve"> team to handle a wide range of customer queries and issues, ensuring that customers receive the support they need in a timely and efficient manner.</w:t>
      </w:r>
    </w:p>
    <w:p w14:paraId="1C4CCB4A" w14:textId="77777777" w:rsidR="00452826" w:rsidRDefault="00452826" w:rsidP="00452826"/>
    <w:p w14:paraId="491F852A" w14:textId="77777777" w:rsidR="00452826" w:rsidRDefault="00452826" w:rsidP="00452826">
      <w:r>
        <w:t xml:space="preserve">To continue improving its CX, </w:t>
      </w:r>
      <w:proofErr w:type="spellStart"/>
      <w:r>
        <w:t>Monzo</w:t>
      </w:r>
      <w:proofErr w:type="spellEnd"/>
      <w:r>
        <w:t xml:space="preserve"> could consider investing in further research to better understand its customers' needs and expectations (</w:t>
      </w:r>
      <w:proofErr w:type="spellStart"/>
      <w:r>
        <w:t>Monzo</w:t>
      </w:r>
      <w:proofErr w:type="spellEnd"/>
      <w:r>
        <w:t xml:space="preserve">, 2023). This could involve conducting surveys, focus groups, and other forms of market research to gather feedback and insights from customers. </w:t>
      </w:r>
      <w:proofErr w:type="spellStart"/>
      <w:r>
        <w:t>Monzo</w:t>
      </w:r>
      <w:proofErr w:type="spellEnd"/>
      <w:r>
        <w:t xml:space="preserve"> could also explore the use of new technologies, such as artificial intelligence and machine learning, to enhance its CX and streamline its customer service operations (Creswick, 2019).</w:t>
      </w:r>
    </w:p>
    <w:p w14:paraId="59446756" w14:textId="77777777" w:rsidR="00452826" w:rsidRDefault="00452826" w:rsidP="00452826"/>
    <w:p w14:paraId="303D283B" w14:textId="77777777" w:rsidR="00452826" w:rsidRDefault="00452826" w:rsidP="00452826">
      <w:r>
        <w:t xml:space="preserve">In summary, CX is a critical aspect of any business that aims to attract and retain customers. </w:t>
      </w:r>
      <w:proofErr w:type="spellStart"/>
      <w:r>
        <w:t>Monzo</w:t>
      </w:r>
      <w:proofErr w:type="spellEnd"/>
      <w:r>
        <w:t xml:space="preserve"> is a company that has built a strong brand around its innovative approach to banking and commitment to customer satisfaction. The company's touchpoints, including its mobile app and </w:t>
      </w:r>
      <w:proofErr w:type="spellStart"/>
      <w:r>
        <w:t>COps</w:t>
      </w:r>
      <w:proofErr w:type="spellEnd"/>
      <w:r>
        <w:t xml:space="preserve"> team, have been effective in delivering a positive CX for many customers. However, there is always room for improvement, and </w:t>
      </w:r>
      <w:proofErr w:type="spellStart"/>
      <w:r>
        <w:t>Monzo</w:t>
      </w:r>
      <w:proofErr w:type="spellEnd"/>
      <w:r>
        <w:t xml:space="preserve"> could consider investing in further research and new technologies to enhance its CX and maintain its position as a leader in the UK banking industry.</w:t>
      </w:r>
    </w:p>
    <w:p w14:paraId="353D3F0B" w14:textId="77777777" w:rsidR="00452826" w:rsidRDefault="00452826" w:rsidP="00452826"/>
    <w:p w14:paraId="09A85A26" w14:textId="77777777" w:rsidR="00452826" w:rsidRDefault="00452826" w:rsidP="00452826"/>
    <w:p w14:paraId="1A970C6B" w14:textId="77777777" w:rsidR="00452826" w:rsidRDefault="00452826" w:rsidP="00452826"/>
    <w:p w14:paraId="2FC42995" w14:textId="77777777" w:rsidR="00452826" w:rsidRDefault="00452826" w:rsidP="00452826"/>
    <w:p w14:paraId="137C0243" w14:textId="77777777" w:rsidR="00452826" w:rsidRDefault="00452826" w:rsidP="00452826"/>
    <w:p w14:paraId="176F829C" w14:textId="77777777" w:rsidR="00452826" w:rsidRDefault="00452826" w:rsidP="00452826"/>
    <w:p w14:paraId="2BF24BFA" w14:textId="77777777" w:rsidR="00452826" w:rsidRDefault="00452826" w:rsidP="00452826"/>
    <w:p w14:paraId="09597D3B" w14:textId="77777777" w:rsidR="00452826" w:rsidRDefault="00452826" w:rsidP="00452826"/>
    <w:p w14:paraId="4925F7E1" w14:textId="77777777" w:rsidR="00452826" w:rsidRDefault="00452826" w:rsidP="00452826"/>
    <w:p w14:paraId="50A35C76" w14:textId="77777777" w:rsidR="00452826" w:rsidRDefault="00452826" w:rsidP="00452826"/>
    <w:p w14:paraId="261F0006" w14:textId="77777777" w:rsidR="00452826" w:rsidRDefault="00452826" w:rsidP="00452826"/>
    <w:p w14:paraId="0E50A1E7" w14:textId="77777777" w:rsidR="00452826" w:rsidRDefault="00452826" w:rsidP="00452826"/>
    <w:p w14:paraId="465FC57A" w14:textId="77777777" w:rsidR="00452826" w:rsidRDefault="00452826" w:rsidP="00452826"/>
    <w:p w14:paraId="6327B9C0" w14:textId="77777777" w:rsidR="00452826" w:rsidRDefault="00452826" w:rsidP="00452826"/>
    <w:p w14:paraId="060DF231" w14:textId="77777777" w:rsidR="00452826" w:rsidRDefault="00452826" w:rsidP="00452826"/>
    <w:p w14:paraId="6010E371" w14:textId="77777777" w:rsidR="00452826" w:rsidRDefault="00452826" w:rsidP="00452826"/>
    <w:p w14:paraId="02F25540" w14:textId="77777777" w:rsidR="00452826" w:rsidRDefault="00452826" w:rsidP="00452826"/>
    <w:p w14:paraId="67B7F9EA" w14:textId="54B9F716" w:rsidR="00452826" w:rsidRDefault="00452826" w:rsidP="00452826">
      <w:pPr>
        <w:pStyle w:val="Heading2"/>
      </w:pPr>
      <w:bookmarkStart w:id="6" w:name="_Toc129035447"/>
      <w:r>
        <w:lastRenderedPageBreak/>
        <w:t xml:space="preserve">Customer </w:t>
      </w:r>
      <w:bookmarkEnd w:id="6"/>
      <w:r>
        <w:t>Touch Point</w:t>
      </w:r>
      <w:r>
        <w:t xml:space="preserve"> of </w:t>
      </w:r>
      <w:proofErr w:type="spellStart"/>
      <w:r w:rsidRPr="005B2EC3">
        <w:t>Monzo</w:t>
      </w:r>
      <w:proofErr w:type="spellEnd"/>
    </w:p>
    <w:p w14:paraId="17FB61A6" w14:textId="77777777" w:rsidR="00452826" w:rsidRDefault="00452826" w:rsidP="00452826"/>
    <w:tbl>
      <w:tblPr>
        <w:tblStyle w:val="ListTable5Dark-Accent4"/>
        <w:tblW w:w="9360" w:type="dxa"/>
        <w:shd w:val="clear" w:color="auto" w:fill="92D050"/>
        <w:tblLayout w:type="fixed"/>
        <w:tblLook w:val="0600" w:firstRow="0" w:lastRow="0" w:firstColumn="0" w:lastColumn="0" w:noHBand="1" w:noVBand="1"/>
      </w:tblPr>
      <w:tblGrid>
        <w:gridCol w:w="2057"/>
        <w:gridCol w:w="2003"/>
        <w:gridCol w:w="5300"/>
      </w:tblGrid>
      <w:tr w:rsidR="00452826" w:rsidRPr="00E67553" w14:paraId="36D20EB7" w14:textId="77777777" w:rsidTr="00ED7FEC">
        <w:trPr>
          <w:trHeight w:val="1070"/>
        </w:trPr>
        <w:tc>
          <w:tcPr>
            <w:tcW w:w="2057" w:type="dxa"/>
            <w:shd w:val="clear" w:color="auto" w:fill="92D050"/>
          </w:tcPr>
          <w:p w14:paraId="21DDD667" w14:textId="77777777" w:rsidR="00452826" w:rsidRPr="00E67553" w:rsidRDefault="00452826" w:rsidP="00ED7FEC">
            <w:pPr>
              <w:spacing w:before="380" w:line="411" w:lineRule="auto"/>
              <w:jc w:val="center"/>
              <w:rPr>
                <w:rFonts w:ascii="Roboto" w:eastAsia="Roboto" w:hAnsi="Roboto" w:cs="Roboto"/>
                <w:sz w:val="19"/>
                <w:szCs w:val="19"/>
              </w:rPr>
            </w:pPr>
            <w:r w:rsidRPr="00E67553">
              <w:rPr>
                <w:rFonts w:ascii="Roboto" w:eastAsia="Roboto" w:hAnsi="Roboto" w:cs="Roboto"/>
                <w:b/>
                <w:sz w:val="19"/>
                <w:szCs w:val="19"/>
              </w:rPr>
              <w:t>Customer Touchpoints</w:t>
            </w:r>
          </w:p>
        </w:tc>
        <w:tc>
          <w:tcPr>
            <w:tcW w:w="2003" w:type="dxa"/>
            <w:shd w:val="clear" w:color="auto" w:fill="92D050"/>
          </w:tcPr>
          <w:p w14:paraId="5676F0A1" w14:textId="77777777" w:rsidR="00452826" w:rsidRPr="00E67553" w:rsidRDefault="00452826" w:rsidP="00ED7FEC">
            <w:pPr>
              <w:spacing w:before="380" w:line="411" w:lineRule="auto"/>
              <w:jc w:val="center"/>
              <w:rPr>
                <w:rFonts w:ascii="Roboto" w:eastAsia="Roboto" w:hAnsi="Roboto" w:cs="Roboto"/>
                <w:sz w:val="19"/>
                <w:szCs w:val="19"/>
              </w:rPr>
            </w:pPr>
            <w:r w:rsidRPr="00E67553">
              <w:rPr>
                <w:rFonts w:ascii="Roboto" w:eastAsia="Roboto" w:hAnsi="Roboto" w:cs="Roboto"/>
                <w:b/>
                <w:sz w:val="19"/>
                <w:szCs w:val="19"/>
              </w:rPr>
              <w:t>Activities Undertaken</w:t>
            </w:r>
          </w:p>
        </w:tc>
        <w:tc>
          <w:tcPr>
            <w:tcW w:w="5299" w:type="dxa"/>
            <w:shd w:val="clear" w:color="auto" w:fill="92D050"/>
          </w:tcPr>
          <w:p w14:paraId="2BFA27B5" w14:textId="77777777" w:rsidR="00452826" w:rsidRPr="00E67553" w:rsidRDefault="00452826" w:rsidP="00ED7FEC">
            <w:pPr>
              <w:spacing w:before="380" w:line="411" w:lineRule="auto"/>
              <w:jc w:val="center"/>
              <w:rPr>
                <w:rFonts w:ascii="Roboto" w:eastAsia="Roboto" w:hAnsi="Roboto" w:cs="Roboto"/>
                <w:sz w:val="19"/>
                <w:szCs w:val="19"/>
              </w:rPr>
            </w:pPr>
            <w:r w:rsidRPr="00E67553">
              <w:rPr>
                <w:rFonts w:ascii="Roboto" w:eastAsia="Roboto" w:hAnsi="Roboto" w:cs="Roboto"/>
                <w:b/>
                <w:sz w:val="19"/>
                <w:szCs w:val="19"/>
              </w:rPr>
              <w:t>Relevant Examples</w:t>
            </w:r>
          </w:p>
        </w:tc>
      </w:tr>
      <w:tr w:rsidR="00452826" w:rsidRPr="00E67553" w14:paraId="7E27AF0B" w14:textId="77777777" w:rsidTr="00ED7FEC">
        <w:trPr>
          <w:trHeight w:val="1055"/>
        </w:trPr>
        <w:tc>
          <w:tcPr>
            <w:tcW w:w="2057" w:type="dxa"/>
            <w:shd w:val="clear" w:color="auto" w:fill="92D050"/>
          </w:tcPr>
          <w:p w14:paraId="338B52A8" w14:textId="77777777" w:rsidR="00452826" w:rsidRPr="00E67553" w:rsidRDefault="00452826" w:rsidP="00ED7FEC">
            <w:pPr>
              <w:spacing w:before="380" w:line="411" w:lineRule="auto"/>
              <w:rPr>
                <w:rFonts w:ascii="Roboto" w:eastAsia="Roboto" w:hAnsi="Roboto" w:cs="Roboto"/>
                <w:sz w:val="19"/>
                <w:szCs w:val="19"/>
              </w:rPr>
            </w:pPr>
            <w:bookmarkStart w:id="7" w:name="_Hlk129035511"/>
            <w:r w:rsidRPr="00E67553">
              <w:rPr>
                <w:rFonts w:ascii="Roboto" w:eastAsia="Roboto" w:hAnsi="Roboto" w:cs="Roboto"/>
                <w:sz w:val="19"/>
                <w:szCs w:val="19"/>
              </w:rPr>
              <w:t>Mobile App</w:t>
            </w:r>
          </w:p>
        </w:tc>
        <w:tc>
          <w:tcPr>
            <w:tcW w:w="2003" w:type="dxa"/>
            <w:shd w:val="clear" w:color="auto" w:fill="92D050"/>
          </w:tcPr>
          <w:p w14:paraId="02EEB826"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Account Management</w:t>
            </w:r>
          </w:p>
        </w:tc>
        <w:tc>
          <w:tcPr>
            <w:tcW w:w="5299" w:type="dxa"/>
            <w:shd w:val="clear" w:color="auto" w:fill="92D050"/>
          </w:tcPr>
          <w:p w14:paraId="1B1B375D"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Viewing account balance, making payments, setting up direct debits</w:t>
            </w:r>
          </w:p>
        </w:tc>
      </w:tr>
      <w:tr w:rsidR="00452826" w:rsidRPr="00E67553" w14:paraId="70C08330" w14:textId="77777777" w:rsidTr="00ED7FEC">
        <w:trPr>
          <w:trHeight w:val="1055"/>
        </w:trPr>
        <w:tc>
          <w:tcPr>
            <w:tcW w:w="2057" w:type="dxa"/>
            <w:shd w:val="clear" w:color="auto" w:fill="92D050"/>
          </w:tcPr>
          <w:p w14:paraId="53733C0B" w14:textId="77777777" w:rsidR="00452826" w:rsidRPr="00E67553" w:rsidRDefault="00452826" w:rsidP="00ED7FEC">
            <w:pPr>
              <w:spacing w:before="380" w:line="411" w:lineRule="auto"/>
              <w:rPr>
                <w:rFonts w:ascii="Roboto" w:eastAsia="Roboto" w:hAnsi="Roboto" w:cs="Roboto"/>
                <w:sz w:val="19"/>
                <w:szCs w:val="19"/>
              </w:rPr>
            </w:pPr>
          </w:p>
        </w:tc>
        <w:tc>
          <w:tcPr>
            <w:tcW w:w="2003" w:type="dxa"/>
            <w:shd w:val="clear" w:color="auto" w:fill="92D050"/>
          </w:tcPr>
          <w:p w14:paraId="06D3665D"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Customer Support</w:t>
            </w:r>
          </w:p>
        </w:tc>
        <w:tc>
          <w:tcPr>
            <w:tcW w:w="5299" w:type="dxa"/>
            <w:shd w:val="clear" w:color="auto" w:fill="92D050"/>
          </w:tcPr>
          <w:p w14:paraId="770AB4A1"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 xml:space="preserve">Chatting with </w:t>
            </w:r>
            <w:proofErr w:type="spellStart"/>
            <w:r w:rsidRPr="00E67553">
              <w:rPr>
                <w:rFonts w:ascii="Roboto" w:eastAsia="Roboto" w:hAnsi="Roboto" w:cs="Roboto"/>
                <w:sz w:val="19"/>
                <w:szCs w:val="19"/>
              </w:rPr>
              <w:t>COps</w:t>
            </w:r>
            <w:proofErr w:type="spellEnd"/>
            <w:r w:rsidRPr="00E67553">
              <w:rPr>
                <w:rFonts w:ascii="Roboto" w:eastAsia="Roboto" w:hAnsi="Roboto" w:cs="Roboto"/>
                <w:sz w:val="19"/>
                <w:szCs w:val="19"/>
              </w:rPr>
              <w:t xml:space="preserve"> team, reporting lost or stolen cards, freezing/unfreezing card</w:t>
            </w:r>
          </w:p>
        </w:tc>
      </w:tr>
      <w:tr w:rsidR="00452826" w:rsidRPr="00E67553" w14:paraId="1685C0EB" w14:textId="77777777" w:rsidTr="00ED7FEC">
        <w:trPr>
          <w:trHeight w:val="695"/>
        </w:trPr>
        <w:tc>
          <w:tcPr>
            <w:tcW w:w="2057" w:type="dxa"/>
            <w:shd w:val="clear" w:color="auto" w:fill="92D050"/>
          </w:tcPr>
          <w:p w14:paraId="2475CEA3" w14:textId="77777777" w:rsidR="00452826" w:rsidRPr="00E67553" w:rsidRDefault="00452826" w:rsidP="00ED7FEC">
            <w:pPr>
              <w:spacing w:before="380" w:line="411" w:lineRule="auto"/>
              <w:rPr>
                <w:rFonts w:ascii="Roboto" w:eastAsia="Roboto" w:hAnsi="Roboto" w:cs="Roboto"/>
                <w:sz w:val="19"/>
                <w:szCs w:val="19"/>
              </w:rPr>
            </w:pPr>
          </w:p>
        </w:tc>
        <w:tc>
          <w:tcPr>
            <w:tcW w:w="2003" w:type="dxa"/>
            <w:shd w:val="clear" w:color="auto" w:fill="92D050"/>
          </w:tcPr>
          <w:p w14:paraId="568502FA"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Rewards Program</w:t>
            </w:r>
          </w:p>
        </w:tc>
        <w:tc>
          <w:tcPr>
            <w:tcW w:w="5299" w:type="dxa"/>
            <w:shd w:val="clear" w:color="auto" w:fill="92D050"/>
          </w:tcPr>
          <w:p w14:paraId="47D020C3"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Cashback offers, refer-a-friend program, loyalty points</w:t>
            </w:r>
          </w:p>
        </w:tc>
      </w:tr>
      <w:tr w:rsidR="00452826" w:rsidRPr="00E67553" w14:paraId="367F08DD" w14:textId="77777777" w:rsidTr="00ED7FEC">
        <w:trPr>
          <w:trHeight w:val="1055"/>
        </w:trPr>
        <w:tc>
          <w:tcPr>
            <w:tcW w:w="2057" w:type="dxa"/>
            <w:shd w:val="clear" w:color="auto" w:fill="92D050"/>
          </w:tcPr>
          <w:p w14:paraId="2446B650"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Website</w:t>
            </w:r>
          </w:p>
        </w:tc>
        <w:tc>
          <w:tcPr>
            <w:tcW w:w="2003" w:type="dxa"/>
            <w:shd w:val="clear" w:color="auto" w:fill="92D050"/>
          </w:tcPr>
          <w:p w14:paraId="47CCE4B8"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Account Signup</w:t>
            </w:r>
          </w:p>
        </w:tc>
        <w:tc>
          <w:tcPr>
            <w:tcW w:w="5299" w:type="dxa"/>
            <w:shd w:val="clear" w:color="auto" w:fill="92D050"/>
          </w:tcPr>
          <w:p w14:paraId="1A6F2F87"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Creating a new account, verifying identity, setting up account preferences</w:t>
            </w:r>
          </w:p>
        </w:tc>
      </w:tr>
      <w:tr w:rsidR="00452826" w:rsidRPr="00E67553" w14:paraId="2C538171" w14:textId="77777777" w:rsidTr="00ED7FEC">
        <w:trPr>
          <w:trHeight w:val="1055"/>
        </w:trPr>
        <w:tc>
          <w:tcPr>
            <w:tcW w:w="2057" w:type="dxa"/>
            <w:shd w:val="clear" w:color="auto" w:fill="92D050"/>
          </w:tcPr>
          <w:p w14:paraId="4283D051" w14:textId="77777777" w:rsidR="00452826" w:rsidRPr="00E67553" w:rsidRDefault="00452826" w:rsidP="00ED7FEC">
            <w:pPr>
              <w:spacing w:before="380" w:line="411" w:lineRule="auto"/>
              <w:rPr>
                <w:rFonts w:ascii="Roboto" w:eastAsia="Roboto" w:hAnsi="Roboto" w:cs="Roboto"/>
                <w:sz w:val="19"/>
                <w:szCs w:val="19"/>
              </w:rPr>
            </w:pPr>
          </w:p>
        </w:tc>
        <w:tc>
          <w:tcPr>
            <w:tcW w:w="2003" w:type="dxa"/>
            <w:shd w:val="clear" w:color="auto" w:fill="92D050"/>
          </w:tcPr>
          <w:p w14:paraId="55DB7895"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Product Information</w:t>
            </w:r>
          </w:p>
        </w:tc>
        <w:tc>
          <w:tcPr>
            <w:tcW w:w="5299" w:type="dxa"/>
            <w:shd w:val="clear" w:color="auto" w:fill="92D050"/>
          </w:tcPr>
          <w:p w14:paraId="5FADDF11"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 xml:space="preserve">Reading about </w:t>
            </w:r>
            <w:proofErr w:type="spellStart"/>
            <w:r w:rsidRPr="00E67553">
              <w:rPr>
                <w:rFonts w:ascii="Roboto" w:eastAsia="Roboto" w:hAnsi="Roboto" w:cs="Roboto"/>
                <w:sz w:val="19"/>
                <w:szCs w:val="19"/>
              </w:rPr>
              <w:t>Monzo's</w:t>
            </w:r>
            <w:proofErr w:type="spellEnd"/>
            <w:r w:rsidRPr="00E67553">
              <w:rPr>
                <w:rFonts w:ascii="Roboto" w:eastAsia="Roboto" w:hAnsi="Roboto" w:cs="Roboto"/>
                <w:sz w:val="19"/>
                <w:szCs w:val="19"/>
              </w:rPr>
              <w:t xml:space="preserve"> services, comparing products, exploring fees and charges</w:t>
            </w:r>
          </w:p>
        </w:tc>
      </w:tr>
      <w:tr w:rsidR="00452826" w:rsidRPr="00E67553" w14:paraId="52FFE941" w14:textId="77777777" w:rsidTr="00ED7FEC">
        <w:trPr>
          <w:trHeight w:val="1055"/>
        </w:trPr>
        <w:tc>
          <w:tcPr>
            <w:tcW w:w="2057" w:type="dxa"/>
            <w:shd w:val="clear" w:color="auto" w:fill="92D050"/>
          </w:tcPr>
          <w:p w14:paraId="1A99A5F8"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Social Media</w:t>
            </w:r>
          </w:p>
        </w:tc>
        <w:tc>
          <w:tcPr>
            <w:tcW w:w="2003" w:type="dxa"/>
            <w:shd w:val="clear" w:color="auto" w:fill="92D050"/>
          </w:tcPr>
          <w:p w14:paraId="1380CD60"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Brand Awareness</w:t>
            </w:r>
          </w:p>
        </w:tc>
        <w:tc>
          <w:tcPr>
            <w:tcW w:w="5299" w:type="dxa"/>
            <w:shd w:val="clear" w:color="auto" w:fill="92D050"/>
          </w:tcPr>
          <w:p w14:paraId="4F538AC8"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 xml:space="preserve">Following </w:t>
            </w:r>
            <w:proofErr w:type="spellStart"/>
            <w:r w:rsidRPr="00E67553">
              <w:rPr>
                <w:rFonts w:ascii="Roboto" w:eastAsia="Roboto" w:hAnsi="Roboto" w:cs="Roboto"/>
                <w:sz w:val="19"/>
                <w:szCs w:val="19"/>
              </w:rPr>
              <w:t>Monzo</w:t>
            </w:r>
            <w:proofErr w:type="spellEnd"/>
            <w:r w:rsidRPr="00E67553">
              <w:rPr>
                <w:rFonts w:ascii="Roboto" w:eastAsia="Roboto" w:hAnsi="Roboto" w:cs="Roboto"/>
                <w:sz w:val="19"/>
                <w:szCs w:val="19"/>
              </w:rPr>
              <w:t xml:space="preserve"> on Twitter, liking </w:t>
            </w:r>
            <w:proofErr w:type="spellStart"/>
            <w:r w:rsidRPr="00E67553">
              <w:rPr>
                <w:rFonts w:ascii="Roboto" w:eastAsia="Roboto" w:hAnsi="Roboto" w:cs="Roboto"/>
                <w:sz w:val="19"/>
                <w:szCs w:val="19"/>
              </w:rPr>
              <w:t>Monzo's</w:t>
            </w:r>
            <w:proofErr w:type="spellEnd"/>
            <w:r w:rsidRPr="00E67553">
              <w:rPr>
                <w:rFonts w:ascii="Roboto" w:eastAsia="Roboto" w:hAnsi="Roboto" w:cs="Roboto"/>
                <w:sz w:val="19"/>
                <w:szCs w:val="19"/>
              </w:rPr>
              <w:t xml:space="preserve"> Facebook page, engaging with </w:t>
            </w:r>
            <w:proofErr w:type="spellStart"/>
            <w:r w:rsidRPr="00E67553">
              <w:rPr>
                <w:rFonts w:ascii="Roboto" w:eastAsia="Roboto" w:hAnsi="Roboto" w:cs="Roboto"/>
                <w:sz w:val="19"/>
                <w:szCs w:val="19"/>
              </w:rPr>
              <w:t>Monzo's</w:t>
            </w:r>
            <w:proofErr w:type="spellEnd"/>
            <w:r w:rsidRPr="00E67553">
              <w:rPr>
                <w:rFonts w:ascii="Roboto" w:eastAsia="Roboto" w:hAnsi="Roboto" w:cs="Roboto"/>
                <w:sz w:val="19"/>
                <w:szCs w:val="19"/>
              </w:rPr>
              <w:t xml:space="preserve"> content</w:t>
            </w:r>
          </w:p>
        </w:tc>
      </w:tr>
      <w:tr w:rsidR="00452826" w:rsidRPr="00E67553" w14:paraId="33CBD208" w14:textId="77777777" w:rsidTr="00ED7FEC">
        <w:trPr>
          <w:trHeight w:val="1055"/>
        </w:trPr>
        <w:tc>
          <w:tcPr>
            <w:tcW w:w="2057" w:type="dxa"/>
            <w:shd w:val="clear" w:color="auto" w:fill="92D050"/>
          </w:tcPr>
          <w:p w14:paraId="3EA45135" w14:textId="77777777" w:rsidR="00452826" w:rsidRPr="00E67553" w:rsidRDefault="00452826" w:rsidP="00ED7FEC">
            <w:pPr>
              <w:spacing w:before="380" w:line="411" w:lineRule="auto"/>
              <w:rPr>
                <w:rFonts w:ascii="Roboto" w:eastAsia="Roboto" w:hAnsi="Roboto" w:cs="Roboto"/>
                <w:sz w:val="19"/>
                <w:szCs w:val="19"/>
              </w:rPr>
            </w:pPr>
          </w:p>
        </w:tc>
        <w:tc>
          <w:tcPr>
            <w:tcW w:w="2003" w:type="dxa"/>
            <w:shd w:val="clear" w:color="auto" w:fill="92D050"/>
          </w:tcPr>
          <w:p w14:paraId="40CC3BFD"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Customer Engagement</w:t>
            </w:r>
          </w:p>
        </w:tc>
        <w:tc>
          <w:tcPr>
            <w:tcW w:w="5299" w:type="dxa"/>
            <w:shd w:val="clear" w:color="auto" w:fill="92D050"/>
          </w:tcPr>
          <w:p w14:paraId="76263BAA"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Responding to customer inquiries, addressing customer complaints, offering support and guidance</w:t>
            </w:r>
          </w:p>
        </w:tc>
      </w:tr>
      <w:tr w:rsidR="00452826" w:rsidRPr="00E67553" w14:paraId="35535AD3" w14:textId="77777777" w:rsidTr="00ED7FEC">
        <w:trPr>
          <w:trHeight w:val="1055"/>
        </w:trPr>
        <w:tc>
          <w:tcPr>
            <w:tcW w:w="2057" w:type="dxa"/>
            <w:shd w:val="clear" w:color="auto" w:fill="92D050"/>
          </w:tcPr>
          <w:p w14:paraId="2D455EB0"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Customer Operations</w:t>
            </w:r>
          </w:p>
        </w:tc>
        <w:tc>
          <w:tcPr>
            <w:tcW w:w="2003" w:type="dxa"/>
            <w:shd w:val="clear" w:color="auto" w:fill="92D050"/>
          </w:tcPr>
          <w:p w14:paraId="594E6159"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Customer Support</w:t>
            </w:r>
          </w:p>
        </w:tc>
        <w:tc>
          <w:tcPr>
            <w:tcW w:w="5299" w:type="dxa"/>
            <w:shd w:val="clear" w:color="auto" w:fill="92D050"/>
          </w:tcPr>
          <w:p w14:paraId="2EF98440"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 xml:space="preserve">Speaking with </w:t>
            </w:r>
            <w:proofErr w:type="spellStart"/>
            <w:r w:rsidRPr="00E67553">
              <w:rPr>
                <w:rFonts w:ascii="Roboto" w:eastAsia="Roboto" w:hAnsi="Roboto" w:cs="Roboto"/>
                <w:sz w:val="19"/>
                <w:szCs w:val="19"/>
              </w:rPr>
              <w:t>COps</w:t>
            </w:r>
            <w:proofErr w:type="spellEnd"/>
            <w:r w:rsidRPr="00E67553">
              <w:rPr>
                <w:rFonts w:ascii="Roboto" w:eastAsia="Roboto" w:hAnsi="Roboto" w:cs="Roboto"/>
                <w:sz w:val="19"/>
                <w:szCs w:val="19"/>
              </w:rPr>
              <w:t xml:space="preserve"> team via phone or chat, resolving account issues, receiving guidance on financial decisions</w:t>
            </w:r>
          </w:p>
        </w:tc>
      </w:tr>
      <w:bookmarkEnd w:id="7"/>
      <w:tr w:rsidR="00452826" w:rsidRPr="00E67553" w14:paraId="0162D5ED" w14:textId="77777777" w:rsidTr="00ED7FEC">
        <w:trPr>
          <w:trHeight w:val="1055"/>
        </w:trPr>
        <w:tc>
          <w:tcPr>
            <w:tcW w:w="2057" w:type="dxa"/>
            <w:shd w:val="clear" w:color="auto" w:fill="92D050"/>
          </w:tcPr>
          <w:p w14:paraId="59D026BE" w14:textId="77777777" w:rsidR="00452826" w:rsidRPr="00E67553" w:rsidRDefault="00452826" w:rsidP="00ED7FEC">
            <w:pPr>
              <w:spacing w:before="380" w:line="411" w:lineRule="auto"/>
              <w:rPr>
                <w:rFonts w:ascii="Roboto" w:eastAsia="Roboto" w:hAnsi="Roboto" w:cs="Roboto"/>
                <w:sz w:val="19"/>
                <w:szCs w:val="19"/>
              </w:rPr>
            </w:pPr>
          </w:p>
        </w:tc>
        <w:tc>
          <w:tcPr>
            <w:tcW w:w="2003" w:type="dxa"/>
            <w:shd w:val="clear" w:color="auto" w:fill="92D050"/>
          </w:tcPr>
          <w:p w14:paraId="216B3BEA"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Fraud Prevention</w:t>
            </w:r>
          </w:p>
        </w:tc>
        <w:tc>
          <w:tcPr>
            <w:tcW w:w="5299" w:type="dxa"/>
            <w:shd w:val="clear" w:color="auto" w:fill="92D050"/>
          </w:tcPr>
          <w:p w14:paraId="29E64146"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Reporting suspicious activity, receiving fraud alerts, taking steps to secure account information</w:t>
            </w:r>
          </w:p>
        </w:tc>
      </w:tr>
      <w:tr w:rsidR="00452826" w:rsidRPr="00E67553" w14:paraId="3AC891CD" w14:textId="77777777" w:rsidTr="00ED7FEC">
        <w:trPr>
          <w:trHeight w:val="1055"/>
        </w:trPr>
        <w:tc>
          <w:tcPr>
            <w:tcW w:w="2057" w:type="dxa"/>
            <w:shd w:val="clear" w:color="auto" w:fill="92D050"/>
          </w:tcPr>
          <w:p w14:paraId="47B5A11D" w14:textId="77777777" w:rsidR="00452826" w:rsidRPr="00E67553" w:rsidRDefault="00452826" w:rsidP="00ED7FEC">
            <w:pPr>
              <w:spacing w:before="380" w:line="411" w:lineRule="auto"/>
              <w:rPr>
                <w:rFonts w:ascii="Roboto" w:eastAsia="Roboto" w:hAnsi="Roboto" w:cs="Roboto"/>
                <w:sz w:val="19"/>
                <w:szCs w:val="19"/>
              </w:rPr>
            </w:pPr>
          </w:p>
        </w:tc>
        <w:tc>
          <w:tcPr>
            <w:tcW w:w="2003" w:type="dxa"/>
            <w:shd w:val="clear" w:color="auto" w:fill="92D050"/>
          </w:tcPr>
          <w:p w14:paraId="1DF2C256"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Dispute Resolution</w:t>
            </w:r>
          </w:p>
        </w:tc>
        <w:tc>
          <w:tcPr>
            <w:tcW w:w="5299" w:type="dxa"/>
            <w:shd w:val="clear" w:color="auto" w:fill="92D050"/>
          </w:tcPr>
          <w:p w14:paraId="0516124C" w14:textId="77777777" w:rsidR="00452826" w:rsidRPr="00E67553" w:rsidRDefault="00452826" w:rsidP="00ED7FEC">
            <w:pPr>
              <w:spacing w:before="380" w:line="411" w:lineRule="auto"/>
              <w:rPr>
                <w:rFonts w:ascii="Roboto" w:eastAsia="Roboto" w:hAnsi="Roboto" w:cs="Roboto"/>
                <w:sz w:val="19"/>
                <w:szCs w:val="19"/>
              </w:rPr>
            </w:pPr>
            <w:r w:rsidRPr="00E67553">
              <w:rPr>
                <w:rFonts w:ascii="Roboto" w:eastAsia="Roboto" w:hAnsi="Roboto" w:cs="Roboto"/>
                <w:sz w:val="19"/>
                <w:szCs w:val="19"/>
              </w:rPr>
              <w:t>Seeking help with unauthorized charges, addressing billing errors, resolving transaction disputes</w:t>
            </w:r>
          </w:p>
        </w:tc>
      </w:tr>
    </w:tbl>
    <w:p w14:paraId="3B8E350C" w14:textId="77777777" w:rsidR="00452826" w:rsidRDefault="00452826" w:rsidP="00452826"/>
    <w:p w14:paraId="5995E373" w14:textId="77777777" w:rsidR="00452826" w:rsidRDefault="00452826" w:rsidP="00452826"/>
    <w:p w14:paraId="6643A7AA" w14:textId="77777777" w:rsidR="00452826" w:rsidRDefault="00452826" w:rsidP="00452826">
      <w:r w:rsidRPr="005B2EC3">
        <w:rPr>
          <w:noProof/>
        </w:rPr>
        <w:drawing>
          <wp:inline distT="0" distB="0" distL="0" distR="0" wp14:anchorId="35C58372" wp14:editId="75508760">
            <wp:extent cx="5943600" cy="2459355"/>
            <wp:effectExtent l="0" t="0" r="0" b="0"/>
            <wp:docPr id="9" name="Diagram 9">
              <a:extLst xmlns:a="http://schemas.openxmlformats.org/drawingml/2006/main">
                <a:ext uri="{FF2B5EF4-FFF2-40B4-BE49-F238E27FC236}">
                  <a16:creationId xmlns:a16="http://schemas.microsoft.com/office/drawing/2014/main" id="{AB4233C1-D527-02B9-514D-852AD642C85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C840C62" w14:textId="77777777" w:rsidR="00452826" w:rsidRDefault="00452826" w:rsidP="00452826">
      <w:r>
        <w:t xml:space="preserve">Figure: </w:t>
      </w:r>
      <w:r w:rsidRPr="005B2EC3">
        <w:t xml:space="preserve">Customer </w:t>
      </w:r>
      <w:proofErr w:type="spellStart"/>
      <w:r w:rsidRPr="005B2EC3">
        <w:t>TouchPoint</w:t>
      </w:r>
      <w:proofErr w:type="spellEnd"/>
      <w:r w:rsidRPr="005B2EC3">
        <w:t xml:space="preserve"> of </w:t>
      </w:r>
      <w:proofErr w:type="spellStart"/>
      <w:r w:rsidRPr="005B2EC3">
        <w:t>Monzo</w:t>
      </w:r>
      <w:proofErr w:type="spellEnd"/>
    </w:p>
    <w:p w14:paraId="00DBED76" w14:textId="77777777" w:rsidR="00452826" w:rsidRDefault="00452826" w:rsidP="00452826">
      <w:pPr>
        <w:pStyle w:val="Heading2"/>
      </w:pPr>
      <w:bookmarkStart w:id="8" w:name="_Toc129035448"/>
      <w:r>
        <w:t>Brand Experience</w:t>
      </w:r>
      <w:bookmarkEnd w:id="8"/>
    </w:p>
    <w:p w14:paraId="103183E3" w14:textId="77777777" w:rsidR="00452826" w:rsidRDefault="00452826" w:rsidP="00452826">
      <w:r>
        <w:t xml:space="preserve">Brand experience can be defined as the </w:t>
      </w:r>
      <w:proofErr w:type="gramStart"/>
      <w:r>
        <w:t>sum total</w:t>
      </w:r>
      <w:proofErr w:type="gramEnd"/>
      <w:r>
        <w:t xml:space="preserve"> of all the experiences that a customer has with a brand (Christoph </w:t>
      </w:r>
      <w:proofErr w:type="spellStart"/>
      <w:r>
        <w:t>Lattemann</w:t>
      </w:r>
      <w:proofErr w:type="spellEnd"/>
      <w:r>
        <w:t xml:space="preserve"> and </w:t>
      </w:r>
      <w:proofErr w:type="spellStart"/>
      <w:r>
        <w:t>Robra-Bissantz</w:t>
      </w:r>
      <w:proofErr w:type="spellEnd"/>
      <w:r>
        <w:t xml:space="preserve">, 2017). These experiences can come from a variety of touchpoints such as advertising, social media, customer service, product quality, and overall brand image. In the case of </w:t>
      </w:r>
      <w:proofErr w:type="spellStart"/>
      <w:r>
        <w:t>Monzo</w:t>
      </w:r>
      <w:proofErr w:type="spellEnd"/>
      <w:r>
        <w:t>, the brand experience is shaped by its innovative approach to banking, its user-friendly app, and its focus on customer service.</w:t>
      </w:r>
    </w:p>
    <w:p w14:paraId="569D61E6" w14:textId="77777777" w:rsidR="00452826" w:rsidRDefault="00452826" w:rsidP="00452826"/>
    <w:p w14:paraId="6EC19001" w14:textId="77777777" w:rsidR="00452826" w:rsidRDefault="00452826" w:rsidP="00452826">
      <w:proofErr w:type="spellStart"/>
      <w:r>
        <w:t>Monzo</w:t>
      </w:r>
      <w:proofErr w:type="spellEnd"/>
      <w:r>
        <w:t xml:space="preserve"> has been successful in creating a brand experience that resonates with its target audience. The company's focus on transparency, accessibility, and convenience has helped it to build a loyal following of customers who appreciate the simplicity and ease of use of its mobile app (Christoph </w:t>
      </w:r>
      <w:proofErr w:type="spellStart"/>
      <w:r>
        <w:t>Lattemann</w:t>
      </w:r>
      <w:proofErr w:type="spellEnd"/>
      <w:r>
        <w:t xml:space="preserve"> and </w:t>
      </w:r>
      <w:proofErr w:type="spellStart"/>
      <w:r>
        <w:t>Robra-Bissantz</w:t>
      </w:r>
      <w:proofErr w:type="spellEnd"/>
      <w:r>
        <w:t xml:space="preserve">, 2017). According to a survey conducted by YouGov, </w:t>
      </w:r>
      <w:proofErr w:type="spellStart"/>
      <w:r>
        <w:t>Monzo</w:t>
      </w:r>
      <w:proofErr w:type="spellEnd"/>
      <w:r>
        <w:t xml:space="preserve"> was the UK's most recommended bank in 2021, indicating the high level of satisfaction that its customers have with its services (Reza </w:t>
      </w:r>
      <w:proofErr w:type="spellStart"/>
      <w:r>
        <w:t>Soudagar</w:t>
      </w:r>
      <w:proofErr w:type="spellEnd"/>
      <w:r>
        <w:t xml:space="preserve">, </w:t>
      </w:r>
      <w:proofErr w:type="gramStart"/>
      <w:r>
        <w:t>Hildebrand</w:t>
      </w:r>
      <w:proofErr w:type="gramEnd"/>
      <w:r>
        <w:t xml:space="preserve"> and Vinay Iyer, 2012).</w:t>
      </w:r>
    </w:p>
    <w:p w14:paraId="12BE57A0" w14:textId="77777777" w:rsidR="00452826" w:rsidRDefault="00452826" w:rsidP="00452826"/>
    <w:p w14:paraId="2B343FE9" w14:textId="77777777" w:rsidR="00452826" w:rsidRDefault="00452826" w:rsidP="00452826">
      <w:r>
        <w:t xml:space="preserve">One of the key factors that contribute to </w:t>
      </w:r>
      <w:proofErr w:type="spellStart"/>
      <w:r>
        <w:t>Monzo's</w:t>
      </w:r>
      <w:proofErr w:type="spellEnd"/>
      <w:r>
        <w:t xml:space="preserve"> strong brand experience is its innovative approach to banking. </w:t>
      </w:r>
      <w:proofErr w:type="spellStart"/>
      <w:r>
        <w:t>Monzo</w:t>
      </w:r>
      <w:proofErr w:type="spellEnd"/>
      <w:r>
        <w:t xml:space="preserve"> was one of the first banks in the UK to introduce features such as instant notifications, budgeting tools, and fee-free spending abroad. These features have helped to differentiate </w:t>
      </w:r>
      <w:proofErr w:type="spellStart"/>
      <w:r>
        <w:t>Monzo</w:t>
      </w:r>
      <w:proofErr w:type="spellEnd"/>
      <w:r>
        <w:t xml:space="preserve"> from traditional banks and have contributed to its reputation as a disruptor in the industry (Reza </w:t>
      </w:r>
      <w:proofErr w:type="spellStart"/>
      <w:r>
        <w:t>Soudagar</w:t>
      </w:r>
      <w:proofErr w:type="spellEnd"/>
      <w:r>
        <w:t xml:space="preserve">, </w:t>
      </w:r>
      <w:proofErr w:type="gramStart"/>
      <w:r>
        <w:t>Hildebrand</w:t>
      </w:r>
      <w:proofErr w:type="gramEnd"/>
      <w:r>
        <w:t xml:space="preserve"> and Vinay Iyer, 2012). This is supported by the theory of customer-centricity, which suggests that companies that prioritize the needs of their customers are more likely to succeed in the long term.</w:t>
      </w:r>
    </w:p>
    <w:p w14:paraId="0E849C9F" w14:textId="77777777" w:rsidR="00452826" w:rsidRDefault="00452826" w:rsidP="00452826"/>
    <w:p w14:paraId="10794479" w14:textId="77777777" w:rsidR="00452826" w:rsidRDefault="00452826" w:rsidP="00452826">
      <w:r>
        <w:t xml:space="preserve">Another important aspect of </w:t>
      </w:r>
      <w:proofErr w:type="spellStart"/>
      <w:r>
        <w:t>Monzo's</w:t>
      </w:r>
      <w:proofErr w:type="spellEnd"/>
      <w:r>
        <w:t xml:space="preserve"> brand experience is its focus on customer service. </w:t>
      </w:r>
      <w:proofErr w:type="spellStart"/>
      <w:r>
        <w:t>Monzo's</w:t>
      </w:r>
      <w:proofErr w:type="spellEnd"/>
      <w:r>
        <w:t xml:space="preserve"> Customer Operations (</w:t>
      </w:r>
      <w:proofErr w:type="spellStart"/>
      <w:r>
        <w:t>COps</w:t>
      </w:r>
      <w:proofErr w:type="spellEnd"/>
      <w:r>
        <w:t xml:space="preserve">) team is available 24/7 to assist customers with any issues that they may have, and the company has a reputation for being responsive and helpful. This has helped to build trust and loyalty among </w:t>
      </w:r>
      <w:proofErr w:type="spellStart"/>
      <w:r>
        <w:t>Monzo's</w:t>
      </w:r>
      <w:proofErr w:type="spellEnd"/>
      <w:r>
        <w:t xml:space="preserve"> customer base (Smith and Milligan, 2015). This is supported by the </w:t>
      </w:r>
      <w:r>
        <w:lastRenderedPageBreak/>
        <w:t>Service Quality Model, which suggests that the quality of service has a significant impact on customer satisfaction and loyalty (Smith and Milligan, 2015).</w:t>
      </w:r>
    </w:p>
    <w:p w14:paraId="17449F17" w14:textId="77777777" w:rsidR="00452826" w:rsidRDefault="00452826" w:rsidP="00452826"/>
    <w:p w14:paraId="3E97F39F" w14:textId="77777777" w:rsidR="00452826" w:rsidRDefault="00452826" w:rsidP="00452826">
      <w:r>
        <w:t xml:space="preserve">However, there are also some areas where </w:t>
      </w:r>
      <w:proofErr w:type="spellStart"/>
      <w:r>
        <w:t>Monzo's</w:t>
      </w:r>
      <w:proofErr w:type="spellEnd"/>
      <w:r>
        <w:t xml:space="preserve"> brand experience could be improved. For example, some customers have raised concerns about the speed and efficiency of </w:t>
      </w:r>
      <w:proofErr w:type="spellStart"/>
      <w:r>
        <w:t>Monzo's</w:t>
      </w:r>
      <w:proofErr w:type="spellEnd"/>
      <w:r>
        <w:t xml:space="preserve"> support services, with some reporting long wait times and slow response times. This suggests that </w:t>
      </w:r>
      <w:proofErr w:type="spellStart"/>
      <w:r>
        <w:t>Monzo</w:t>
      </w:r>
      <w:proofErr w:type="spellEnd"/>
      <w:r>
        <w:t xml:space="preserve"> may need to invest more resources in its customer support operations to ensure that it can continue to meet the needs of its growing customer base (Wilburn, 2017). Additionally, </w:t>
      </w:r>
      <w:proofErr w:type="spellStart"/>
      <w:r>
        <w:t>Monzo's</w:t>
      </w:r>
      <w:proofErr w:type="spellEnd"/>
      <w:r>
        <w:t xml:space="preserve"> focus on digital channels may make it more difficult for some customers to engage with the brand, particularly those who prefer more traditional forms of banking. This highlights the need for </w:t>
      </w:r>
      <w:proofErr w:type="spellStart"/>
      <w:r>
        <w:t>Monzo</w:t>
      </w:r>
      <w:proofErr w:type="spellEnd"/>
      <w:r>
        <w:t xml:space="preserve"> to consider the needs and preferences of all its customers when developing its brand strategy.</w:t>
      </w:r>
    </w:p>
    <w:p w14:paraId="6669F26D" w14:textId="77777777" w:rsidR="00452826" w:rsidRDefault="00452826" w:rsidP="00452826"/>
    <w:p w14:paraId="09862D5F" w14:textId="77777777" w:rsidR="00452826" w:rsidRDefault="00452826" w:rsidP="00452826">
      <w:pPr>
        <w:pStyle w:val="Heading2"/>
      </w:pPr>
      <w:bookmarkStart w:id="9" w:name="_Toc129035449"/>
      <w:r>
        <w:t>Recommendations</w:t>
      </w:r>
      <w:bookmarkEnd w:id="9"/>
    </w:p>
    <w:p w14:paraId="7B874CF5" w14:textId="77777777" w:rsidR="00452826" w:rsidRDefault="00452826" w:rsidP="00452826">
      <w:r>
        <w:t xml:space="preserve">Based on the analysis of </w:t>
      </w:r>
      <w:proofErr w:type="spellStart"/>
      <w:r>
        <w:t>Monzo's</w:t>
      </w:r>
      <w:proofErr w:type="spellEnd"/>
      <w:r>
        <w:t xml:space="preserve"> brand experience, there are several recommendations that could be made to improve the customer experience and strengthen the company's brand.</w:t>
      </w:r>
    </w:p>
    <w:p w14:paraId="10A03CBB" w14:textId="77777777" w:rsidR="00452826" w:rsidRDefault="00452826" w:rsidP="00452826"/>
    <w:p w14:paraId="6E4690CC" w14:textId="77777777" w:rsidR="00452826" w:rsidRDefault="00452826" w:rsidP="00452826">
      <w:r>
        <w:t xml:space="preserve">Improve customer support services: </w:t>
      </w:r>
      <w:proofErr w:type="spellStart"/>
      <w:r>
        <w:t>Monzo</w:t>
      </w:r>
      <w:proofErr w:type="spellEnd"/>
      <w:r>
        <w:t xml:space="preserve"> could invest more resources in its customer support operations to improve the speed and efficiency of its response times. This could involve hiring more staff or implementing new technologies to streamline the customer support process. The Service Quality Model suggests that the quality of service has a significant impact on customer satisfaction and loyalty, so improving customer support could help to strengthen </w:t>
      </w:r>
      <w:proofErr w:type="spellStart"/>
      <w:r>
        <w:t>Monzo's</w:t>
      </w:r>
      <w:proofErr w:type="spellEnd"/>
      <w:r>
        <w:t xml:space="preserve"> brand experience.</w:t>
      </w:r>
    </w:p>
    <w:p w14:paraId="242DCB29" w14:textId="77777777" w:rsidR="00452826" w:rsidRDefault="00452826" w:rsidP="00452826"/>
    <w:p w14:paraId="0BD7B0D9" w14:textId="77777777" w:rsidR="00452826" w:rsidRDefault="00452826" w:rsidP="00452826">
      <w:r>
        <w:t xml:space="preserve">Increase engagement with traditional banking customers: While </w:t>
      </w:r>
      <w:proofErr w:type="spellStart"/>
      <w:r>
        <w:t>Monzo</w:t>
      </w:r>
      <w:proofErr w:type="spellEnd"/>
      <w:r>
        <w:t xml:space="preserve"> has been successful in targeting tech-savvy customers who prefer mobile banking, there are still many customers who prefer more traditional banking methods. To improve its brand experience for these customers, </w:t>
      </w:r>
      <w:proofErr w:type="spellStart"/>
      <w:r>
        <w:t>Monzo</w:t>
      </w:r>
      <w:proofErr w:type="spellEnd"/>
      <w:r>
        <w:t xml:space="preserve"> could consider offering more support for in-person banking, such as branch locations or partnerships with other banks (</w:t>
      </w:r>
      <w:proofErr w:type="spellStart"/>
      <w:r>
        <w:t>Monzo</w:t>
      </w:r>
      <w:proofErr w:type="spellEnd"/>
      <w:r>
        <w:t xml:space="preserve">, 2023). This would help to ensure that </w:t>
      </w:r>
      <w:proofErr w:type="spellStart"/>
      <w:r>
        <w:t>Monzo</w:t>
      </w:r>
      <w:proofErr w:type="spellEnd"/>
      <w:r>
        <w:t xml:space="preserve"> is meeting the needs and preferences of all its customers.</w:t>
      </w:r>
    </w:p>
    <w:p w14:paraId="6CA83D36" w14:textId="77777777" w:rsidR="00452826" w:rsidRDefault="00452826" w:rsidP="00452826"/>
    <w:p w14:paraId="0D412C4B" w14:textId="77777777" w:rsidR="00452826" w:rsidRDefault="00452826" w:rsidP="00452826">
      <w:r>
        <w:t xml:space="preserve">Continue to innovate: </w:t>
      </w:r>
      <w:proofErr w:type="spellStart"/>
      <w:r>
        <w:t>Monzo's</w:t>
      </w:r>
      <w:proofErr w:type="spellEnd"/>
      <w:r>
        <w:t xml:space="preserve"> focus on innovation has helped it to differentiate itself from traditional banks and build a strong brand experience. To maintain this advantage, </w:t>
      </w:r>
      <w:proofErr w:type="spellStart"/>
      <w:r>
        <w:t>Monzo</w:t>
      </w:r>
      <w:proofErr w:type="spellEnd"/>
      <w:r>
        <w:t xml:space="preserve"> should continue to invest in new technologies and features that make banking more convenient and accessible for its customers. This could involve partnering with fintech startups or developing its own proprietary technologies (</w:t>
      </w:r>
      <w:proofErr w:type="spellStart"/>
      <w:r>
        <w:t>Monzo</w:t>
      </w:r>
      <w:proofErr w:type="spellEnd"/>
      <w:r>
        <w:t xml:space="preserve">, 2023). The theory of customer-centricity suggests that companies that prioritize the needs of their customers are more likely to succeed in the long term, so continuing to innovate in response to customer needs could help to strengthen </w:t>
      </w:r>
      <w:proofErr w:type="spellStart"/>
      <w:r>
        <w:t>Monzo's</w:t>
      </w:r>
      <w:proofErr w:type="spellEnd"/>
      <w:r>
        <w:t xml:space="preserve"> brand experience.</w:t>
      </w:r>
    </w:p>
    <w:p w14:paraId="184CED79" w14:textId="77777777" w:rsidR="00452826" w:rsidRDefault="00452826" w:rsidP="00452826"/>
    <w:p w14:paraId="5A3F0596" w14:textId="77777777" w:rsidR="00452826" w:rsidRDefault="00452826" w:rsidP="00452826">
      <w:r>
        <w:t xml:space="preserve">Enhance personalization: </w:t>
      </w:r>
      <w:proofErr w:type="spellStart"/>
      <w:r>
        <w:t>Monzo</w:t>
      </w:r>
      <w:proofErr w:type="spellEnd"/>
      <w:r>
        <w:t xml:space="preserve"> could also consider enhancing its personalization efforts to create a more tailored experience for each customer. This could involve using data analytics and machine learning to identify customer preferences and suggest relevant products or services. The theory of </w:t>
      </w:r>
      <w:r>
        <w:lastRenderedPageBreak/>
        <w:t xml:space="preserve">customer experience suggests that personalization can help to improve customer satisfaction and loyalty, so investing in this area could help to further strengthen </w:t>
      </w:r>
      <w:proofErr w:type="spellStart"/>
      <w:r>
        <w:t>Monzo's</w:t>
      </w:r>
      <w:proofErr w:type="spellEnd"/>
      <w:r>
        <w:t xml:space="preserve"> brand experience.</w:t>
      </w:r>
    </w:p>
    <w:p w14:paraId="3EC62209" w14:textId="77777777" w:rsidR="00452826" w:rsidRDefault="00452826" w:rsidP="00452826"/>
    <w:p w14:paraId="5214853E" w14:textId="77777777" w:rsidR="00452826" w:rsidRDefault="00452826" w:rsidP="00452826">
      <w:pPr>
        <w:pStyle w:val="Heading2"/>
      </w:pPr>
      <w:bookmarkStart w:id="10" w:name="_Toc129035450"/>
      <w:r>
        <w:t>Conclusion</w:t>
      </w:r>
      <w:bookmarkEnd w:id="10"/>
    </w:p>
    <w:p w14:paraId="78486A6B" w14:textId="77777777" w:rsidR="00452826" w:rsidRDefault="00452826" w:rsidP="00452826"/>
    <w:p w14:paraId="0D279558" w14:textId="77777777" w:rsidR="00452826" w:rsidRDefault="00452826" w:rsidP="00452826">
      <w:r>
        <w:t xml:space="preserve">In conclusion, by focusing on these recommendations, </w:t>
      </w:r>
      <w:proofErr w:type="spellStart"/>
      <w:r>
        <w:t>Monzo</w:t>
      </w:r>
      <w:proofErr w:type="spellEnd"/>
      <w:r>
        <w:t xml:space="preserve"> can continue to improve its customer experience and strengthen its brand in the highly competitive banking industry. These recommendations are supported by academic theories such as the Service Quality Model, customer-centricity, and customer experience, which suggest that investing in customer support, engaging with traditional banking customers, innovating, and enhancing personalization can help to improve the overall customer experience and build brand loyalty.</w:t>
      </w:r>
    </w:p>
    <w:p w14:paraId="4298F7DB" w14:textId="77777777" w:rsidR="00452826" w:rsidRDefault="00452826" w:rsidP="00452826"/>
    <w:p w14:paraId="016970D1" w14:textId="77777777" w:rsidR="00452826" w:rsidRDefault="00452826" w:rsidP="00452826">
      <w:pPr>
        <w:pStyle w:val="Heading2"/>
      </w:pPr>
      <w:bookmarkStart w:id="11" w:name="_Toc129035451"/>
      <w:r>
        <w:t>B. Introduction</w:t>
      </w:r>
      <w:bookmarkEnd w:id="11"/>
    </w:p>
    <w:p w14:paraId="4519B6C0" w14:textId="77777777" w:rsidR="00452826" w:rsidRDefault="00452826" w:rsidP="00452826">
      <w:r>
        <w:t>In recent years, the concept of customer experience has gained increasing attention from both academics and practitioners in the business world. With the rise of customer-centric strategies, firms are increasingly focused on creating positive experiences for their customers. However, there are different perspectives on what customer experience entails and how it should be managed. This literature review critically examines the two major customer experience perspectives: the firm's perspective and the co-creation perspective. By understanding these two concepts, we can gain insight into how Information Technology firms can shape customer experience.</w:t>
      </w:r>
    </w:p>
    <w:p w14:paraId="0684BFC4" w14:textId="77777777" w:rsidR="00452826" w:rsidRDefault="00452826" w:rsidP="00452826"/>
    <w:p w14:paraId="2DBD833E" w14:textId="77777777" w:rsidR="00452826" w:rsidRDefault="00452826" w:rsidP="00452826">
      <w:pPr>
        <w:pStyle w:val="Heading2"/>
      </w:pPr>
      <w:bookmarkStart w:id="12" w:name="_Toc129035452"/>
      <w:r>
        <w:t>Firm’s perspective</w:t>
      </w:r>
      <w:bookmarkEnd w:id="12"/>
      <w:r>
        <w:t xml:space="preserve"> </w:t>
      </w:r>
    </w:p>
    <w:p w14:paraId="5A60AE79" w14:textId="77777777" w:rsidR="00452826" w:rsidRDefault="00452826" w:rsidP="00452826">
      <w:r>
        <w:t xml:space="preserve">From the firm's perspective, customer experience is viewed as a set of activities and touchpoints that the firm can manage to create a positive impression on the customer. This perspective is often operationalized </w:t>
      </w:r>
      <w:proofErr w:type="gramStart"/>
      <w:r>
        <w:t>through the use of</w:t>
      </w:r>
      <w:proofErr w:type="gramEnd"/>
      <w:r>
        <w:t xml:space="preserve"> customer journey mapping, where firms map out the various touchpoints that a customer encounters throughout their interactions with the firm (Christoph </w:t>
      </w:r>
      <w:proofErr w:type="spellStart"/>
      <w:r>
        <w:t>Lattemann</w:t>
      </w:r>
      <w:proofErr w:type="spellEnd"/>
      <w:r>
        <w:t xml:space="preserve"> and </w:t>
      </w:r>
      <w:proofErr w:type="spellStart"/>
      <w:r>
        <w:t>Robra-Bissantz</w:t>
      </w:r>
      <w:proofErr w:type="spellEnd"/>
      <w:r>
        <w:t xml:space="preserve">, 2017). For example, </w:t>
      </w:r>
      <w:proofErr w:type="spellStart"/>
      <w:r>
        <w:t>Monzo</w:t>
      </w:r>
      <w:proofErr w:type="spellEnd"/>
      <w:r>
        <w:t>, a UK-based digital bank, manages customer experience through its Customer Operations (</w:t>
      </w:r>
      <w:proofErr w:type="spellStart"/>
      <w:r>
        <w:t>COps</w:t>
      </w:r>
      <w:proofErr w:type="spellEnd"/>
      <w:r>
        <w:t xml:space="preserve">) team, which provides customer support through various touch points such as email, social media, and chat (Christoph </w:t>
      </w:r>
      <w:proofErr w:type="spellStart"/>
      <w:r>
        <w:t>Lattemann</w:t>
      </w:r>
      <w:proofErr w:type="spellEnd"/>
      <w:r>
        <w:t xml:space="preserve"> and </w:t>
      </w:r>
      <w:proofErr w:type="spellStart"/>
      <w:r>
        <w:t>Robra-Bissantz</w:t>
      </w:r>
      <w:proofErr w:type="spellEnd"/>
      <w:r>
        <w:t>, 2017).</w:t>
      </w:r>
    </w:p>
    <w:p w14:paraId="4A1246B3" w14:textId="77777777" w:rsidR="00452826" w:rsidRDefault="00452826" w:rsidP="00452826">
      <w:r>
        <w:t xml:space="preserve">The term "perspective" in the context of customer experience refers to the way in which a firm view and manages the customer experience. The firm's perspective is often operationalized </w:t>
      </w:r>
      <w:proofErr w:type="gramStart"/>
      <w:r>
        <w:t>through the use of</w:t>
      </w:r>
      <w:proofErr w:type="gramEnd"/>
      <w:r>
        <w:t xml:space="preserve"> customer journey mapping, where firms map out the various touchpoints that a customer encounters throughout their interactions with the firm. By mapping out these touchpoints, firms can identify opportunities for improvement and create a more positive experience for their customers.</w:t>
      </w:r>
    </w:p>
    <w:p w14:paraId="3A2F2CB3" w14:textId="77777777" w:rsidR="00452826" w:rsidRDefault="00452826" w:rsidP="00452826"/>
    <w:p w14:paraId="3ED2A98B" w14:textId="77777777" w:rsidR="00452826" w:rsidRDefault="00452826" w:rsidP="00452826">
      <w:r>
        <w:t xml:space="preserve">One example of a firm that uses the customer journey mapping approach is </w:t>
      </w:r>
      <w:proofErr w:type="spellStart"/>
      <w:r>
        <w:t>Monzo</w:t>
      </w:r>
      <w:proofErr w:type="spellEnd"/>
      <w:r>
        <w:t xml:space="preserve">, a UK-based digital bank. </w:t>
      </w:r>
      <w:proofErr w:type="spellStart"/>
      <w:r>
        <w:t>Monzo</w:t>
      </w:r>
      <w:proofErr w:type="spellEnd"/>
      <w:r>
        <w:t xml:space="preserve"> manages customer experience through its Customer Operations (</w:t>
      </w:r>
      <w:proofErr w:type="spellStart"/>
      <w:r>
        <w:t>COps</w:t>
      </w:r>
      <w:proofErr w:type="spellEnd"/>
      <w:r>
        <w:t xml:space="preserve">) team, </w:t>
      </w:r>
      <w:r>
        <w:lastRenderedPageBreak/>
        <w:t xml:space="preserve">which provides customer support through various touchpoints such as email, social media, and chat. </w:t>
      </w:r>
      <w:proofErr w:type="spellStart"/>
      <w:r>
        <w:t>Monzo's</w:t>
      </w:r>
      <w:proofErr w:type="spellEnd"/>
      <w:r>
        <w:t xml:space="preserve"> </w:t>
      </w:r>
      <w:proofErr w:type="spellStart"/>
      <w:r>
        <w:t>COps</w:t>
      </w:r>
      <w:proofErr w:type="spellEnd"/>
      <w:r>
        <w:t xml:space="preserve"> team maps out the customer journey and identifies potential areas for improvement </w:t>
      </w:r>
      <w:proofErr w:type="gramStart"/>
      <w:r>
        <w:t>in order to</w:t>
      </w:r>
      <w:proofErr w:type="gramEnd"/>
      <w:r>
        <w:t xml:space="preserve"> create a more seamless and positive experience for their customers (C Shaw, 2014b).</w:t>
      </w:r>
    </w:p>
    <w:p w14:paraId="32BEFD28" w14:textId="77777777" w:rsidR="00452826" w:rsidRDefault="00452826" w:rsidP="00452826"/>
    <w:p w14:paraId="6402C231" w14:textId="77777777" w:rsidR="00452826" w:rsidRDefault="00452826" w:rsidP="00452826">
      <w:r>
        <w:t>Research has shown that there are several challenges that firms face when managing customer experience from the firm's perspective. One challenge is that firms often focus on individual touchpoints rather than the overall customer journey (C Shaw, 2014b). This can result in a disjointed experience for customers, as they may encounter issues when moving between touchpoints. To address this challenge, firms need to take a more holistic approach to customer experience management, considering the entire customer journey from start to finish (</w:t>
      </w:r>
      <w:proofErr w:type="spellStart"/>
      <w:r>
        <w:t>Foroudi</w:t>
      </w:r>
      <w:proofErr w:type="spellEnd"/>
      <w:r>
        <w:t xml:space="preserve"> et al., 2018).</w:t>
      </w:r>
    </w:p>
    <w:p w14:paraId="58E0C9C3" w14:textId="77777777" w:rsidR="00452826" w:rsidRDefault="00452826" w:rsidP="00452826"/>
    <w:p w14:paraId="42A91043" w14:textId="77777777" w:rsidR="00452826" w:rsidRDefault="00452826" w:rsidP="00452826">
      <w:r>
        <w:t>Another challenge is that firms may not have a complete understanding of their customers' needs and preferences. Without this understanding, firms may struggle to create a positive experience that meets the needs of their customers. To overcome this challenge, firms need to gather customer feedback and use this feedback to inform their customer experience management strategies (</w:t>
      </w:r>
      <w:proofErr w:type="spellStart"/>
      <w:r>
        <w:t>Foroudi</w:t>
      </w:r>
      <w:proofErr w:type="spellEnd"/>
      <w:r>
        <w:t xml:space="preserve"> et al., 2018).</w:t>
      </w:r>
    </w:p>
    <w:p w14:paraId="6AE1ACAF" w14:textId="77777777" w:rsidR="00452826" w:rsidRDefault="00452826" w:rsidP="00452826"/>
    <w:p w14:paraId="6EAAA750" w14:textId="77777777" w:rsidR="00452826" w:rsidRDefault="00452826" w:rsidP="00452826">
      <w:r>
        <w:t>Finally, firms may face challenges in implementing changes to the customer experience. This can be due to internal factors such as organizational silos or a lack of resources, or external factors such as regulatory constraints. To address this challenge, firms need to have a clear plan for implementing changes to the customer experience, as well as the resources and support necessary to make these changes (</w:t>
      </w:r>
      <w:proofErr w:type="spellStart"/>
      <w:r>
        <w:t>Foroudi</w:t>
      </w:r>
      <w:proofErr w:type="spellEnd"/>
      <w:r>
        <w:t xml:space="preserve"> et al., 2018).</w:t>
      </w:r>
    </w:p>
    <w:p w14:paraId="23E19E14" w14:textId="77777777" w:rsidR="00452826" w:rsidRDefault="00452826" w:rsidP="00452826"/>
    <w:p w14:paraId="217A1C0A" w14:textId="77777777" w:rsidR="00452826" w:rsidRDefault="00452826" w:rsidP="00452826">
      <w:r>
        <w:t>In conclusion, the firm's perspective is one important perspective in managing customer experience. By mapping out the customer journey and identifying potential areas for improvement, firms can create a more positive and seamless experience for their customers. However, there are several challenges that firms may face when managing customer experience from this perspective, including a focus on individual touchpoints rather than the overall journey, a lack of understanding of customer needs and preferences, and challenges in implementing changes to the customer experience. By addressing these challenges, firms can create a more customer-centric approach to customer experience management.</w:t>
      </w:r>
    </w:p>
    <w:p w14:paraId="64927D01" w14:textId="77777777" w:rsidR="00452826" w:rsidRDefault="00452826" w:rsidP="00452826">
      <w:pPr>
        <w:pStyle w:val="Heading2"/>
      </w:pPr>
      <w:bookmarkStart w:id="13" w:name="_Toc129035453"/>
      <w:r>
        <w:t>Co-creation perspective</w:t>
      </w:r>
      <w:bookmarkEnd w:id="13"/>
    </w:p>
    <w:p w14:paraId="62D2733E" w14:textId="77777777" w:rsidR="00452826" w:rsidRDefault="00452826" w:rsidP="00452826"/>
    <w:p w14:paraId="3E9BF03C" w14:textId="77777777" w:rsidR="00452826" w:rsidRDefault="00452826" w:rsidP="00452826">
      <w:r>
        <w:t>On the other hand, the co-creation perspective views customer experience as a collaborative process between the customer and the firm. This perspective emphasizes the importance of customer feedback and involvement in shaping the overall experience. Customers are seen as active participants in co-creating value with the firm (</w:t>
      </w:r>
      <w:proofErr w:type="spellStart"/>
      <w:r>
        <w:t>Monzo</w:t>
      </w:r>
      <w:proofErr w:type="spellEnd"/>
      <w:r>
        <w:t>, 2023). For example, Apple, the multinational technology company, leverages customer feedback to improve its products and services. The company has a dedicated feedback program where customers can submit ideas and suggestions for future products and features.</w:t>
      </w:r>
    </w:p>
    <w:p w14:paraId="7F5BF80C" w14:textId="77777777" w:rsidR="00452826" w:rsidRDefault="00452826" w:rsidP="00452826"/>
    <w:p w14:paraId="0647E4CA" w14:textId="77777777" w:rsidR="00452826" w:rsidRDefault="00452826" w:rsidP="00452826">
      <w:r>
        <w:t>The co-creation perspective of customer experience emphasizes the active role of the customer in shaping their own experience. This perspective recognizes that customers bring their own unique backgrounds, preferences, and expectations to their interactions with the firm, and that these factors can significantly impact their overall experience.</w:t>
      </w:r>
    </w:p>
    <w:p w14:paraId="0F20D9C0" w14:textId="77777777" w:rsidR="00452826" w:rsidRDefault="00452826" w:rsidP="00452826"/>
    <w:p w14:paraId="7A4E4F59" w14:textId="77777777" w:rsidR="00452826" w:rsidRDefault="00452826" w:rsidP="00452826">
      <w:r>
        <w:t xml:space="preserve">One key argument in </w:t>
      </w:r>
      <w:proofErr w:type="spellStart"/>
      <w:r>
        <w:t>favor</w:t>
      </w:r>
      <w:proofErr w:type="spellEnd"/>
      <w:r>
        <w:t xml:space="preserve"> of the co-creation perspective is that it can lead to greater customer loyalty and satisfaction (Christoph </w:t>
      </w:r>
      <w:proofErr w:type="spellStart"/>
      <w:r>
        <w:t>Lattemann</w:t>
      </w:r>
      <w:proofErr w:type="spellEnd"/>
      <w:r>
        <w:t xml:space="preserve"> and </w:t>
      </w:r>
      <w:proofErr w:type="spellStart"/>
      <w:r>
        <w:t>Robra-Bissantz</w:t>
      </w:r>
      <w:proofErr w:type="spellEnd"/>
      <w:r>
        <w:t>, 2017). By involving customers in the process of creating their own experience, firms can tailor their offerings to better meet customer needs and preferences. This can lead to a stronger emotional connection between the customer and the firm, which can in turn foster greater loyalty and retention.</w:t>
      </w:r>
    </w:p>
    <w:p w14:paraId="2946F6CE" w14:textId="77777777" w:rsidR="00452826" w:rsidRDefault="00452826" w:rsidP="00452826"/>
    <w:p w14:paraId="2276FEDA" w14:textId="77777777" w:rsidR="00452826" w:rsidRDefault="00452826" w:rsidP="00452826">
      <w:r>
        <w:t xml:space="preserve">Another argument for the co-creation perspective is that it can lead to greater innovation and creativity. By involving customers in the design process, firms can tap into a wider range of ideas and perspectives, which can lead to new product and service offerings that better meet customer needs (Christoph </w:t>
      </w:r>
      <w:proofErr w:type="spellStart"/>
      <w:r>
        <w:t>Lattemann</w:t>
      </w:r>
      <w:proofErr w:type="spellEnd"/>
      <w:r>
        <w:t xml:space="preserve"> and </w:t>
      </w:r>
      <w:proofErr w:type="spellStart"/>
      <w:r>
        <w:t>Robra-Bissantz</w:t>
      </w:r>
      <w:proofErr w:type="spellEnd"/>
      <w:r>
        <w:t>, 2017).</w:t>
      </w:r>
    </w:p>
    <w:p w14:paraId="4A1BA5A5" w14:textId="77777777" w:rsidR="00452826" w:rsidRDefault="00452826" w:rsidP="00452826"/>
    <w:p w14:paraId="21AE8A7A" w14:textId="77777777" w:rsidR="00452826" w:rsidRDefault="00452826" w:rsidP="00452826">
      <w:r>
        <w:t>However, there are also challenges associated with the co-creation perspective. One major challenge is that it requires a significant shift in mindset and organizational culture. Firms must be willing to relinquish some control over the customer experience and be open to feedback and input from customers. This can be difficult for firms that are used to a more traditional, top-down approach to customer experience management.</w:t>
      </w:r>
    </w:p>
    <w:p w14:paraId="40033480" w14:textId="77777777" w:rsidR="00452826" w:rsidRDefault="00452826" w:rsidP="00452826"/>
    <w:p w14:paraId="5601E598" w14:textId="77777777" w:rsidR="00452826" w:rsidRDefault="00452826" w:rsidP="00452826">
      <w:r>
        <w:t xml:space="preserve">Another challenge is that co-creation can be difficult to operationalize. Unlike the firm's perspective, which is based on a more tangible set of touchpoints and activities, co-creation is a more abstract concept that can be difficult to measure and manage (Christoph </w:t>
      </w:r>
      <w:proofErr w:type="spellStart"/>
      <w:r>
        <w:t>Lattemann</w:t>
      </w:r>
      <w:proofErr w:type="spellEnd"/>
      <w:r>
        <w:t xml:space="preserve"> and </w:t>
      </w:r>
      <w:proofErr w:type="spellStart"/>
      <w:r>
        <w:t>Robra-Bissantz</w:t>
      </w:r>
      <w:proofErr w:type="spellEnd"/>
      <w:r>
        <w:t>, 2017). Firms must be willing to invest in new technologies and processes that enable customer participation and collaboration.</w:t>
      </w:r>
    </w:p>
    <w:p w14:paraId="21D1E2EB" w14:textId="77777777" w:rsidR="00452826" w:rsidRDefault="00452826" w:rsidP="00452826"/>
    <w:p w14:paraId="0BFB1E07" w14:textId="77777777" w:rsidR="00452826" w:rsidRDefault="00452826" w:rsidP="00452826">
      <w:r>
        <w:t>Despite these challenges, the co-creation perspective represents a valuable opportunity for information technology firms. By involving customers in the process of creating their own experience, firms can build stronger relationships with their customers and foster greater loyalty and retention. Additionally, by tapping into a wider range of ideas and perspectives, firms can drive innovation and creativity and stay ahead of the competition in an ever-evolving market.</w:t>
      </w:r>
    </w:p>
    <w:p w14:paraId="3BBB9F0D" w14:textId="77777777" w:rsidR="00452826" w:rsidRDefault="00452826" w:rsidP="00452826"/>
    <w:p w14:paraId="27D18B84" w14:textId="77777777" w:rsidR="00452826" w:rsidRDefault="00452826" w:rsidP="00452826">
      <w:r>
        <w:t>Understanding these two perspectives is crucial for Information Technology firms as it helps them develop a holistic approach to managing customer experience. By considering both the firm's perspective and the co-creation perspective, firms can create a more customer-centric approach that involves collaboration and co-creation with their customers. This can lead to increased customer loyalty, retention, and overall satisfaction (</w:t>
      </w:r>
      <w:proofErr w:type="spellStart"/>
      <w:r>
        <w:t>Monzo</w:t>
      </w:r>
      <w:proofErr w:type="spellEnd"/>
      <w:r>
        <w:t>, 2023).</w:t>
      </w:r>
    </w:p>
    <w:p w14:paraId="2CE21FF8" w14:textId="77777777" w:rsidR="00452826" w:rsidRDefault="00452826" w:rsidP="00452826"/>
    <w:p w14:paraId="79F13ED6" w14:textId="77777777" w:rsidR="00452826" w:rsidRDefault="00452826" w:rsidP="00452826"/>
    <w:p w14:paraId="37049E77" w14:textId="77777777" w:rsidR="00452826" w:rsidRDefault="00452826" w:rsidP="00452826">
      <w:pPr>
        <w:pStyle w:val="Heading2"/>
      </w:pPr>
      <w:bookmarkStart w:id="14" w:name="_Toc129035454"/>
      <w:r>
        <w:t>Conclusion</w:t>
      </w:r>
      <w:bookmarkEnd w:id="14"/>
    </w:p>
    <w:p w14:paraId="4740057C" w14:textId="77777777" w:rsidR="00452826" w:rsidRDefault="00452826" w:rsidP="00452826"/>
    <w:p w14:paraId="7E1F401B" w14:textId="77777777" w:rsidR="00452826" w:rsidRDefault="00452826" w:rsidP="00452826">
      <w:r>
        <w:t>In conclusion, this literature review has critically examined the two major customer experience perspectives: the firm's perspective and the co-creation perspective. By understanding these perspectives, Information Technology firms can develop a more customer-centric approach to managing customer experience. Firms can use customer journey mapping and touchpoints to manage the customer experience from the firm's perspective, while also leveraging customer feedback and involvement in the co-creation process. Through this holistic approach, firms can create a positive customer experience that leads to increased loyalty, retention, and satisfaction.</w:t>
      </w:r>
    </w:p>
    <w:p w14:paraId="746AA2D9" w14:textId="5885F2E1" w:rsidR="00452826" w:rsidRPr="00C30AFC" w:rsidRDefault="00452826" w:rsidP="00452826"/>
    <w:p w14:paraId="39F66029" w14:textId="77777777" w:rsidR="00452826" w:rsidRDefault="00452826" w:rsidP="00452826">
      <w:r>
        <w:br w:type="page"/>
      </w:r>
    </w:p>
    <w:p w14:paraId="3BD3CC27" w14:textId="77777777" w:rsidR="00452826" w:rsidRDefault="00452826" w:rsidP="00452826">
      <w:pPr>
        <w:pStyle w:val="Heading1"/>
        <w:spacing w:after="360" w:line="360" w:lineRule="auto"/>
      </w:pPr>
      <w:bookmarkStart w:id="15" w:name="_Toc129035456"/>
      <w:r>
        <w:lastRenderedPageBreak/>
        <w:t>Reference list</w:t>
      </w:r>
      <w:bookmarkEnd w:id="15"/>
    </w:p>
    <w:p w14:paraId="474BC40B" w14:textId="77777777" w:rsidR="00452826" w:rsidRDefault="00452826" w:rsidP="00452826">
      <w:pPr>
        <w:spacing w:after="240" w:line="360" w:lineRule="auto"/>
        <w:rPr>
          <w:sz w:val="24"/>
          <w:szCs w:val="24"/>
        </w:rPr>
      </w:pPr>
      <w:r>
        <w:rPr>
          <w:sz w:val="24"/>
          <w:szCs w:val="24"/>
        </w:rPr>
        <w:t xml:space="preserve">Barnes, R.A. and Kelleher, B., 2015. </w:t>
      </w:r>
      <w:r>
        <w:rPr>
          <w:i/>
          <w:sz w:val="24"/>
          <w:szCs w:val="24"/>
        </w:rPr>
        <w:t>Customer experience for dummies</w:t>
      </w:r>
      <w:r>
        <w:rPr>
          <w:sz w:val="24"/>
          <w:szCs w:val="24"/>
        </w:rPr>
        <w:t>. Hoboken, Nj: John Wiley &amp; Sons, Inc.</w:t>
      </w:r>
    </w:p>
    <w:p w14:paraId="40ACA599" w14:textId="77777777" w:rsidR="00452826" w:rsidRDefault="00452826" w:rsidP="00452826">
      <w:pPr>
        <w:spacing w:after="240" w:line="360" w:lineRule="auto"/>
        <w:rPr>
          <w:sz w:val="24"/>
          <w:szCs w:val="24"/>
        </w:rPr>
      </w:pPr>
      <w:proofErr w:type="spellStart"/>
      <w:r>
        <w:rPr>
          <w:sz w:val="24"/>
          <w:szCs w:val="24"/>
        </w:rPr>
        <w:t>Batat</w:t>
      </w:r>
      <w:proofErr w:type="spellEnd"/>
      <w:r>
        <w:rPr>
          <w:sz w:val="24"/>
          <w:szCs w:val="24"/>
        </w:rPr>
        <w:t xml:space="preserve">, W., 2019. </w:t>
      </w:r>
      <w:r>
        <w:rPr>
          <w:i/>
          <w:sz w:val="24"/>
          <w:szCs w:val="24"/>
        </w:rPr>
        <w:t xml:space="preserve">Experiential marketing: consumer </w:t>
      </w:r>
      <w:proofErr w:type="spellStart"/>
      <w:r>
        <w:rPr>
          <w:i/>
          <w:sz w:val="24"/>
          <w:szCs w:val="24"/>
        </w:rPr>
        <w:t>behavior</w:t>
      </w:r>
      <w:proofErr w:type="spellEnd"/>
      <w:r>
        <w:rPr>
          <w:i/>
          <w:sz w:val="24"/>
          <w:szCs w:val="24"/>
        </w:rPr>
        <w:t>, customer experience and the 7Es</w:t>
      </w:r>
      <w:r>
        <w:rPr>
          <w:sz w:val="24"/>
          <w:szCs w:val="24"/>
        </w:rPr>
        <w:t>. London; New York: Routledge, Taylor &amp; Francis Group.</w:t>
      </w:r>
    </w:p>
    <w:p w14:paraId="3A59C2FD" w14:textId="77777777" w:rsidR="00452826" w:rsidRDefault="00452826" w:rsidP="00452826">
      <w:pPr>
        <w:spacing w:after="240" w:line="360" w:lineRule="auto"/>
        <w:rPr>
          <w:sz w:val="24"/>
          <w:szCs w:val="24"/>
        </w:rPr>
      </w:pPr>
      <w:r>
        <w:rPr>
          <w:sz w:val="24"/>
          <w:szCs w:val="24"/>
        </w:rPr>
        <w:t xml:space="preserve">C Shaw, 2014a. </w:t>
      </w:r>
      <w:r>
        <w:rPr>
          <w:i/>
          <w:sz w:val="24"/>
          <w:szCs w:val="24"/>
        </w:rPr>
        <w:t>Customer experience: future trends and insights.</w:t>
      </w:r>
      <w:r>
        <w:rPr>
          <w:sz w:val="24"/>
          <w:szCs w:val="24"/>
        </w:rPr>
        <w:t xml:space="preserve"> Palgrave Macmillan.</w:t>
      </w:r>
    </w:p>
    <w:p w14:paraId="209A26AC" w14:textId="77777777" w:rsidR="00452826" w:rsidRDefault="00452826" w:rsidP="00452826">
      <w:pPr>
        <w:spacing w:after="240" w:line="360" w:lineRule="auto"/>
        <w:rPr>
          <w:sz w:val="24"/>
          <w:szCs w:val="24"/>
        </w:rPr>
      </w:pPr>
      <w:r>
        <w:rPr>
          <w:sz w:val="24"/>
          <w:szCs w:val="24"/>
        </w:rPr>
        <w:t xml:space="preserve">C Shaw, 2014b. </w:t>
      </w:r>
      <w:r>
        <w:rPr>
          <w:i/>
          <w:sz w:val="24"/>
          <w:szCs w:val="24"/>
        </w:rPr>
        <w:t>Revolutionize your customer experience.</w:t>
      </w:r>
      <w:r>
        <w:rPr>
          <w:sz w:val="24"/>
          <w:szCs w:val="24"/>
        </w:rPr>
        <w:t xml:space="preserve"> Palgrave Macmillan.</w:t>
      </w:r>
    </w:p>
    <w:p w14:paraId="54CA6841" w14:textId="77777777" w:rsidR="00452826" w:rsidRDefault="00452826" w:rsidP="00452826">
      <w:pPr>
        <w:spacing w:after="240" w:line="360" w:lineRule="auto"/>
        <w:rPr>
          <w:sz w:val="24"/>
          <w:szCs w:val="24"/>
        </w:rPr>
      </w:pPr>
      <w:r>
        <w:rPr>
          <w:sz w:val="24"/>
          <w:szCs w:val="24"/>
        </w:rPr>
        <w:t xml:space="preserve">Christoph </w:t>
      </w:r>
      <w:proofErr w:type="spellStart"/>
      <w:r>
        <w:rPr>
          <w:sz w:val="24"/>
          <w:szCs w:val="24"/>
        </w:rPr>
        <w:t>Lattemann</w:t>
      </w:r>
      <w:proofErr w:type="spellEnd"/>
      <w:r>
        <w:rPr>
          <w:sz w:val="24"/>
          <w:szCs w:val="24"/>
        </w:rPr>
        <w:t xml:space="preserve"> and </w:t>
      </w:r>
      <w:proofErr w:type="spellStart"/>
      <w:r>
        <w:rPr>
          <w:sz w:val="24"/>
          <w:szCs w:val="24"/>
        </w:rPr>
        <w:t>Robra-Bissantz</w:t>
      </w:r>
      <w:proofErr w:type="spellEnd"/>
      <w:r>
        <w:rPr>
          <w:sz w:val="24"/>
          <w:szCs w:val="24"/>
        </w:rPr>
        <w:t xml:space="preserve">, S., 2017. </w:t>
      </w:r>
      <w:r>
        <w:rPr>
          <w:i/>
          <w:sz w:val="24"/>
          <w:szCs w:val="24"/>
        </w:rPr>
        <w:t xml:space="preserve">Digital Customer Experience: Customer Experience Design, Mobile Customer Experience, Service Dominant Logic, Social Media Experience, Customer Experience </w:t>
      </w:r>
      <w:proofErr w:type="spellStart"/>
      <w:r>
        <w:rPr>
          <w:i/>
          <w:sz w:val="24"/>
          <w:szCs w:val="24"/>
        </w:rPr>
        <w:t>im</w:t>
      </w:r>
      <w:proofErr w:type="spellEnd"/>
      <w:r>
        <w:rPr>
          <w:i/>
          <w:sz w:val="24"/>
          <w:szCs w:val="24"/>
        </w:rPr>
        <w:t xml:space="preserve"> </w:t>
      </w:r>
      <w:proofErr w:type="spellStart"/>
      <w:r>
        <w:rPr>
          <w:i/>
          <w:sz w:val="24"/>
          <w:szCs w:val="24"/>
        </w:rPr>
        <w:t>stationären</w:t>
      </w:r>
      <w:proofErr w:type="spellEnd"/>
      <w:r>
        <w:rPr>
          <w:i/>
          <w:sz w:val="24"/>
          <w:szCs w:val="24"/>
        </w:rPr>
        <w:t xml:space="preserve"> </w:t>
      </w:r>
      <w:proofErr w:type="spellStart"/>
      <w:r>
        <w:rPr>
          <w:i/>
          <w:sz w:val="24"/>
          <w:szCs w:val="24"/>
        </w:rPr>
        <w:t>Einzelhandel</w:t>
      </w:r>
      <w:proofErr w:type="spellEnd"/>
      <w:r>
        <w:rPr>
          <w:sz w:val="24"/>
          <w:szCs w:val="24"/>
        </w:rPr>
        <w:t xml:space="preserve">. Wiesbaden Springer </w:t>
      </w:r>
      <w:proofErr w:type="spellStart"/>
      <w:r>
        <w:rPr>
          <w:sz w:val="24"/>
          <w:szCs w:val="24"/>
        </w:rPr>
        <w:t>Vieweg</w:t>
      </w:r>
      <w:proofErr w:type="spellEnd"/>
      <w:r>
        <w:rPr>
          <w:sz w:val="24"/>
          <w:szCs w:val="24"/>
        </w:rPr>
        <w:t>.</w:t>
      </w:r>
    </w:p>
    <w:p w14:paraId="740E624C" w14:textId="77777777" w:rsidR="00452826" w:rsidRDefault="00452826" w:rsidP="00452826">
      <w:pPr>
        <w:spacing w:after="240" w:line="360" w:lineRule="auto"/>
        <w:rPr>
          <w:sz w:val="24"/>
          <w:szCs w:val="24"/>
        </w:rPr>
      </w:pPr>
      <w:r>
        <w:rPr>
          <w:sz w:val="24"/>
          <w:szCs w:val="24"/>
        </w:rPr>
        <w:t xml:space="preserve">Creswick, M., 2019. </w:t>
      </w:r>
      <w:r>
        <w:rPr>
          <w:i/>
          <w:sz w:val="24"/>
          <w:szCs w:val="24"/>
        </w:rPr>
        <w:t xml:space="preserve">Six ways </w:t>
      </w:r>
      <w:proofErr w:type="spellStart"/>
      <w:r>
        <w:rPr>
          <w:i/>
          <w:sz w:val="24"/>
          <w:szCs w:val="24"/>
        </w:rPr>
        <w:t>Monzo</w:t>
      </w:r>
      <w:proofErr w:type="spellEnd"/>
      <w:r>
        <w:rPr>
          <w:i/>
          <w:sz w:val="24"/>
          <w:szCs w:val="24"/>
        </w:rPr>
        <w:t xml:space="preserve"> provides an excellent customer experience</w:t>
      </w:r>
      <w:r>
        <w:rPr>
          <w:sz w:val="24"/>
          <w:szCs w:val="24"/>
        </w:rPr>
        <w:t>. [online] www.hubledigital.com. Available at: &lt;https://www.hubledigital.com/blog/six-ways-monzo-provides-an-excellent-customer-experience&gt;.</w:t>
      </w:r>
    </w:p>
    <w:p w14:paraId="66DDF1E5" w14:textId="77777777" w:rsidR="00452826" w:rsidRDefault="00452826" w:rsidP="00452826">
      <w:pPr>
        <w:spacing w:after="240" w:line="360" w:lineRule="auto"/>
        <w:rPr>
          <w:sz w:val="24"/>
          <w:szCs w:val="24"/>
        </w:rPr>
      </w:pPr>
      <w:proofErr w:type="spellStart"/>
      <w:r>
        <w:rPr>
          <w:sz w:val="24"/>
          <w:szCs w:val="24"/>
        </w:rPr>
        <w:t>Foroudi</w:t>
      </w:r>
      <w:proofErr w:type="spellEnd"/>
      <w:r>
        <w:rPr>
          <w:sz w:val="24"/>
          <w:szCs w:val="24"/>
        </w:rPr>
        <w:t xml:space="preserve">, P., Gupta, S., Sivarajah, U. and Broderick, A., 2018. Investigating the effects of smart technology on customer dynamics and customer experience. </w:t>
      </w:r>
      <w:r>
        <w:rPr>
          <w:i/>
          <w:sz w:val="24"/>
          <w:szCs w:val="24"/>
        </w:rPr>
        <w:t xml:space="preserve">Computers in Human </w:t>
      </w:r>
      <w:proofErr w:type="spellStart"/>
      <w:r>
        <w:rPr>
          <w:i/>
          <w:sz w:val="24"/>
          <w:szCs w:val="24"/>
        </w:rPr>
        <w:t>Behavior</w:t>
      </w:r>
      <w:proofErr w:type="spellEnd"/>
      <w:r>
        <w:rPr>
          <w:sz w:val="24"/>
          <w:szCs w:val="24"/>
        </w:rPr>
        <w:t>, [online] 80, pp.271–282. https://doi.org/10.1016/j.chb.2017.11.014.</w:t>
      </w:r>
    </w:p>
    <w:p w14:paraId="6B95DACB" w14:textId="77777777" w:rsidR="00452826" w:rsidRDefault="00452826" w:rsidP="00452826">
      <w:pPr>
        <w:spacing w:after="240" w:line="360" w:lineRule="auto"/>
        <w:rPr>
          <w:sz w:val="24"/>
          <w:szCs w:val="24"/>
        </w:rPr>
      </w:pPr>
      <w:proofErr w:type="spellStart"/>
      <w:r>
        <w:rPr>
          <w:sz w:val="24"/>
          <w:szCs w:val="24"/>
        </w:rPr>
        <w:t>Monzo</w:t>
      </w:r>
      <w:proofErr w:type="spellEnd"/>
      <w:r>
        <w:rPr>
          <w:sz w:val="24"/>
          <w:szCs w:val="24"/>
        </w:rPr>
        <w:t xml:space="preserve">, 2023. </w:t>
      </w:r>
      <w:r>
        <w:rPr>
          <w:i/>
          <w:sz w:val="24"/>
          <w:szCs w:val="24"/>
        </w:rPr>
        <w:t>Come and join our Customer Operations team!</w:t>
      </w:r>
      <w:r>
        <w:rPr>
          <w:sz w:val="24"/>
          <w:szCs w:val="24"/>
        </w:rPr>
        <w:t xml:space="preserve"> [online] </w:t>
      </w:r>
      <w:proofErr w:type="spellStart"/>
      <w:r>
        <w:rPr>
          <w:sz w:val="24"/>
          <w:szCs w:val="24"/>
        </w:rPr>
        <w:t>Monzo</w:t>
      </w:r>
      <w:proofErr w:type="spellEnd"/>
      <w:r>
        <w:rPr>
          <w:sz w:val="24"/>
          <w:szCs w:val="24"/>
        </w:rPr>
        <w:t>. Available at: &lt;https://monzo.com/blog/2018/10/18/work-at-monzo&gt;.</w:t>
      </w:r>
    </w:p>
    <w:p w14:paraId="6EF7A092" w14:textId="77777777" w:rsidR="00452826" w:rsidRDefault="00452826" w:rsidP="00452826">
      <w:pPr>
        <w:spacing w:after="240" w:line="360" w:lineRule="auto"/>
        <w:rPr>
          <w:sz w:val="24"/>
          <w:szCs w:val="24"/>
        </w:rPr>
      </w:pPr>
      <w:r>
        <w:rPr>
          <w:sz w:val="24"/>
          <w:szCs w:val="24"/>
        </w:rPr>
        <w:t xml:space="preserve">Reza </w:t>
      </w:r>
      <w:proofErr w:type="spellStart"/>
      <w:r>
        <w:rPr>
          <w:sz w:val="24"/>
          <w:szCs w:val="24"/>
        </w:rPr>
        <w:t>Soudagar</w:t>
      </w:r>
      <w:proofErr w:type="spellEnd"/>
      <w:r>
        <w:rPr>
          <w:sz w:val="24"/>
          <w:szCs w:val="24"/>
        </w:rPr>
        <w:t xml:space="preserve">, Hildebrand, V.G. and Vinay Iyer, 2012. </w:t>
      </w:r>
      <w:r>
        <w:rPr>
          <w:i/>
          <w:sz w:val="24"/>
          <w:szCs w:val="24"/>
        </w:rPr>
        <w:t>The customer experience edge: technology and techniques for delivering an enduring, profitable, and positive experience to your customers</w:t>
      </w:r>
      <w:r>
        <w:rPr>
          <w:sz w:val="24"/>
          <w:szCs w:val="24"/>
        </w:rPr>
        <w:t xml:space="preserve">. New York </w:t>
      </w:r>
      <w:proofErr w:type="spellStart"/>
      <w:r>
        <w:rPr>
          <w:sz w:val="24"/>
          <w:szCs w:val="24"/>
        </w:rPr>
        <w:t>Mcgraw-Hill</w:t>
      </w:r>
      <w:proofErr w:type="spellEnd"/>
      <w:r>
        <w:rPr>
          <w:sz w:val="24"/>
          <w:szCs w:val="24"/>
        </w:rPr>
        <w:t xml:space="preserve"> C.</w:t>
      </w:r>
    </w:p>
    <w:p w14:paraId="2CD7E093" w14:textId="77777777" w:rsidR="00452826" w:rsidRDefault="00452826" w:rsidP="00452826">
      <w:pPr>
        <w:spacing w:after="240" w:line="360" w:lineRule="auto"/>
        <w:rPr>
          <w:sz w:val="24"/>
          <w:szCs w:val="24"/>
        </w:rPr>
      </w:pPr>
      <w:r>
        <w:rPr>
          <w:sz w:val="24"/>
          <w:szCs w:val="24"/>
        </w:rPr>
        <w:t xml:space="preserve">Smith, S. and Milligan, A., 2015. </w:t>
      </w:r>
      <w:r>
        <w:rPr>
          <w:i/>
          <w:sz w:val="24"/>
          <w:szCs w:val="24"/>
        </w:rPr>
        <w:t>On purpose: delivering a branded customer experience people love</w:t>
      </w:r>
      <w:r>
        <w:rPr>
          <w:sz w:val="24"/>
          <w:szCs w:val="24"/>
        </w:rPr>
        <w:t>. London; Philadelphia: Kogan Page.</w:t>
      </w:r>
    </w:p>
    <w:p w14:paraId="208BA824" w14:textId="2CCFAB36" w:rsidR="00452826" w:rsidRPr="00452826" w:rsidRDefault="00452826" w:rsidP="00452826">
      <w:pPr>
        <w:spacing w:after="240" w:line="360" w:lineRule="auto"/>
        <w:rPr>
          <w:sz w:val="24"/>
          <w:szCs w:val="24"/>
        </w:rPr>
      </w:pPr>
      <w:r>
        <w:rPr>
          <w:sz w:val="24"/>
          <w:szCs w:val="24"/>
        </w:rPr>
        <w:t xml:space="preserve">Wilburn, M., 2017. </w:t>
      </w:r>
      <w:r>
        <w:rPr>
          <w:i/>
          <w:sz w:val="24"/>
          <w:szCs w:val="24"/>
        </w:rPr>
        <w:t>Managing the customer experience: a measurement-based approach</w:t>
      </w:r>
      <w:r>
        <w:rPr>
          <w:sz w:val="24"/>
          <w:szCs w:val="24"/>
        </w:rPr>
        <w:t xml:space="preserve">. Milwaukee, Wis.: </w:t>
      </w:r>
      <w:proofErr w:type="spellStart"/>
      <w:r>
        <w:rPr>
          <w:sz w:val="24"/>
          <w:szCs w:val="24"/>
        </w:rPr>
        <w:t>Asq</w:t>
      </w:r>
      <w:proofErr w:type="spellEnd"/>
      <w:r>
        <w:rPr>
          <w:sz w:val="24"/>
          <w:szCs w:val="24"/>
        </w:rPr>
        <w:t xml:space="preserve"> Quality Press.</w:t>
      </w:r>
    </w:p>
    <w:sectPr w:rsidR="00452826" w:rsidRPr="0045282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CC6D6" w14:textId="77777777" w:rsidR="001A6690" w:rsidRDefault="001A6690" w:rsidP="00452826">
      <w:pPr>
        <w:spacing w:after="0" w:line="240" w:lineRule="auto"/>
      </w:pPr>
      <w:r>
        <w:separator/>
      </w:r>
    </w:p>
  </w:endnote>
  <w:endnote w:type="continuationSeparator" w:id="0">
    <w:p w14:paraId="44E5F8EB" w14:textId="77777777" w:rsidR="001A6690" w:rsidRDefault="001A6690" w:rsidP="00452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E48CA" w14:textId="77777777" w:rsidR="00452826" w:rsidRDefault="0045282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337A460" w14:textId="77777777" w:rsidR="00452826" w:rsidRDefault="00452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8E267" w14:textId="77777777" w:rsidR="001A6690" w:rsidRDefault="001A6690" w:rsidP="00452826">
      <w:pPr>
        <w:spacing w:after="0" w:line="240" w:lineRule="auto"/>
      </w:pPr>
      <w:r>
        <w:separator/>
      </w:r>
    </w:p>
  </w:footnote>
  <w:footnote w:type="continuationSeparator" w:id="0">
    <w:p w14:paraId="7BAB2703" w14:textId="77777777" w:rsidR="001A6690" w:rsidRDefault="001A6690" w:rsidP="004528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7BB7F" w14:textId="51BA59B0" w:rsidR="00DF1EBE" w:rsidRDefault="00DF1EBE">
    <w:pPr>
      <w:pStyle w:val="Header"/>
    </w:pPr>
    <w:r>
      <w:t>Managing the Customer Experience BMSW 5103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826"/>
    <w:rsid w:val="000224B4"/>
    <w:rsid w:val="001A6690"/>
    <w:rsid w:val="00431BDE"/>
    <w:rsid w:val="00452826"/>
    <w:rsid w:val="00CE6072"/>
    <w:rsid w:val="00DF1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7AF52"/>
  <w15:chartTrackingRefBased/>
  <w15:docId w15:val="{CF90CBCB-113A-44D6-A530-D0E048DCA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826"/>
    <w:pPr>
      <w:keepNext/>
      <w:keepLines/>
      <w:spacing w:before="400" w:after="120" w:line="276" w:lineRule="auto"/>
      <w:jc w:val="both"/>
      <w:outlineLvl w:val="0"/>
    </w:pPr>
    <w:rPr>
      <w:rFonts w:ascii="Arial" w:eastAsia="Arial" w:hAnsi="Arial" w:cs="Arial"/>
      <w:kern w:val="0"/>
      <w:sz w:val="40"/>
      <w:szCs w:val="40"/>
      <w:lang w:val="en"/>
      <w14:ligatures w14:val="none"/>
    </w:rPr>
  </w:style>
  <w:style w:type="paragraph" w:styleId="Heading2">
    <w:name w:val="heading 2"/>
    <w:basedOn w:val="Normal"/>
    <w:next w:val="Normal"/>
    <w:link w:val="Heading2Char"/>
    <w:uiPriority w:val="9"/>
    <w:unhideWhenUsed/>
    <w:qFormat/>
    <w:rsid w:val="00452826"/>
    <w:pPr>
      <w:keepNext/>
      <w:keepLines/>
      <w:spacing w:before="360" w:after="120" w:line="276" w:lineRule="auto"/>
      <w:jc w:val="both"/>
      <w:outlineLvl w:val="1"/>
    </w:pPr>
    <w:rPr>
      <w:rFonts w:ascii="Arial" w:eastAsia="Arial" w:hAnsi="Arial" w:cs="Arial"/>
      <w:kern w:val="0"/>
      <w:sz w:val="32"/>
      <w:szCs w:val="32"/>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2826"/>
    <w:pPr>
      <w:keepNext/>
      <w:keepLines/>
      <w:spacing w:after="60" w:line="276" w:lineRule="auto"/>
      <w:jc w:val="both"/>
    </w:pPr>
    <w:rPr>
      <w:rFonts w:ascii="Arial" w:eastAsia="Arial" w:hAnsi="Arial" w:cs="Arial"/>
      <w:kern w:val="0"/>
      <w:sz w:val="52"/>
      <w:szCs w:val="52"/>
      <w:lang w:val="en"/>
      <w14:ligatures w14:val="none"/>
    </w:rPr>
  </w:style>
  <w:style w:type="character" w:customStyle="1" w:styleId="TitleChar">
    <w:name w:val="Title Char"/>
    <w:basedOn w:val="DefaultParagraphFont"/>
    <w:link w:val="Title"/>
    <w:uiPriority w:val="10"/>
    <w:rsid w:val="00452826"/>
    <w:rPr>
      <w:rFonts w:ascii="Arial" w:eastAsia="Arial" w:hAnsi="Arial" w:cs="Arial"/>
      <w:kern w:val="0"/>
      <w:sz w:val="52"/>
      <w:szCs w:val="52"/>
      <w:lang w:val="en"/>
      <w14:ligatures w14:val="none"/>
    </w:rPr>
  </w:style>
  <w:style w:type="character" w:customStyle="1" w:styleId="Heading1Char">
    <w:name w:val="Heading 1 Char"/>
    <w:basedOn w:val="DefaultParagraphFont"/>
    <w:link w:val="Heading1"/>
    <w:uiPriority w:val="9"/>
    <w:rsid w:val="00452826"/>
    <w:rPr>
      <w:rFonts w:ascii="Arial" w:eastAsia="Arial" w:hAnsi="Arial" w:cs="Arial"/>
      <w:kern w:val="0"/>
      <w:sz w:val="40"/>
      <w:szCs w:val="40"/>
      <w:lang w:val="en"/>
      <w14:ligatures w14:val="none"/>
    </w:rPr>
  </w:style>
  <w:style w:type="character" w:customStyle="1" w:styleId="Heading2Char">
    <w:name w:val="Heading 2 Char"/>
    <w:basedOn w:val="DefaultParagraphFont"/>
    <w:link w:val="Heading2"/>
    <w:uiPriority w:val="9"/>
    <w:rsid w:val="00452826"/>
    <w:rPr>
      <w:rFonts w:ascii="Arial" w:eastAsia="Arial" w:hAnsi="Arial" w:cs="Arial"/>
      <w:kern w:val="0"/>
      <w:sz w:val="32"/>
      <w:szCs w:val="32"/>
      <w:lang w:val="en"/>
      <w14:ligatures w14:val="none"/>
    </w:rPr>
  </w:style>
  <w:style w:type="paragraph" w:styleId="TOC1">
    <w:name w:val="toc 1"/>
    <w:basedOn w:val="Normal"/>
    <w:next w:val="Normal"/>
    <w:autoRedefine/>
    <w:uiPriority w:val="39"/>
    <w:unhideWhenUsed/>
    <w:rsid w:val="00452826"/>
    <w:pPr>
      <w:spacing w:after="100" w:line="276" w:lineRule="auto"/>
      <w:jc w:val="both"/>
    </w:pPr>
    <w:rPr>
      <w:rFonts w:ascii="Arial" w:eastAsia="Arial" w:hAnsi="Arial" w:cs="Arial"/>
      <w:kern w:val="0"/>
      <w:lang w:val="en"/>
      <w14:ligatures w14:val="none"/>
    </w:rPr>
  </w:style>
  <w:style w:type="paragraph" w:styleId="TOC2">
    <w:name w:val="toc 2"/>
    <w:basedOn w:val="Normal"/>
    <w:next w:val="Normal"/>
    <w:autoRedefine/>
    <w:uiPriority w:val="39"/>
    <w:unhideWhenUsed/>
    <w:rsid w:val="00452826"/>
    <w:pPr>
      <w:spacing w:after="100" w:line="276" w:lineRule="auto"/>
      <w:ind w:left="220"/>
      <w:jc w:val="both"/>
    </w:pPr>
    <w:rPr>
      <w:rFonts w:ascii="Arial" w:eastAsia="Arial" w:hAnsi="Arial" w:cs="Arial"/>
      <w:kern w:val="0"/>
      <w:lang w:val="en"/>
      <w14:ligatures w14:val="none"/>
    </w:rPr>
  </w:style>
  <w:style w:type="character" w:styleId="Hyperlink">
    <w:name w:val="Hyperlink"/>
    <w:basedOn w:val="DefaultParagraphFont"/>
    <w:uiPriority w:val="99"/>
    <w:unhideWhenUsed/>
    <w:rsid w:val="00452826"/>
    <w:rPr>
      <w:color w:val="0563C1" w:themeColor="hyperlink"/>
      <w:u w:val="single"/>
    </w:rPr>
  </w:style>
  <w:style w:type="table" w:styleId="ListTable5Dark-Accent4">
    <w:name w:val="List Table 5 Dark Accent 4"/>
    <w:basedOn w:val="TableNormal"/>
    <w:uiPriority w:val="50"/>
    <w:rsid w:val="00452826"/>
    <w:pPr>
      <w:spacing w:after="0" w:line="240" w:lineRule="auto"/>
      <w:jc w:val="both"/>
    </w:pPr>
    <w:rPr>
      <w:rFonts w:ascii="Arial" w:eastAsia="Arial" w:hAnsi="Arial" w:cs="Arial"/>
      <w:color w:val="FFFFFF" w:themeColor="background1"/>
      <w:kern w:val="0"/>
      <w:lang w:val="en"/>
      <w14:ligatures w14:val="none"/>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Header">
    <w:name w:val="header"/>
    <w:basedOn w:val="Normal"/>
    <w:link w:val="HeaderChar"/>
    <w:uiPriority w:val="99"/>
    <w:unhideWhenUsed/>
    <w:rsid w:val="00452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826"/>
  </w:style>
  <w:style w:type="paragraph" w:styleId="Footer">
    <w:name w:val="footer"/>
    <w:basedOn w:val="Normal"/>
    <w:link w:val="FooterChar"/>
    <w:uiPriority w:val="99"/>
    <w:unhideWhenUsed/>
    <w:rsid w:val="00452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eader" Target="head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E59D77-BEF4-4964-8979-A92814C11411}" type="doc">
      <dgm:prSet loTypeId="urn:microsoft.com/office/officeart/2005/8/layout/cycle8" loCatId="cycle" qsTypeId="urn:microsoft.com/office/officeart/2005/8/quickstyle/simple1" qsCatId="simple" csTypeId="urn:microsoft.com/office/officeart/2005/8/colors/colorful2" csCatId="colorful"/>
      <dgm:spPr/>
      <dgm:t>
        <a:bodyPr/>
        <a:lstStyle/>
        <a:p>
          <a:endParaRPr lang="en-US"/>
        </a:p>
      </dgm:t>
    </dgm:pt>
    <dgm:pt modelId="{BE8268BE-30AB-4790-A2CB-F42906FBB25C}">
      <dgm:prSet/>
      <dgm:spPr/>
      <dgm:t>
        <a:bodyPr/>
        <a:lstStyle/>
        <a:p>
          <a:r>
            <a:rPr lang="it-IT"/>
            <a:t>Mobile App</a:t>
          </a:r>
          <a:endParaRPr lang="en-US"/>
        </a:p>
      </dgm:t>
    </dgm:pt>
    <dgm:pt modelId="{8E0E943B-C296-47DB-8314-4EF41A33A7B0}" type="parTrans" cxnId="{EAEFED7A-C4CA-4EC6-882E-CFC087F1EAE6}">
      <dgm:prSet/>
      <dgm:spPr/>
      <dgm:t>
        <a:bodyPr/>
        <a:lstStyle/>
        <a:p>
          <a:endParaRPr lang="en-US"/>
        </a:p>
      </dgm:t>
    </dgm:pt>
    <dgm:pt modelId="{8823B653-9FCC-4C69-99C9-C61154C9023B}" type="sibTrans" cxnId="{EAEFED7A-C4CA-4EC6-882E-CFC087F1EAE6}">
      <dgm:prSet/>
      <dgm:spPr/>
      <dgm:t>
        <a:bodyPr/>
        <a:lstStyle/>
        <a:p>
          <a:endParaRPr lang="en-US"/>
        </a:p>
      </dgm:t>
    </dgm:pt>
    <dgm:pt modelId="{DBCCCE3E-148A-454F-A77F-2CDDB2B1C33D}">
      <dgm:prSet/>
      <dgm:spPr/>
      <dgm:t>
        <a:bodyPr/>
        <a:lstStyle/>
        <a:p>
          <a:r>
            <a:rPr lang="it-IT"/>
            <a:t>Website</a:t>
          </a:r>
          <a:endParaRPr lang="en-US"/>
        </a:p>
      </dgm:t>
    </dgm:pt>
    <dgm:pt modelId="{02F86565-9067-407E-868E-5D2A15C89302}" type="parTrans" cxnId="{8EFB1CB9-FB12-4608-9FBE-C98745F8DA09}">
      <dgm:prSet/>
      <dgm:spPr/>
      <dgm:t>
        <a:bodyPr/>
        <a:lstStyle/>
        <a:p>
          <a:endParaRPr lang="en-US"/>
        </a:p>
      </dgm:t>
    </dgm:pt>
    <dgm:pt modelId="{2D5EF518-B8BC-4BFF-B33B-D17D33E2A572}" type="sibTrans" cxnId="{8EFB1CB9-FB12-4608-9FBE-C98745F8DA09}">
      <dgm:prSet/>
      <dgm:spPr/>
      <dgm:t>
        <a:bodyPr/>
        <a:lstStyle/>
        <a:p>
          <a:endParaRPr lang="en-US"/>
        </a:p>
      </dgm:t>
    </dgm:pt>
    <dgm:pt modelId="{B12B0AE7-1722-449C-87F2-2B3CB7F8DFBC}">
      <dgm:prSet/>
      <dgm:spPr/>
      <dgm:t>
        <a:bodyPr/>
        <a:lstStyle/>
        <a:p>
          <a:r>
            <a:rPr lang="it-IT"/>
            <a:t>Social Media</a:t>
          </a:r>
          <a:endParaRPr lang="en-US"/>
        </a:p>
      </dgm:t>
    </dgm:pt>
    <dgm:pt modelId="{2B15DF8E-0EEB-434D-9D02-26D8BD8A84C8}" type="parTrans" cxnId="{EAEB3B78-B224-4A9D-8953-3DB91231538A}">
      <dgm:prSet/>
      <dgm:spPr/>
      <dgm:t>
        <a:bodyPr/>
        <a:lstStyle/>
        <a:p>
          <a:endParaRPr lang="en-US"/>
        </a:p>
      </dgm:t>
    </dgm:pt>
    <dgm:pt modelId="{71EE7ABB-1895-4140-8E8D-0628579976B2}" type="sibTrans" cxnId="{EAEB3B78-B224-4A9D-8953-3DB91231538A}">
      <dgm:prSet/>
      <dgm:spPr/>
      <dgm:t>
        <a:bodyPr/>
        <a:lstStyle/>
        <a:p>
          <a:endParaRPr lang="en-US"/>
        </a:p>
      </dgm:t>
    </dgm:pt>
    <dgm:pt modelId="{46F3F739-858C-4F28-9F70-E117DAD7C002}">
      <dgm:prSet/>
      <dgm:spPr/>
      <dgm:t>
        <a:bodyPr/>
        <a:lstStyle/>
        <a:p>
          <a:r>
            <a:rPr lang="it-IT"/>
            <a:t>Customer Operations</a:t>
          </a:r>
          <a:endParaRPr lang="en-US"/>
        </a:p>
      </dgm:t>
    </dgm:pt>
    <dgm:pt modelId="{D5B8E5A2-8A5B-4F45-BA75-68BF477DCC3D}" type="parTrans" cxnId="{01A5FCC4-0784-4B71-928C-A4A4A0FA7BEB}">
      <dgm:prSet/>
      <dgm:spPr/>
      <dgm:t>
        <a:bodyPr/>
        <a:lstStyle/>
        <a:p>
          <a:endParaRPr lang="en-US"/>
        </a:p>
      </dgm:t>
    </dgm:pt>
    <dgm:pt modelId="{6C5C55AA-2AC7-4B9E-B352-96CC0558AF68}" type="sibTrans" cxnId="{01A5FCC4-0784-4B71-928C-A4A4A0FA7BEB}">
      <dgm:prSet/>
      <dgm:spPr/>
      <dgm:t>
        <a:bodyPr/>
        <a:lstStyle/>
        <a:p>
          <a:endParaRPr lang="en-US"/>
        </a:p>
      </dgm:t>
    </dgm:pt>
    <dgm:pt modelId="{CD293654-07A4-4CED-B8E2-A99B7A507BF5}" type="pres">
      <dgm:prSet presAssocID="{18E59D77-BEF4-4964-8979-A92814C11411}" presName="compositeShape" presStyleCnt="0">
        <dgm:presLayoutVars>
          <dgm:chMax val="7"/>
          <dgm:dir/>
          <dgm:resizeHandles val="exact"/>
        </dgm:presLayoutVars>
      </dgm:prSet>
      <dgm:spPr/>
    </dgm:pt>
    <dgm:pt modelId="{BEAB858A-E498-4672-BA1C-3BB24E35F3A9}" type="pres">
      <dgm:prSet presAssocID="{18E59D77-BEF4-4964-8979-A92814C11411}" presName="wedge1" presStyleLbl="node1" presStyleIdx="0" presStyleCnt="4"/>
      <dgm:spPr/>
    </dgm:pt>
    <dgm:pt modelId="{FA377EFE-DB51-48F9-8EAB-FE698483DC57}" type="pres">
      <dgm:prSet presAssocID="{18E59D77-BEF4-4964-8979-A92814C11411}" presName="dummy1a" presStyleCnt="0"/>
      <dgm:spPr/>
    </dgm:pt>
    <dgm:pt modelId="{83539811-0B8D-45A6-9839-380D3BD08E5E}" type="pres">
      <dgm:prSet presAssocID="{18E59D77-BEF4-4964-8979-A92814C11411}" presName="dummy1b" presStyleCnt="0"/>
      <dgm:spPr/>
    </dgm:pt>
    <dgm:pt modelId="{40E71088-D41E-4752-9B8D-AB86B2F284B5}" type="pres">
      <dgm:prSet presAssocID="{18E59D77-BEF4-4964-8979-A92814C11411}" presName="wedge1Tx" presStyleLbl="node1" presStyleIdx="0" presStyleCnt="4">
        <dgm:presLayoutVars>
          <dgm:chMax val="0"/>
          <dgm:chPref val="0"/>
          <dgm:bulletEnabled val="1"/>
        </dgm:presLayoutVars>
      </dgm:prSet>
      <dgm:spPr/>
    </dgm:pt>
    <dgm:pt modelId="{9C72CE11-5204-4820-898C-23D209A60525}" type="pres">
      <dgm:prSet presAssocID="{18E59D77-BEF4-4964-8979-A92814C11411}" presName="wedge2" presStyleLbl="node1" presStyleIdx="1" presStyleCnt="4"/>
      <dgm:spPr/>
    </dgm:pt>
    <dgm:pt modelId="{EA1C0F9B-53B0-41BD-A121-96DBEEC64AEB}" type="pres">
      <dgm:prSet presAssocID="{18E59D77-BEF4-4964-8979-A92814C11411}" presName="dummy2a" presStyleCnt="0"/>
      <dgm:spPr/>
    </dgm:pt>
    <dgm:pt modelId="{09DEACA1-DFA5-47A7-815F-757F0137280A}" type="pres">
      <dgm:prSet presAssocID="{18E59D77-BEF4-4964-8979-A92814C11411}" presName="dummy2b" presStyleCnt="0"/>
      <dgm:spPr/>
    </dgm:pt>
    <dgm:pt modelId="{EE914553-480D-4D43-99E3-2ED5C87B6CB5}" type="pres">
      <dgm:prSet presAssocID="{18E59D77-BEF4-4964-8979-A92814C11411}" presName="wedge2Tx" presStyleLbl="node1" presStyleIdx="1" presStyleCnt="4">
        <dgm:presLayoutVars>
          <dgm:chMax val="0"/>
          <dgm:chPref val="0"/>
          <dgm:bulletEnabled val="1"/>
        </dgm:presLayoutVars>
      </dgm:prSet>
      <dgm:spPr/>
    </dgm:pt>
    <dgm:pt modelId="{D7119429-ECBF-4D74-8430-0FAA9F934508}" type="pres">
      <dgm:prSet presAssocID="{18E59D77-BEF4-4964-8979-A92814C11411}" presName="wedge3" presStyleLbl="node1" presStyleIdx="2" presStyleCnt="4"/>
      <dgm:spPr/>
    </dgm:pt>
    <dgm:pt modelId="{4B657898-6BD2-4DF4-9FE3-AF5F8947C766}" type="pres">
      <dgm:prSet presAssocID="{18E59D77-BEF4-4964-8979-A92814C11411}" presName="dummy3a" presStyleCnt="0"/>
      <dgm:spPr/>
    </dgm:pt>
    <dgm:pt modelId="{AA68387C-88A1-420C-9C9B-899EEE81A2FC}" type="pres">
      <dgm:prSet presAssocID="{18E59D77-BEF4-4964-8979-A92814C11411}" presName="dummy3b" presStyleCnt="0"/>
      <dgm:spPr/>
    </dgm:pt>
    <dgm:pt modelId="{905C02AD-303F-4C6E-926D-1C0613E7F995}" type="pres">
      <dgm:prSet presAssocID="{18E59D77-BEF4-4964-8979-A92814C11411}" presName="wedge3Tx" presStyleLbl="node1" presStyleIdx="2" presStyleCnt="4">
        <dgm:presLayoutVars>
          <dgm:chMax val="0"/>
          <dgm:chPref val="0"/>
          <dgm:bulletEnabled val="1"/>
        </dgm:presLayoutVars>
      </dgm:prSet>
      <dgm:spPr/>
    </dgm:pt>
    <dgm:pt modelId="{E5522556-6619-491B-993E-9D8CD47910EA}" type="pres">
      <dgm:prSet presAssocID="{18E59D77-BEF4-4964-8979-A92814C11411}" presName="wedge4" presStyleLbl="node1" presStyleIdx="3" presStyleCnt="4"/>
      <dgm:spPr/>
    </dgm:pt>
    <dgm:pt modelId="{08987201-BBEE-486F-AED5-9774589A9A63}" type="pres">
      <dgm:prSet presAssocID="{18E59D77-BEF4-4964-8979-A92814C11411}" presName="dummy4a" presStyleCnt="0"/>
      <dgm:spPr/>
    </dgm:pt>
    <dgm:pt modelId="{E627B533-D513-497E-9779-BB944A9902CB}" type="pres">
      <dgm:prSet presAssocID="{18E59D77-BEF4-4964-8979-A92814C11411}" presName="dummy4b" presStyleCnt="0"/>
      <dgm:spPr/>
    </dgm:pt>
    <dgm:pt modelId="{A8833BE9-F5C3-4FDA-8084-70BC8DCE3D03}" type="pres">
      <dgm:prSet presAssocID="{18E59D77-BEF4-4964-8979-A92814C11411}" presName="wedge4Tx" presStyleLbl="node1" presStyleIdx="3" presStyleCnt="4">
        <dgm:presLayoutVars>
          <dgm:chMax val="0"/>
          <dgm:chPref val="0"/>
          <dgm:bulletEnabled val="1"/>
        </dgm:presLayoutVars>
      </dgm:prSet>
      <dgm:spPr/>
    </dgm:pt>
    <dgm:pt modelId="{B9D1E8CB-2BA1-4E65-B318-0B3064376E4F}" type="pres">
      <dgm:prSet presAssocID="{8823B653-9FCC-4C69-99C9-C61154C9023B}" presName="arrowWedge1" presStyleLbl="fgSibTrans2D1" presStyleIdx="0" presStyleCnt="4"/>
      <dgm:spPr/>
    </dgm:pt>
    <dgm:pt modelId="{FFDAF7AA-B8D0-4F31-9885-50D87D04D4DB}" type="pres">
      <dgm:prSet presAssocID="{2D5EF518-B8BC-4BFF-B33B-D17D33E2A572}" presName="arrowWedge2" presStyleLbl="fgSibTrans2D1" presStyleIdx="1" presStyleCnt="4"/>
      <dgm:spPr/>
    </dgm:pt>
    <dgm:pt modelId="{A90DD8BD-D29F-4471-B85B-E1AE70F97160}" type="pres">
      <dgm:prSet presAssocID="{71EE7ABB-1895-4140-8E8D-0628579976B2}" presName="arrowWedge3" presStyleLbl="fgSibTrans2D1" presStyleIdx="2" presStyleCnt="4"/>
      <dgm:spPr/>
    </dgm:pt>
    <dgm:pt modelId="{C15BAC8A-78EF-466E-BB41-9CBA2F7CF43B}" type="pres">
      <dgm:prSet presAssocID="{6C5C55AA-2AC7-4B9E-B352-96CC0558AF68}" presName="arrowWedge4" presStyleLbl="fgSibTrans2D1" presStyleIdx="3" presStyleCnt="4"/>
      <dgm:spPr/>
    </dgm:pt>
  </dgm:ptLst>
  <dgm:cxnLst>
    <dgm:cxn modelId="{71634E12-C9CB-4F97-B4A2-87D4D03B4CB8}" type="presOf" srcId="{DBCCCE3E-148A-454F-A77F-2CDDB2B1C33D}" destId="{9C72CE11-5204-4820-898C-23D209A60525}" srcOrd="0" destOrd="0" presId="urn:microsoft.com/office/officeart/2005/8/layout/cycle8"/>
    <dgm:cxn modelId="{B28A854E-ACA7-45D3-919D-FBDA80101713}" type="presOf" srcId="{B12B0AE7-1722-449C-87F2-2B3CB7F8DFBC}" destId="{D7119429-ECBF-4D74-8430-0FAA9F934508}" srcOrd="0" destOrd="0" presId="urn:microsoft.com/office/officeart/2005/8/layout/cycle8"/>
    <dgm:cxn modelId="{EAEB3B78-B224-4A9D-8953-3DB91231538A}" srcId="{18E59D77-BEF4-4964-8979-A92814C11411}" destId="{B12B0AE7-1722-449C-87F2-2B3CB7F8DFBC}" srcOrd="2" destOrd="0" parTransId="{2B15DF8E-0EEB-434D-9D02-26D8BD8A84C8}" sibTransId="{71EE7ABB-1895-4140-8E8D-0628579976B2}"/>
    <dgm:cxn modelId="{EAEFED7A-C4CA-4EC6-882E-CFC087F1EAE6}" srcId="{18E59D77-BEF4-4964-8979-A92814C11411}" destId="{BE8268BE-30AB-4790-A2CB-F42906FBB25C}" srcOrd="0" destOrd="0" parTransId="{8E0E943B-C296-47DB-8314-4EF41A33A7B0}" sibTransId="{8823B653-9FCC-4C69-99C9-C61154C9023B}"/>
    <dgm:cxn modelId="{3B1E3193-A36E-433F-9990-CB8C8D0A426B}" type="presOf" srcId="{BE8268BE-30AB-4790-A2CB-F42906FBB25C}" destId="{40E71088-D41E-4752-9B8D-AB86B2F284B5}" srcOrd="1" destOrd="0" presId="urn:microsoft.com/office/officeart/2005/8/layout/cycle8"/>
    <dgm:cxn modelId="{CB1DF1B3-ED25-4B41-AE6A-387FE5BB353D}" type="presOf" srcId="{DBCCCE3E-148A-454F-A77F-2CDDB2B1C33D}" destId="{EE914553-480D-4D43-99E3-2ED5C87B6CB5}" srcOrd="1" destOrd="0" presId="urn:microsoft.com/office/officeart/2005/8/layout/cycle8"/>
    <dgm:cxn modelId="{2F0E32B8-1395-465D-8072-248AAEFA53E2}" type="presOf" srcId="{46F3F739-858C-4F28-9F70-E117DAD7C002}" destId="{A8833BE9-F5C3-4FDA-8084-70BC8DCE3D03}" srcOrd="1" destOrd="0" presId="urn:microsoft.com/office/officeart/2005/8/layout/cycle8"/>
    <dgm:cxn modelId="{8EFB1CB9-FB12-4608-9FBE-C98745F8DA09}" srcId="{18E59D77-BEF4-4964-8979-A92814C11411}" destId="{DBCCCE3E-148A-454F-A77F-2CDDB2B1C33D}" srcOrd="1" destOrd="0" parTransId="{02F86565-9067-407E-868E-5D2A15C89302}" sibTransId="{2D5EF518-B8BC-4BFF-B33B-D17D33E2A572}"/>
    <dgm:cxn modelId="{01A5FCC4-0784-4B71-928C-A4A4A0FA7BEB}" srcId="{18E59D77-BEF4-4964-8979-A92814C11411}" destId="{46F3F739-858C-4F28-9F70-E117DAD7C002}" srcOrd="3" destOrd="0" parTransId="{D5B8E5A2-8A5B-4F45-BA75-68BF477DCC3D}" sibTransId="{6C5C55AA-2AC7-4B9E-B352-96CC0558AF68}"/>
    <dgm:cxn modelId="{61E882CB-679E-4B33-BCBA-1A0C5510AB04}" type="presOf" srcId="{B12B0AE7-1722-449C-87F2-2B3CB7F8DFBC}" destId="{905C02AD-303F-4C6E-926D-1C0613E7F995}" srcOrd="1" destOrd="0" presId="urn:microsoft.com/office/officeart/2005/8/layout/cycle8"/>
    <dgm:cxn modelId="{2324ACD7-CFCF-4154-B6BB-4744CE86D0F1}" type="presOf" srcId="{BE8268BE-30AB-4790-A2CB-F42906FBB25C}" destId="{BEAB858A-E498-4672-BA1C-3BB24E35F3A9}" srcOrd="0" destOrd="0" presId="urn:microsoft.com/office/officeart/2005/8/layout/cycle8"/>
    <dgm:cxn modelId="{6AA79DEA-F6EF-4CC1-B2DA-6FEC052E422C}" type="presOf" srcId="{18E59D77-BEF4-4964-8979-A92814C11411}" destId="{CD293654-07A4-4CED-B8E2-A99B7A507BF5}" srcOrd="0" destOrd="0" presId="urn:microsoft.com/office/officeart/2005/8/layout/cycle8"/>
    <dgm:cxn modelId="{6ACC7BF8-B7A2-4E4A-8AFE-244866B4ACEB}" type="presOf" srcId="{46F3F739-858C-4F28-9F70-E117DAD7C002}" destId="{E5522556-6619-491B-993E-9D8CD47910EA}" srcOrd="0" destOrd="0" presId="urn:microsoft.com/office/officeart/2005/8/layout/cycle8"/>
    <dgm:cxn modelId="{A3E3BC79-9E7F-4ABB-8D50-2E9991EED591}" type="presParOf" srcId="{CD293654-07A4-4CED-B8E2-A99B7A507BF5}" destId="{BEAB858A-E498-4672-BA1C-3BB24E35F3A9}" srcOrd="0" destOrd="0" presId="urn:microsoft.com/office/officeart/2005/8/layout/cycle8"/>
    <dgm:cxn modelId="{24175717-8418-4CB2-87C8-858F114AC123}" type="presParOf" srcId="{CD293654-07A4-4CED-B8E2-A99B7A507BF5}" destId="{FA377EFE-DB51-48F9-8EAB-FE698483DC57}" srcOrd="1" destOrd="0" presId="urn:microsoft.com/office/officeart/2005/8/layout/cycle8"/>
    <dgm:cxn modelId="{E6A09E4A-0BF0-41AE-B80D-54D9439E169C}" type="presParOf" srcId="{CD293654-07A4-4CED-B8E2-A99B7A507BF5}" destId="{83539811-0B8D-45A6-9839-380D3BD08E5E}" srcOrd="2" destOrd="0" presId="urn:microsoft.com/office/officeart/2005/8/layout/cycle8"/>
    <dgm:cxn modelId="{C9D3B40A-EDD7-49A2-A017-B0904B718571}" type="presParOf" srcId="{CD293654-07A4-4CED-B8E2-A99B7A507BF5}" destId="{40E71088-D41E-4752-9B8D-AB86B2F284B5}" srcOrd="3" destOrd="0" presId="urn:microsoft.com/office/officeart/2005/8/layout/cycle8"/>
    <dgm:cxn modelId="{9D6E7B5F-CF3B-4C67-AB2D-BCA0796F5EDA}" type="presParOf" srcId="{CD293654-07A4-4CED-B8E2-A99B7A507BF5}" destId="{9C72CE11-5204-4820-898C-23D209A60525}" srcOrd="4" destOrd="0" presId="urn:microsoft.com/office/officeart/2005/8/layout/cycle8"/>
    <dgm:cxn modelId="{8A84A119-DE15-42FF-9651-11D0DFD21549}" type="presParOf" srcId="{CD293654-07A4-4CED-B8E2-A99B7A507BF5}" destId="{EA1C0F9B-53B0-41BD-A121-96DBEEC64AEB}" srcOrd="5" destOrd="0" presId="urn:microsoft.com/office/officeart/2005/8/layout/cycle8"/>
    <dgm:cxn modelId="{610948E2-C21B-453F-82C4-713E13A9B1FA}" type="presParOf" srcId="{CD293654-07A4-4CED-B8E2-A99B7A507BF5}" destId="{09DEACA1-DFA5-47A7-815F-757F0137280A}" srcOrd="6" destOrd="0" presId="urn:microsoft.com/office/officeart/2005/8/layout/cycle8"/>
    <dgm:cxn modelId="{9C530C8D-AE7F-42A6-8842-BDADDB56EBC3}" type="presParOf" srcId="{CD293654-07A4-4CED-B8E2-A99B7A507BF5}" destId="{EE914553-480D-4D43-99E3-2ED5C87B6CB5}" srcOrd="7" destOrd="0" presId="urn:microsoft.com/office/officeart/2005/8/layout/cycle8"/>
    <dgm:cxn modelId="{4A130B1F-9FEA-4366-B5EF-A9C0520F4A31}" type="presParOf" srcId="{CD293654-07A4-4CED-B8E2-A99B7A507BF5}" destId="{D7119429-ECBF-4D74-8430-0FAA9F934508}" srcOrd="8" destOrd="0" presId="urn:microsoft.com/office/officeart/2005/8/layout/cycle8"/>
    <dgm:cxn modelId="{FB1F5C7E-9F3F-4A2C-B50B-2B5E92F43074}" type="presParOf" srcId="{CD293654-07A4-4CED-B8E2-A99B7A507BF5}" destId="{4B657898-6BD2-4DF4-9FE3-AF5F8947C766}" srcOrd="9" destOrd="0" presId="urn:microsoft.com/office/officeart/2005/8/layout/cycle8"/>
    <dgm:cxn modelId="{D8E4AA17-B344-4832-A8F3-B31CDD163D8B}" type="presParOf" srcId="{CD293654-07A4-4CED-B8E2-A99B7A507BF5}" destId="{AA68387C-88A1-420C-9C9B-899EEE81A2FC}" srcOrd="10" destOrd="0" presId="urn:microsoft.com/office/officeart/2005/8/layout/cycle8"/>
    <dgm:cxn modelId="{3877EB03-85FB-4CBF-BB1C-106A9EAAA135}" type="presParOf" srcId="{CD293654-07A4-4CED-B8E2-A99B7A507BF5}" destId="{905C02AD-303F-4C6E-926D-1C0613E7F995}" srcOrd="11" destOrd="0" presId="urn:microsoft.com/office/officeart/2005/8/layout/cycle8"/>
    <dgm:cxn modelId="{F8DE6094-87D6-497E-8215-6815F92471FD}" type="presParOf" srcId="{CD293654-07A4-4CED-B8E2-A99B7A507BF5}" destId="{E5522556-6619-491B-993E-9D8CD47910EA}" srcOrd="12" destOrd="0" presId="urn:microsoft.com/office/officeart/2005/8/layout/cycle8"/>
    <dgm:cxn modelId="{6AFC2CEB-A08B-4268-A1DE-64395CF3AC39}" type="presParOf" srcId="{CD293654-07A4-4CED-B8E2-A99B7A507BF5}" destId="{08987201-BBEE-486F-AED5-9774589A9A63}" srcOrd="13" destOrd="0" presId="urn:microsoft.com/office/officeart/2005/8/layout/cycle8"/>
    <dgm:cxn modelId="{C55A4649-873D-40C6-8D39-FA244AF608EE}" type="presParOf" srcId="{CD293654-07A4-4CED-B8E2-A99B7A507BF5}" destId="{E627B533-D513-497E-9779-BB944A9902CB}" srcOrd="14" destOrd="0" presId="urn:microsoft.com/office/officeart/2005/8/layout/cycle8"/>
    <dgm:cxn modelId="{2F3F056C-9776-4334-A638-3123506367E6}" type="presParOf" srcId="{CD293654-07A4-4CED-B8E2-A99B7A507BF5}" destId="{A8833BE9-F5C3-4FDA-8084-70BC8DCE3D03}" srcOrd="15" destOrd="0" presId="urn:microsoft.com/office/officeart/2005/8/layout/cycle8"/>
    <dgm:cxn modelId="{A06F486D-8B60-4415-BD20-E788EA4017A7}" type="presParOf" srcId="{CD293654-07A4-4CED-B8E2-A99B7A507BF5}" destId="{B9D1E8CB-2BA1-4E65-B318-0B3064376E4F}" srcOrd="16" destOrd="0" presId="urn:microsoft.com/office/officeart/2005/8/layout/cycle8"/>
    <dgm:cxn modelId="{3442BA0B-39DB-40B4-9EB1-9C4C0B989D15}" type="presParOf" srcId="{CD293654-07A4-4CED-B8E2-A99B7A507BF5}" destId="{FFDAF7AA-B8D0-4F31-9885-50D87D04D4DB}" srcOrd="17" destOrd="0" presId="urn:microsoft.com/office/officeart/2005/8/layout/cycle8"/>
    <dgm:cxn modelId="{DC8783C5-9561-486E-A1C7-8AE5D51403FF}" type="presParOf" srcId="{CD293654-07A4-4CED-B8E2-A99B7A507BF5}" destId="{A90DD8BD-D29F-4471-B85B-E1AE70F97160}" srcOrd="18" destOrd="0" presId="urn:microsoft.com/office/officeart/2005/8/layout/cycle8"/>
    <dgm:cxn modelId="{E204DFFA-F07A-4294-95A4-FD529E7820ED}" type="presParOf" srcId="{CD293654-07A4-4CED-B8E2-A99B7A507BF5}" destId="{C15BAC8A-78EF-466E-BB41-9CBA2F7CF43B}" srcOrd="19" destOrd="0" presId="urn:microsoft.com/office/officeart/2005/8/layout/cycle8"/>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AB858A-E498-4672-BA1C-3BB24E35F3A9}">
      <dsp:nvSpPr>
        <dsp:cNvPr id="0" name=""/>
        <dsp:cNvSpPr/>
      </dsp:nvSpPr>
      <dsp:spPr>
        <a:xfrm>
          <a:off x="1955547" y="144071"/>
          <a:ext cx="2065858" cy="2065858"/>
        </a:xfrm>
        <a:prstGeom prst="pie">
          <a:avLst>
            <a:gd name="adj1" fmla="val 16200000"/>
            <a:gd name="adj2" fmla="val 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it-IT" sz="1200" kern="1200"/>
            <a:t>Mobile App</a:t>
          </a:r>
          <a:endParaRPr lang="en-US" sz="1200" kern="1200"/>
        </a:p>
      </dsp:txBody>
      <dsp:txXfrm>
        <a:off x="3052174" y="572245"/>
        <a:ext cx="762400" cy="565651"/>
      </dsp:txXfrm>
    </dsp:sp>
    <dsp:sp modelId="{9C72CE11-5204-4820-898C-23D209A60525}">
      <dsp:nvSpPr>
        <dsp:cNvPr id="0" name=""/>
        <dsp:cNvSpPr/>
      </dsp:nvSpPr>
      <dsp:spPr>
        <a:xfrm>
          <a:off x="1955547" y="213425"/>
          <a:ext cx="2065858" cy="2065858"/>
        </a:xfrm>
        <a:prstGeom prst="pie">
          <a:avLst>
            <a:gd name="adj1" fmla="val 0"/>
            <a:gd name="adj2" fmla="val 5400000"/>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it-IT" sz="1200" kern="1200"/>
            <a:t>Website</a:t>
          </a:r>
          <a:endParaRPr lang="en-US" sz="1200" kern="1200"/>
        </a:p>
      </dsp:txBody>
      <dsp:txXfrm>
        <a:off x="3052174" y="1285458"/>
        <a:ext cx="762400" cy="565651"/>
      </dsp:txXfrm>
    </dsp:sp>
    <dsp:sp modelId="{D7119429-ECBF-4D74-8430-0FAA9F934508}">
      <dsp:nvSpPr>
        <dsp:cNvPr id="0" name=""/>
        <dsp:cNvSpPr/>
      </dsp:nvSpPr>
      <dsp:spPr>
        <a:xfrm>
          <a:off x="1886193" y="213425"/>
          <a:ext cx="2065858" cy="2065858"/>
        </a:xfrm>
        <a:prstGeom prst="pie">
          <a:avLst>
            <a:gd name="adj1" fmla="val 5400000"/>
            <a:gd name="adj2" fmla="val 10800000"/>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it-IT" sz="1200" kern="1200"/>
            <a:t>Social Media</a:t>
          </a:r>
          <a:endParaRPr lang="en-US" sz="1200" kern="1200"/>
        </a:p>
      </dsp:txBody>
      <dsp:txXfrm>
        <a:off x="2093025" y="1285458"/>
        <a:ext cx="762400" cy="565651"/>
      </dsp:txXfrm>
    </dsp:sp>
    <dsp:sp modelId="{E5522556-6619-491B-993E-9D8CD47910EA}">
      <dsp:nvSpPr>
        <dsp:cNvPr id="0" name=""/>
        <dsp:cNvSpPr/>
      </dsp:nvSpPr>
      <dsp:spPr>
        <a:xfrm>
          <a:off x="1886193" y="144071"/>
          <a:ext cx="2065858" cy="2065858"/>
        </a:xfrm>
        <a:prstGeom prst="pie">
          <a:avLst>
            <a:gd name="adj1" fmla="val 10800000"/>
            <a:gd name="adj2" fmla="val 1620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it-IT" sz="1200" kern="1200"/>
            <a:t>Customer Operations</a:t>
          </a:r>
          <a:endParaRPr lang="en-US" sz="1200" kern="1200"/>
        </a:p>
      </dsp:txBody>
      <dsp:txXfrm>
        <a:off x="2093025" y="572245"/>
        <a:ext cx="762400" cy="565651"/>
      </dsp:txXfrm>
    </dsp:sp>
    <dsp:sp modelId="{B9D1E8CB-2BA1-4E65-B318-0B3064376E4F}">
      <dsp:nvSpPr>
        <dsp:cNvPr id="0" name=""/>
        <dsp:cNvSpPr/>
      </dsp:nvSpPr>
      <dsp:spPr>
        <a:xfrm>
          <a:off x="1827661" y="16185"/>
          <a:ext cx="2321631" cy="2321631"/>
        </a:xfrm>
        <a:prstGeom prst="circularArrow">
          <a:avLst>
            <a:gd name="adj1" fmla="val 5085"/>
            <a:gd name="adj2" fmla="val 327528"/>
            <a:gd name="adj3" fmla="val 21272472"/>
            <a:gd name="adj4" fmla="val 16200000"/>
            <a:gd name="adj5" fmla="val 5932"/>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FDAF7AA-B8D0-4F31-9885-50D87D04D4DB}">
      <dsp:nvSpPr>
        <dsp:cNvPr id="0" name=""/>
        <dsp:cNvSpPr/>
      </dsp:nvSpPr>
      <dsp:spPr>
        <a:xfrm>
          <a:off x="1827661" y="85538"/>
          <a:ext cx="2321631" cy="2321631"/>
        </a:xfrm>
        <a:prstGeom prst="circularArrow">
          <a:avLst>
            <a:gd name="adj1" fmla="val 5085"/>
            <a:gd name="adj2" fmla="val 327528"/>
            <a:gd name="adj3" fmla="val 5072472"/>
            <a:gd name="adj4" fmla="val 0"/>
            <a:gd name="adj5" fmla="val 5932"/>
          </a:avLst>
        </a:prstGeom>
        <a:solidFill>
          <a:schemeClr val="accent2">
            <a:hueOff val="-485121"/>
            <a:satOff val="-27976"/>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90DD8BD-D29F-4471-B85B-E1AE70F97160}">
      <dsp:nvSpPr>
        <dsp:cNvPr id="0" name=""/>
        <dsp:cNvSpPr/>
      </dsp:nvSpPr>
      <dsp:spPr>
        <a:xfrm>
          <a:off x="1758307" y="85538"/>
          <a:ext cx="2321631" cy="2321631"/>
        </a:xfrm>
        <a:prstGeom prst="circularArrow">
          <a:avLst>
            <a:gd name="adj1" fmla="val 5085"/>
            <a:gd name="adj2" fmla="val 327528"/>
            <a:gd name="adj3" fmla="val 10472472"/>
            <a:gd name="adj4" fmla="val 5400000"/>
            <a:gd name="adj5" fmla="val 5932"/>
          </a:avLst>
        </a:prstGeom>
        <a:solidFill>
          <a:schemeClr val="accent2">
            <a:hueOff val="-970242"/>
            <a:satOff val="-55952"/>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15BAC8A-78EF-466E-BB41-9CBA2F7CF43B}">
      <dsp:nvSpPr>
        <dsp:cNvPr id="0" name=""/>
        <dsp:cNvSpPr/>
      </dsp:nvSpPr>
      <dsp:spPr>
        <a:xfrm>
          <a:off x="1758307" y="16185"/>
          <a:ext cx="2321631" cy="2321631"/>
        </a:xfrm>
        <a:prstGeom prst="circularArrow">
          <a:avLst>
            <a:gd name="adj1" fmla="val 5085"/>
            <a:gd name="adj2" fmla="val 327528"/>
            <a:gd name="adj3" fmla="val 15872472"/>
            <a:gd name="adj4" fmla="val 10800000"/>
            <a:gd name="adj5" fmla="val 5932"/>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3440</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 Hussain (2123734)</dc:creator>
  <cp:keywords/>
  <dc:description/>
  <cp:lastModifiedBy>Naveed Hussain (2123734)</cp:lastModifiedBy>
  <cp:revision>1</cp:revision>
  <dcterms:created xsi:type="dcterms:W3CDTF">2023-03-08T22:18:00Z</dcterms:created>
  <dcterms:modified xsi:type="dcterms:W3CDTF">2023-03-08T22:36:00Z</dcterms:modified>
</cp:coreProperties>
</file>